
<file path=[Content_Types].xml><?xml version="1.0" encoding="utf-8"?>
<Types xmlns="http://schemas.openxmlformats.org/package/2006/content-types">
  <Default ContentType="image/gif" Extension="gif"/>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left"/>
        <w:rPr/>
      </w:pPr>
      <w:r w:rsidDel="00000000" w:rsidR="00000000" w:rsidRPr="00000000">
        <w:rPr>
          <w:rtl w:val="0"/>
        </w:rPr>
      </w:r>
    </w:p>
    <w:p w:rsidR="00000000" w:rsidDel="00000000" w:rsidP="00000000" w:rsidRDefault="00000000" w:rsidRPr="00000000" w14:paraId="00000002">
      <w:pPr>
        <w:jc w:val="left"/>
        <w:rPr/>
      </w:pPr>
      <w:r w:rsidDel="00000000" w:rsidR="00000000" w:rsidRPr="00000000">
        <w:rPr>
          <w:rtl w:val="0"/>
        </w:rPr>
      </w:r>
    </w:p>
    <w:p w:rsidR="00000000" w:rsidDel="00000000" w:rsidP="00000000" w:rsidRDefault="00000000" w:rsidRPr="00000000" w14:paraId="00000003">
      <w:pPr>
        <w:jc w:val="left"/>
        <w:rPr/>
      </w:pPr>
      <w:r w:rsidDel="00000000" w:rsidR="00000000" w:rsidRPr="00000000">
        <w:rPr>
          <w:rtl w:val="0"/>
        </w:rPr>
      </w:r>
    </w:p>
    <w:p w:rsidR="00000000" w:rsidDel="00000000" w:rsidP="00000000" w:rsidRDefault="00000000" w:rsidRPr="00000000" w14:paraId="00000004">
      <w:pPr>
        <w:jc w:val="left"/>
        <w:rPr/>
      </w:pPr>
      <w:r w:rsidDel="00000000" w:rsidR="00000000" w:rsidRPr="00000000">
        <w:rPr>
          <w:rtl w:val="0"/>
        </w:rPr>
      </w:r>
    </w:p>
    <w:p w:rsidR="00000000" w:rsidDel="00000000" w:rsidP="00000000" w:rsidRDefault="00000000" w:rsidRPr="00000000" w14:paraId="00000005">
      <w:pPr>
        <w:jc w:val="left"/>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t xml:space="preserve">Academic Employability Skills</w:t>
      </w:r>
    </w:p>
    <w:p w:rsidR="00000000" w:rsidDel="00000000" w:rsidP="00000000" w:rsidRDefault="00000000" w:rsidRPr="00000000" w14:paraId="00000007">
      <w:pPr>
        <w:jc w:val="center"/>
        <w:rPr/>
      </w:pPr>
      <w:r w:rsidDel="00000000" w:rsidR="00000000" w:rsidRPr="00000000">
        <w:rPr>
          <w:rtl w:val="0"/>
        </w:rPr>
        <w:t xml:space="preserve">Name of the University:University of Wales Trinity Saint David</w:t>
      </w:r>
    </w:p>
    <w:p w:rsidR="00000000" w:rsidDel="00000000" w:rsidP="00000000" w:rsidRDefault="00000000" w:rsidRPr="00000000" w14:paraId="00000008">
      <w:pPr>
        <w:jc w:val="center"/>
        <w:rPr/>
      </w:pPr>
      <w:r w:rsidDel="00000000" w:rsidR="00000000" w:rsidRPr="00000000">
        <w:rPr>
          <w:rtl w:val="0"/>
        </w:rPr>
        <w:t xml:space="preserve">Module Code:</w:t>
      </w:r>
      <w:r w:rsidDel="00000000" w:rsidR="00000000" w:rsidRPr="00000000">
        <w:rPr>
          <w:rFonts w:ascii="Roboto" w:cs="Roboto" w:eastAsia="Roboto" w:hAnsi="Roboto"/>
          <w:highlight w:val="white"/>
          <w:rtl w:val="0"/>
        </w:rPr>
        <w:t xml:space="preserve">BMSW4001</w:t>
      </w:r>
      <w:r w:rsidDel="00000000" w:rsidR="00000000" w:rsidRPr="00000000">
        <w:rPr>
          <w:rtl w:val="0"/>
        </w:rPr>
      </w:r>
    </w:p>
    <w:p w:rsidR="00000000" w:rsidDel="00000000" w:rsidP="00000000" w:rsidRDefault="00000000" w:rsidRPr="00000000" w14:paraId="00000009">
      <w:pPr>
        <w:jc w:val="center"/>
        <w:rPr/>
      </w:pPr>
      <w:r w:rsidDel="00000000" w:rsidR="00000000" w:rsidRPr="00000000">
        <w:rPr>
          <w:rtl w:val="0"/>
        </w:rPr>
        <w:t xml:space="preserve">Name of the Student:Moisei Ruxandra 1917418</w:t>
      </w:r>
    </w:p>
    <w:p w:rsidR="00000000" w:rsidDel="00000000" w:rsidP="00000000" w:rsidRDefault="00000000" w:rsidRPr="00000000" w14:paraId="0000000A">
      <w:pPr>
        <w:jc w:val="center"/>
        <w:rPr/>
      </w:pPr>
      <w:r w:rsidDel="00000000" w:rsidR="00000000" w:rsidRPr="00000000">
        <w:rPr>
          <w:rtl w:val="0"/>
        </w:rPr>
        <w:t xml:space="preserve">Name of the Lecturer: Joanna Walsh.</w:t>
      </w:r>
    </w:p>
    <w:p w:rsidR="00000000" w:rsidDel="00000000" w:rsidP="00000000" w:rsidRDefault="00000000" w:rsidRPr="00000000" w14:paraId="0000000B">
      <w:pPr>
        <w:jc w:val="center"/>
        <w:rPr/>
      </w:pPr>
      <w:r w:rsidDel="00000000" w:rsidR="00000000" w:rsidRPr="00000000">
        <w:rPr>
          <w:rtl w:val="0"/>
        </w:rPr>
      </w:r>
    </w:p>
    <w:p w:rsidR="00000000" w:rsidDel="00000000" w:rsidP="00000000" w:rsidRDefault="00000000" w:rsidRPr="00000000" w14:paraId="0000000C">
      <w:pPr>
        <w:jc w:val="center"/>
        <w:rPr/>
      </w:pPr>
      <w:r w:rsidDel="00000000" w:rsidR="00000000" w:rsidRPr="00000000">
        <w:rPr>
          <w:rtl w:val="0"/>
        </w:rPr>
      </w:r>
    </w:p>
    <w:p w:rsidR="00000000" w:rsidDel="00000000" w:rsidP="00000000" w:rsidRDefault="00000000" w:rsidRPr="00000000" w14:paraId="0000000D">
      <w:pPr>
        <w:jc w:val="center"/>
        <w:rPr/>
      </w:pP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r>
    </w:p>
    <w:p w:rsidR="00000000" w:rsidDel="00000000" w:rsidP="00000000" w:rsidRDefault="00000000" w:rsidRPr="00000000" w14:paraId="00000010">
      <w:pPr>
        <w:jc w:val="center"/>
        <w:rPr/>
      </w:pPr>
      <w:r w:rsidDel="00000000" w:rsidR="00000000" w:rsidRPr="00000000">
        <w:rPr>
          <w:rtl w:val="0"/>
        </w:rPr>
      </w:r>
    </w:p>
    <w:p w:rsidR="00000000" w:rsidDel="00000000" w:rsidP="00000000" w:rsidRDefault="00000000" w:rsidRPr="00000000" w14:paraId="00000011">
      <w:pPr>
        <w:jc w:val="center"/>
        <w:rPr/>
      </w:pPr>
      <w:r w:rsidDel="00000000" w:rsidR="00000000" w:rsidRPr="00000000">
        <w:rPr>
          <w:rtl w:val="0"/>
        </w:rPr>
      </w:r>
    </w:p>
    <w:p w:rsidR="00000000" w:rsidDel="00000000" w:rsidP="00000000" w:rsidRDefault="00000000" w:rsidRPr="00000000" w14:paraId="00000012">
      <w:pPr>
        <w:jc w:val="center"/>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left" w:pos="440"/>
              <w:tab w:val="right" w:pos="9017"/>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tab/>
              <w:t xml:space="preserve">Introduction</w:t>
              <w:tab/>
              <w:t xml:space="preserve">3</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left" w:pos="440"/>
              <w:tab w:val="right" w:pos="9017"/>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tab/>
              <w:t xml:space="preserve">Skills</w:t>
              <w:tab/>
              <w:t xml:space="preserve">3</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left" w:pos="440"/>
              <w:tab w:val="right" w:pos="9017"/>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tab/>
              <w:t xml:space="preserve">Academic Skills</w:t>
              <w:tab/>
              <w:t xml:space="preserve">4</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left" w:pos="440"/>
              <w:tab w:val="right" w:pos="9017"/>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tab/>
              <w:t xml:space="preserve">Employability Skills</w:t>
              <w:tab/>
              <w:t xml:space="preserve">4</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9017"/>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w:t>
              <w:tab/>
              <w:t xml:space="preserve">Hard Skills</w:t>
              <w:tab/>
              <w:t xml:space="preserve">4</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9017"/>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w:t>
              <w:tab/>
              <w:t xml:space="preserve">Soft Skills</w:t>
              <w:tab/>
              <w:t xml:space="preserve">4</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left" w:pos="1320"/>
              <w:tab w:val="right" w:pos="9017"/>
            </w:tabs>
            <w:spacing w:after="100" w:before="0" w:line="48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4.2.1.</w:t>
              <w:tab/>
              <w:t xml:space="preserve">Communication</w:t>
              <w:tab/>
              <w:t xml:space="preserve">5</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left" w:pos="1320"/>
              <w:tab w:val="right" w:pos="9017"/>
            </w:tabs>
            <w:spacing w:after="100" w:before="0" w:line="48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4.2.2.</w:t>
              <w:tab/>
              <w:t xml:space="preserve">Working with a team</w:t>
              <w:tab/>
              <w:t xml:space="preserve">5</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left" w:pos="1320"/>
              <w:tab w:val="right" w:pos="9017"/>
            </w:tabs>
            <w:spacing w:after="100" w:before="0" w:line="480"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4.2.3.</w:t>
              <w:tab/>
              <w:t xml:space="preserve">Time Management</w:t>
              <w:tab/>
              <w:t xml:space="preserve">5</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left" w:pos="480"/>
              <w:tab w:val="right" w:pos="9017"/>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tab/>
              <w:t xml:space="preserve">SWOT Analysis</w:t>
              <w:tab/>
              <w:t xml:space="preserve">5</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left" w:pos="480"/>
              <w:tab w:val="right" w:pos="9017"/>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w:t>
              <w:tab/>
              <w:t xml:space="preserve">Academic Skills</w:t>
              <w:tab/>
              <w:t xml:space="preserve">6</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left" w:pos="480"/>
              <w:tab w:val="right" w:pos="9017"/>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w:t>
              <w:tab/>
              <w:t xml:space="preserve">Research and Note Taking</w:t>
              <w:tab/>
              <w:t xml:space="preserve">7</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left" w:pos="480"/>
              <w:tab w:val="right" w:pos="9017"/>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w:t>
              <w:tab/>
              <w:t xml:space="preserve">Academic Writing</w:t>
              <w:tab/>
              <w:t xml:space="preserve">8</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left" w:pos="480"/>
              <w:tab w:val="right" w:pos="9017"/>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w:t>
              <w:tab/>
              <w:t xml:space="preserve">Referencing and Avoiding Plagiarism</w:t>
              <w:tab/>
              <w:t xml:space="preserve">8</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017"/>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w:t>
              <w:tab/>
              <w:t xml:space="preserve">Paraphrasing and Summarizing</w:t>
              <w:tab/>
              <w:t xml:space="preserve">9</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017"/>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w:t>
              <w:tab/>
              <w:t xml:space="preserve">Communicating and Presenting Information</w:t>
              <w:tab/>
              <w:t xml:space="preserve">10</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017"/>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w:t>
              <w:tab/>
              <w:t xml:space="preserve">Personal Development Plan</w:t>
              <w:tab/>
              <w:t xml:space="preserve">10</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017"/>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w:t>
              <w:tab/>
              <w:t xml:space="preserve">Conclusion</w:t>
              <w:tab/>
              <w:t xml:space="preserve">11</w:t>
            </w:r>
          </w:hyperlink>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017"/>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w:t>
              <w:tab/>
              <w:t xml:space="preserve">References</w:t>
              <w:tab/>
              <w:t xml:space="preserve">12</w:t>
            </w:r>
          </w:hyperlink>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017"/>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15.</w:t>
              <w:tab/>
              <w:t xml:space="preserve">Appendix</w:t>
              <w:tab/>
              <w:t xml:space="preserve">14</w:t>
            </w:r>
          </w:hyperlink>
          <w:r w:rsidDel="00000000" w:rsidR="00000000" w:rsidRPr="00000000">
            <w:rPr>
              <w:rtl w:val="0"/>
            </w:rPr>
          </w:r>
        </w:p>
        <w:p w:rsidR="00000000" w:rsidDel="00000000" w:rsidP="00000000" w:rsidRDefault="00000000" w:rsidRPr="00000000" w14:paraId="0000002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pStyle w:val="Heading1"/>
        <w:numPr>
          <w:ilvl w:val="0"/>
          <w:numId w:val="1"/>
        </w:numPr>
        <w:ind w:left="720" w:hanging="360"/>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29">
      <w:pPr>
        <w:ind w:firstLine="720"/>
        <w:rPr/>
      </w:pPr>
      <w:r w:rsidDel="00000000" w:rsidR="00000000" w:rsidRPr="00000000">
        <w:rPr>
          <w:rtl w:val="0"/>
        </w:rPr>
        <w:t xml:space="preserve">This study includes details about my academic credentials as well as employability skills. In this assessment, the ‘concept of ability’ is given at the first comprehension of the skill. The readers will consider the significance of the word ‘ability’. I have analytically described the term ability so that it can be easily recognized as relevant in its multiple operational parts. This study, which primarily contains learning, employability, and hard and soft skills, has illuminated various types of skills. In this study, also, personal SWOT analysis was conducted to explore strengths, weaknesses, threats, and opportunities. At the end of the report, a brief concluding statement is made.</w:t>
      </w:r>
    </w:p>
    <w:p w:rsidR="00000000" w:rsidDel="00000000" w:rsidP="00000000" w:rsidRDefault="00000000" w:rsidRPr="00000000" w14:paraId="0000002A">
      <w:pPr>
        <w:pStyle w:val="Heading1"/>
        <w:numPr>
          <w:ilvl w:val="0"/>
          <w:numId w:val="1"/>
        </w:numPr>
        <w:ind w:left="720" w:hanging="360"/>
        <w:rPr/>
      </w:pPr>
      <w:bookmarkStart w:colFirst="0" w:colLast="0" w:name="_heading=h.30j0zll" w:id="1"/>
      <w:bookmarkEnd w:id="1"/>
      <w:r w:rsidDel="00000000" w:rsidR="00000000" w:rsidRPr="00000000">
        <w:rPr>
          <w:rtl w:val="0"/>
        </w:rPr>
        <w:t xml:space="preserve">Skills</w:t>
      </w:r>
    </w:p>
    <w:p w:rsidR="00000000" w:rsidDel="00000000" w:rsidP="00000000" w:rsidRDefault="00000000" w:rsidRPr="00000000" w14:paraId="0000002B">
      <w:pPr>
        <w:ind w:firstLine="720"/>
        <w:rPr/>
      </w:pPr>
      <w:r w:rsidDel="00000000" w:rsidR="00000000" w:rsidRPr="00000000">
        <w:rPr>
          <w:rtl w:val="0"/>
        </w:rPr>
        <w:t xml:space="preserve">Skills can be referred to as the expertise or desire to do a thing differently than others. Acquired capacity or skill through systematic, deliberate, and continuous effort to adjust and seamlessly execute job responsibilities or dynamic tasks involving concepts, individuals, issues, and much more. Skill can be considered as a crucial element for an individual to successfully do his/her job. That productivity is the competence of the process of working for the individual. If any individual or employee has a good set of skills then it will prove to be a feel-good aspect for any type of business. A task can be achieved by an employee’s unique necessary skills as mentioned by Cotronei-Baird (2020). Skills empower an individual to perform a precise job and the lifestyle skills sustain him/her through daily tasks. Moreover, there are numerous kinds of abilities or skills that enable an individual to excel in any area of his/her life whether it is education, job, or even a hobby or passion. As defined by Skoyles, Bullock, and Neville (2019), skills are referred to as the ability of an individual to perform an activity often within a given period, resources, or both, with calculated outcomes.</w:t>
      </w:r>
    </w:p>
    <w:p w:rsidR="00000000" w:rsidDel="00000000" w:rsidP="00000000" w:rsidRDefault="00000000" w:rsidRPr="00000000" w14:paraId="0000002C">
      <w:pPr>
        <w:pStyle w:val="Heading1"/>
        <w:numPr>
          <w:ilvl w:val="0"/>
          <w:numId w:val="1"/>
        </w:numPr>
        <w:ind w:left="720" w:hanging="360"/>
        <w:rPr/>
      </w:pPr>
      <w:bookmarkStart w:colFirst="0" w:colLast="0" w:name="_heading=h.1fob9te" w:id="2"/>
      <w:bookmarkEnd w:id="2"/>
      <w:r w:rsidDel="00000000" w:rsidR="00000000" w:rsidRPr="00000000">
        <w:rPr>
          <w:rtl w:val="0"/>
        </w:rPr>
        <w:t xml:space="preserve">Academic Skills</w:t>
      </w:r>
    </w:p>
    <w:p w:rsidR="00000000" w:rsidDel="00000000" w:rsidP="00000000" w:rsidRDefault="00000000" w:rsidRPr="00000000" w14:paraId="0000002D">
      <w:pPr>
        <w:ind w:firstLine="720"/>
        <w:rPr/>
      </w:pPr>
      <w:r w:rsidDel="00000000" w:rsidR="00000000" w:rsidRPr="00000000">
        <w:rPr>
          <w:rtl w:val="0"/>
        </w:rPr>
        <w:t xml:space="preserve">Academic skills reflect the students’ expertise in how they succeed in their educational position and how this expertise is useful in their potential career in the professional workplace. Academic skills are mainly used to assist students by helping them become more efficient at their academic or educational institutions such as college level and improve research as well as study skills that can benefit them now and in near future as well. Developing outstanding educational competence will help a student attain academic success, which reflects on a full potential student (sharifi Asadi Malafeh et al. 2019). These skills, developed by a student, will assist him/her shortly. </w:t>
      </w:r>
    </w:p>
    <w:p w:rsidR="00000000" w:rsidDel="00000000" w:rsidP="00000000" w:rsidRDefault="00000000" w:rsidRPr="00000000" w14:paraId="0000002E">
      <w:pPr>
        <w:pStyle w:val="Heading1"/>
        <w:numPr>
          <w:ilvl w:val="0"/>
          <w:numId w:val="1"/>
        </w:numPr>
        <w:ind w:left="720" w:hanging="360"/>
        <w:rPr/>
      </w:pPr>
      <w:bookmarkStart w:colFirst="0" w:colLast="0" w:name="_heading=h.3znysh7" w:id="3"/>
      <w:bookmarkEnd w:id="3"/>
      <w:r w:rsidDel="00000000" w:rsidR="00000000" w:rsidRPr="00000000">
        <w:rPr>
          <w:rtl w:val="0"/>
        </w:rPr>
        <w:t xml:space="preserve">Employability Skills</w:t>
      </w:r>
    </w:p>
    <w:p w:rsidR="00000000" w:rsidDel="00000000" w:rsidP="00000000" w:rsidRDefault="00000000" w:rsidRPr="00000000" w14:paraId="0000002F">
      <w:pPr>
        <w:ind w:firstLine="720"/>
        <w:rPr/>
      </w:pPr>
      <w:r w:rsidDel="00000000" w:rsidR="00000000" w:rsidRPr="00000000">
        <w:rPr>
          <w:rtl w:val="0"/>
        </w:rPr>
        <w:t xml:space="preserve">Employability skills are an employee’s abilities at his/her place of employment. A collection of transferable as well as prudent skills can be successful in being anyone's best employee. These skills are considered to be very powerful and proven at any place of work (</w:t>
      </w:r>
      <w:r w:rsidDel="00000000" w:rsidR="00000000" w:rsidRPr="00000000">
        <w:rPr>
          <w:highlight w:val="white"/>
          <w:rtl w:val="0"/>
        </w:rPr>
        <w:t xml:space="preserve">Gill 2018</w:t>
      </w:r>
      <w:r w:rsidDel="00000000" w:rsidR="00000000" w:rsidRPr="00000000">
        <w:rPr>
          <w:rtl w:val="0"/>
        </w:rPr>
        <w:t xml:space="preserve">). There are certain skills listed below on employability.</w:t>
      </w:r>
    </w:p>
    <w:p w:rsidR="00000000" w:rsidDel="00000000" w:rsidP="00000000" w:rsidRDefault="00000000" w:rsidRPr="00000000" w14:paraId="00000030">
      <w:pPr>
        <w:pStyle w:val="Heading2"/>
        <w:numPr>
          <w:ilvl w:val="1"/>
          <w:numId w:val="1"/>
        </w:numPr>
        <w:ind w:left="720" w:hanging="360"/>
        <w:rPr/>
      </w:pPr>
      <w:bookmarkStart w:colFirst="0" w:colLast="0" w:name="_heading=h.2et92p0" w:id="4"/>
      <w:bookmarkEnd w:id="4"/>
      <w:r w:rsidDel="00000000" w:rsidR="00000000" w:rsidRPr="00000000">
        <w:rPr>
          <w:rtl w:val="0"/>
        </w:rPr>
        <w:t xml:space="preserve">Hard Skills</w:t>
      </w:r>
    </w:p>
    <w:p w:rsidR="00000000" w:rsidDel="00000000" w:rsidP="00000000" w:rsidRDefault="00000000" w:rsidRPr="00000000" w14:paraId="00000031">
      <w:pPr>
        <w:ind w:firstLine="720"/>
        <w:rPr/>
      </w:pPr>
      <w:r w:rsidDel="00000000" w:rsidR="00000000" w:rsidRPr="00000000">
        <w:rPr>
          <w:rtl w:val="0"/>
        </w:rPr>
        <w:t xml:space="preserve">Hard skills are observable and teachable talents, such as the ability to write, read, use computer programs or math (</w:t>
      </w:r>
      <w:r w:rsidDel="00000000" w:rsidR="00000000" w:rsidRPr="00000000">
        <w:rPr>
          <w:highlight w:val="white"/>
          <w:rtl w:val="0"/>
        </w:rPr>
        <w:t xml:space="preserve">Wilson and Ortiz 2017</w:t>
      </w:r>
      <w:r w:rsidDel="00000000" w:rsidR="00000000" w:rsidRPr="00000000">
        <w:rPr>
          <w:rtl w:val="0"/>
        </w:rPr>
        <w:t xml:space="preserve">). Hard skills help in providing the basic knowledge and skills needed to make a job a success.</w:t>
      </w:r>
    </w:p>
    <w:p w:rsidR="00000000" w:rsidDel="00000000" w:rsidP="00000000" w:rsidRDefault="00000000" w:rsidRPr="00000000" w14:paraId="00000032">
      <w:pPr>
        <w:pStyle w:val="Heading2"/>
        <w:numPr>
          <w:ilvl w:val="1"/>
          <w:numId w:val="1"/>
        </w:numPr>
        <w:ind w:left="720" w:hanging="360"/>
        <w:rPr/>
      </w:pPr>
      <w:bookmarkStart w:colFirst="0" w:colLast="0" w:name="_heading=h.tyjcwt" w:id="5"/>
      <w:bookmarkEnd w:id="5"/>
      <w:r w:rsidDel="00000000" w:rsidR="00000000" w:rsidRPr="00000000">
        <w:rPr>
          <w:rtl w:val="0"/>
        </w:rPr>
        <w:t xml:space="preserve">Soft Skills</w:t>
      </w:r>
    </w:p>
    <w:p w:rsidR="00000000" w:rsidDel="00000000" w:rsidP="00000000" w:rsidRDefault="00000000" w:rsidRPr="00000000" w14:paraId="00000033">
      <w:pPr>
        <w:ind w:firstLine="720"/>
        <w:rPr/>
      </w:pPr>
      <w:r w:rsidDel="00000000" w:rsidR="00000000" w:rsidRPr="00000000">
        <w:rPr>
          <w:rtl w:val="0"/>
        </w:rPr>
        <w:t xml:space="preserve">Soft skills, by comparison, are the qualities that make an individual a good employee, including courtesy, communication, getting along with others, and listening as per </w:t>
      </w:r>
      <w:r w:rsidDel="00000000" w:rsidR="00000000" w:rsidRPr="00000000">
        <w:rPr>
          <w:highlight w:val="white"/>
          <w:rtl w:val="0"/>
        </w:rPr>
        <w:t xml:space="preserve">Wrye, Chafin and Higginbotham (2019)</w:t>
      </w:r>
      <w:r w:rsidDel="00000000" w:rsidR="00000000" w:rsidRPr="00000000">
        <w:rPr>
          <w:rtl w:val="0"/>
        </w:rPr>
        <w:t xml:space="preserve">.</w:t>
      </w:r>
    </w:p>
    <w:p w:rsidR="00000000" w:rsidDel="00000000" w:rsidP="00000000" w:rsidRDefault="00000000" w:rsidRPr="00000000" w14:paraId="00000034">
      <w:pPr>
        <w:pStyle w:val="Heading3"/>
        <w:numPr>
          <w:ilvl w:val="2"/>
          <w:numId w:val="1"/>
        </w:numPr>
        <w:ind w:left="1080" w:hanging="720"/>
        <w:rPr/>
      </w:pPr>
      <w:bookmarkStart w:colFirst="0" w:colLast="0" w:name="_heading=h.3dy6vkm" w:id="6"/>
      <w:bookmarkEnd w:id="6"/>
      <w:r w:rsidDel="00000000" w:rsidR="00000000" w:rsidRPr="00000000">
        <w:rPr>
          <w:rtl w:val="0"/>
        </w:rPr>
        <w:t xml:space="preserve">Communication</w:t>
      </w:r>
    </w:p>
    <w:p w:rsidR="00000000" w:rsidDel="00000000" w:rsidP="00000000" w:rsidRDefault="00000000" w:rsidRPr="00000000" w14:paraId="00000035">
      <w:pPr>
        <w:ind w:firstLine="720"/>
        <w:rPr/>
      </w:pPr>
      <w:r w:rsidDel="00000000" w:rsidR="00000000" w:rsidRPr="00000000">
        <w:rPr>
          <w:rtl w:val="0"/>
        </w:rPr>
        <w:t xml:space="preserve">Communication skills are a very necessary and successful ability in every organization and being a better worker at his/her workplace is a key strength of an individual (</w:t>
      </w:r>
      <w:r w:rsidDel="00000000" w:rsidR="00000000" w:rsidRPr="00000000">
        <w:rPr>
          <w:highlight w:val="white"/>
          <w:rtl w:val="0"/>
        </w:rPr>
        <w:t xml:space="preserve">Osmani et al. 2019</w:t>
      </w:r>
      <w:r w:rsidDel="00000000" w:rsidR="00000000" w:rsidRPr="00000000">
        <w:rPr>
          <w:rtl w:val="0"/>
        </w:rPr>
        <w:t xml:space="preserve">).</w:t>
      </w:r>
    </w:p>
    <w:p w:rsidR="00000000" w:rsidDel="00000000" w:rsidP="00000000" w:rsidRDefault="00000000" w:rsidRPr="00000000" w14:paraId="00000036">
      <w:pPr>
        <w:pStyle w:val="Heading3"/>
        <w:numPr>
          <w:ilvl w:val="2"/>
          <w:numId w:val="1"/>
        </w:numPr>
        <w:ind w:left="1080" w:hanging="720"/>
        <w:rPr/>
      </w:pPr>
      <w:bookmarkStart w:colFirst="0" w:colLast="0" w:name="_heading=h.1t3h5sf" w:id="7"/>
      <w:bookmarkEnd w:id="7"/>
      <w:r w:rsidDel="00000000" w:rsidR="00000000" w:rsidRPr="00000000">
        <w:rPr>
          <w:rtl w:val="0"/>
        </w:rPr>
        <w:t xml:space="preserve">Working with a team</w:t>
      </w:r>
    </w:p>
    <w:p w:rsidR="00000000" w:rsidDel="00000000" w:rsidP="00000000" w:rsidRDefault="00000000" w:rsidRPr="00000000" w14:paraId="00000037">
      <w:pPr>
        <w:ind w:firstLine="720"/>
        <w:rPr/>
      </w:pPr>
      <w:r w:rsidDel="00000000" w:rsidR="00000000" w:rsidRPr="00000000">
        <w:rPr>
          <w:rtl w:val="0"/>
        </w:rPr>
        <w:t xml:space="preserve">The strength, energy, and efficiency of teamwork and partnership should never be underestimated by an individual or a company. Collaboration involves being in a team working together to overcome challenges or barriers (</w:t>
      </w:r>
      <w:r w:rsidDel="00000000" w:rsidR="00000000" w:rsidRPr="00000000">
        <w:rPr>
          <w:highlight w:val="white"/>
          <w:rtl w:val="0"/>
        </w:rPr>
        <w:t xml:space="preserve">Rowe and Zegwaard 2017</w:t>
      </w:r>
      <w:r w:rsidDel="00000000" w:rsidR="00000000" w:rsidRPr="00000000">
        <w:rPr>
          <w:rtl w:val="0"/>
        </w:rPr>
        <w:t xml:space="preserve">).</w:t>
      </w:r>
    </w:p>
    <w:p w:rsidR="00000000" w:rsidDel="00000000" w:rsidP="00000000" w:rsidRDefault="00000000" w:rsidRPr="00000000" w14:paraId="00000038">
      <w:pPr>
        <w:pStyle w:val="Heading3"/>
        <w:numPr>
          <w:ilvl w:val="2"/>
          <w:numId w:val="1"/>
        </w:numPr>
        <w:ind w:left="1080" w:hanging="720"/>
        <w:rPr/>
      </w:pPr>
      <w:bookmarkStart w:colFirst="0" w:colLast="0" w:name="_heading=h.4d34og8" w:id="8"/>
      <w:bookmarkEnd w:id="8"/>
      <w:r w:rsidDel="00000000" w:rsidR="00000000" w:rsidRPr="00000000">
        <w:rPr>
          <w:rtl w:val="0"/>
        </w:rPr>
        <w:t xml:space="preserve">Time Management</w:t>
      </w:r>
    </w:p>
    <w:p w:rsidR="00000000" w:rsidDel="00000000" w:rsidP="00000000" w:rsidRDefault="00000000" w:rsidRPr="00000000" w14:paraId="00000039">
      <w:pPr>
        <w:ind w:firstLine="720"/>
        <w:rPr/>
      </w:pPr>
      <w:r w:rsidDel="00000000" w:rsidR="00000000" w:rsidRPr="00000000">
        <w:rPr>
          <w:rtl w:val="0"/>
        </w:rPr>
        <w:t xml:space="preserve">Time management can be referred to as the method of developing, planning or exercising purposeful control over the time spent towards specific jobs, in particular, for maximizing efficiency, effectiveness, and productivity (</w:t>
      </w:r>
      <w:r w:rsidDel="00000000" w:rsidR="00000000" w:rsidRPr="00000000">
        <w:rPr>
          <w:highlight w:val="white"/>
          <w:rtl w:val="0"/>
        </w:rPr>
        <w:t xml:space="preserve">Keevy and Mare 2018</w:t>
      </w:r>
      <w:r w:rsidDel="00000000" w:rsidR="00000000" w:rsidRPr="00000000">
        <w:rPr>
          <w:rtl w:val="0"/>
        </w:rPr>
        <w:t xml:space="preserve">).</w:t>
      </w:r>
    </w:p>
    <w:p w:rsidR="00000000" w:rsidDel="00000000" w:rsidP="00000000" w:rsidRDefault="00000000" w:rsidRPr="00000000" w14:paraId="0000003A">
      <w:pPr>
        <w:pStyle w:val="Heading1"/>
        <w:numPr>
          <w:ilvl w:val="0"/>
          <w:numId w:val="1"/>
        </w:numPr>
        <w:ind w:left="720" w:hanging="360"/>
        <w:rPr/>
      </w:pPr>
      <w:bookmarkStart w:colFirst="0" w:colLast="0" w:name="_heading=h.2s8eyo1" w:id="9"/>
      <w:bookmarkEnd w:id="9"/>
      <w:r w:rsidDel="00000000" w:rsidR="00000000" w:rsidRPr="00000000">
        <w:rPr>
          <w:rtl w:val="0"/>
        </w:rPr>
        <w:t xml:space="preserve">SWOT Analysis</w:t>
      </w:r>
    </w:p>
    <w:p w:rsidR="00000000" w:rsidDel="00000000" w:rsidP="00000000" w:rsidRDefault="00000000" w:rsidRPr="00000000" w14:paraId="0000003B">
      <w:pPr>
        <w:rPr>
          <w:b w:val="1"/>
        </w:rPr>
      </w:pPr>
      <w:r w:rsidDel="00000000" w:rsidR="00000000" w:rsidRPr="00000000">
        <w:rPr>
          <w:b w:val="1"/>
          <w:rtl w:val="0"/>
        </w:rPr>
        <w:t xml:space="preserve">Strengths</w:t>
      </w:r>
    </w:p>
    <w:p w:rsidR="00000000" w:rsidDel="00000000" w:rsidP="00000000" w:rsidRDefault="00000000" w:rsidRPr="00000000" w14:paraId="0000003C">
      <w:pPr>
        <w:ind w:firstLine="720"/>
        <w:rPr/>
      </w:pPr>
      <w:r w:rsidDel="00000000" w:rsidR="00000000" w:rsidRPr="00000000">
        <w:rPr>
          <w:rtl w:val="0"/>
        </w:rPr>
        <w:t xml:space="preserve">According to me, I can define my strengths from that perspective with a few main words such as comfortable, successful, consistent, reliable, and worthy. Not only do these main words identify me but they reflect my personality too. I can clarify those terminologies including my personality by heading towards deeper insights.</w:t>
      </w:r>
    </w:p>
    <w:p w:rsidR="00000000" w:rsidDel="00000000" w:rsidP="00000000" w:rsidRDefault="00000000" w:rsidRPr="00000000" w14:paraId="0000003D">
      <w:pPr>
        <w:rPr>
          <w:b w:val="1"/>
        </w:rPr>
      </w:pPr>
      <w:r w:rsidDel="00000000" w:rsidR="00000000" w:rsidRPr="00000000">
        <w:rPr>
          <w:b w:val="1"/>
          <w:rtl w:val="0"/>
        </w:rPr>
        <w:t xml:space="preserve">Weaknesses</w:t>
      </w:r>
    </w:p>
    <w:p w:rsidR="00000000" w:rsidDel="00000000" w:rsidP="00000000" w:rsidRDefault="00000000" w:rsidRPr="00000000" w14:paraId="0000003E">
      <w:pPr>
        <w:ind w:firstLine="720"/>
        <w:rPr/>
      </w:pPr>
      <w:r w:rsidDel="00000000" w:rsidR="00000000" w:rsidRPr="00000000">
        <w:rPr>
          <w:rtl w:val="0"/>
        </w:rPr>
        <w:t xml:space="preserve">In most instances, I feel numb at times. In these situations, responding to any situation is very challenging for me. However, I conceal my numbness with the aid of time and deal with the circumstances again.</w:t>
      </w:r>
    </w:p>
    <w:p w:rsidR="00000000" w:rsidDel="00000000" w:rsidP="00000000" w:rsidRDefault="00000000" w:rsidRPr="00000000" w14:paraId="0000003F">
      <w:pPr>
        <w:rPr>
          <w:b w:val="1"/>
        </w:rPr>
      </w:pPr>
      <w:r w:rsidDel="00000000" w:rsidR="00000000" w:rsidRPr="00000000">
        <w:rPr>
          <w:b w:val="1"/>
          <w:rtl w:val="0"/>
        </w:rPr>
        <w:t xml:space="preserve">Opportunities</w:t>
      </w:r>
    </w:p>
    <w:p w:rsidR="00000000" w:rsidDel="00000000" w:rsidP="00000000" w:rsidRDefault="00000000" w:rsidRPr="00000000" w14:paraId="00000040">
      <w:pPr>
        <w:ind w:firstLine="720"/>
        <w:rPr/>
      </w:pPr>
      <w:r w:rsidDel="00000000" w:rsidR="00000000" w:rsidRPr="00000000">
        <w:rPr>
          <w:rtl w:val="0"/>
        </w:rPr>
        <w:t xml:space="preserve">As I am studying and taking on new skills in the future, through my academic perspective there is a large room for growth in my scientific studies in the future. It is also possible to gain more insights and details from different reflective activities by taking my strengths in my favor.</w:t>
      </w:r>
    </w:p>
    <w:p w:rsidR="00000000" w:rsidDel="00000000" w:rsidP="00000000" w:rsidRDefault="00000000" w:rsidRPr="00000000" w14:paraId="00000041">
      <w:pPr>
        <w:rPr>
          <w:b w:val="1"/>
        </w:rPr>
      </w:pPr>
      <w:r w:rsidDel="00000000" w:rsidR="00000000" w:rsidRPr="00000000">
        <w:rPr>
          <w:b w:val="1"/>
          <w:rtl w:val="0"/>
        </w:rPr>
        <w:t xml:space="preserve">Threats</w:t>
      </w:r>
    </w:p>
    <w:p w:rsidR="00000000" w:rsidDel="00000000" w:rsidP="00000000" w:rsidRDefault="00000000" w:rsidRPr="00000000" w14:paraId="00000042">
      <w:pPr>
        <w:ind w:firstLine="720"/>
        <w:rPr/>
      </w:pPr>
      <w:r w:rsidDel="00000000" w:rsidR="00000000" w:rsidRPr="00000000">
        <w:rPr>
          <w:rtl w:val="0"/>
        </w:rPr>
        <w:t xml:space="preserve">Because of unnecessary research, a person may be exhausted, and may, therefore, be engaged in wrong activities. Therefore, the stress of getting employed in a well-known organization may appear to involve them in some behavior, which they should never consider.</w:t>
      </w:r>
    </w:p>
    <w:p w:rsidR="00000000" w:rsidDel="00000000" w:rsidP="00000000" w:rsidRDefault="00000000" w:rsidRPr="00000000" w14:paraId="00000043">
      <w:pPr>
        <w:pStyle w:val="Heading1"/>
        <w:numPr>
          <w:ilvl w:val="0"/>
          <w:numId w:val="1"/>
        </w:numPr>
        <w:ind w:left="720" w:hanging="360"/>
        <w:rPr/>
      </w:pPr>
      <w:bookmarkStart w:colFirst="0" w:colLast="0" w:name="_heading=h.17dp8vu" w:id="10"/>
      <w:bookmarkEnd w:id="10"/>
      <w:r w:rsidDel="00000000" w:rsidR="00000000" w:rsidRPr="00000000">
        <w:rPr>
          <w:rtl w:val="0"/>
        </w:rPr>
        <w:t xml:space="preserve">Academic Skills</w:t>
      </w:r>
    </w:p>
    <w:p w:rsidR="00000000" w:rsidDel="00000000" w:rsidP="00000000" w:rsidRDefault="00000000" w:rsidRPr="00000000" w14:paraId="00000044">
      <w:pPr>
        <w:jc w:val="center"/>
        <w:rPr/>
      </w:pPr>
      <w:r w:rsidDel="00000000" w:rsidR="00000000" w:rsidRPr="00000000">
        <w:rPr/>
        <w:drawing>
          <wp:inline distB="0" distT="0" distL="0" distR="0">
            <wp:extent cx="3205480" cy="2506345"/>
            <wp:effectExtent b="0" l="0" r="0" t="0"/>
            <wp:docPr descr="A flow diagram, starting with Understanding University Learning. Then proceeding onto a loop in the following order: Preparing for your assignment, researching and evaluating information, producing your work, improving your work." id="2" name="image1.gif"/>
            <a:graphic>
              <a:graphicData uri="http://schemas.openxmlformats.org/drawingml/2006/picture">
                <pic:pic>
                  <pic:nvPicPr>
                    <pic:cNvPr descr="A flow diagram, starting with Understanding University Learning. Then proceeding onto a loop in the following order: Preparing for your assignment, researching and evaluating information, producing your work, improving your work." id="0" name="image1.gif"/>
                    <pic:cNvPicPr preferRelativeResize="0"/>
                  </pic:nvPicPr>
                  <pic:blipFill>
                    <a:blip r:embed="rId7"/>
                    <a:srcRect b="0" l="0" r="0" t="0"/>
                    <a:stretch>
                      <a:fillRect/>
                    </a:stretch>
                  </pic:blipFill>
                  <pic:spPr>
                    <a:xfrm>
                      <a:off x="0" y="0"/>
                      <a:ext cx="3205480" cy="2506345"/>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jc w:val="center"/>
        <w:rPr>
          <w:b w:val="1"/>
        </w:rPr>
      </w:pPr>
      <w:r w:rsidDel="00000000" w:rsidR="00000000" w:rsidRPr="00000000">
        <w:rPr>
          <w:b w:val="1"/>
          <w:rtl w:val="0"/>
        </w:rPr>
        <w:t xml:space="preserve">(Figure: Test Strategy</w:t>
      </w:r>
    </w:p>
    <w:p w:rsidR="00000000" w:rsidDel="00000000" w:rsidP="00000000" w:rsidRDefault="00000000" w:rsidRPr="00000000" w14:paraId="00000046">
      <w:pPr>
        <w:jc w:val="center"/>
        <w:rPr>
          <w:b w:val="1"/>
        </w:rPr>
      </w:pPr>
      <w:r w:rsidDel="00000000" w:rsidR="00000000" w:rsidRPr="00000000">
        <w:rPr>
          <w:b w:val="1"/>
          <w:rtl w:val="0"/>
        </w:rPr>
        <w:t xml:space="preserve">Source:</w:t>
      </w:r>
      <w:r w:rsidDel="00000000" w:rsidR="00000000" w:rsidRPr="00000000">
        <w:rPr>
          <w:b w:val="1"/>
          <w:highlight w:val="white"/>
          <w:rtl w:val="0"/>
        </w:rPr>
        <w:t xml:space="preserve"> Griffiths et al. 2018)</w:t>
      </w:r>
      <w:r w:rsidDel="00000000" w:rsidR="00000000" w:rsidRPr="00000000">
        <w:rPr>
          <w:rtl w:val="0"/>
        </w:rPr>
      </w:r>
    </w:p>
    <w:p w:rsidR="00000000" w:rsidDel="00000000" w:rsidP="00000000" w:rsidRDefault="00000000" w:rsidRPr="00000000" w14:paraId="00000047">
      <w:pPr>
        <w:ind w:firstLine="720"/>
        <w:rPr/>
      </w:pPr>
      <w:r w:rsidDel="00000000" w:rsidR="00000000" w:rsidRPr="00000000">
        <w:rPr>
          <w:rtl w:val="0"/>
        </w:rPr>
        <w:t xml:space="preserve">Academic competencies enable learners to be more successful students. They offer students the courage to fully engage in educational courses and are indispensable outside and after graduation (</w:t>
      </w:r>
      <w:r w:rsidDel="00000000" w:rsidR="00000000" w:rsidRPr="00000000">
        <w:rPr>
          <w:highlight w:val="white"/>
          <w:rtl w:val="0"/>
        </w:rPr>
        <w:t xml:space="preserve">Jackson 2016</w:t>
      </w:r>
      <w:r w:rsidDel="00000000" w:rsidR="00000000" w:rsidRPr="00000000">
        <w:rPr>
          <w:rtl w:val="0"/>
        </w:rPr>
        <w:t xml:space="preserve">). Such skills, including critical thinking as well as note-taking, are highly transferable, and thus essential to any career success. </w:t>
      </w:r>
    </w:p>
    <w:p w:rsidR="00000000" w:rsidDel="00000000" w:rsidP="00000000" w:rsidRDefault="00000000" w:rsidRPr="00000000" w14:paraId="00000048">
      <w:pPr>
        <w:rPr>
          <w:b w:val="1"/>
        </w:rPr>
      </w:pPr>
      <w:r w:rsidDel="00000000" w:rsidR="00000000" w:rsidRPr="00000000">
        <w:rPr>
          <w:b w:val="1"/>
          <w:rtl w:val="0"/>
        </w:rPr>
        <w:t xml:space="preserve">Inferred meaning in texts</w:t>
      </w:r>
    </w:p>
    <w:p w:rsidR="00000000" w:rsidDel="00000000" w:rsidP="00000000" w:rsidRDefault="00000000" w:rsidRPr="00000000" w14:paraId="00000049">
      <w:pPr>
        <w:ind w:firstLine="720"/>
        <w:rPr/>
      </w:pPr>
      <w:r w:rsidDel="00000000" w:rsidR="00000000" w:rsidRPr="00000000">
        <w:rPr>
          <w:rtl w:val="0"/>
        </w:rPr>
        <w:t xml:space="preserve">One of the critical academic reading abilities is being capable of making inferences. Not only does it help learners understand the text, but it also allows students to ‘read beyond the lines’ and to search for a deeper meaning (</w:t>
      </w:r>
      <w:r w:rsidDel="00000000" w:rsidR="00000000" w:rsidRPr="00000000">
        <w:rPr>
          <w:highlight w:val="white"/>
          <w:rtl w:val="0"/>
        </w:rPr>
        <w:t xml:space="preserve">Keiper et al. 2019</w:t>
      </w:r>
      <w:r w:rsidDel="00000000" w:rsidR="00000000" w:rsidRPr="00000000">
        <w:rPr>
          <w:rtl w:val="0"/>
        </w:rPr>
        <w:t xml:space="preserve">).</w:t>
      </w:r>
    </w:p>
    <w:p w:rsidR="00000000" w:rsidDel="00000000" w:rsidP="00000000" w:rsidRDefault="00000000" w:rsidRPr="00000000" w14:paraId="0000004A">
      <w:pPr>
        <w:rPr>
          <w:b w:val="1"/>
        </w:rPr>
      </w:pPr>
      <w:r w:rsidDel="00000000" w:rsidR="00000000" w:rsidRPr="00000000">
        <w:rPr>
          <w:b w:val="1"/>
          <w:rtl w:val="0"/>
        </w:rPr>
        <w:t xml:space="preserve">Writing effective notes</w:t>
      </w:r>
    </w:p>
    <w:p w:rsidR="00000000" w:rsidDel="00000000" w:rsidP="00000000" w:rsidRDefault="00000000" w:rsidRPr="00000000" w14:paraId="0000004B">
      <w:pPr>
        <w:ind w:firstLine="720"/>
        <w:rPr/>
      </w:pPr>
      <w:r w:rsidDel="00000000" w:rsidR="00000000" w:rsidRPr="00000000">
        <w:rPr>
          <w:rtl w:val="0"/>
        </w:rPr>
        <w:t xml:space="preserve">Effective note-taking is a key skill the students need to understand before going through further education. By using short videos, like talk shows, students should take notes while listening (</w:t>
      </w:r>
      <w:r w:rsidDel="00000000" w:rsidR="00000000" w:rsidRPr="00000000">
        <w:rPr>
          <w:highlight w:val="white"/>
          <w:rtl w:val="0"/>
        </w:rPr>
        <w:t xml:space="preserve">Bhagra and Sharma 2018</w:t>
      </w:r>
      <w:r w:rsidDel="00000000" w:rsidR="00000000" w:rsidRPr="00000000">
        <w:rPr>
          <w:rtl w:val="0"/>
        </w:rPr>
        <w:t xml:space="preserve">).</w:t>
      </w:r>
    </w:p>
    <w:p w:rsidR="00000000" w:rsidDel="00000000" w:rsidP="00000000" w:rsidRDefault="00000000" w:rsidRPr="00000000" w14:paraId="0000004C">
      <w:pPr>
        <w:rPr>
          <w:b w:val="1"/>
        </w:rPr>
      </w:pPr>
      <w:r w:rsidDel="00000000" w:rsidR="00000000" w:rsidRPr="00000000">
        <w:rPr>
          <w:b w:val="1"/>
          <w:rtl w:val="0"/>
        </w:rPr>
        <w:t xml:space="preserve">Development of coherent argument</w:t>
      </w:r>
    </w:p>
    <w:p w:rsidR="00000000" w:rsidDel="00000000" w:rsidP="00000000" w:rsidRDefault="00000000" w:rsidRPr="00000000" w14:paraId="0000004D">
      <w:pPr>
        <w:ind w:firstLine="720"/>
        <w:rPr/>
      </w:pPr>
      <w:r w:rsidDel="00000000" w:rsidR="00000000" w:rsidRPr="00000000">
        <w:rPr>
          <w:rtl w:val="0"/>
        </w:rPr>
        <w:t xml:space="preserve">In higher education, creating coherent arguments is considered to be a critical skill for students, and one that is to be practiced in the classroom. Consider a generic, written statement from a newspaper’s opinion section, and break it into parts for the learners is an important task educator can conduct (</w:t>
      </w:r>
      <w:r w:rsidDel="00000000" w:rsidR="00000000" w:rsidRPr="00000000">
        <w:rPr>
          <w:highlight w:val="white"/>
          <w:rtl w:val="0"/>
        </w:rPr>
        <w:t xml:space="preserve">Biswakarma 2016</w:t>
      </w:r>
      <w:r w:rsidDel="00000000" w:rsidR="00000000" w:rsidRPr="00000000">
        <w:rPr>
          <w:rtl w:val="0"/>
        </w:rPr>
        <w:t xml:space="preserve">). Having them reorganize the text can be beneficial, and examine the different components that make it cohesive until it is right.</w:t>
      </w:r>
    </w:p>
    <w:p w:rsidR="00000000" w:rsidDel="00000000" w:rsidP="00000000" w:rsidRDefault="00000000" w:rsidRPr="00000000" w14:paraId="0000004E">
      <w:pPr>
        <w:pStyle w:val="Heading1"/>
        <w:numPr>
          <w:ilvl w:val="0"/>
          <w:numId w:val="1"/>
        </w:numPr>
        <w:ind w:left="720" w:hanging="360"/>
        <w:rPr/>
      </w:pPr>
      <w:bookmarkStart w:colFirst="0" w:colLast="0" w:name="_heading=h.3rdcrjn" w:id="11"/>
      <w:bookmarkEnd w:id="11"/>
      <w:r w:rsidDel="00000000" w:rsidR="00000000" w:rsidRPr="00000000">
        <w:rPr>
          <w:rtl w:val="0"/>
        </w:rPr>
        <w:t xml:space="preserve">Research and Note Taking</w:t>
      </w:r>
    </w:p>
    <w:p w:rsidR="00000000" w:rsidDel="00000000" w:rsidP="00000000" w:rsidRDefault="00000000" w:rsidRPr="00000000" w14:paraId="0000004F">
      <w:pPr>
        <w:ind w:firstLine="720"/>
        <w:rPr/>
      </w:pPr>
      <w:r w:rsidDel="00000000" w:rsidR="00000000" w:rsidRPr="00000000">
        <w:rPr>
          <w:rtl w:val="0"/>
        </w:rPr>
        <w:t xml:space="preserve">Note-taking is the process where key knowledge points are written down or otherwise documented. It is a significant part of the entire research procedure. Notes taken from classroom lectures as well as discussions might serve as research aids, whereas notes were taken while on an interview can provide information regarding an essay, book, or article. Note-taking requires certain cognitive behaviors; note-writing requires the student's brain in unique as well as beneficial methods that help him/her collect and retain knowledge. Note-taking will lead to broader education than merely mastering the content of the course, as it helps students process information or relates ideas, allowing them to apply their new data or knowledge to different contexts, as mentioned by Abas and Imam (2016). In the research procedure, note-taking helps in a systematic investigation of the study materials as well as sources for establishing new facts and reach fresh conclusions. </w:t>
      </w:r>
    </w:p>
    <w:p w:rsidR="00000000" w:rsidDel="00000000" w:rsidP="00000000" w:rsidRDefault="00000000" w:rsidRPr="00000000" w14:paraId="00000050">
      <w:pPr>
        <w:pStyle w:val="Heading1"/>
        <w:numPr>
          <w:ilvl w:val="0"/>
          <w:numId w:val="1"/>
        </w:numPr>
        <w:ind w:left="720" w:hanging="360"/>
        <w:rPr/>
      </w:pPr>
      <w:bookmarkStart w:colFirst="0" w:colLast="0" w:name="_heading=h.26in1rg" w:id="12"/>
      <w:bookmarkEnd w:id="12"/>
      <w:r w:rsidDel="00000000" w:rsidR="00000000" w:rsidRPr="00000000">
        <w:rPr>
          <w:rtl w:val="0"/>
        </w:rPr>
        <w:t xml:space="preserve">Academic Writing</w:t>
      </w:r>
    </w:p>
    <w:p w:rsidR="00000000" w:rsidDel="00000000" w:rsidP="00000000" w:rsidRDefault="00000000" w:rsidRPr="00000000" w14:paraId="00000051">
      <w:pPr>
        <w:ind w:firstLine="720"/>
        <w:rPr/>
      </w:pPr>
      <w:r w:rsidDel="00000000" w:rsidR="00000000" w:rsidRPr="00000000">
        <w:rPr>
          <w:rtl w:val="0"/>
        </w:rPr>
        <w:t xml:space="preserve">Nonfiction writing created as part of academic research is scholarly writing or academic writing. Writing these reports are often defined as scholarly writing about university studies, writing generated by university learners, and writing in which academics examine culturally or propose new hypotheses. Academic writing is straightforward, descriptive, concentrated, organized, and with evidence-backed up. The aim is to aid the comprehension of the reader. It also has a formal or structured style and tone, however, it is not complicated and requires the use of longer sentences and complex vocabulary. That discipline of the subject will have certain written rules, terminology, and forms of discussion that one will become acquainted with during the degree (Jackson and Oliver 2018). There are however some specific academic writing characteristics that are important in all disciplines. Academic writing should be planned as well as focused that answers the question, while demonstrating the subject, effectively. Moreover, it should be structured and written logically, bringing in related materials as well as points.  </w:t>
      </w:r>
    </w:p>
    <w:p w:rsidR="00000000" w:rsidDel="00000000" w:rsidP="00000000" w:rsidRDefault="00000000" w:rsidRPr="00000000" w14:paraId="00000052">
      <w:pPr>
        <w:pStyle w:val="Heading1"/>
        <w:numPr>
          <w:ilvl w:val="0"/>
          <w:numId w:val="1"/>
        </w:numPr>
        <w:ind w:left="720" w:hanging="360"/>
        <w:rPr/>
      </w:pPr>
      <w:bookmarkStart w:colFirst="0" w:colLast="0" w:name="_heading=h.lnxbz9" w:id="13"/>
      <w:bookmarkEnd w:id="13"/>
      <w:r w:rsidDel="00000000" w:rsidR="00000000" w:rsidRPr="00000000">
        <w:rPr>
          <w:rtl w:val="0"/>
        </w:rPr>
        <w:t xml:space="preserve">Referencing and Avoiding Plagiarism </w:t>
      </w:r>
    </w:p>
    <w:p w:rsidR="00000000" w:rsidDel="00000000" w:rsidP="00000000" w:rsidRDefault="00000000" w:rsidRPr="00000000" w14:paraId="00000053">
      <w:pPr>
        <w:ind w:firstLine="720"/>
        <w:rPr/>
      </w:pPr>
      <w:r w:rsidDel="00000000" w:rsidR="00000000" w:rsidRPr="00000000">
        <w:rPr>
          <w:b w:val="1"/>
          <w:color w:val="0e101a"/>
          <w:rtl w:val="0"/>
        </w:rPr>
        <w:t xml:space="preserve">Referencing</w:t>
      </w:r>
      <w:r w:rsidDel="00000000" w:rsidR="00000000" w:rsidRPr="00000000">
        <w:rPr>
          <w:rtl w:val="0"/>
        </w:rPr>
        <w:t xml:space="preserve"> helps the researchers to consider other authors and scholars contributing to their work. Any assignments of the university that bring in other writers’ ideas, expressions, or research must include quotations. Referencing is also considered to be a way of giving credit to the authors, one borrowed words as well as ideas from. By citing a specific scholar's work, the writer's can recognize or support the researcher’s intellectual property rights. This can be drawn from any of the millions of concepts, observations, and claims published by other authors, some of whom have spent months studying and writing, as a student or academic. All one has to do is remember their commitment to the task. If a paper is not referenced properly, then the work is considered to be </w:t>
      </w:r>
      <w:r w:rsidDel="00000000" w:rsidR="00000000" w:rsidRPr="00000000">
        <w:rPr>
          <w:b w:val="1"/>
          <w:color w:val="0e101a"/>
          <w:rtl w:val="0"/>
        </w:rPr>
        <w:t xml:space="preserve">plagiarized. </w:t>
      </w:r>
      <w:r w:rsidDel="00000000" w:rsidR="00000000" w:rsidRPr="00000000">
        <w:rPr>
          <w:rtl w:val="0"/>
        </w:rPr>
        <w:t xml:space="preserve">One of the major aspects of citing others’ work is to avoid plagiarism. References should also be correct, allowing the readers to track information sources used (</w:t>
      </w:r>
      <w:r w:rsidDel="00000000" w:rsidR="00000000" w:rsidRPr="00000000">
        <w:rPr>
          <w:highlight w:val="white"/>
          <w:rtl w:val="0"/>
        </w:rPr>
        <w:t xml:space="preserve">Griffiths et al. 2018</w:t>
      </w:r>
      <w:r w:rsidDel="00000000" w:rsidR="00000000" w:rsidRPr="00000000">
        <w:rPr>
          <w:rtl w:val="0"/>
        </w:rPr>
        <w:t xml:space="preserve">). </w:t>
      </w:r>
    </w:p>
    <w:p w:rsidR="00000000" w:rsidDel="00000000" w:rsidP="00000000" w:rsidRDefault="00000000" w:rsidRPr="00000000" w14:paraId="00000054">
      <w:pPr>
        <w:pStyle w:val="Heading1"/>
        <w:numPr>
          <w:ilvl w:val="0"/>
          <w:numId w:val="1"/>
        </w:numPr>
        <w:ind w:left="720" w:hanging="360"/>
        <w:rPr/>
      </w:pPr>
      <w:bookmarkStart w:colFirst="0" w:colLast="0" w:name="_heading=h.35nkun2" w:id="14"/>
      <w:bookmarkEnd w:id="14"/>
      <w:r w:rsidDel="00000000" w:rsidR="00000000" w:rsidRPr="00000000">
        <w:rPr>
          <w:rtl w:val="0"/>
        </w:rPr>
        <w:t xml:space="preserve">Paraphrasing and Summarizing</w:t>
      </w:r>
    </w:p>
    <w:p w:rsidR="00000000" w:rsidDel="00000000" w:rsidP="00000000" w:rsidRDefault="00000000" w:rsidRPr="00000000" w14:paraId="00000055">
      <w:pPr>
        <w:ind w:firstLine="720"/>
        <w:rPr/>
      </w:pPr>
      <w:r w:rsidDel="00000000" w:rsidR="00000000" w:rsidRPr="00000000">
        <w:rPr>
          <w:rtl w:val="0"/>
        </w:rPr>
        <w:t xml:space="preserve">Paraphrasing and summarizing are two words, which are related. This also causes some people to be confused. Paraphrasing as well as summarizing are important strategies for quick and effective essaying. While coping with scientific terms, some are of utmost importance. Both summarizing and paraphrasing are allowed and approved until proper credit are granted to the original author, and only until the research is copied as well as free of any copyright infringement or plagiarism. </w:t>
      </w:r>
      <w:r w:rsidDel="00000000" w:rsidR="00000000" w:rsidRPr="00000000">
        <w:rPr>
          <w:b w:val="1"/>
          <w:color w:val="0e101a"/>
          <w:rtl w:val="0"/>
        </w:rPr>
        <w:t xml:space="preserve">Paraphrasing</w:t>
      </w:r>
      <w:r w:rsidDel="00000000" w:rsidR="00000000" w:rsidRPr="00000000">
        <w:rPr>
          <w:rtl w:val="0"/>
        </w:rPr>
        <w:t xml:space="preserve"> can be reading and writing a text in one's terms without altering the original text's meaning. That excludes any sort of copying of the text. It can be considered as taking the concept from some other writer’s work about a subject and then turning it into one's way of thinking and saying. Summarizing can be considered as the tool utilized in writing when the primary concept of the document is needed. This is a simplified type of written word, only with the highlights of the document in one’s own words. A summary is far short of the original text, which excludes the text's clarification (Biswakarma 2016). It includes only the main concept and basic facts.</w:t>
      </w:r>
    </w:p>
    <w:p w:rsidR="00000000" w:rsidDel="00000000" w:rsidP="00000000" w:rsidRDefault="00000000" w:rsidRPr="00000000" w14:paraId="00000056">
      <w:pPr>
        <w:pStyle w:val="Heading1"/>
        <w:numPr>
          <w:ilvl w:val="0"/>
          <w:numId w:val="1"/>
        </w:numPr>
        <w:ind w:left="720" w:hanging="360"/>
        <w:rPr/>
      </w:pPr>
      <w:bookmarkStart w:colFirst="0" w:colLast="0" w:name="_heading=h.1ksv4uv" w:id="15"/>
      <w:bookmarkEnd w:id="15"/>
      <w:r w:rsidDel="00000000" w:rsidR="00000000" w:rsidRPr="00000000">
        <w:rPr>
          <w:rtl w:val="0"/>
        </w:rPr>
        <w:t xml:space="preserve">Communicating and Presenting Information</w:t>
      </w:r>
    </w:p>
    <w:p w:rsidR="00000000" w:rsidDel="00000000" w:rsidP="00000000" w:rsidRDefault="00000000" w:rsidRPr="00000000" w14:paraId="00000057">
      <w:pPr>
        <w:ind w:firstLine="720"/>
        <w:rPr/>
      </w:pPr>
      <w:r w:rsidDel="00000000" w:rsidR="00000000" w:rsidRPr="00000000">
        <w:rPr>
          <w:rtl w:val="0"/>
        </w:rPr>
        <w:t xml:space="preserve">Common forms of scientific communication include oral reports, poster reports, peer-reviewed research papers, and abstract writing. Knowing the audience and the intent of dissemination is essential to communicating the findings of the research efficiently as well as effectively. The information should be presented in such a way that it is understandable by the readers and appropriately organized. Presenting the information shows the passion of the author to connect with the audience. It is a huge challenge for most of the graduate students to accurately explain the work to the general audience. Using simple languages and sentences is important for the researchers along with the fact of avoiding jargon (</w:t>
      </w:r>
      <w:r w:rsidDel="00000000" w:rsidR="00000000" w:rsidRPr="00000000">
        <w:rPr>
          <w:highlight w:val="white"/>
          <w:rtl w:val="0"/>
        </w:rPr>
        <w:t xml:space="preserve">Jackson 2016</w:t>
      </w:r>
      <w:r w:rsidDel="00000000" w:rsidR="00000000" w:rsidRPr="00000000">
        <w:rPr>
          <w:rtl w:val="0"/>
        </w:rPr>
        <w:t xml:space="preserve">). Avoiding unnecessary information and lengthy examples or descriptions to prevent the message from being lost in the background is also immensely important.</w:t>
      </w:r>
    </w:p>
    <w:p w:rsidR="00000000" w:rsidDel="00000000" w:rsidP="00000000" w:rsidRDefault="00000000" w:rsidRPr="00000000" w14:paraId="00000058">
      <w:pPr>
        <w:pStyle w:val="Heading1"/>
        <w:numPr>
          <w:ilvl w:val="0"/>
          <w:numId w:val="1"/>
        </w:numPr>
        <w:ind w:left="720" w:hanging="360"/>
        <w:rPr/>
      </w:pPr>
      <w:bookmarkStart w:colFirst="0" w:colLast="0" w:name="_heading=h.44sinio" w:id="16"/>
      <w:bookmarkEnd w:id="16"/>
      <w:r w:rsidDel="00000000" w:rsidR="00000000" w:rsidRPr="00000000">
        <w:rPr>
          <w:rtl w:val="0"/>
        </w:rPr>
        <w:t xml:space="preserve">Personal Development Plan</w:t>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trHeight w:val="780" w:hRule="atLeast"/>
        </w:trPr>
        <w:tc>
          <w:tcPr>
            <w:shd w:fill="auto" w:val="clear"/>
            <w:tcMar>
              <w:top w:w="100.0" w:type="dxa"/>
              <w:left w:w="100.0" w:type="dxa"/>
              <w:bottom w:w="100.0" w:type="dxa"/>
              <w:right w:w="100.0" w:type="dxa"/>
            </w:tcMar>
          </w:tcPr>
          <w:p w:rsidR="00000000" w:rsidDel="00000000" w:rsidP="00000000" w:rsidRDefault="00000000" w:rsidRPr="00000000" w14:paraId="00000059">
            <w:pPr>
              <w:widowControl w:val="0"/>
              <w:pBdr>
                <w:top w:space="0" w:sz="0" w:val="nil"/>
                <w:left w:space="0" w:sz="0" w:val="nil"/>
                <w:bottom w:space="0" w:sz="0" w:val="nil"/>
                <w:right w:space="0" w:sz="0" w:val="nil"/>
                <w:between w:space="0" w:sz="0" w:val="nil"/>
              </w:pBdr>
              <w:spacing w:line="360" w:lineRule="auto"/>
              <w:rPr>
                <w:sz w:val="24"/>
                <w:szCs w:val="24"/>
              </w:rPr>
            </w:pPr>
            <w:r w:rsidDel="00000000" w:rsidR="00000000" w:rsidRPr="00000000">
              <w:rPr>
                <w:sz w:val="24"/>
                <w:szCs w:val="24"/>
                <w:rtl w:val="0"/>
              </w:rPr>
              <w:t xml:space="preserve">Skills to improve</w:t>
            </w:r>
          </w:p>
        </w:tc>
        <w:tc>
          <w:tcPr>
            <w:shd w:fill="auto" w:val="clear"/>
            <w:tcMar>
              <w:top w:w="100.0" w:type="dxa"/>
              <w:left w:w="100.0" w:type="dxa"/>
              <w:bottom w:w="100.0" w:type="dxa"/>
              <w:right w:w="100.0" w:type="dxa"/>
            </w:tcMar>
          </w:tcPr>
          <w:p w:rsidR="00000000" w:rsidDel="00000000" w:rsidP="00000000" w:rsidRDefault="00000000" w:rsidRPr="00000000" w14:paraId="0000005A">
            <w:pPr>
              <w:widowControl w:val="0"/>
              <w:pBdr>
                <w:top w:space="0" w:sz="0" w:val="nil"/>
                <w:left w:space="0" w:sz="0" w:val="nil"/>
                <w:bottom w:space="0" w:sz="0" w:val="nil"/>
                <w:right w:space="0" w:sz="0" w:val="nil"/>
                <w:between w:space="0" w:sz="0" w:val="nil"/>
              </w:pBdr>
              <w:spacing w:line="360" w:lineRule="auto"/>
              <w:rPr>
                <w:sz w:val="24"/>
                <w:szCs w:val="24"/>
              </w:rPr>
            </w:pPr>
            <w:r w:rsidDel="00000000" w:rsidR="00000000" w:rsidRPr="00000000">
              <w:rPr>
                <w:sz w:val="24"/>
                <w:szCs w:val="24"/>
                <w:rtl w:val="0"/>
              </w:rPr>
              <w:t xml:space="preserve">Reasons for improvement</w:t>
            </w:r>
          </w:p>
        </w:tc>
        <w:tc>
          <w:tcPr>
            <w:shd w:fill="auto" w:val="clear"/>
            <w:tcMar>
              <w:top w:w="100.0" w:type="dxa"/>
              <w:left w:w="100.0" w:type="dxa"/>
              <w:bottom w:w="100.0" w:type="dxa"/>
              <w:right w:w="100.0" w:type="dxa"/>
            </w:tcMar>
          </w:tcPr>
          <w:p w:rsidR="00000000" w:rsidDel="00000000" w:rsidP="00000000" w:rsidRDefault="00000000" w:rsidRPr="00000000" w14:paraId="0000005B">
            <w:pPr>
              <w:widowControl w:val="0"/>
              <w:pBdr>
                <w:top w:space="0" w:sz="0" w:val="nil"/>
                <w:left w:space="0" w:sz="0" w:val="nil"/>
                <w:bottom w:space="0" w:sz="0" w:val="nil"/>
                <w:right w:space="0" w:sz="0" w:val="nil"/>
                <w:between w:space="0" w:sz="0" w:val="nil"/>
              </w:pBdr>
              <w:spacing w:line="360" w:lineRule="auto"/>
              <w:rPr>
                <w:sz w:val="24"/>
                <w:szCs w:val="24"/>
              </w:rPr>
            </w:pPr>
            <w:r w:rsidDel="00000000" w:rsidR="00000000" w:rsidRPr="00000000">
              <w:rPr>
                <w:sz w:val="24"/>
                <w:szCs w:val="24"/>
                <w:rtl w:val="0"/>
              </w:rPr>
              <w:t xml:space="preserve">How to improve</w:t>
            </w:r>
          </w:p>
        </w:tc>
        <w:tc>
          <w:tcPr>
            <w:shd w:fill="auto" w:val="clear"/>
            <w:tcMar>
              <w:top w:w="100.0" w:type="dxa"/>
              <w:left w:w="100.0" w:type="dxa"/>
              <w:bottom w:w="100.0" w:type="dxa"/>
              <w:right w:w="100.0" w:type="dxa"/>
            </w:tcMar>
          </w:tcPr>
          <w:p w:rsidR="00000000" w:rsidDel="00000000" w:rsidP="00000000" w:rsidRDefault="00000000" w:rsidRPr="00000000" w14:paraId="0000005C">
            <w:pPr>
              <w:widowControl w:val="0"/>
              <w:pBdr>
                <w:top w:space="0" w:sz="0" w:val="nil"/>
                <w:left w:space="0" w:sz="0" w:val="nil"/>
                <w:bottom w:space="0" w:sz="0" w:val="nil"/>
                <w:right w:space="0" w:sz="0" w:val="nil"/>
                <w:between w:space="0" w:sz="0" w:val="nil"/>
              </w:pBdr>
              <w:spacing w:line="360" w:lineRule="auto"/>
              <w:rPr>
                <w:sz w:val="24"/>
                <w:szCs w:val="24"/>
              </w:rPr>
            </w:pPr>
            <w:r w:rsidDel="00000000" w:rsidR="00000000" w:rsidRPr="00000000">
              <w:rPr>
                <w:sz w:val="24"/>
                <w:szCs w:val="24"/>
                <w:rtl w:val="0"/>
              </w:rPr>
              <w:t xml:space="preserve">Time</w:t>
            </w:r>
          </w:p>
        </w:tc>
      </w:tr>
      <w:tr>
        <w:trPr>
          <w:trHeight w:val="780" w:hRule="atLeast"/>
        </w:trPr>
        <w:tc>
          <w:tcPr>
            <w:shd w:fill="auto" w:val="clear"/>
            <w:tcMar>
              <w:top w:w="100.0" w:type="dxa"/>
              <w:left w:w="100.0" w:type="dxa"/>
              <w:bottom w:w="100.0" w:type="dxa"/>
              <w:right w:w="100.0" w:type="dxa"/>
            </w:tcMar>
          </w:tcPr>
          <w:p w:rsidR="00000000" w:rsidDel="00000000" w:rsidP="00000000" w:rsidRDefault="00000000" w:rsidRPr="00000000" w14:paraId="0000005D">
            <w:pPr>
              <w:widowControl w:val="0"/>
              <w:pBdr>
                <w:top w:space="0" w:sz="0" w:val="nil"/>
                <w:left w:space="0" w:sz="0" w:val="nil"/>
                <w:bottom w:space="0" w:sz="0" w:val="nil"/>
                <w:right w:space="0" w:sz="0" w:val="nil"/>
                <w:between w:space="0" w:sz="0" w:val="nil"/>
              </w:pBdr>
              <w:spacing w:line="360" w:lineRule="auto"/>
              <w:rPr/>
            </w:pPr>
            <w:r w:rsidDel="00000000" w:rsidR="00000000" w:rsidRPr="00000000">
              <w:rPr>
                <w:rtl w:val="0"/>
              </w:rPr>
              <w:t xml:space="preserve">Decision-making skill</w:t>
            </w:r>
          </w:p>
        </w:tc>
        <w:tc>
          <w:tcPr>
            <w:shd w:fill="auto" w:val="clear"/>
            <w:tcMar>
              <w:top w:w="100.0" w:type="dxa"/>
              <w:left w:w="100.0" w:type="dxa"/>
              <w:bottom w:w="100.0" w:type="dxa"/>
              <w:right w:w="100.0" w:type="dxa"/>
            </w:tcMar>
          </w:tcPr>
          <w:p w:rsidR="00000000" w:rsidDel="00000000" w:rsidP="00000000" w:rsidRDefault="00000000" w:rsidRPr="00000000" w14:paraId="0000005E">
            <w:pPr>
              <w:widowControl w:val="0"/>
              <w:pBdr>
                <w:top w:space="0" w:sz="0" w:val="nil"/>
                <w:left w:space="0" w:sz="0" w:val="nil"/>
                <w:bottom w:space="0" w:sz="0" w:val="nil"/>
                <w:right w:space="0" w:sz="0" w:val="nil"/>
                <w:between w:space="0" w:sz="0" w:val="nil"/>
              </w:pBdr>
              <w:spacing w:line="360" w:lineRule="auto"/>
              <w:rPr/>
            </w:pPr>
            <w:r w:rsidDel="00000000" w:rsidR="00000000" w:rsidRPr="00000000">
              <w:rPr>
                <w:rtl w:val="0"/>
              </w:rPr>
              <w:t xml:space="preserve">These are some of the weakest skills which can lead to a failure in professional life.</w:t>
            </w:r>
          </w:p>
        </w:tc>
        <w:tc>
          <w:tcPr>
            <w:shd w:fill="auto" w:val="clear"/>
            <w:tcMar>
              <w:top w:w="100.0" w:type="dxa"/>
              <w:left w:w="100.0" w:type="dxa"/>
              <w:bottom w:w="100.0" w:type="dxa"/>
              <w:right w:w="100.0" w:type="dxa"/>
            </w:tcMar>
          </w:tcPr>
          <w:p w:rsidR="00000000" w:rsidDel="00000000" w:rsidP="00000000" w:rsidRDefault="00000000" w:rsidRPr="00000000" w14:paraId="0000005F">
            <w:pPr>
              <w:widowControl w:val="0"/>
              <w:pBdr>
                <w:top w:space="0" w:sz="0" w:val="nil"/>
                <w:left w:space="0" w:sz="0" w:val="nil"/>
                <w:bottom w:space="0" w:sz="0" w:val="nil"/>
                <w:right w:space="0" w:sz="0" w:val="nil"/>
                <w:between w:space="0" w:sz="0" w:val="nil"/>
              </w:pBdr>
              <w:spacing w:line="360" w:lineRule="auto"/>
              <w:rPr/>
            </w:pPr>
            <w:r w:rsidDel="00000000" w:rsidR="00000000" w:rsidRPr="00000000">
              <w:rPr>
                <w:rtl w:val="0"/>
              </w:rPr>
              <w:t xml:space="preserve">Need the assistance of the evaluation as well as the support of senior officials or colleagues.</w:t>
            </w:r>
          </w:p>
        </w:tc>
        <w:tc>
          <w:tcPr>
            <w:shd w:fill="auto" w:val="clear"/>
            <w:tcMar>
              <w:top w:w="100.0" w:type="dxa"/>
              <w:left w:w="100.0" w:type="dxa"/>
              <w:bottom w:w="100.0" w:type="dxa"/>
              <w:right w:w="100.0" w:type="dxa"/>
            </w:tcMar>
          </w:tcPr>
          <w:p w:rsidR="00000000" w:rsidDel="00000000" w:rsidP="00000000" w:rsidRDefault="00000000" w:rsidRPr="00000000" w14:paraId="00000060">
            <w:pPr>
              <w:widowControl w:val="0"/>
              <w:pBdr>
                <w:top w:space="0" w:sz="0" w:val="nil"/>
                <w:left w:space="0" w:sz="0" w:val="nil"/>
                <w:bottom w:space="0" w:sz="0" w:val="nil"/>
                <w:right w:space="0" w:sz="0" w:val="nil"/>
                <w:between w:space="0" w:sz="0" w:val="nil"/>
              </w:pBdr>
              <w:spacing w:line="360" w:lineRule="auto"/>
              <w:rPr/>
            </w:pPr>
            <w:r w:rsidDel="00000000" w:rsidR="00000000" w:rsidRPr="00000000">
              <w:rPr>
                <w:rtl w:val="0"/>
              </w:rPr>
              <w:t xml:space="preserve">Ten-twelve weeks</w:t>
            </w:r>
          </w:p>
        </w:tc>
      </w:tr>
      <w:tr>
        <w:trPr>
          <w:trHeight w:val="780" w:hRule="atLeast"/>
        </w:trPr>
        <w:tc>
          <w:tcPr>
            <w:shd w:fill="auto" w:val="clear"/>
            <w:tcMar>
              <w:top w:w="100.0" w:type="dxa"/>
              <w:left w:w="100.0" w:type="dxa"/>
              <w:bottom w:w="100.0" w:type="dxa"/>
              <w:right w:w="100.0" w:type="dxa"/>
            </w:tcMar>
          </w:tcPr>
          <w:p w:rsidR="00000000" w:rsidDel="00000000" w:rsidP="00000000" w:rsidRDefault="00000000" w:rsidRPr="00000000" w14:paraId="00000061">
            <w:pPr>
              <w:widowControl w:val="0"/>
              <w:pBdr>
                <w:top w:space="0" w:sz="0" w:val="nil"/>
                <w:left w:space="0" w:sz="0" w:val="nil"/>
                <w:bottom w:space="0" w:sz="0" w:val="nil"/>
                <w:right w:space="0" w:sz="0" w:val="nil"/>
                <w:between w:space="0" w:sz="0" w:val="nil"/>
              </w:pBdr>
              <w:spacing w:line="360" w:lineRule="auto"/>
              <w:rPr/>
            </w:pPr>
            <w:r w:rsidDel="00000000" w:rsidR="00000000" w:rsidRPr="00000000">
              <w:rPr>
                <w:rtl w:val="0"/>
              </w:rPr>
              <w:t xml:space="preserve">People Management</w:t>
            </w:r>
          </w:p>
        </w:tc>
        <w:tc>
          <w:tcPr>
            <w:shd w:fill="auto" w:val="clear"/>
            <w:tcMar>
              <w:top w:w="100.0" w:type="dxa"/>
              <w:left w:w="100.0" w:type="dxa"/>
              <w:bottom w:w="100.0" w:type="dxa"/>
              <w:right w:w="100.0" w:type="dxa"/>
            </w:tcMar>
          </w:tcPr>
          <w:p w:rsidR="00000000" w:rsidDel="00000000" w:rsidP="00000000" w:rsidRDefault="00000000" w:rsidRPr="00000000" w14:paraId="00000062">
            <w:pPr>
              <w:widowControl w:val="0"/>
              <w:pBdr>
                <w:top w:space="0" w:sz="0" w:val="nil"/>
                <w:left w:space="0" w:sz="0" w:val="nil"/>
                <w:bottom w:space="0" w:sz="0" w:val="nil"/>
                <w:right w:space="0" w:sz="0" w:val="nil"/>
                <w:between w:space="0" w:sz="0" w:val="nil"/>
              </w:pBdr>
              <w:spacing w:line="360" w:lineRule="auto"/>
              <w:rPr/>
            </w:pPr>
            <w:r w:rsidDel="00000000" w:rsidR="00000000" w:rsidRPr="00000000">
              <w:rPr>
                <w:rtl w:val="0"/>
              </w:rPr>
              <w:t xml:space="preserve">There is a capacity of its own and more needs to develop these skills and take these abilities with work life.</w:t>
            </w:r>
          </w:p>
        </w:tc>
        <w:tc>
          <w:tcPr>
            <w:shd w:fill="auto" w:val="clear"/>
            <w:tcMar>
              <w:top w:w="100.0" w:type="dxa"/>
              <w:left w:w="100.0" w:type="dxa"/>
              <w:bottom w:w="100.0" w:type="dxa"/>
              <w:right w:w="100.0" w:type="dxa"/>
            </w:tcMar>
          </w:tcPr>
          <w:p w:rsidR="00000000" w:rsidDel="00000000" w:rsidP="00000000" w:rsidRDefault="00000000" w:rsidRPr="00000000" w14:paraId="00000063">
            <w:pPr>
              <w:widowControl w:val="0"/>
              <w:pBdr>
                <w:top w:space="0" w:sz="0" w:val="nil"/>
                <w:left w:space="0" w:sz="0" w:val="nil"/>
                <w:bottom w:space="0" w:sz="0" w:val="nil"/>
                <w:right w:space="0" w:sz="0" w:val="nil"/>
                <w:between w:space="0" w:sz="0" w:val="nil"/>
              </w:pBdr>
              <w:spacing w:line="360" w:lineRule="auto"/>
              <w:rPr/>
            </w:pPr>
            <w:r w:rsidDel="00000000" w:rsidR="00000000" w:rsidRPr="00000000">
              <w:rPr>
                <w:rtl w:val="0"/>
              </w:rPr>
              <w:t xml:space="preserve">Seek a lot of external projects and have more interaction with people.</w:t>
            </w:r>
          </w:p>
        </w:tc>
        <w:tc>
          <w:tcPr>
            <w:shd w:fill="auto" w:val="clear"/>
            <w:tcMar>
              <w:top w:w="100.0" w:type="dxa"/>
              <w:left w:w="100.0" w:type="dxa"/>
              <w:bottom w:w="100.0" w:type="dxa"/>
              <w:right w:w="100.0" w:type="dxa"/>
            </w:tcMar>
          </w:tcPr>
          <w:p w:rsidR="00000000" w:rsidDel="00000000" w:rsidP="00000000" w:rsidRDefault="00000000" w:rsidRPr="00000000" w14:paraId="00000064">
            <w:pPr>
              <w:widowControl w:val="0"/>
              <w:pBdr>
                <w:top w:space="0" w:sz="0" w:val="nil"/>
                <w:left w:space="0" w:sz="0" w:val="nil"/>
                <w:bottom w:space="0" w:sz="0" w:val="nil"/>
                <w:right w:space="0" w:sz="0" w:val="nil"/>
                <w:between w:space="0" w:sz="0" w:val="nil"/>
              </w:pBdr>
              <w:spacing w:line="360" w:lineRule="auto"/>
              <w:rPr/>
            </w:pPr>
            <w:r w:rsidDel="00000000" w:rsidR="00000000" w:rsidRPr="00000000">
              <w:rPr>
                <w:rtl w:val="0"/>
              </w:rPr>
              <w:t xml:space="preserve">Four-five weeks</w:t>
            </w:r>
          </w:p>
        </w:tc>
      </w:tr>
    </w:tbl>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pStyle w:val="Heading1"/>
        <w:numPr>
          <w:ilvl w:val="0"/>
          <w:numId w:val="1"/>
        </w:numPr>
        <w:ind w:left="720" w:hanging="360"/>
        <w:rPr/>
      </w:pPr>
      <w:bookmarkStart w:colFirst="0" w:colLast="0" w:name="_heading=h.2jxsxqh" w:id="17"/>
      <w:bookmarkEnd w:id="17"/>
      <w:r w:rsidDel="00000000" w:rsidR="00000000" w:rsidRPr="00000000">
        <w:rPr>
          <w:rtl w:val="0"/>
        </w:rPr>
        <w:t xml:space="preserve">Conclusion</w:t>
      </w:r>
    </w:p>
    <w:p w:rsidR="00000000" w:rsidDel="00000000" w:rsidP="00000000" w:rsidRDefault="00000000" w:rsidRPr="00000000" w14:paraId="00000067">
      <w:pPr>
        <w:ind w:firstLine="720"/>
        <w:rPr/>
      </w:pPr>
      <w:r w:rsidDel="00000000" w:rsidR="00000000" w:rsidRPr="00000000">
        <w:rPr>
          <w:rtl w:val="0"/>
        </w:rPr>
        <w:t xml:space="preserve">To conclude, it can be stated that an individual’s abilities or skills define the knowledge or personality of that person. From this report’s discussion, it can be mentioned that academic skills have become the ladders of employability skill growth. Additionally, there are also other skills like hard as well as soft skills that help an individual to develop different experiences along with enjoyable learning experiences. It can be particularly exciting for learners involved in the process of learning. Individual strengths, limitations, opportunities, risks were represented in the section of individual SWOT analysis so that these things could be further developed and developed from this assessment.</w:t>
      </w:r>
    </w:p>
    <w:p w:rsidR="00000000" w:rsidDel="00000000" w:rsidP="00000000" w:rsidRDefault="00000000" w:rsidRPr="00000000" w14:paraId="00000068">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69">
      <w:pPr>
        <w:pStyle w:val="Heading1"/>
        <w:numPr>
          <w:ilvl w:val="0"/>
          <w:numId w:val="1"/>
        </w:numPr>
        <w:ind w:left="720" w:hanging="360"/>
        <w:rPr/>
      </w:pPr>
      <w:bookmarkStart w:colFirst="0" w:colLast="0" w:name="_heading=h.z337ya" w:id="18"/>
      <w:bookmarkEnd w:id="18"/>
      <w:r w:rsidDel="00000000" w:rsidR="00000000" w:rsidRPr="00000000">
        <w:rPr>
          <w:rtl w:val="0"/>
        </w:rPr>
        <w:t xml:space="preserve">References</w:t>
      </w:r>
    </w:p>
    <w:p w:rsidR="00000000" w:rsidDel="00000000" w:rsidP="00000000" w:rsidRDefault="00000000" w:rsidRPr="00000000" w14:paraId="0000006A">
      <w:pPr>
        <w:rPr>
          <w:highlight w:val="white"/>
        </w:rPr>
      </w:pPr>
      <w:r w:rsidDel="00000000" w:rsidR="00000000" w:rsidRPr="00000000">
        <w:rPr>
          <w:highlight w:val="white"/>
          <w:rtl w:val="0"/>
        </w:rPr>
        <w:t xml:space="preserve">Abas, M.C. and Imam, O.A., 2016. Graduates' Competence on Employability Skills and Job Performance. </w:t>
      </w:r>
      <w:r w:rsidDel="00000000" w:rsidR="00000000" w:rsidRPr="00000000">
        <w:rPr>
          <w:i w:val="1"/>
          <w:highlight w:val="white"/>
          <w:rtl w:val="0"/>
        </w:rPr>
        <w:t xml:space="preserve">International Journal of Evaluation and Research in Education</w:t>
      </w:r>
      <w:r w:rsidDel="00000000" w:rsidR="00000000" w:rsidRPr="00000000">
        <w:rPr>
          <w:highlight w:val="white"/>
          <w:rtl w:val="0"/>
        </w:rPr>
        <w:t xml:space="preserve">, </w:t>
      </w:r>
      <w:r w:rsidDel="00000000" w:rsidR="00000000" w:rsidRPr="00000000">
        <w:rPr>
          <w:i w:val="1"/>
          <w:highlight w:val="white"/>
          <w:rtl w:val="0"/>
        </w:rPr>
        <w:t xml:space="preserve">5</w:t>
      </w:r>
      <w:r w:rsidDel="00000000" w:rsidR="00000000" w:rsidRPr="00000000">
        <w:rPr>
          <w:highlight w:val="white"/>
          <w:rtl w:val="0"/>
        </w:rPr>
        <w:t xml:space="preserve">(2), pp.119-125.</w:t>
      </w:r>
    </w:p>
    <w:p w:rsidR="00000000" w:rsidDel="00000000" w:rsidP="00000000" w:rsidRDefault="00000000" w:rsidRPr="00000000" w14:paraId="0000006B">
      <w:pPr>
        <w:rPr>
          <w:highlight w:val="white"/>
        </w:rPr>
      </w:pPr>
      <w:r w:rsidDel="00000000" w:rsidR="00000000" w:rsidRPr="00000000">
        <w:rPr>
          <w:highlight w:val="white"/>
          <w:rtl w:val="0"/>
        </w:rPr>
        <w:t xml:space="preserve">Bhagra, A. and Sharma, D.K., 2018. Changing paradigm of employability skills in the global business world: A review. </w:t>
      </w:r>
      <w:r w:rsidDel="00000000" w:rsidR="00000000" w:rsidRPr="00000000">
        <w:rPr>
          <w:i w:val="1"/>
          <w:highlight w:val="white"/>
          <w:rtl w:val="0"/>
        </w:rPr>
        <w:t xml:space="preserve">IUP Journal of Soft Skills</w:t>
      </w:r>
      <w:r w:rsidDel="00000000" w:rsidR="00000000" w:rsidRPr="00000000">
        <w:rPr>
          <w:highlight w:val="white"/>
          <w:rtl w:val="0"/>
        </w:rPr>
        <w:t xml:space="preserve">, </w:t>
      </w:r>
      <w:r w:rsidDel="00000000" w:rsidR="00000000" w:rsidRPr="00000000">
        <w:rPr>
          <w:i w:val="1"/>
          <w:highlight w:val="white"/>
          <w:rtl w:val="0"/>
        </w:rPr>
        <w:t xml:space="preserve">12</w:t>
      </w:r>
      <w:r w:rsidDel="00000000" w:rsidR="00000000" w:rsidRPr="00000000">
        <w:rPr>
          <w:highlight w:val="white"/>
          <w:rtl w:val="0"/>
        </w:rPr>
        <w:t xml:space="preserve">(2), pp.7-24.</w:t>
      </w:r>
    </w:p>
    <w:p w:rsidR="00000000" w:rsidDel="00000000" w:rsidP="00000000" w:rsidRDefault="00000000" w:rsidRPr="00000000" w14:paraId="0000006C">
      <w:pPr>
        <w:rPr>
          <w:highlight w:val="white"/>
        </w:rPr>
      </w:pPr>
      <w:r w:rsidDel="00000000" w:rsidR="00000000" w:rsidRPr="00000000">
        <w:rPr>
          <w:highlight w:val="white"/>
          <w:rtl w:val="0"/>
        </w:rPr>
        <w:t xml:space="preserve">Biswakarma, G., 2016. Relationship of tourism academic, employability abilities &amp; skills and human resource development in Nepalese tourism industry. </w:t>
      </w:r>
      <w:r w:rsidDel="00000000" w:rsidR="00000000" w:rsidRPr="00000000">
        <w:rPr>
          <w:i w:val="1"/>
          <w:highlight w:val="white"/>
          <w:rtl w:val="0"/>
        </w:rPr>
        <w:t xml:space="preserve">International Journal of Research</w:t>
      </w:r>
      <w:r w:rsidDel="00000000" w:rsidR="00000000" w:rsidRPr="00000000">
        <w:rPr>
          <w:highlight w:val="white"/>
          <w:rtl w:val="0"/>
        </w:rPr>
        <w:t xml:space="preserve">, </w:t>
      </w:r>
      <w:r w:rsidDel="00000000" w:rsidR="00000000" w:rsidRPr="00000000">
        <w:rPr>
          <w:i w:val="1"/>
          <w:highlight w:val="white"/>
          <w:rtl w:val="0"/>
        </w:rPr>
        <w:t xml:space="preserve">20</w:t>
      </w:r>
      <w:r w:rsidDel="00000000" w:rsidR="00000000" w:rsidRPr="00000000">
        <w:rPr>
          <w:highlight w:val="white"/>
          <w:rtl w:val="0"/>
        </w:rPr>
        <w:t xml:space="preserve">.</w:t>
      </w:r>
    </w:p>
    <w:p w:rsidR="00000000" w:rsidDel="00000000" w:rsidP="00000000" w:rsidRDefault="00000000" w:rsidRPr="00000000" w14:paraId="0000006D">
      <w:pPr>
        <w:rPr>
          <w:highlight w:val="white"/>
        </w:rPr>
      </w:pPr>
      <w:r w:rsidDel="00000000" w:rsidR="00000000" w:rsidRPr="00000000">
        <w:rPr>
          <w:highlight w:val="white"/>
          <w:rtl w:val="0"/>
        </w:rPr>
        <w:t xml:space="preserve">Cotronei-Baird, V.S., 2020. Academic hindrances in the integration of employability skills development in teaching and assessment practice. </w:t>
      </w:r>
      <w:r w:rsidDel="00000000" w:rsidR="00000000" w:rsidRPr="00000000">
        <w:rPr>
          <w:i w:val="1"/>
          <w:highlight w:val="white"/>
          <w:rtl w:val="0"/>
        </w:rPr>
        <w:t xml:space="preserve">Higher Education</w:t>
      </w:r>
      <w:r w:rsidDel="00000000" w:rsidR="00000000" w:rsidRPr="00000000">
        <w:rPr>
          <w:highlight w:val="white"/>
          <w:rtl w:val="0"/>
        </w:rPr>
        <w:t xml:space="preserve">, </w:t>
      </w:r>
      <w:r w:rsidDel="00000000" w:rsidR="00000000" w:rsidRPr="00000000">
        <w:rPr>
          <w:i w:val="1"/>
          <w:highlight w:val="white"/>
          <w:rtl w:val="0"/>
        </w:rPr>
        <w:t xml:space="preserve">79</w:t>
      </w:r>
      <w:r w:rsidDel="00000000" w:rsidR="00000000" w:rsidRPr="00000000">
        <w:rPr>
          <w:highlight w:val="white"/>
          <w:rtl w:val="0"/>
        </w:rPr>
        <w:t xml:space="preserve">(2), pp.203-223.</w:t>
      </w:r>
    </w:p>
    <w:p w:rsidR="00000000" w:rsidDel="00000000" w:rsidP="00000000" w:rsidRDefault="00000000" w:rsidRPr="00000000" w14:paraId="0000006E">
      <w:pPr>
        <w:rPr>
          <w:highlight w:val="white"/>
        </w:rPr>
      </w:pPr>
      <w:r w:rsidDel="00000000" w:rsidR="00000000" w:rsidRPr="00000000">
        <w:rPr>
          <w:highlight w:val="white"/>
          <w:rtl w:val="0"/>
        </w:rPr>
        <w:t xml:space="preserve">Gill, R.J., 2018. Building employability skills for higher education students: An Australian example. </w:t>
      </w:r>
      <w:r w:rsidDel="00000000" w:rsidR="00000000" w:rsidRPr="00000000">
        <w:rPr>
          <w:i w:val="1"/>
          <w:highlight w:val="white"/>
          <w:rtl w:val="0"/>
        </w:rPr>
        <w:t xml:space="preserve">Journal of Teaching and Learning for Graduate Employability</w:t>
      </w:r>
      <w:r w:rsidDel="00000000" w:rsidR="00000000" w:rsidRPr="00000000">
        <w:rPr>
          <w:highlight w:val="white"/>
          <w:rtl w:val="0"/>
        </w:rPr>
        <w:t xml:space="preserve">, </w:t>
      </w:r>
      <w:r w:rsidDel="00000000" w:rsidR="00000000" w:rsidRPr="00000000">
        <w:rPr>
          <w:i w:val="1"/>
          <w:highlight w:val="white"/>
          <w:rtl w:val="0"/>
        </w:rPr>
        <w:t xml:space="preserve">9</w:t>
      </w:r>
      <w:r w:rsidDel="00000000" w:rsidR="00000000" w:rsidRPr="00000000">
        <w:rPr>
          <w:highlight w:val="white"/>
          <w:rtl w:val="0"/>
        </w:rPr>
        <w:t xml:space="preserve">(1), pp.84-92.</w:t>
      </w:r>
    </w:p>
    <w:p w:rsidR="00000000" w:rsidDel="00000000" w:rsidP="00000000" w:rsidRDefault="00000000" w:rsidRPr="00000000" w14:paraId="0000006F">
      <w:pPr>
        <w:rPr>
          <w:highlight w:val="white"/>
        </w:rPr>
      </w:pPr>
      <w:r w:rsidDel="00000000" w:rsidR="00000000" w:rsidRPr="00000000">
        <w:rPr>
          <w:highlight w:val="white"/>
          <w:rtl w:val="0"/>
        </w:rPr>
        <w:t xml:space="preserve">Griffiths, D.A., Inman, M., Rojas, H. and Williams, K., 2018. Transitioning student identity and sense of place: future possibilities for assessment and development of student employability skills. </w:t>
      </w:r>
      <w:r w:rsidDel="00000000" w:rsidR="00000000" w:rsidRPr="00000000">
        <w:rPr>
          <w:i w:val="1"/>
          <w:highlight w:val="white"/>
          <w:rtl w:val="0"/>
        </w:rPr>
        <w:t xml:space="preserve">Studies in Higher Education</w:t>
      </w:r>
      <w:r w:rsidDel="00000000" w:rsidR="00000000" w:rsidRPr="00000000">
        <w:rPr>
          <w:highlight w:val="white"/>
          <w:rtl w:val="0"/>
        </w:rPr>
        <w:t xml:space="preserve">, </w:t>
      </w:r>
      <w:r w:rsidDel="00000000" w:rsidR="00000000" w:rsidRPr="00000000">
        <w:rPr>
          <w:i w:val="1"/>
          <w:highlight w:val="white"/>
          <w:rtl w:val="0"/>
        </w:rPr>
        <w:t xml:space="preserve">43</w:t>
      </w:r>
      <w:r w:rsidDel="00000000" w:rsidR="00000000" w:rsidRPr="00000000">
        <w:rPr>
          <w:highlight w:val="white"/>
          <w:rtl w:val="0"/>
        </w:rPr>
        <w:t xml:space="preserve">(5), pp.891-913.</w:t>
      </w:r>
    </w:p>
    <w:p w:rsidR="00000000" w:rsidDel="00000000" w:rsidP="00000000" w:rsidRDefault="00000000" w:rsidRPr="00000000" w14:paraId="00000070">
      <w:pPr>
        <w:rPr>
          <w:highlight w:val="white"/>
        </w:rPr>
      </w:pPr>
      <w:r w:rsidDel="00000000" w:rsidR="00000000" w:rsidRPr="00000000">
        <w:rPr>
          <w:highlight w:val="white"/>
          <w:rtl w:val="0"/>
        </w:rPr>
        <w:t xml:space="preserve">Jackson, D., 2016. Re-conceptualising graduate employability: The importance of pre-professional identity. </w:t>
      </w:r>
      <w:r w:rsidDel="00000000" w:rsidR="00000000" w:rsidRPr="00000000">
        <w:rPr>
          <w:i w:val="1"/>
          <w:highlight w:val="white"/>
          <w:rtl w:val="0"/>
        </w:rPr>
        <w:t xml:space="preserve">Higher Education Research &amp; Development</w:t>
      </w:r>
      <w:r w:rsidDel="00000000" w:rsidR="00000000" w:rsidRPr="00000000">
        <w:rPr>
          <w:highlight w:val="white"/>
          <w:rtl w:val="0"/>
        </w:rPr>
        <w:t xml:space="preserve">, </w:t>
      </w:r>
      <w:r w:rsidDel="00000000" w:rsidR="00000000" w:rsidRPr="00000000">
        <w:rPr>
          <w:i w:val="1"/>
          <w:highlight w:val="white"/>
          <w:rtl w:val="0"/>
        </w:rPr>
        <w:t xml:space="preserve">35</w:t>
      </w:r>
      <w:r w:rsidDel="00000000" w:rsidR="00000000" w:rsidRPr="00000000">
        <w:rPr>
          <w:highlight w:val="white"/>
          <w:rtl w:val="0"/>
        </w:rPr>
        <w:t xml:space="preserve">(5), pp.925-939.</w:t>
      </w:r>
    </w:p>
    <w:p w:rsidR="00000000" w:rsidDel="00000000" w:rsidP="00000000" w:rsidRDefault="00000000" w:rsidRPr="00000000" w14:paraId="00000071">
      <w:pPr>
        <w:rPr>
          <w:highlight w:val="white"/>
        </w:rPr>
      </w:pPr>
      <w:r w:rsidDel="00000000" w:rsidR="00000000" w:rsidRPr="00000000">
        <w:rPr>
          <w:highlight w:val="white"/>
          <w:rtl w:val="0"/>
        </w:rPr>
        <w:t xml:space="preserve">Jackson, T.P. and Oliver, S., 2018. Adaptive Learning Program for Developing Employability Skills. </w:t>
      </w:r>
      <w:r w:rsidDel="00000000" w:rsidR="00000000" w:rsidRPr="00000000">
        <w:rPr>
          <w:i w:val="1"/>
          <w:highlight w:val="white"/>
          <w:rtl w:val="0"/>
        </w:rPr>
        <w:t xml:space="preserve">Journal of Pedagogic Development</w:t>
      </w:r>
      <w:r w:rsidDel="00000000" w:rsidR="00000000" w:rsidRPr="00000000">
        <w:rPr>
          <w:highlight w:val="white"/>
          <w:rtl w:val="0"/>
        </w:rPr>
        <w:t xml:space="preserve">, </w:t>
      </w:r>
      <w:r w:rsidDel="00000000" w:rsidR="00000000" w:rsidRPr="00000000">
        <w:rPr>
          <w:i w:val="1"/>
          <w:highlight w:val="white"/>
          <w:rtl w:val="0"/>
        </w:rPr>
        <w:t xml:space="preserve">8</w:t>
      </w:r>
      <w:r w:rsidDel="00000000" w:rsidR="00000000" w:rsidRPr="00000000">
        <w:rPr>
          <w:highlight w:val="white"/>
          <w:rtl w:val="0"/>
        </w:rPr>
        <w:t xml:space="preserve">(1).</w:t>
      </w:r>
    </w:p>
    <w:p w:rsidR="00000000" w:rsidDel="00000000" w:rsidP="00000000" w:rsidRDefault="00000000" w:rsidRPr="00000000" w14:paraId="00000072">
      <w:pPr>
        <w:rPr>
          <w:highlight w:val="white"/>
        </w:rPr>
      </w:pPr>
      <w:r w:rsidDel="00000000" w:rsidR="00000000" w:rsidRPr="00000000">
        <w:rPr>
          <w:highlight w:val="white"/>
          <w:rtl w:val="0"/>
        </w:rPr>
        <w:t xml:space="preserve">Keevy, M. and Mare, D.J., 2018. Pervasive skills development for aspirant chartered accountants: Academic versus training programmes. </w:t>
      </w:r>
      <w:r w:rsidDel="00000000" w:rsidR="00000000" w:rsidRPr="00000000">
        <w:rPr>
          <w:i w:val="1"/>
          <w:highlight w:val="white"/>
          <w:rtl w:val="0"/>
        </w:rPr>
        <w:t xml:space="preserve">Journal of Economic and Financial Sciences</w:t>
      </w:r>
      <w:r w:rsidDel="00000000" w:rsidR="00000000" w:rsidRPr="00000000">
        <w:rPr>
          <w:highlight w:val="white"/>
          <w:rtl w:val="0"/>
        </w:rPr>
        <w:t xml:space="preserve">, </w:t>
      </w:r>
      <w:r w:rsidDel="00000000" w:rsidR="00000000" w:rsidRPr="00000000">
        <w:rPr>
          <w:i w:val="1"/>
          <w:highlight w:val="white"/>
          <w:rtl w:val="0"/>
        </w:rPr>
        <w:t xml:space="preserve">11</w:t>
      </w:r>
      <w:r w:rsidDel="00000000" w:rsidR="00000000" w:rsidRPr="00000000">
        <w:rPr>
          <w:highlight w:val="white"/>
          <w:rtl w:val="0"/>
        </w:rPr>
        <w:t xml:space="preserve">(1), pp.1-9.</w:t>
      </w:r>
    </w:p>
    <w:p w:rsidR="00000000" w:rsidDel="00000000" w:rsidP="00000000" w:rsidRDefault="00000000" w:rsidRPr="00000000" w14:paraId="00000073">
      <w:pPr>
        <w:rPr>
          <w:highlight w:val="white"/>
        </w:rPr>
      </w:pPr>
      <w:r w:rsidDel="00000000" w:rsidR="00000000" w:rsidRPr="00000000">
        <w:rPr>
          <w:highlight w:val="white"/>
          <w:rtl w:val="0"/>
        </w:rPr>
        <w:t xml:space="preserve">Keiper, M.C., Sieszputowski, J., Morgan, T. and Mackey, M.J., 2019. Employability Skills a Case Study on a Business-Oriented Sport Management Program. </w:t>
      </w:r>
      <w:r w:rsidDel="00000000" w:rsidR="00000000" w:rsidRPr="00000000">
        <w:rPr>
          <w:i w:val="1"/>
          <w:highlight w:val="white"/>
          <w:rtl w:val="0"/>
        </w:rPr>
        <w:t xml:space="preserve">The e-Journal of Business Education &amp; Scholarship of Teaching</w:t>
      </w:r>
      <w:r w:rsidDel="00000000" w:rsidR="00000000" w:rsidRPr="00000000">
        <w:rPr>
          <w:highlight w:val="white"/>
          <w:rtl w:val="0"/>
        </w:rPr>
        <w:t xml:space="preserve">, </w:t>
      </w:r>
      <w:r w:rsidDel="00000000" w:rsidR="00000000" w:rsidRPr="00000000">
        <w:rPr>
          <w:i w:val="1"/>
          <w:highlight w:val="white"/>
          <w:rtl w:val="0"/>
        </w:rPr>
        <w:t xml:space="preserve">13</w:t>
      </w:r>
      <w:r w:rsidDel="00000000" w:rsidR="00000000" w:rsidRPr="00000000">
        <w:rPr>
          <w:highlight w:val="white"/>
          <w:rtl w:val="0"/>
        </w:rPr>
        <w:t xml:space="preserve">(1), pp.59-68.</w:t>
      </w:r>
    </w:p>
    <w:p w:rsidR="00000000" w:rsidDel="00000000" w:rsidP="00000000" w:rsidRDefault="00000000" w:rsidRPr="00000000" w14:paraId="00000074">
      <w:pPr>
        <w:rPr>
          <w:highlight w:val="white"/>
        </w:rPr>
      </w:pPr>
      <w:r w:rsidDel="00000000" w:rsidR="00000000" w:rsidRPr="00000000">
        <w:rPr>
          <w:highlight w:val="white"/>
          <w:rtl w:val="0"/>
        </w:rPr>
        <w:t xml:space="preserve">Osmani, M., Weerakkody, V., Hindi, N. and Eldabi, T., 2019. Graduates employability skills: A review of literature against market demand. </w:t>
      </w:r>
      <w:r w:rsidDel="00000000" w:rsidR="00000000" w:rsidRPr="00000000">
        <w:rPr>
          <w:i w:val="1"/>
          <w:highlight w:val="white"/>
          <w:rtl w:val="0"/>
        </w:rPr>
        <w:t xml:space="preserve">Journal of Education for Business</w:t>
      </w:r>
      <w:r w:rsidDel="00000000" w:rsidR="00000000" w:rsidRPr="00000000">
        <w:rPr>
          <w:highlight w:val="white"/>
          <w:rtl w:val="0"/>
        </w:rPr>
        <w:t xml:space="preserve">, </w:t>
      </w:r>
      <w:r w:rsidDel="00000000" w:rsidR="00000000" w:rsidRPr="00000000">
        <w:rPr>
          <w:i w:val="1"/>
          <w:highlight w:val="white"/>
          <w:rtl w:val="0"/>
        </w:rPr>
        <w:t xml:space="preserve">94</w:t>
      </w:r>
      <w:r w:rsidDel="00000000" w:rsidR="00000000" w:rsidRPr="00000000">
        <w:rPr>
          <w:highlight w:val="white"/>
          <w:rtl w:val="0"/>
        </w:rPr>
        <w:t xml:space="preserve">(7), pp.423-432.</w:t>
      </w:r>
    </w:p>
    <w:p w:rsidR="00000000" w:rsidDel="00000000" w:rsidP="00000000" w:rsidRDefault="00000000" w:rsidRPr="00000000" w14:paraId="00000075">
      <w:pPr>
        <w:rPr>
          <w:highlight w:val="white"/>
        </w:rPr>
      </w:pPr>
      <w:r w:rsidDel="00000000" w:rsidR="00000000" w:rsidRPr="00000000">
        <w:rPr>
          <w:highlight w:val="white"/>
          <w:rtl w:val="0"/>
        </w:rPr>
        <w:t xml:space="preserve">Rowe, A.D. and Zegwaard, K.E., 2017. Developing graduate employability skills and attributes: Curriculum enhancement through work-integrated learning.</w:t>
      </w:r>
    </w:p>
    <w:p w:rsidR="00000000" w:rsidDel="00000000" w:rsidP="00000000" w:rsidRDefault="00000000" w:rsidRPr="00000000" w14:paraId="00000076">
      <w:pPr>
        <w:rPr>
          <w:highlight w:val="white"/>
        </w:rPr>
      </w:pPr>
      <w:r w:rsidDel="00000000" w:rsidR="00000000" w:rsidRPr="00000000">
        <w:rPr>
          <w:highlight w:val="white"/>
          <w:rtl w:val="0"/>
        </w:rPr>
        <w:t xml:space="preserve">sharifi Asadi Malafeh, F., Khorasani, A., Fathivagargah, K. and Salehiomran, E., 2019. Determination of Employability skills of Academic Graduates with Exploratory Mixed Method Approach. </w:t>
      </w:r>
      <w:r w:rsidDel="00000000" w:rsidR="00000000" w:rsidRPr="00000000">
        <w:rPr>
          <w:i w:val="1"/>
          <w:highlight w:val="white"/>
          <w:rtl w:val="0"/>
        </w:rPr>
        <w:t xml:space="preserve">Theory &amp; Practice in Curriculum Journal</w:t>
      </w:r>
      <w:r w:rsidDel="00000000" w:rsidR="00000000" w:rsidRPr="00000000">
        <w:rPr>
          <w:highlight w:val="white"/>
          <w:rtl w:val="0"/>
        </w:rPr>
        <w:t xml:space="preserve">, </w:t>
      </w:r>
      <w:r w:rsidDel="00000000" w:rsidR="00000000" w:rsidRPr="00000000">
        <w:rPr>
          <w:i w:val="1"/>
          <w:highlight w:val="white"/>
          <w:rtl w:val="0"/>
        </w:rPr>
        <w:t xml:space="preserve">7</w:t>
      </w:r>
      <w:r w:rsidDel="00000000" w:rsidR="00000000" w:rsidRPr="00000000">
        <w:rPr>
          <w:highlight w:val="white"/>
          <w:rtl w:val="0"/>
        </w:rPr>
        <w:t xml:space="preserve">(13), pp.29-52.</w:t>
      </w:r>
    </w:p>
    <w:p w:rsidR="00000000" w:rsidDel="00000000" w:rsidP="00000000" w:rsidRDefault="00000000" w:rsidRPr="00000000" w14:paraId="00000077">
      <w:pPr>
        <w:rPr>
          <w:highlight w:val="white"/>
        </w:rPr>
      </w:pPr>
      <w:r w:rsidDel="00000000" w:rsidR="00000000" w:rsidRPr="00000000">
        <w:rPr>
          <w:highlight w:val="white"/>
          <w:rtl w:val="0"/>
        </w:rPr>
        <w:t xml:space="preserve">Skoyles, A., Bullock, N. and Neville, K., 2019. Developing employability skills workshops for students’ Higher Education Achievement Reports. Abstract. </w:t>
      </w:r>
      <w:r w:rsidDel="00000000" w:rsidR="00000000" w:rsidRPr="00000000">
        <w:rPr>
          <w:i w:val="1"/>
          <w:highlight w:val="white"/>
          <w:rtl w:val="0"/>
        </w:rPr>
        <w:t xml:space="preserve">New Review of Academic Librarianship</w:t>
      </w:r>
      <w:r w:rsidDel="00000000" w:rsidR="00000000" w:rsidRPr="00000000">
        <w:rPr>
          <w:highlight w:val="white"/>
          <w:rtl w:val="0"/>
        </w:rPr>
        <w:t xml:space="preserve">, (just-accepted), pp.1-22.</w:t>
      </w:r>
    </w:p>
    <w:p w:rsidR="00000000" w:rsidDel="00000000" w:rsidP="00000000" w:rsidRDefault="00000000" w:rsidRPr="00000000" w14:paraId="00000078">
      <w:pPr>
        <w:rPr>
          <w:highlight w:val="white"/>
        </w:rPr>
      </w:pPr>
      <w:r w:rsidDel="00000000" w:rsidR="00000000" w:rsidRPr="00000000">
        <w:rPr>
          <w:highlight w:val="white"/>
          <w:rtl w:val="0"/>
        </w:rPr>
        <w:t xml:space="preserve">Wilson, I. and Ortiz, S., 2017. Solution Based Learning in Higher Education: Enhancing Employability Skills.</w:t>
      </w:r>
    </w:p>
    <w:p w:rsidR="00000000" w:rsidDel="00000000" w:rsidP="00000000" w:rsidRDefault="00000000" w:rsidRPr="00000000" w14:paraId="00000079">
      <w:pPr>
        <w:rPr>
          <w:highlight w:val="white"/>
        </w:rPr>
      </w:pPr>
      <w:r w:rsidDel="00000000" w:rsidR="00000000" w:rsidRPr="00000000">
        <w:rPr>
          <w:highlight w:val="white"/>
          <w:rtl w:val="0"/>
        </w:rPr>
        <w:t xml:space="preserve">Wrye, B., Chafin, C. and Higginbotham, C., 2019. Creating a Win-Win: Designing and Implementing Mutually Beneficial Collaborations between Community Organizations and Academic Programs. </w:t>
      </w:r>
      <w:r w:rsidDel="00000000" w:rsidR="00000000" w:rsidRPr="00000000">
        <w:rPr>
          <w:i w:val="1"/>
          <w:highlight w:val="white"/>
          <w:rtl w:val="0"/>
        </w:rPr>
        <w:t xml:space="preserve">Education &amp; Training</w:t>
      </w:r>
      <w:r w:rsidDel="00000000" w:rsidR="00000000" w:rsidRPr="00000000">
        <w:rPr>
          <w:highlight w:val="white"/>
          <w:rtl w:val="0"/>
        </w:rPr>
        <w:t xml:space="preserve">, </w:t>
      </w:r>
      <w:r w:rsidDel="00000000" w:rsidR="00000000" w:rsidRPr="00000000">
        <w:rPr>
          <w:i w:val="1"/>
          <w:highlight w:val="white"/>
          <w:rtl w:val="0"/>
        </w:rPr>
        <w:t xml:space="preserve">61</w:t>
      </w:r>
      <w:r w:rsidDel="00000000" w:rsidR="00000000" w:rsidRPr="00000000">
        <w:rPr>
          <w:highlight w:val="white"/>
          <w:rtl w:val="0"/>
        </w:rPr>
        <w:t xml:space="preserve">(5), pp.605-621.</w:t>
      </w:r>
    </w:p>
    <w:p w:rsidR="00000000" w:rsidDel="00000000" w:rsidP="00000000" w:rsidRDefault="00000000" w:rsidRPr="00000000" w14:paraId="0000007A">
      <w:pPr>
        <w:pStyle w:val="Heading1"/>
        <w:numPr>
          <w:ilvl w:val="0"/>
          <w:numId w:val="1"/>
        </w:numPr>
        <w:ind w:left="720" w:hanging="360"/>
        <w:rPr/>
      </w:pPr>
      <w:bookmarkStart w:colFirst="0" w:colLast="0" w:name="_heading=h.3j2qqm3" w:id="19"/>
      <w:bookmarkEnd w:id="19"/>
      <w:r w:rsidDel="00000000" w:rsidR="00000000" w:rsidRPr="00000000">
        <w:rPr>
          <w:rtl w:val="0"/>
        </w:rPr>
        <w:t xml:space="preserve">Appendix </w:t>
      </w:r>
    </w:p>
    <w:tbl>
      <w:tblPr>
        <w:tblStyle w:val="Table2"/>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trHeight w:val="780" w:hRule="atLeast"/>
        </w:trPr>
        <w:tc>
          <w:tcPr>
            <w:shd w:fill="auto" w:val="clear"/>
            <w:tcMar>
              <w:top w:w="100.0" w:type="dxa"/>
              <w:left w:w="100.0" w:type="dxa"/>
              <w:bottom w:w="100.0" w:type="dxa"/>
              <w:right w:w="100.0" w:type="dxa"/>
            </w:tcMar>
          </w:tcPr>
          <w:p w:rsidR="00000000" w:rsidDel="00000000" w:rsidP="00000000" w:rsidRDefault="00000000" w:rsidRPr="00000000" w14:paraId="0000007B">
            <w:pPr>
              <w:widowControl w:val="0"/>
              <w:pBdr>
                <w:top w:space="0" w:sz="0" w:val="nil"/>
                <w:left w:space="0" w:sz="0" w:val="nil"/>
                <w:bottom w:space="0" w:sz="0" w:val="nil"/>
                <w:right w:space="0" w:sz="0" w:val="nil"/>
                <w:between w:space="0" w:sz="0" w:val="nil"/>
              </w:pBdr>
              <w:spacing w:line="360" w:lineRule="auto"/>
              <w:rPr>
                <w:sz w:val="24"/>
                <w:szCs w:val="24"/>
              </w:rPr>
            </w:pPr>
            <w:r w:rsidDel="00000000" w:rsidR="00000000" w:rsidRPr="00000000">
              <w:rPr>
                <w:sz w:val="24"/>
                <w:szCs w:val="24"/>
                <w:rtl w:val="0"/>
              </w:rPr>
              <w:t xml:space="preserve">Skills to improve</w:t>
            </w:r>
          </w:p>
        </w:tc>
        <w:tc>
          <w:tcPr>
            <w:shd w:fill="auto" w:val="clear"/>
            <w:tcMar>
              <w:top w:w="100.0" w:type="dxa"/>
              <w:left w:w="100.0" w:type="dxa"/>
              <w:bottom w:w="100.0" w:type="dxa"/>
              <w:right w:w="100.0" w:type="dxa"/>
            </w:tcMar>
          </w:tcPr>
          <w:p w:rsidR="00000000" w:rsidDel="00000000" w:rsidP="00000000" w:rsidRDefault="00000000" w:rsidRPr="00000000" w14:paraId="0000007C">
            <w:pPr>
              <w:widowControl w:val="0"/>
              <w:pBdr>
                <w:top w:space="0" w:sz="0" w:val="nil"/>
                <w:left w:space="0" w:sz="0" w:val="nil"/>
                <w:bottom w:space="0" w:sz="0" w:val="nil"/>
                <w:right w:space="0" w:sz="0" w:val="nil"/>
                <w:between w:space="0" w:sz="0" w:val="nil"/>
              </w:pBdr>
              <w:spacing w:line="360" w:lineRule="auto"/>
              <w:rPr>
                <w:sz w:val="24"/>
                <w:szCs w:val="24"/>
              </w:rPr>
            </w:pPr>
            <w:r w:rsidDel="00000000" w:rsidR="00000000" w:rsidRPr="00000000">
              <w:rPr>
                <w:sz w:val="24"/>
                <w:szCs w:val="24"/>
                <w:rtl w:val="0"/>
              </w:rPr>
              <w:t xml:space="preserve">Reasons for improvement</w:t>
            </w:r>
          </w:p>
        </w:tc>
        <w:tc>
          <w:tcPr>
            <w:shd w:fill="auto" w:val="clear"/>
            <w:tcMar>
              <w:top w:w="100.0" w:type="dxa"/>
              <w:left w:w="100.0" w:type="dxa"/>
              <w:bottom w:w="100.0" w:type="dxa"/>
              <w:right w:w="100.0" w:type="dxa"/>
            </w:tcMar>
          </w:tcPr>
          <w:p w:rsidR="00000000" w:rsidDel="00000000" w:rsidP="00000000" w:rsidRDefault="00000000" w:rsidRPr="00000000" w14:paraId="0000007D">
            <w:pPr>
              <w:widowControl w:val="0"/>
              <w:pBdr>
                <w:top w:space="0" w:sz="0" w:val="nil"/>
                <w:left w:space="0" w:sz="0" w:val="nil"/>
                <w:bottom w:space="0" w:sz="0" w:val="nil"/>
                <w:right w:space="0" w:sz="0" w:val="nil"/>
                <w:between w:space="0" w:sz="0" w:val="nil"/>
              </w:pBdr>
              <w:spacing w:line="360" w:lineRule="auto"/>
              <w:rPr>
                <w:sz w:val="24"/>
                <w:szCs w:val="24"/>
              </w:rPr>
            </w:pPr>
            <w:r w:rsidDel="00000000" w:rsidR="00000000" w:rsidRPr="00000000">
              <w:rPr>
                <w:sz w:val="24"/>
                <w:szCs w:val="24"/>
                <w:rtl w:val="0"/>
              </w:rPr>
              <w:t xml:space="preserve">How to improve</w:t>
            </w:r>
          </w:p>
        </w:tc>
        <w:tc>
          <w:tcPr>
            <w:shd w:fill="auto" w:val="clear"/>
            <w:tcMar>
              <w:top w:w="100.0" w:type="dxa"/>
              <w:left w:w="100.0" w:type="dxa"/>
              <w:bottom w:w="100.0" w:type="dxa"/>
              <w:right w:w="100.0" w:type="dxa"/>
            </w:tcMar>
          </w:tcPr>
          <w:p w:rsidR="00000000" w:rsidDel="00000000" w:rsidP="00000000" w:rsidRDefault="00000000" w:rsidRPr="00000000" w14:paraId="0000007E">
            <w:pPr>
              <w:widowControl w:val="0"/>
              <w:pBdr>
                <w:top w:space="0" w:sz="0" w:val="nil"/>
                <w:left w:space="0" w:sz="0" w:val="nil"/>
                <w:bottom w:space="0" w:sz="0" w:val="nil"/>
                <w:right w:space="0" w:sz="0" w:val="nil"/>
                <w:between w:space="0" w:sz="0" w:val="nil"/>
              </w:pBdr>
              <w:spacing w:line="360" w:lineRule="auto"/>
              <w:rPr>
                <w:sz w:val="24"/>
                <w:szCs w:val="24"/>
              </w:rPr>
            </w:pPr>
            <w:r w:rsidDel="00000000" w:rsidR="00000000" w:rsidRPr="00000000">
              <w:rPr>
                <w:sz w:val="24"/>
                <w:szCs w:val="24"/>
                <w:rtl w:val="0"/>
              </w:rPr>
              <w:t xml:space="preserve">Time</w:t>
            </w:r>
          </w:p>
        </w:tc>
      </w:tr>
      <w:tr>
        <w:trPr>
          <w:trHeight w:val="780" w:hRule="atLeast"/>
        </w:trPr>
        <w:tc>
          <w:tcPr>
            <w:shd w:fill="auto" w:val="clear"/>
            <w:tcMar>
              <w:top w:w="100.0" w:type="dxa"/>
              <w:left w:w="100.0" w:type="dxa"/>
              <w:bottom w:w="100.0" w:type="dxa"/>
              <w:right w:w="100.0" w:type="dxa"/>
            </w:tcMar>
          </w:tcPr>
          <w:p w:rsidR="00000000" w:rsidDel="00000000" w:rsidP="00000000" w:rsidRDefault="00000000" w:rsidRPr="00000000" w14:paraId="0000007F">
            <w:pPr>
              <w:widowControl w:val="0"/>
              <w:pBdr>
                <w:top w:space="0" w:sz="0" w:val="nil"/>
                <w:left w:space="0" w:sz="0" w:val="nil"/>
                <w:bottom w:space="0" w:sz="0" w:val="nil"/>
                <w:right w:space="0" w:sz="0" w:val="nil"/>
                <w:between w:space="0" w:sz="0" w:val="nil"/>
              </w:pBdr>
              <w:spacing w:line="360" w:lineRule="auto"/>
              <w:rPr/>
            </w:pPr>
            <w:r w:rsidDel="00000000" w:rsidR="00000000" w:rsidRPr="00000000">
              <w:rPr>
                <w:rtl w:val="0"/>
              </w:rPr>
              <w:t xml:space="preserve">Decision-making skill</w:t>
            </w:r>
          </w:p>
        </w:tc>
        <w:tc>
          <w:tcPr>
            <w:shd w:fill="auto" w:val="clear"/>
            <w:tcMar>
              <w:top w:w="100.0" w:type="dxa"/>
              <w:left w:w="100.0" w:type="dxa"/>
              <w:bottom w:w="100.0" w:type="dxa"/>
              <w:right w:w="100.0" w:type="dxa"/>
            </w:tcMar>
          </w:tcPr>
          <w:p w:rsidR="00000000" w:rsidDel="00000000" w:rsidP="00000000" w:rsidRDefault="00000000" w:rsidRPr="00000000" w14:paraId="00000080">
            <w:pPr>
              <w:widowControl w:val="0"/>
              <w:pBdr>
                <w:top w:space="0" w:sz="0" w:val="nil"/>
                <w:left w:space="0" w:sz="0" w:val="nil"/>
                <w:bottom w:space="0" w:sz="0" w:val="nil"/>
                <w:right w:space="0" w:sz="0" w:val="nil"/>
                <w:between w:space="0" w:sz="0" w:val="nil"/>
              </w:pBdr>
              <w:spacing w:line="360" w:lineRule="auto"/>
              <w:rPr/>
            </w:pPr>
            <w:r w:rsidDel="00000000" w:rsidR="00000000" w:rsidRPr="00000000">
              <w:rPr>
                <w:rtl w:val="0"/>
              </w:rPr>
              <w:t xml:space="preserve">These are some of the weakest skills which can lead to a failure in professional life.</w:t>
            </w:r>
          </w:p>
        </w:tc>
        <w:tc>
          <w:tcPr>
            <w:shd w:fill="auto" w:val="clear"/>
            <w:tcMar>
              <w:top w:w="100.0" w:type="dxa"/>
              <w:left w:w="100.0" w:type="dxa"/>
              <w:bottom w:w="100.0" w:type="dxa"/>
              <w:right w:w="100.0" w:type="dxa"/>
            </w:tcMar>
          </w:tcPr>
          <w:p w:rsidR="00000000" w:rsidDel="00000000" w:rsidP="00000000" w:rsidRDefault="00000000" w:rsidRPr="00000000" w14:paraId="00000081">
            <w:pPr>
              <w:widowControl w:val="0"/>
              <w:pBdr>
                <w:top w:space="0" w:sz="0" w:val="nil"/>
                <w:left w:space="0" w:sz="0" w:val="nil"/>
                <w:bottom w:space="0" w:sz="0" w:val="nil"/>
                <w:right w:space="0" w:sz="0" w:val="nil"/>
                <w:between w:space="0" w:sz="0" w:val="nil"/>
              </w:pBdr>
              <w:spacing w:line="360" w:lineRule="auto"/>
              <w:rPr/>
            </w:pPr>
            <w:r w:rsidDel="00000000" w:rsidR="00000000" w:rsidRPr="00000000">
              <w:rPr>
                <w:rtl w:val="0"/>
              </w:rPr>
              <w:t xml:space="preserve">Need the assistance of the evaluation as well as the support of senior officials or colleagues.</w:t>
            </w:r>
          </w:p>
        </w:tc>
        <w:tc>
          <w:tcPr>
            <w:shd w:fill="auto" w:val="clear"/>
            <w:tcMar>
              <w:top w:w="100.0" w:type="dxa"/>
              <w:left w:w="100.0" w:type="dxa"/>
              <w:bottom w:w="100.0" w:type="dxa"/>
              <w:right w:w="100.0" w:type="dxa"/>
            </w:tcMar>
          </w:tcPr>
          <w:p w:rsidR="00000000" w:rsidDel="00000000" w:rsidP="00000000" w:rsidRDefault="00000000" w:rsidRPr="00000000" w14:paraId="00000082">
            <w:pPr>
              <w:widowControl w:val="0"/>
              <w:pBdr>
                <w:top w:space="0" w:sz="0" w:val="nil"/>
                <w:left w:space="0" w:sz="0" w:val="nil"/>
                <w:bottom w:space="0" w:sz="0" w:val="nil"/>
                <w:right w:space="0" w:sz="0" w:val="nil"/>
                <w:between w:space="0" w:sz="0" w:val="nil"/>
              </w:pBdr>
              <w:spacing w:line="360" w:lineRule="auto"/>
              <w:rPr/>
            </w:pPr>
            <w:r w:rsidDel="00000000" w:rsidR="00000000" w:rsidRPr="00000000">
              <w:rPr>
                <w:rtl w:val="0"/>
              </w:rPr>
              <w:t xml:space="preserve">Ten-twelve weeks</w:t>
            </w:r>
          </w:p>
        </w:tc>
      </w:tr>
      <w:tr>
        <w:trPr>
          <w:trHeight w:val="780" w:hRule="atLeast"/>
        </w:trPr>
        <w:tc>
          <w:tcPr>
            <w:shd w:fill="auto" w:val="clear"/>
            <w:tcMar>
              <w:top w:w="100.0" w:type="dxa"/>
              <w:left w:w="100.0" w:type="dxa"/>
              <w:bottom w:w="100.0" w:type="dxa"/>
              <w:right w:w="100.0" w:type="dxa"/>
            </w:tcMar>
          </w:tcPr>
          <w:p w:rsidR="00000000" w:rsidDel="00000000" w:rsidP="00000000" w:rsidRDefault="00000000" w:rsidRPr="00000000" w14:paraId="00000083">
            <w:pPr>
              <w:widowControl w:val="0"/>
              <w:pBdr>
                <w:top w:space="0" w:sz="0" w:val="nil"/>
                <w:left w:space="0" w:sz="0" w:val="nil"/>
                <w:bottom w:space="0" w:sz="0" w:val="nil"/>
                <w:right w:space="0" w:sz="0" w:val="nil"/>
                <w:between w:space="0" w:sz="0" w:val="nil"/>
              </w:pBdr>
              <w:spacing w:line="360" w:lineRule="auto"/>
              <w:rPr/>
            </w:pPr>
            <w:r w:rsidDel="00000000" w:rsidR="00000000" w:rsidRPr="00000000">
              <w:rPr>
                <w:rtl w:val="0"/>
              </w:rPr>
              <w:t xml:space="preserve">People Management</w:t>
            </w:r>
          </w:p>
        </w:tc>
        <w:tc>
          <w:tcPr>
            <w:shd w:fill="auto" w:val="clear"/>
            <w:tcMar>
              <w:top w:w="100.0" w:type="dxa"/>
              <w:left w:w="100.0" w:type="dxa"/>
              <w:bottom w:w="100.0" w:type="dxa"/>
              <w:right w:w="100.0" w:type="dxa"/>
            </w:tcMar>
          </w:tcPr>
          <w:p w:rsidR="00000000" w:rsidDel="00000000" w:rsidP="00000000" w:rsidRDefault="00000000" w:rsidRPr="00000000" w14:paraId="00000084">
            <w:pPr>
              <w:widowControl w:val="0"/>
              <w:pBdr>
                <w:top w:space="0" w:sz="0" w:val="nil"/>
                <w:left w:space="0" w:sz="0" w:val="nil"/>
                <w:bottom w:space="0" w:sz="0" w:val="nil"/>
                <w:right w:space="0" w:sz="0" w:val="nil"/>
                <w:between w:space="0" w:sz="0" w:val="nil"/>
              </w:pBdr>
              <w:spacing w:line="360" w:lineRule="auto"/>
              <w:rPr/>
            </w:pPr>
            <w:r w:rsidDel="00000000" w:rsidR="00000000" w:rsidRPr="00000000">
              <w:rPr>
                <w:rtl w:val="0"/>
              </w:rPr>
              <w:t xml:space="preserve">There is a capacity of its own and more needs to develop these skills and take these abilities with work life.</w:t>
            </w:r>
          </w:p>
        </w:tc>
        <w:tc>
          <w:tcPr>
            <w:shd w:fill="auto" w:val="clear"/>
            <w:tcMar>
              <w:top w:w="100.0" w:type="dxa"/>
              <w:left w:w="100.0" w:type="dxa"/>
              <w:bottom w:w="100.0" w:type="dxa"/>
              <w:right w:w="100.0" w:type="dxa"/>
            </w:tcMar>
          </w:tcPr>
          <w:p w:rsidR="00000000" w:rsidDel="00000000" w:rsidP="00000000" w:rsidRDefault="00000000" w:rsidRPr="00000000" w14:paraId="00000085">
            <w:pPr>
              <w:widowControl w:val="0"/>
              <w:pBdr>
                <w:top w:space="0" w:sz="0" w:val="nil"/>
                <w:left w:space="0" w:sz="0" w:val="nil"/>
                <w:bottom w:space="0" w:sz="0" w:val="nil"/>
                <w:right w:space="0" w:sz="0" w:val="nil"/>
                <w:between w:space="0" w:sz="0" w:val="nil"/>
              </w:pBdr>
              <w:spacing w:line="360" w:lineRule="auto"/>
              <w:rPr/>
            </w:pPr>
            <w:r w:rsidDel="00000000" w:rsidR="00000000" w:rsidRPr="00000000">
              <w:rPr>
                <w:rtl w:val="0"/>
              </w:rPr>
              <w:t xml:space="preserve">Seek a lot of external projects and have more interaction with people.</w:t>
            </w:r>
          </w:p>
        </w:tc>
        <w:tc>
          <w:tcPr>
            <w:shd w:fill="auto" w:val="clear"/>
            <w:tcMar>
              <w:top w:w="100.0" w:type="dxa"/>
              <w:left w:w="100.0" w:type="dxa"/>
              <w:bottom w:w="100.0" w:type="dxa"/>
              <w:right w:w="100.0" w:type="dxa"/>
            </w:tcMar>
          </w:tcPr>
          <w:p w:rsidR="00000000" w:rsidDel="00000000" w:rsidP="00000000" w:rsidRDefault="00000000" w:rsidRPr="00000000" w14:paraId="00000086">
            <w:pPr>
              <w:widowControl w:val="0"/>
              <w:pBdr>
                <w:top w:space="0" w:sz="0" w:val="nil"/>
                <w:left w:space="0" w:sz="0" w:val="nil"/>
                <w:bottom w:space="0" w:sz="0" w:val="nil"/>
                <w:right w:space="0" w:sz="0" w:val="nil"/>
                <w:between w:space="0" w:sz="0" w:val="nil"/>
              </w:pBdr>
              <w:spacing w:line="360" w:lineRule="auto"/>
              <w:rPr/>
            </w:pPr>
            <w:r w:rsidDel="00000000" w:rsidR="00000000" w:rsidRPr="00000000">
              <w:rPr>
                <w:rtl w:val="0"/>
              </w:rPr>
              <w:t xml:space="preserve">Four-five weeks</w:t>
            </w:r>
          </w:p>
        </w:tc>
      </w:tr>
    </w:tbl>
    <w:p w:rsidR="00000000" w:rsidDel="00000000" w:rsidP="00000000" w:rsidRDefault="00000000" w:rsidRPr="00000000" w14:paraId="00000087">
      <w:pPr>
        <w:rPr/>
      </w:pPr>
      <w:r w:rsidDel="00000000" w:rsidR="00000000" w:rsidRPr="00000000">
        <w:rPr>
          <w:rtl w:val="0"/>
        </w:rPr>
      </w:r>
    </w:p>
    <w:sectPr>
      <w:pgSz w:h="16839" w:w="11907"/>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mbria"/>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decimal"/>
      <w:lvlText w:val="%1.%2."/>
      <w:lvlJc w:val="left"/>
      <w:pPr>
        <w:ind w:left="720" w:hanging="360"/>
      </w:pPr>
      <w:rPr/>
    </w:lvl>
    <w:lvl w:ilvl="2">
      <w:start w:val="1"/>
      <w:numFmt w:val="decimal"/>
      <w:lvlText w:val="%1.%2.%3."/>
      <w:lvlJc w:val="left"/>
      <w:pPr>
        <w:ind w:left="1080" w:hanging="720"/>
      </w:pPr>
      <w:rPr/>
    </w:lvl>
    <w:lvl w:ilvl="3">
      <w:start w:val="1"/>
      <w:numFmt w:val="decimal"/>
      <w:lvlText w:val="%1.%2.%3.%4."/>
      <w:lvlJc w:val="left"/>
      <w:pPr>
        <w:ind w:left="1080" w:hanging="720"/>
      </w:pPr>
      <w:rPr/>
    </w:lvl>
    <w:lvl w:ilvl="4">
      <w:start w:val="1"/>
      <w:numFmt w:val="decimal"/>
      <w:lvlText w:val="%1.%2.%3.%4.%5."/>
      <w:lvlJc w:val="left"/>
      <w:pPr>
        <w:ind w:left="1440" w:hanging="1080"/>
      </w:pPr>
      <w:rPr/>
    </w:lvl>
    <w:lvl w:ilvl="5">
      <w:start w:val="1"/>
      <w:numFmt w:val="decimal"/>
      <w:lvlText w:val="%1.%2.%3.%4.%5.%6."/>
      <w:lvlJc w:val="left"/>
      <w:pPr>
        <w:ind w:left="1440" w:hanging="1080"/>
      </w:pPr>
      <w:rPr/>
    </w:lvl>
    <w:lvl w:ilvl="6">
      <w:start w:val="1"/>
      <w:numFmt w:val="decimal"/>
      <w:lvlText w:val="%1.%2.%3.%4.%5.%6.%7."/>
      <w:lvlJc w:val="left"/>
      <w:pPr>
        <w:ind w:left="1800" w:hanging="1440"/>
      </w:pPr>
      <w:rPr/>
    </w:lvl>
    <w:lvl w:ilvl="7">
      <w:start w:val="1"/>
      <w:numFmt w:val="decimal"/>
      <w:lvlText w:val="%1.%2.%3.%4.%5.%6.%7.%8."/>
      <w:lvlJc w:val="left"/>
      <w:pPr>
        <w:ind w:left="1800" w:hanging="1440"/>
      </w:pPr>
      <w:rPr/>
    </w:lvl>
    <w:lvl w:ilvl="8">
      <w:start w:val="1"/>
      <w:numFmt w:val="decimal"/>
      <w:lvlText w:val="%1.%2.%3.%4.%5.%6.%7.%8.%9."/>
      <w:lvlJc w:val="left"/>
      <w:pPr>
        <w:ind w:left="2160" w:hanging="180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00"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rPr>
  </w:style>
  <w:style w:type="paragraph" w:styleId="Heading2">
    <w:name w:val="heading 2"/>
    <w:basedOn w:val="Normal"/>
    <w:next w:val="Normal"/>
    <w:pPr>
      <w:keepNext w:val="1"/>
      <w:keepLines w:val="1"/>
      <w:spacing w:after="0" w:before="200" w:lineRule="auto"/>
    </w:pPr>
    <w:rPr>
      <w:b w:val="1"/>
    </w:rPr>
  </w:style>
  <w:style w:type="paragraph" w:styleId="Heading3">
    <w:name w:val="heading 3"/>
    <w:basedOn w:val="Normal"/>
    <w:next w:val="Normal"/>
    <w:pPr>
      <w:keepNext w:val="1"/>
      <w:keepLines w:val="1"/>
      <w:spacing w:after="0" w:before="200" w:lineRule="auto"/>
    </w:pPr>
    <w:rPr>
      <w:b w:val="1"/>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D36062"/>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val="1"/>
    <w:rsid w:val="00D36062"/>
    <w:pPr>
      <w:keepNext w:val="1"/>
      <w:keepLines w:val="1"/>
      <w:spacing w:after="0" w:before="480"/>
      <w:outlineLvl w:val="0"/>
    </w:pPr>
    <w:rPr>
      <w:rFonts w:cstheme="majorBidi" w:eastAsiaTheme="majorEastAsia"/>
      <w:b w:val="1"/>
      <w:bCs w:val="1"/>
      <w:szCs w:val="28"/>
    </w:rPr>
  </w:style>
  <w:style w:type="paragraph" w:styleId="Heading2">
    <w:name w:val="heading 2"/>
    <w:basedOn w:val="Normal"/>
    <w:next w:val="Normal"/>
    <w:link w:val="Heading2Char"/>
    <w:uiPriority w:val="9"/>
    <w:unhideWhenUsed w:val="1"/>
    <w:qFormat w:val="1"/>
    <w:rsid w:val="00D36062"/>
    <w:pPr>
      <w:keepNext w:val="1"/>
      <w:keepLines w:val="1"/>
      <w:spacing w:after="0" w:before="200"/>
      <w:outlineLvl w:val="1"/>
    </w:pPr>
    <w:rPr>
      <w:rFonts w:cstheme="majorBidi" w:eastAsiaTheme="majorEastAsia"/>
      <w:b w:val="1"/>
      <w:bCs w:val="1"/>
      <w:szCs w:val="26"/>
    </w:rPr>
  </w:style>
  <w:style w:type="paragraph" w:styleId="Heading3">
    <w:name w:val="heading 3"/>
    <w:basedOn w:val="Normal"/>
    <w:next w:val="Normal"/>
    <w:link w:val="Heading3Char"/>
    <w:uiPriority w:val="9"/>
    <w:unhideWhenUsed w:val="1"/>
    <w:qFormat w:val="1"/>
    <w:rsid w:val="00471798"/>
    <w:pPr>
      <w:keepNext w:val="1"/>
      <w:keepLines w:val="1"/>
      <w:spacing w:after="0" w:before="200"/>
      <w:outlineLvl w:val="2"/>
    </w:pPr>
    <w:rPr>
      <w:rFonts w:cstheme="majorBidi" w:eastAsiaTheme="majorEastAsia"/>
      <w:b w:val="1"/>
      <w:bCs w:val="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Spacing">
    <w:name w:val="No Spacing"/>
    <w:uiPriority w:val="1"/>
    <w:qFormat w:val="1"/>
    <w:rsid w:val="00D36062"/>
    <w:pPr>
      <w:spacing w:after="0" w:line="480" w:lineRule="auto"/>
      <w:jc w:val="both"/>
    </w:pPr>
    <w:rPr>
      <w:rFonts w:ascii="Times New Roman" w:hAnsi="Times New Roman"/>
      <w:color w:val="000000" w:themeColor="text1"/>
      <w:sz w:val="24"/>
    </w:rPr>
  </w:style>
  <w:style w:type="character" w:styleId="Heading1Char" w:customStyle="1">
    <w:name w:val="Heading 1 Char"/>
    <w:basedOn w:val="DefaultParagraphFont"/>
    <w:link w:val="Heading1"/>
    <w:uiPriority w:val="9"/>
    <w:rsid w:val="00D36062"/>
    <w:rPr>
      <w:rFonts w:ascii="Times New Roman" w:hAnsi="Times New Roman" w:cstheme="majorBidi" w:eastAsiaTheme="majorEastAsia"/>
      <w:b w:val="1"/>
      <w:bCs w:val="1"/>
      <w:color w:val="000000" w:themeColor="text1"/>
      <w:sz w:val="24"/>
      <w:szCs w:val="28"/>
    </w:rPr>
  </w:style>
  <w:style w:type="character" w:styleId="Heading2Char" w:customStyle="1">
    <w:name w:val="Heading 2 Char"/>
    <w:basedOn w:val="DefaultParagraphFont"/>
    <w:link w:val="Heading2"/>
    <w:uiPriority w:val="9"/>
    <w:rsid w:val="00D36062"/>
    <w:rPr>
      <w:rFonts w:ascii="Times New Roman" w:hAnsi="Times New Roman" w:cstheme="majorBidi" w:eastAsiaTheme="majorEastAsia"/>
      <w:b w:val="1"/>
      <w:bCs w:val="1"/>
      <w:color w:val="000000" w:themeColor="text1"/>
      <w:sz w:val="24"/>
      <w:szCs w:val="26"/>
    </w:rPr>
  </w:style>
  <w:style w:type="character" w:styleId="Heading3Char" w:customStyle="1">
    <w:name w:val="Heading 3 Char"/>
    <w:basedOn w:val="DefaultParagraphFont"/>
    <w:link w:val="Heading3"/>
    <w:uiPriority w:val="9"/>
    <w:rsid w:val="00471798"/>
    <w:rPr>
      <w:rFonts w:ascii="Times New Roman" w:hAnsi="Times New Roman" w:cstheme="majorBidi" w:eastAsiaTheme="majorEastAsia"/>
      <w:b w:val="1"/>
      <w:bCs w:val="1"/>
      <w:color w:val="000000" w:themeColor="text1"/>
      <w:sz w:val="24"/>
    </w:rPr>
  </w:style>
  <w:style w:type="paragraph" w:styleId="BalloonText">
    <w:name w:val="Balloon Text"/>
    <w:basedOn w:val="Normal"/>
    <w:link w:val="BalloonTextChar"/>
    <w:uiPriority w:val="99"/>
    <w:semiHidden w:val="1"/>
    <w:unhideWhenUsed w:val="1"/>
    <w:rsid w:val="00C00B73"/>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C00B73"/>
    <w:rPr>
      <w:rFonts w:ascii="Tahoma" w:cs="Tahoma" w:hAnsi="Tahoma"/>
      <w:color w:val="000000" w:themeColor="text1"/>
      <w:sz w:val="16"/>
      <w:szCs w:val="16"/>
    </w:rPr>
  </w:style>
  <w:style w:type="table" w:styleId="Table1" w:customStyle="1">
    <w:name w:val="Table1"/>
    <w:basedOn w:val="TableNormal"/>
    <w:rsid w:val="00C10116"/>
    <w:pPr>
      <w:spacing w:after="0"/>
    </w:pPr>
    <w:rPr>
      <w:rFonts w:ascii="Arial" w:cs="Arial" w:eastAsia="Arial" w:hAnsi="Arial"/>
    </w:rPr>
    <w:tblPr>
      <w:tblStyleRowBandSize w:val="1"/>
      <w:tblStyleColBandSize w:val="1"/>
      <w:tblInd w:w="0.0" w:type="dxa"/>
      <w:tblCellMar>
        <w:top w:w="100.0" w:type="dxa"/>
        <w:left w:w="100.0" w:type="dxa"/>
        <w:bottom w:w="100.0" w:type="dxa"/>
        <w:right w:w="100.0" w:type="dxa"/>
      </w:tblCellMar>
    </w:tblPr>
  </w:style>
  <w:style w:type="character" w:styleId="Strong">
    <w:name w:val="Strong"/>
    <w:basedOn w:val="DefaultParagraphFont"/>
    <w:uiPriority w:val="22"/>
    <w:qFormat w:val="1"/>
    <w:rsid w:val="00C8450E"/>
    <w:rPr>
      <w:b w:val="1"/>
      <w:bCs w:val="1"/>
    </w:rPr>
  </w:style>
  <w:style w:type="paragraph" w:styleId="TOCHeading">
    <w:name w:val="TOC Heading"/>
    <w:basedOn w:val="Heading1"/>
    <w:next w:val="Normal"/>
    <w:uiPriority w:val="39"/>
    <w:semiHidden w:val="1"/>
    <w:unhideWhenUsed w:val="1"/>
    <w:qFormat w:val="1"/>
    <w:rsid w:val="00CE12A1"/>
    <w:pPr>
      <w:spacing w:line="276" w:lineRule="auto"/>
      <w:jc w:val="left"/>
      <w:outlineLvl w:val="9"/>
    </w:pPr>
    <w:rPr>
      <w:rFonts w:asciiTheme="majorHAnsi" w:hAnsiTheme="majorHAnsi"/>
      <w:color w:val="365f91" w:themeColor="accent1" w:themeShade="0000BF"/>
      <w:sz w:val="28"/>
    </w:rPr>
  </w:style>
  <w:style w:type="paragraph" w:styleId="TOC1">
    <w:name w:val="toc 1"/>
    <w:basedOn w:val="Normal"/>
    <w:next w:val="Normal"/>
    <w:autoRedefine w:val="1"/>
    <w:uiPriority w:val="39"/>
    <w:unhideWhenUsed w:val="1"/>
    <w:rsid w:val="00CE12A1"/>
    <w:pPr>
      <w:spacing w:after="100"/>
    </w:pPr>
  </w:style>
  <w:style w:type="paragraph" w:styleId="TOC2">
    <w:name w:val="toc 2"/>
    <w:basedOn w:val="Normal"/>
    <w:next w:val="Normal"/>
    <w:autoRedefine w:val="1"/>
    <w:uiPriority w:val="39"/>
    <w:unhideWhenUsed w:val="1"/>
    <w:rsid w:val="00CE12A1"/>
    <w:pPr>
      <w:spacing w:after="100"/>
      <w:ind w:left="240"/>
    </w:pPr>
  </w:style>
  <w:style w:type="paragraph" w:styleId="TOC3">
    <w:name w:val="toc 3"/>
    <w:basedOn w:val="Normal"/>
    <w:next w:val="Normal"/>
    <w:autoRedefine w:val="1"/>
    <w:uiPriority w:val="39"/>
    <w:unhideWhenUsed w:val="1"/>
    <w:rsid w:val="00CE12A1"/>
    <w:pPr>
      <w:spacing w:after="100"/>
      <w:ind w:left="480"/>
    </w:pPr>
  </w:style>
  <w:style w:type="character" w:styleId="Hyperlink">
    <w:name w:val="Hyperlink"/>
    <w:basedOn w:val="DefaultParagraphFont"/>
    <w:uiPriority w:val="99"/>
    <w:unhideWhenUsed w:val="1"/>
    <w:rsid w:val="00CE12A1"/>
    <w:rPr>
      <w:color w:val="0000ff" w:themeColor="hyperlink"/>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Rule="auto"/>
    </w:pPr>
    <w:rPr>
      <w:rFonts w:ascii="Arial" w:cs="Arial" w:eastAsia="Arial" w:hAnsi="Arial"/>
    </w:rPr>
    <w:tblPr>
      <w:tblStyleRowBandSize w:val="1"/>
      <w:tblStyleColBandSize w:val="1"/>
      <w:tblCellMar>
        <w:top w:w="100.0" w:type="dxa"/>
        <w:left w:w="100.0" w:type="dxa"/>
        <w:bottom w:w="100.0" w:type="dxa"/>
        <w:right w:w="100.0" w:type="dxa"/>
      </w:tblCellMar>
    </w:tblPr>
  </w:style>
  <w:style w:type="table" w:styleId="Table2">
    <w:basedOn w:val="TableNormal"/>
    <w:pPr>
      <w:spacing w:after="0" w:lineRule="auto"/>
    </w:pPr>
    <w:rPr>
      <w:rFonts w:ascii="Arial" w:cs="Arial" w:eastAsia="Arial" w:hAnsi="Arial"/>
    </w:rPr>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gif"/></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ekXvUFdIurrX9MwqAHeICE5G4Hw==">AMUW2mU9onJoXojdTb/4wfrsxIl7JUXTcrw50hKWRav+IB3l2RZOQH7WLHiny7417YTTzv9pcjARvhsDDhtkiYOTRICvVx6tm/UIuTB1XN3ylXpRTjCDCGBIrfZCCQ3BZwT3z6kaZxWTM7aH0be7Z9qaS+fpm/wz6i0eGTHj9SneoXN8X9haB4K2waeRpa8G3oUR2eYtMO31Kh1fYQlXGGKfIHieXbXM0PMv7LFJ0aza5+9DSympgDTGDyH7ta+NYJjKkoJkXtaBXJ6TaiLGs5wGmJp9k8TT7UH1DajhS6mECJKILafV6RSOz7CoSh1S6POit83OFqo6DXiV4/8lmv8k15Q17Qs0A7XMcnK9i2/7cj9SECadTrPx+clFD65r1TvNSiOtTXb8hS4YglSFAiPODv/ZAWdDu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2020-05-03T13:50:00Z</dcterms:created>
  <dc:creator>Christina Ray</dc:creator>
</cp:coreProperties>
</file>