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797DB" w14:textId="33646A4A" w:rsidR="00054738" w:rsidRPr="00054738" w:rsidRDefault="00054738" w:rsidP="00054738">
      <w:pPr>
        <w:spacing w:line="360" w:lineRule="auto"/>
        <w:jc w:val="both"/>
        <w:rPr>
          <w:rFonts w:ascii="Arial" w:hAnsi="Arial" w:cs="Arial"/>
          <w:b/>
          <w:sz w:val="24"/>
          <w:szCs w:val="24"/>
        </w:rPr>
      </w:pPr>
    </w:p>
    <w:p w14:paraId="605E39CF" w14:textId="1B2439EB" w:rsidR="00054738" w:rsidRPr="00054738" w:rsidRDefault="00E56A98" w:rsidP="00054738">
      <w:pPr>
        <w:spacing w:line="360" w:lineRule="auto"/>
        <w:jc w:val="both"/>
        <w:rPr>
          <w:rFonts w:ascii="Arial" w:hAnsi="Arial" w:cs="Arial"/>
          <w:b/>
          <w:sz w:val="24"/>
          <w:szCs w:val="24"/>
        </w:rPr>
      </w:pPr>
      <w:r>
        <w:rPr>
          <w:noProof/>
        </w:rPr>
        <w:drawing>
          <wp:inline distT="0" distB="0" distL="0" distR="0" wp14:anchorId="57CE9AC0" wp14:editId="7E08769E">
            <wp:extent cx="5972810" cy="4845050"/>
            <wp:effectExtent l="0" t="0" r="8890" b="0"/>
            <wp:docPr id="399020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2008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72810" cy="4845050"/>
                    </a:xfrm>
                    <a:prstGeom prst="rect">
                      <a:avLst/>
                    </a:prstGeom>
                  </pic:spPr>
                </pic:pic>
              </a:graphicData>
            </a:graphic>
          </wp:inline>
        </w:drawing>
      </w:r>
      <w:r w:rsidR="00054738" w:rsidRPr="00054738">
        <w:rPr>
          <w:rFonts w:ascii="Arial" w:hAnsi="Arial" w:cs="Arial"/>
          <w:b/>
          <w:sz w:val="24"/>
          <w:szCs w:val="24"/>
        </w:rPr>
        <w:br w:type="page"/>
      </w:r>
    </w:p>
    <w:sdt>
      <w:sdtPr>
        <w:rPr>
          <w:rFonts w:asciiTheme="minorHAnsi" w:eastAsiaTheme="minorHAnsi" w:hAnsiTheme="minorHAnsi" w:cstheme="minorBidi"/>
          <w:color w:val="auto"/>
          <w:sz w:val="22"/>
          <w:szCs w:val="22"/>
          <w:lang w:val="en-GB" w:eastAsia="en-US"/>
        </w:rPr>
        <w:id w:val="-1175650750"/>
        <w:docPartObj>
          <w:docPartGallery w:val="Table of Contents"/>
          <w:docPartUnique/>
        </w:docPartObj>
      </w:sdtPr>
      <w:sdtEndPr>
        <w:rPr>
          <w:b/>
          <w:bCs/>
        </w:rPr>
      </w:sdtEndPr>
      <w:sdtContent>
        <w:p w14:paraId="30433FA0" w14:textId="70FE0AF1" w:rsidR="00054738" w:rsidRPr="00054738" w:rsidRDefault="00054738" w:rsidP="00054738">
          <w:pPr>
            <w:pStyle w:val="TOCHeading"/>
            <w:jc w:val="center"/>
            <w:rPr>
              <w:rFonts w:ascii="Arial" w:hAnsi="Arial" w:cs="Arial"/>
              <w:b/>
              <w:bCs/>
              <w:color w:val="auto"/>
              <w:sz w:val="24"/>
              <w:szCs w:val="24"/>
            </w:rPr>
          </w:pPr>
          <w:r w:rsidRPr="00054738">
            <w:rPr>
              <w:rFonts w:ascii="Arial" w:hAnsi="Arial" w:cs="Arial"/>
              <w:b/>
              <w:bCs/>
              <w:color w:val="auto"/>
              <w:sz w:val="24"/>
              <w:szCs w:val="24"/>
              <w:lang w:val="en-GB"/>
            </w:rPr>
            <w:t>Contents</w:t>
          </w:r>
        </w:p>
        <w:p w14:paraId="2B7EA1C6" w14:textId="6CB5517D" w:rsidR="00054738" w:rsidRDefault="00054738">
          <w:pPr>
            <w:pStyle w:val="TOC1"/>
            <w:tabs>
              <w:tab w:val="right" w:leader="dot" w:pos="9396"/>
            </w:tabs>
            <w:rPr>
              <w:noProof/>
            </w:rPr>
          </w:pPr>
          <w:r>
            <w:fldChar w:fldCharType="begin"/>
          </w:r>
          <w:r>
            <w:instrText xml:space="preserve"> TOC \o "1-3" \h \z \u </w:instrText>
          </w:r>
          <w:r>
            <w:fldChar w:fldCharType="separate"/>
          </w:r>
          <w:hyperlink w:anchor="_Toc151555404" w:history="1">
            <w:r w:rsidRPr="000434AD">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_Toc151555404 \h </w:instrText>
            </w:r>
            <w:r>
              <w:rPr>
                <w:noProof/>
                <w:webHidden/>
              </w:rPr>
            </w:r>
            <w:r>
              <w:rPr>
                <w:noProof/>
                <w:webHidden/>
              </w:rPr>
              <w:fldChar w:fldCharType="separate"/>
            </w:r>
            <w:r>
              <w:rPr>
                <w:noProof/>
                <w:webHidden/>
              </w:rPr>
              <w:t>3</w:t>
            </w:r>
            <w:r>
              <w:rPr>
                <w:noProof/>
                <w:webHidden/>
              </w:rPr>
              <w:fldChar w:fldCharType="end"/>
            </w:r>
          </w:hyperlink>
        </w:p>
        <w:p w14:paraId="3410E0E7" w14:textId="617C2028" w:rsidR="00054738" w:rsidRDefault="00000000">
          <w:pPr>
            <w:pStyle w:val="TOC2"/>
            <w:tabs>
              <w:tab w:val="left" w:pos="660"/>
              <w:tab w:val="right" w:leader="dot" w:pos="9396"/>
            </w:tabs>
            <w:rPr>
              <w:noProof/>
            </w:rPr>
          </w:pPr>
          <w:hyperlink w:anchor="_Toc151555405" w:history="1">
            <w:r w:rsidR="00054738" w:rsidRPr="000434AD">
              <w:rPr>
                <w:rStyle w:val="Hyperlink"/>
                <w:rFonts w:ascii="Arial" w:hAnsi="Arial" w:cs="Arial"/>
                <w:b/>
                <w:noProof/>
              </w:rPr>
              <w:t>1.</w:t>
            </w:r>
            <w:r w:rsidR="00054738">
              <w:rPr>
                <w:noProof/>
              </w:rPr>
              <w:tab/>
            </w:r>
            <w:r w:rsidR="00054738" w:rsidRPr="000434AD">
              <w:rPr>
                <w:rStyle w:val="Hyperlink"/>
                <w:rFonts w:ascii="Arial" w:hAnsi="Arial" w:cs="Arial"/>
                <w:b/>
                <w:noProof/>
              </w:rPr>
              <w:t>Core Elements in the Project Plan</w:t>
            </w:r>
            <w:r w:rsidR="00054738">
              <w:rPr>
                <w:noProof/>
                <w:webHidden/>
              </w:rPr>
              <w:tab/>
            </w:r>
            <w:r w:rsidR="00054738">
              <w:rPr>
                <w:noProof/>
                <w:webHidden/>
              </w:rPr>
              <w:fldChar w:fldCharType="begin"/>
            </w:r>
            <w:r w:rsidR="00054738">
              <w:rPr>
                <w:noProof/>
                <w:webHidden/>
              </w:rPr>
              <w:instrText xml:space="preserve"> PAGEREF _Toc151555405 \h </w:instrText>
            </w:r>
            <w:r w:rsidR="00054738">
              <w:rPr>
                <w:noProof/>
                <w:webHidden/>
              </w:rPr>
            </w:r>
            <w:r w:rsidR="00054738">
              <w:rPr>
                <w:noProof/>
                <w:webHidden/>
              </w:rPr>
              <w:fldChar w:fldCharType="separate"/>
            </w:r>
            <w:r w:rsidR="00054738">
              <w:rPr>
                <w:noProof/>
                <w:webHidden/>
              </w:rPr>
              <w:t>3</w:t>
            </w:r>
            <w:r w:rsidR="00054738">
              <w:rPr>
                <w:noProof/>
                <w:webHidden/>
              </w:rPr>
              <w:fldChar w:fldCharType="end"/>
            </w:r>
          </w:hyperlink>
        </w:p>
        <w:p w14:paraId="0690CBB3" w14:textId="44A6BCFF" w:rsidR="00054738" w:rsidRDefault="00000000">
          <w:pPr>
            <w:pStyle w:val="TOC2"/>
            <w:tabs>
              <w:tab w:val="left" w:pos="660"/>
              <w:tab w:val="right" w:leader="dot" w:pos="9396"/>
            </w:tabs>
            <w:rPr>
              <w:noProof/>
            </w:rPr>
          </w:pPr>
          <w:hyperlink w:anchor="_Toc151555406" w:history="1">
            <w:r w:rsidR="00054738" w:rsidRPr="000434AD">
              <w:rPr>
                <w:rStyle w:val="Hyperlink"/>
                <w:rFonts w:ascii="Arial" w:hAnsi="Arial" w:cs="Arial"/>
                <w:b/>
                <w:noProof/>
              </w:rPr>
              <w:t>2.</w:t>
            </w:r>
            <w:r w:rsidR="00054738">
              <w:rPr>
                <w:noProof/>
              </w:rPr>
              <w:tab/>
            </w:r>
            <w:r w:rsidR="00054738" w:rsidRPr="000434AD">
              <w:rPr>
                <w:rStyle w:val="Hyperlink"/>
                <w:rFonts w:ascii="Arial" w:hAnsi="Arial" w:cs="Arial"/>
                <w:b/>
                <w:noProof/>
              </w:rPr>
              <w:t>The success of the IT sector of London</w:t>
            </w:r>
            <w:r w:rsidR="00054738">
              <w:rPr>
                <w:noProof/>
                <w:webHidden/>
              </w:rPr>
              <w:tab/>
            </w:r>
            <w:r w:rsidR="00054738">
              <w:rPr>
                <w:noProof/>
                <w:webHidden/>
              </w:rPr>
              <w:fldChar w:fldCharType="begin"/>
            </w:r>
            <w:r w:rsidR="00054738">
              <w:rPr>
                <w:noProof/>
                <w:webHidden/>
              </w:rPr>
              <w:instrText xml:space="preserve"> PAGEREF _Toc151555406 \h </w:instrText>
            </w:r>
            <w:r w:rsidR="00054738">
              <w:rPr>
                <w:noProof/>
                <w:webHidden/>
              </w:rPr>
            </w:r>
            <w:r w:rsidR="00054738">
              <w:rPr>
                <w:noProof/>
                <w:webHidden/>
              </w:rPr>
              <w:fldChar w:fldCharType="separate"/>
            </w:r>
            <w:r w:rsidR="00054738">
              <w:rPr>
                <w:noProof/>
                <w:webHidden/>
              </w:rPr>
              <w:t>6</w:t>
            </w:r>
            <w:r w:rsidR="00054738">
              <w:rPr>
                <w:noProof/>
                <w:webHidden/>
              </w:rPr>
              <w:fldChar w:fldCharType="end"/>
            </w:r>
          </w:hyperlink>
        </w:p>
        <w:p w14:paraId="7BE333F7" w14:textId="7A4181B3" w:rsidR="00054738" w:rsidRDefault="00000000">
          <w:pPr>
            <w:pStyle w:val="TOC2"/>
            <w:tabs>
              <w:tab w:val="left" w:pos="660"/>
              <w:tab w:val="right" w:leader="dot" w:pos="9396"/>
            </w:tabs>
            <w:rPr>
              <w:noProof/>
            </w:rPr>
          </w:pPr>
          <w:hyperlink w:anchor="_Toc151555407" w:history="1">
            <w:r w:rsidR="00054738" w:rsidRPr="000434AD">
              <w:rPr>
                <w:rStyle w:val="Hyperlink"/>
                <w:rFonts w:ascii="Arial" w:hAnsi="Arial" w:cs="Arial"/>
                <w:b/>
                <w:noProof/>
              </w:rPr>
              <w:t>3.</w:t>
            </w:r>
            <w:r w:rsidR="00054738">
              <w:rPr>
                <w:noProof/>
              </w:rPr>
              <w:tab/>
            </w:r>
            <w:r w:rsidR="00054738" w:rsidRPr="000434AD">
              <w:rPr>
                <w:rStyle w:val="Hyperlink"/>
                <w:rFonts w:ascii="Arial" w:hAnsi="Arial" w:cs="Arial"/>
                <w:b/>
                <w:noProof/>
              </w:rPr>
              <w:t>Failure of the IT sector of London</w:t>
            </w:r>
            <w:r w:rsidR="00054738">
              <w:rPr>
                <w:noProof/>
                <w:webHidden/>
              </w:rPr>
              <w:tab/>
            </w:r>
            <w:r w:rsidR="00054738">
              <w:rPr>
                <w:noProof/>
                <w:webHidden/>
              </w:rPr>
              <w:fldChar w:fldCharType="begin"/>
            </w:r>
            <w:r w:rsidR="00054738">
              <w:rPr>
                <w:noProof/>
                <w:webHidden/>
              </w:rPr>
              <w:instrText xml:space="preserve"> PAGEREF _Toc151555407 \h </w:instrText>
            </w:r>
            <w:r w:rsidR="00054738">
              <w:rPr>
                <w:noProof/>
                <w:webHidden/>
              </w:rPr>
            </w:r>
            <w:r w:rsidR="00054738">
              <w:rPr>
                <w:noProof/>
                <w:webHidden/>
              </w:rPr>
              <w:fldChar w:fldCharType="separate"/>
            </w:r>
            <w:r w:rsidR="00054738">
              <w:rPr>
                <w:noProof/>
                <w:webHidden/>
              </w:rPr>
              <w:t>7</w:t>
            </w:r>
            <w:r w:rsidR="00054738">
              <w:rPr>
                <w:noProof/>
                <w:webHidden/>
              </w:rPr>
              <w:fldChar w:fldCharType="end"/>
            </w:r>
          </w:hyperlink>
        </w:p>
        <w:p w14:paraId="564D95CC" w14:textId="7434CB5D" w:rsidR="00054738" w:rsidRDefault="00000000">
          <w:pPr>
            <w:pStyle w:val="TOC2"/>
            <w:tabs>
              <w:tab w:val="left" w:pos="660"/>
              <w:tab w:val="right" w:leader="dot" w:pos="9396"/>
            </w:tabs>
            <w:rPr>
              <w:noProof/>
            </w:rPr>
          </w:pPr>
          <w:hyperlink w:anchor="_Toc151555408" w:history="1">
            <w:r w:rsidR="00054738" w:rsidRPr="000434AD">
              <w:rPr>
                <w:rStyle w:val="Hyperlink"/>
                <w:rFonts w:ascii="Arial" w:hAnsi="Arial" w:cs="Arial"/>
                <w:b/>
                <w:noProof/>
              </w:rPr>
              <w:t>4.</w:t>
            </w:r>
            <w:r w:rsidR="00054738">
              <w:rPr>
                <w:noProof/>
              </w:rPr>
              <w:tab/>
            </w:r>
            <w:r w:rsidR="00054738" w:rsidRPr="000434AD">
              <w:rPr>
                <w:rStyle w:val="Hyperlink"/>
                <w:rFonts w:ascii="Arial" w:hAnsi="Arial" w:cs="Arial"/>
                <w:b/>
                <w:noProof/>
              </w:rPr>
              <w:t xml:space="preserve">Lessons learnt from The Google Headquarters </w:t>
            </w:r>
            <w:r w:rsidR="00166F62">
              <w:rPr>
                <w:rStyle w:val="Hyperlink"/>
                <w:rFonts w:ascii="Arial" w:hAnsi="Arial" w:cs="Arial"/>
                <w:b/>
                <w:noProof/>
              </w:rPr>
              <w:t>Project</w:t>
            </w:r>
            <w:r w:rsidR="00054738">
              <w:rPr>
                <w:noProof/>
                <w:webHidden/>
              </w:rPr>
              <w:tab/>
            </w:r>
            <w:r w:rsidR="00054738">
              <w:rPr>
                <w:noProof/>
                <w:webHidden/>
              </w:rPr>
              <w:fldChar w:fldCharType="begin"/>
            </w:r>
            <w:r w:rsidR="00054738">
              <w:rPr>
                <w:noProof/>
                <w:webHidden/>
              </w:rPr>
              <w:instrText xml:space="preserve"> PAGEREF _Toc151555408 \h </w:instrText>
            </w:r>
            <w:r w:rsidR="00054738">
              <w:rPr>
                <w:noProof/>
                <w:webHidden/>
              </w:rPr>
            </w:r>
            <w:r w:rsidR="00054738">
              <w:rPr>
                <w:noProof/>
                <w:webHidden/>
              </w:rPr>
              <w:fldChar w:fldCharType="separate"/>
            </w:r>
            <w:r w:rsidR="00054738">
              <w:rPr>
                <w:noProof/>
                <w:webHidden/>
              </w:rPr>
              <w:t>7</w:t>
            </w:r>
            <w:r w:rsidR="00054738">
              <w:rPr>
                <w:noProof/>
                <w:webHidden/>
              </w:rPr>
              <w:fldChar w:fldCharType="end"/>
            </w:r>
          </w:hyperlink>
        </w:p>
        <w:p w14:paraId="797891BE" w14:textId="5096F89A" w:rsidR="00054738" w:rsidRDefault="00000000">
          <w:pPr>
            <w:pStyle w:val="TOC2"/>
            <w:tabs>
              <w:tab w:val="right" w:leader="dot" w:pos="9396"/>
            </w:tabs>
            <w:rPr>
              <w:noProof/>
            </w:rPr>
          </w:pPr>
          <w:hyperlink w:anchor="_Toc151555409" w:history="1">
            <w:r w:rsidR="00054738" w:rsidRPr="000434AD">
              <w:rPr>
                <w:rStyle w:val="Hyperlink"/>
                <w:rFonts w:ascii="Arial" w:hAnsi="Arial" w:cs="Arial"/>
                <w:b/>
                <w:noProof/>
              </w:rPr>
              <w:t>Conclusion</w:t>
            </w:r>
            <w:r w:rsidR="00054738">
              <w:rPr>
                <w:noProof/>
                <w:webHidden/>
              </w:rPr>
              <w:tab/>
            </w:r>
            <w:r w:rsidR="00054738">
              <w:rPr>
                <w:noProof/>
                <w:webHidden/>
              </w:rPr>
              <w:fldChar w:fldCharType="begin"/>
            </w:r>
            <w:r w:rsidR="00054738">
              <w:rPr>
                <w:noProof/>
                <w:webHidden/>
              </w:rPr>
              <w:instrText xml:space="preserve"> PAGEREF _Toc151555409 \h </w:instrText>
            </w:r>
            <w:r w:rsidR="00054738">
              <w:rPr>
                <w:noProof/>
                <w:webHidden/>
              </w:rPr>
            </w:r>
            <w:r w:rsidR="00054738">
              <w:rPr>
                <w:noProof/>
                <w:webHidden/>
              </w:rPr>
              <w:fldChar w:fldCharType="separate"/>
            </w:r>
            <w:r w:rsidR="00054738">
              <w:rPr>
                <w:noProof/>
                <w:webHidden/>
              </w:rPr>
              <w:t>9</w:t>
            </w:r>
            <w:r w:rsidR="00054738">
              <w:rPr>
                <w:noProof/>
                <w:webHidden/>
              </w:rPr>
              <w:fldChar w:fldCharType="end"/>
            </w:r>
          </w:hyperlink>
        </w:p>
        <w:p w14:paraId="217C0FAD" w14:textId="688CD07F" w:rsidR="00054738" w:rsidRDefault="00000000">
          <w:pPr>
            <w:pStyle w:val="TOC1"/>
            <w:tabs>
              <w:tab w:val="right" w:leader="dot" w:pos="9396"/>
            </w:tabs>
            <w:rPr>
              <w:noProof/>
            </w:rPr>
          </w:pPr>
          <w:hyperlink w:anchor="_Toc151555410" w:history="1">
            <w:r w:rsidR="00054738" w:rsidRPr="000434AD">
              <w:rPr>
                <w:rStyle w:val="Hyperlink"/>
                <w:rFonts w:ascii="Arial" w:hAnsi="Arial" w:cs="Arial"/>
                <w:b/>
                <w:noProof/>
              </w:rPr>
              <w:t>References</w:t>
            </w:r>
            <w:r w:rsidR="00054738">
              <w:rPr>
                <w:noProof/>
                <w:webHidden/>
              </w:rPr>
              <w:tab/>
            </w:r>
            <w:r w:rsidR="00054738">
              <w:rPr>
                <w:noProof/>
                <w:webHidden/>
              </w:rPr>
              <w:fldChar w:fldCharType="begin"/>
            </w:r>
            <w:r w:rsidR="00054738">
              <w:rPr>
                <w:noProof/>
                <w:webHidden/>
              </w:rPr>
              <w:instrText xml:space="preserve"> PAGEREF _Toc151555410 \h </w:instrText>
            </w:r>
            <w:r w:rsidR="00054738">
              <w:rPr>
                <w:noProof/>
                <w:webHidden/>
              </w:rPr>
            </w:r>
            <w:r w:rsidR="00054738">
              <w:rPr>
                <w:noProof/>
                <w:webHidden/>
              </w:rPr>
              <w:fldChar w:fldCharType="separate"/>
            </w:r>
            <w:r w:rsidR="00054738">
              <w:rPr>
                <w:noProof/>
                <w:webHidden/>
              </w:rPr>
              <w:t>11</w:t>
            </w:r>
            <w:r w:rsidR="00054738">
              <w:rPr>
                <w:noProof/>
                <w:webHidden/>
              </w:rPr>
              <w:fldChar w:fldCharType="end"/>
            </w:r>
          </w:hyperlink>
        </w:p>
        <w:p w14:paraId="1EECA3DC" w14:textId="7D278AA0" w:rsidR="00054738" w:rsidRDefault="00054738">
          <w:r>
            <w:rPr>
              <w:b/>
              <w:bCs/>
              <w:lang w:val="en-GB"/>
            </w:rPr>
            <w:fldChar w:fldCharType="end"/>
          </w:r>
        </w:p>
      </w:sdtContent>
    </w:sdt>
    <w:p w14:paraId="2EB6E76C" w14:textId="6968464F" w:rsidR="000E0308" w:rsidRPr="00054738" w:rsidRDefault="00000000" w:rsidP="00054738">
      <w:pPr>
        <w:spacing w:line="360" w:lineRule="auto"/>
        <w:jc w:val="both"/>
        <w:rPr>
          <w:rFonts w:ascii="Arial" w:hAnsi="Arial" w:cs="Arial"/>
          <w:b/>
          <w:sz w:val="24"/>
          <w:szCs w:val="24"/>
        </w:rPr>
      </w:pPr>
      <w:r w:rsidRPr="00054738">
        <w:rPr>
          <w:rFonts w:ascii="Arial" w:hAnsi="Arial" w:cs="Arial"/>
          <w:b/>
          <w:sz w:val="24"/>
          <w:szCs w:val="24"/>
        </w:rPr>
        <w:br w:type="page"/>
      </w:r>
    </w:p>
    <w:p w14:paraId="39D8E3E4" w14:textId="77777777" w:rsidR="00B152FB" w:rsidRDefault="00000000" w:rsidP="00054738">
      <w:pPr>
        <w:pStyle w:val="Heading1"/>
        <w:jc w:val="center"/>
        <w:rPr>
          <w:rFonts w:ascii="Arial" w:hAnsi="Arial" w:cs="Arial"/>
          <w:b/>
          <w:color w:val="auto"/>
          <w:sz w:val="24"/>
          <w:szCs w:val="24"/>
        </w:rPr>
      </w:pPr>
      <w:bookmarkStart w:id="0" w:name="_Toc151555404"/>
      <w:r w:rsidRPr="00054738">
        <w:rPr>
          <w:rFonts w:ascii="Arial" w:hAnsi="Arial" w:cs="Arial"/>
          <w:b/>
          <w:color w:val="auto"/>
          <w:sz w:val="24"/>
          <w:szCs w:val="24"/>
        </w:rPr>
        <w:lastRenderedPageBreak/>
        <w:t>Introduction</w:t>
      </w:r>
      <w:bookmarkEnd w:id="0"/>
    </w:p>
    <w:p w14:paraId="7F219D7A" w14:textId="77777777" w:rsidR="00EA38EA" w:rsidRPr="00EA38EA" w:rsidRDefault="00EA38EA" w:rsidP="00EA38EA"/>
    <w:p w14:paraId="50AB6A82" w14:textId="2356B627" w:rsidR="00877746" w:rsidRPr="00054738" w:rsidRDefault="00000000" w:rsidP="00054738">
      <w:pPr>
        <w:spacing w:line="360" w:lineRule="auto"/>
        <w:ind w:firstLine="720"/>
        <w:jc w:val="both"/>
        <w:rPr>
          <w:rFonts w:ascii="Arial" w:hAnsi="Arial" w:cs="Arial"/>
          <w:sz w:val="24"/>
          <w:szCs w:val="24"/>
        </w:rPr>
      </w:pPr>
      <w:r w:rsidRPr="00054738">
        <w:rPr>
          <w:rFonts w:ascii="Arial" w:hAnsi="Arial" w:cs="Arial"/>
          <w:sz w:val="24"/>
          <w:szCs w:val="24"/>
        </w:rPr>
        <w:t xml:space="preserve">Google is preparing to open its </w:t>
      </w:r>
      <w:r w:rsidR="00166F62" w:rsidRPr="00054738">
        <w:rPr>
          <w:rFonts w:ascii="Arial" w:hAnsi="Arial" w:cs="Arial"/>
          <w:sz w:val="24"/>
          <w:szCs w:val="24"/>
        </w:rPr>
        <w:t>one-billion-pound</w:t>
      </w:r>
      <w:r w:rsidRPr="00054738">
        <w:rPr>
          <w:rFonts w:ascii="Arial" w:hAnsi="Arial" w:cs="Arial"/>
          <w:sz w:val="24"/>
          <w:szCs w:val="24"/>
        </w:rPr>
        <w:t xml:space="preserve"> flagship headquarters in the heart of King’s Cross, London, and a monumental project is underway. With this ground-breaking initiative, Google is designing and unveiling its first building outside the US, cementing its commitment to a global presence. The facility has an excellent location and consists of retail spaces, an events and development </w:t>
      </w:r>
      <w:r w:rsidR="00EA38EA">
        <w:rPr>
          <w:rFonts w:ascii="Arial" w:hAnsi="Arial" w:cs="Arial"/>
          <w:sz w:val="24"/>
          <w:szCs w:val="24"/>
        </w:rPr>
        <w:t>center</w:t>
      </w:r>
      <w:r w:rsidRPr="00054738">
        <w:rPr>
          <w:rFonts w:ascii="Arial" w:hAnsi="Arial" w:cs="Arial"/>
          <w:sz w:val="24"/>
          <w:szCs w:val="24"/>
        </w:rPr>
        <w:t>, cafés, a gym, and recreational amenities, intending to encourage a dynamic and collaborative work atmosphere. The proposal goes beyond the constraints of a standard office area, with landscaped terraces and a jogging track on the roof, offering a novel approach to staff well-being and outdoor facilities. It is worth noting that the London headquarters will be part of a larger Google complex with a capacity of 7,000 people. This ambitious initiative aligns with the growing knowledge-based economy in the Knowledge Quarter and King's Cross, positioning Google at the forefront of UK innovation and technological advancement</w:t>
      </w:r>
      <w:r w:rsidR="00E034E8" w:rsidRPr="00054738">
        <w:rPr>
          <w:rFonts w:ascii="Arial" w:hAnsi="Arial" w:cs="Arial"/>
          <w:sz w:val="24"/>
          <w:szCs w:val="24"/>
        </w:rPr>
        <w:t xml:space="preserve"> (Kingscross, 2023)</w:t>
      </w:r>
      <w:r w:rsidRPr="00054738">
        <w:rPr>
          <w:rFonts w:ascii="Arial" w:hAnsi="Arial" w:cs="Arial"/>
          <w:sz w:val="24"/>
          <w:szCs w:val="24"/>
        </w:rPr>
        <w:t>. As Google expands its physical presence in London, this project not only represents a cutting-edge workspace but also a substantial contribution to the socio-economic environment of King's Cross, further reinforcing Google's status as a worldwide leader in the technology industry.</w:t>
      </w:r>
    </w:p>
    <w:p w14:paraId="5B21DE68" w14:textId="77777777" w:rsidR="00877746"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 xml:space="preserve">This essay will critically analyze the Google Headquarters project in London, comprehensively evaluating its key components. The goal is to provide insights into the project's factors, such as budget management, adherence to timelines, stakeholder engagement, </w:t>
      </w:r>
      <w:proofErr w:type="gramStart"/>
      <w:r w:rsidRPr="00054738">
        <w:rPr>
          <w:rFonts w:ascii="Arial" w:hAnsi="Arial" w:cs="Arial"/>
          <w:sz w:val="24"/>
          <w:szCs w:val="24"/>
        </w:rPr>
        <w:t>success</w:t>
      </w:r>
      <w:proofErr w:type="gramEnd"/>
      <w:r w:rsidRPr="00054738">
        <w:rPr>
          <w:rFonts w:ascii="Arial" w:hAnsi="Arial" w:cs="Arial"/>
          <w:sz w:val="24"/>
          <w:szCs w:val="24"/>
        </w:rPr>
        <w:t xml:space="preserve"> or failure of the IT sector of London, and lessons learned from The Google Headquarters project.</w:t>
      </w:r>
    </w:p>
    <w:p w14:paraId="3D5E2C2D" w14:textId="77777777" w:rsidR="001E4F46" w:rsidRPr="00054738" w:rsidRDefault="00000000" w:rsidP="00054738">
      <w:pPr>
        <w:pStyle w:val="ListParagraph"/>
        <w:numPr>
          <w:ilvl w:val="0"/>
          <w:numId w:val="1"/>
        </w:numPr>
        <w:spacing w:line="360" w:lineRule="auto"/>
        <w:jc w:val="center"/>
        <w:outlineLvl w:val="1"/>
        <w:rPr>
          <w:rFonts w:ascii="Arial" w:hAnsi="Arial" w:cs="Arial"/>
          <w:b/>
          <w:sz w:val="24"/>
          <w:szCs w:val="24"/>
        </w:rPr>
      </w:pPr>
      <w:bookmarkStart w:id="1" w:name="_Toc151555405"/>
      <w:r w:rsidRPr="00054738">
        <w:rPr>
          <w:rFonts w:ascii="Arial" w:hAnsi="Arial" w:cs="Arial"/>
          <w:b/>
          <w:sz w:val="24"/>
          <w:szCs w:val="24"/>
        </w:rPr>
        <w:t>Core Elements in the Project Plan</w:t>
      </w:r>
      <w:bookmarkEnd w:id="1"/>
    </w:p>
    <w:p w14:paraId="60D17F81" w14:textId="77777777" w:rsidR="00FE597F"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A key role in completing the Google Headquarters project is the budget. The Google headquarters project was initially given a hefty budget of one billion pounds. This budget included items such as construction, facilities, and technological integration. The most recent financial accounts reflect a significant rise in expenditure beyond the initially budgeted amount</w:t>
      </w:r>
      <w:r w:rsidR="00486DCE" w:rsidRPr="00054738">
        <w:rPr>
          <w:rFonts w:ascii="Arial" w:hAnsi="Arial" w:cs="Arial"/>
          <w:sz w:val="24"/>
          <w:szCs w:val="24"/>
        </w:rPr>
        <w:t xml:space="preserve"> (Adoko et al., 2016)</w:t>
      </w:r>
      <w:r w:rsidRPr="00054738">
        <w:rPr>
          <w:rFonts w:ascii="Arial" w:hAnsi="Arial" w:cs="Arial"/>
          <w:sz w:val="24"/>
          <w:szCs w:val="24"/>
        </w:rPr>
        <w:t xml:space="preserve">. This rise might be attributable to unanticipated expenditures connected with architectural improvements and technological </w:t>
      </w:r>
      <w:r w:rsidRPr="00054738">
        <w:rPr>
          <w:rFonts w:ascii="Arial" w:hAnsi="Arial" w:cs="Arial"/>
          <w:sz w:val="24"/>
          <w:szCs w:val="24"/>
        </w:rPr>
        <w:lastRenderedPageBreak/>
        <w:t>advancements. The variance from the initial budget calls into question the veracity of the original cost projections and the efficiency of cost-cutting strategies. Understanding where the variations occurred is crucial to the general expenditure analysis.</w:t>
      </w:r>
    </w:p>
    <w:p w14:paraId="30AF2CBD" w14:textId="5096AA2B" w:rsidR="00FE597F"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 xml:space="preserve">It explores the specific elements of time evaluation in large-scale construction projects. Due to unexpected difficulty </w:t>
      </w:r>
      <w:r w:rsidR="00EA38EA">
        <w:rPr>
          <w:rFonts w:ascii="Arial" w:hAnsi="Arial" w:cs="Arial"/>
          <w:sz w:val="24"/>
          <w:szCs w:val="24"/>
        </w:rPr>
        <w:t xml:space="preserve">in </w:t>
      </w:r>
      <w:r w:rsidRPr="00054738">
        <w:rPr>
          <w:rFonts w:ascii="Arial" w:hAnsi="Arial" w:cs="Arial"/>
          <w:sz w:val="24"/>
          <w:szCs w:val="24"/>
        </w:rPr>
        <w:t>obtaining regulatory permits, the building phase was delayed by three months. Following milestones, such as the integration of technical elements and the completion of specific levels inside the building, were influenced by this setback. The regulatory clearances were delayed due to unforeseen changes to local rules, necessitating additional documentation and approval processes. This external element substantially influenced the project's development and required an updated assessment of the overall timeframe</w:t>
      </w:r>
      <w:r w:rsidR="00486DCE" w:rsidRPr="00054738">
        <w:rPr>
          <w:rFonts w:ascii="Arial" w:hAnsi="Arial" w:cs="Arial"/>
          <w:sz w:val="24"/>
          <w:szCs w:val="24"/>
        </w:rPr>
        <w:t xml:space="preserve"> (Olawale et al., 2010)</w:t>
      </w:r>
      <w:r w:rsidRPr="00054738">
        <w:rPr>
          <w:rFonts w:ascii="Arial" w:hAnsi="Arial" w:cs="Arial"/>
          <w:sz w:val="24"/>
          <w:szCs w:val="24"/>
        </w:rPr>
        <w:t>. To address the regulatory clearance delay, the project team established a more assertive communication approach with municipalities, participating in preemptive discussions to identify and overcome regulatory difficulties. Early in the planning phase, established communication lines with appropriate authorities may assist in speeding the clearance process and reduce delays.</w:t>
      </w:r>
    </w:p>
    <w:p w14:paraId="4B542893" w14:textId="266675A9" w:rsidR="00FE597F"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 xml:space="preserve">To ensure the safety, durability, and sustainability of the final product, in the case of the Google Headquarters project, we </w:t>
      </w:r>
      <w:proofErr w:type="gramStart"/>
      <w:r w:rsidRPr="00054738">
        <w:rPr>
          <w:rFonts w:ascii="Arial" w:hAnsi="Arial" w:cs="Arial"/>
          <w:sz w:val="24"/>
          <w:szCs w:val="24"/>
        </w:rPr>
        <w:t>have to</w:t>
      </w:r>
      <w:proofErr w:type="gramEnd"/>
      <w:r w:rsidRPr="00054738">
        <w:rPr>
          <w:rFonts w:ascii="Arial" w:hAnsi="Arial" w:cs="Arial"/>
          <w:sz w:val="24"/>
          <w:szCs w:val="24"/>
        </w:rPr>
        <w:t xml:space="preserve"> look at the specifics of quality evaluation.</w:t>
      </w:r>
      <w:r w:rsidR="000D72A6" w:rsidRPr="00054738">
        <w:rPr>
          <w:rFonts w:ascii="Arial" w:hAnsi="Arial" w:cs="Arial"/>
          <w:sz w:val="24"/>
          <w:szCs w:val="24"/>
        </w:rPr>
        <w:t xml:space="preserve"> The Google headquarters project is dedicated to high-quality standards, as seen by using sustainable materials, adhering to safety rules, and incorporating energy-efficient technology. This goal aligns with Google's mission to develop environmentally mindful and creative workplaces. The project made use of cutting-edge materials recognized for longevity and sustainable practices. Using recycled and local materials, for example, improves the overall quality of construction and corresponds with Google's environmental aims</w:t>
      </w:r>
      <w:r w:rsidR="00514C21" w:rsidRPr="00054738">
        <w:rPr>
          <w:rFonts w:ascii="Arial" w:hAnsi="Arial" w:cs="Arial"/>
          <w:sz w:val="24"/>
          <w:szCs w:val="24"/>
        </w:rPr>
        <w:t xml:space="preserve"> (Brown, 2021)</w:t>
      </w:r>
      <w:r w:rsidR="000D72A6" w:rsidRPr="00054738">
        <w:rPr>
          <w:rFonts w:ascii="Arial" w:hAnsi="Arial" w:cs="Arial"/>
          <w:sz w:val="24"/>
          <w:szCs w:val="24"/>
        </w:rPr>
        <w:t xml:space="preserve">. </w:t>
      </w:r>
      <w:r w:rsidR="00EA38EA">
        <w:rPr>
          <w:rFonts w:ascii="Arial" w:hAnsi="Arial" w:cs="Arial"/>
          <w:sz w:val="24"/>
          <w:szCs w:val="24"/>
        </w:rPr>
        <w:t>Remodeling</w:t>
      </w:r>
      <w:r w:rsidR="000D72A6" w:rsidRPr="00054738">
        <w:rPr>
          <w:rFonts w:ascii="Arial" w:hAnsi="Arial" w:cs="Arial"/>
          <w:sz w:val="24"/>
          <w:szCs w:val="24"/>
        </w:rPr>
        <w:t xml:space="preserve"> was temporarily halted due to an unanticipated alteration to the venture, such as changes to its exterior.</w:t>
      </w:r>
    </w:p>
    <w:p w14:paraId="76A5680A" w14:textId="371C14FD" w:rsidR="000D72A6" w:rsidRPr="00054738" w:rsidRDefault="00000000" w:rsidP="00054738">
      <w:pPr>
        <w:spacing w:line="360" w:lineRule="auto"/>
        <w:jc w:val="both"/>
        <w:rPr>
          <w:rFonts w:ascii="Arial" w:hAnsi="Arial" w:cs="Arial"/>
          <w:sz w:val="24"/>
          <w:szCs w:val="24"/>
        </w:rPr>
      </w:pPr>
      <w:r w:rsidRPr="00054738">
        <w:rPr>
          <w:rFonts w:ascii="Arial" w:hAnsi="Arial" w:cs="Arial"/>
          <w:sz w:val="24"/>
          <w:szCs w:val="24"/>
        </w:rPr>
        <w:t xml:space="preserve">Vital for the success of large-scale projects taken into consideration is effective stakeholder engagement. Municipal bodies in charge of regulatory permissions, </w:t>
      </w:r>
      <w:r w:rsidR="00EA38EA">
        <w:rPr>
          <w:rFonts w:ascii="Arial" w:hAnsi="Arial" w:cs="Arial"/>
          <w:sz w:val="24"/>
          <w:szCs w:val="24"/>
        </w:rPr>
        <w:t>neighboring</w:t>
      </w:r>
      <w:r w:rsidRPr="00054738">
        <w:rPr>
          <w:rFonts w:ascii="Arial" w:hAnsi="Arial" w:cs="Arial"/>
          <w:sz w:val="24"/>
          <w:szCs w:val="24"/>
        </w:rPr>
        <w:t xml:space="preserve"> communities affected by construction, Google's investors, and the project development team are all key players in the Google headquarters project. With frequent </w:t>
      </w:r>
      <w:r w:rsidRPr="00054738">
        <w:rPr>
          <w:rFonts w:ascii="Arial" w:hAnsi="Arial" w:cs="Arial"/>
          <w:sz w:val="24"/>
          <w:szCs w:val="24"/>
        </w:rPr>
        <w:lastRenderedPageBreak/>
        <w:t>town hall meetings, cooperation sessions, and continuous communication routes, stakeholder participation has been vigorous</w:t>
      </w:r>
      <w:r w:rsidR="00514C21" w:rsidRPr="00054738">
        <w:rPr>
          <w:rFonts w:ascii="Arial" w:hAnsi="Arial" w:cs="Arial"/>
          <w:sz w:val="24"/>
          <w:szCs w:val="24"/>
        </w:rPr>
        <w:t xml:space="preserve"> (International Organization for Standardization, 2016)</w:t>
      </w:r>
      <w:r w:rsidRPr="00054738">
        <w:rPr>
          <w:rFonts w:ascii="Arial" w:hAnsi="Arial" w:cs="Arial"/>
          <w:sz w:val="24"/>
          <w:szCs w:val="24"/>
        </w:rPr>
        <w:t>. The project team regularly solicits feedback from local communities to ensure that their issues have been taken seriously throughout the project's lifespan. Residents have expressed concerns concerning the possible impact of development on existing facilities. As a result, the project team performed more research, held open discussions, and altered construction timelines to minimize interruption, exhibiting a devotion to recognizing and implementing stakeholder concerns.</w:t>
      </w:r>
    </w:p>
    <w:p w14:paraId="42954344" w14:textId="1B1C5773" w:rsidR="000D72A6" w:rsidRPr="00054738" w:rsidRDefault="00000000" w:rsidP="00054738">
      <w:pPr>
        <w:spacing w:line="360" w:lineRule="auto"/>
        <w:ind w:firstLine="720"/>
        <w:jc w:val="both"/>
        <w:rPr>
          <w:rFonts w:ascii="Arial" w:hAnsi="Arial" w:cs="Arial"/>
          <w:sz w:val="24"/>
          <w:szCs w:val="24"/>
        </w:rPr>
      </w:pPr>
      <w:r w:rsidRPr="00054738">
        <w:rPr>
          <w:rFonts w:ascii="Arial" w:hAnsi="Arial" w:cs="Arial"/>
          <w:sz w:val="24"/>
          <w:szCs w:val="24"/>
        </w:rPr>
        <w:t xml:space="preserve">Furthermore, an open-door approach for stakeholders allows for direct connection with the </w:t>
      </w:r>
      <w:r w:rsidR="00EA38EA">
        <w:rPr>
          <w:rFonts w:ascii="Arial" w:hAnsi="Arial" w:cs="Arial"/>
          <w:sz w:val="24"/>
          <w:szCs w:val="24"/>
        </w:rPr>
        <w:t>endeavor's</w:t>
      </w:r>
      <w:r w:rsidRPr="00054738">
        <w:rPr>
          <w:rFonts w:ascii="Arial" w:hAnsi="Arial" w:cs="Arial"/>
          <w:sz w:val="24"/>
          <w:szCs w:val="24"/>
        </w:rPr>
        <w:t xml:space="preserve"> squad, encouraging openness and assurance. Its team has shown a dedication to creating equitable outcomes by reconciling the desires of investors, government organizations, and local people. Construction timetables, for example, were adjusted to suit community activities, indicating a flexible approach to dealing with stakeholders' desires. Stakeholders are typically pleased, according to surveys and feedback sessions</w:t>
      </w:r>
      <w:r w:rsidR="00514C21" w:rsidRPr="00054738">
        <w:rPr>
          <w:rFonts w:ascii="Arial" w:hAnsi="Arial" w:cs="Arial"/>
          <w:sz w:val="24"/>
          <w:szCs w:val="24"/>
        </w:rPr>
        <w:t xml:space="preserve"> (Johnson, 2020)</w:t>
      </w:r>
      <w:r w:rsidRPr="00054738">
        <w:rPr>
          <w:rFonts w:ascii="Arial" w:hAnsi="Arial" w:cs="Arial"/>
          <w:sz w:val="24"/>
          <w:szCs w:val="24"/>
        </w:rPr>
        <w:t xml:space="preserve">. </w:t>
      </w:r>
      <w:r w:rsidR="00EA38EA">
        <w:rPr>
          <w:rFonts w:ascii="Arial" w:hAnsi="Arial" w:cs="Arial"/>
          <w:sz w:val="24"/>
          <w:szCs w:val="24"/>
        </w:rPr>
        <w:t>Favorable</w:t>
      </w:r>
      <w:r w:rsidRPr="00054738">
        <w:rPr>
          <w:rFonts w:ascii="Arial" w:hAnsi="Arial" w:cs="Arial"/>
          <w:sz w:val="24"/>
          <w:szCs w:val="24"/>
        </w:rPr>
        <w:t xml:space="preserve"> answers emphasize the project team's commitment to stakeholder concerns, building a </w:t>
      </w:r>
      <w:r w:rsidR="00EA38EA">
        <w:rPr>
          <w:rFonts w:ascii="Arial" w:hAnsi="Arial" w:cs="Arial"/>
          <w:sz w:val="24"/>
          <w:szCs w:val="24"/>
        </w:rPr>
        <w:t>favorable</w:t>
      </w:r>
      <w:r w:rsidRPr="00054738">
        <w:rPr>
          <w:rFonts w:ascii="Arial" w:hAnsi="Arial" w:cs="Arial"/>
          <w:sz w:val="24"/>
          <w:szCs w:val="24"/>
        </w:rPr>
        <w:t xml:space="preserve"> connection between Google and the area's residents. Implementing frequent impact evaluations and community outreach initiatives from the project's inception can give helpful ideas into possible problems and increase stakeholder participation in future projects.</w:t>
      </w:r>
    </w:p>
    <w:p w14:paraId="73425673" w14:textId="77777777" w:rsidR="000D72A6" w:rsidRPr="00054738" w:rsidRDefault="00000000" w:rsidP="00054738">
      <w:pPr>
        <w:spacing w:line="360" w:lineRule="auto"/>
        <w:ind w:firstLine="720"/>
        <w:jc w:val="both"/>
        <w:rPr>
          <w:rFonts w:ascii="Arial" w:hAnsi="Arial" w:cs="Arial"/>
          <w:sz w:val="24"/>
          <w:szCs w:val="24"/>
        </w:rPr>
      </w:pPr>
      <w:r w:rsidRPr="00054738">
        <w:rPr>
          <w:rFonts w:ascii="Arial" w:hAnsi="Arial" w:cs="Arial"/>
          <w:sz w:val="24"/>
          <w:szCs w:val="24"/>
        </w:rPr>
        <w:t>Dealing with risks is essential in dealing with the uncertainties of large-scale building projects. Potential hazards include regulatory obstacles, economic uncertainty, and unanticipated environmental problems. An unexpected disruption in the supply chain might influence the development timetable and quality. Considering the possible consequences enables proactive risk-mitigation actions to be adopted. The project team has established a diverse sourcing approach, working with numerous vendors while retaining straightforward contact lines to reduce the risk of supply chain interruptions</w:t>
      </w:r>
      <w:r w:rsidR="00514C21" w:rsidRPr="00054738">
        <w:rPr>
          <w:rFonts w:ascii="Arial" w:hAnsi="Arial" w:cs="Arial"/>
          <w:sz w:val="24"/>
          <w:szCs w:val="24"/>
        </w:rPr>
        <w:t xml:space="preserve"> (White, 2018)</w:t>
      </w:r>
      <w:r w:rsidRPr="00054738">
        <w:rPr>
          <w:rFonts w:ascii="Arial" w:hAnsi="Arial" w:cs="Arial"/>
          <w:sz w:val="24"/>
          <w:szCs w:val="24"/>
        </w:rPr>
        <w:t>.</w:t>
      </w:r>
    </w:p>
    <w:p w14:paraId="52FB764F" w14:textId="77777777" w:rsidR="000D72A6"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 xml:space="preserve">Furthermore, commercial agreements with suppliers include terms that address anticipated delays and give settlement options. Emergency response processes, </w:t>
      </w:r>
      <w:r w:rsidRPr="00054738">
        <w:rPr>
          <w:rFonts w:ascii="Arial" w:hAnsi="Arial" w:cs="Arial"/>
          <w:sz w:val="24"/>
          <w:szCs w:val="24"/>
        </w:rPr>
        <w:lastRenderedPageBreak/>
        <w:t>alternate building methodologies, and cash reserves to cover unanticipated expenditures are all part of contingency plans. These strategies give a systematic approach and ensure the project framework's resilience.</w:t>
      </w:r>
    </w:p>
    <w:p w14:paraId="13F68A58" w14:textId="77777777" w:rsidR="000D72A6" w:rsidRPr="00054738" w:rsidRDefault="00000000" w:rsidP="00054738">
      <w:pPr>
        <w:pStyle w:val="ListParagraph"/>
        <w:numPr>
          <w:ilvl w:val="0"/>
          <w:numId w:val="1"/>
        </w:numPr>
        <w:spacing w:line="360" w:lineRule="auto"/>
        <w:jc w:val="center"/>
        <w:outlineLvl w:val="1"/>
        <w:rPr>
          <w:rFonts w:ascii="Arial" w:hAnsi="Arial" w:cs="Arial"/>
          <w:b/>
          <w:sz w:val="24"/>
          <w:szCs w:val="24"/>
        </w:rPr>
      </w:pPr>
      <w:bookmarkStart w:id="2" w:name="_Toc151555406"/>
      <w:r w:rsidRPr="00054738">
        <w:rPr>
          <w:rFonts w:ascii="Arial" w:hAnsi="Arial" w:cs="Arial"/>
          <w:b/>
          <w:sz w:val="24"/>
          <w:szCs w:val="24"/>
        </w:rPr>
        <w:t>The success of the IT sector of London</w:t>
      </w:r>
      <w:bookmarkEnd w:id="2"/>
    </w:p>
    <w:p w14:paraId="74261D0B" w14:textId="58A8B2AD" w:rsidR="000D72A6"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The integration of Google Headquarters with the success of London's IT sector is a significant milestone for the tech giant and a strategic move aligned with the thriving success of the city's IT sector.</w:t>
      </w:r>
      <w:r w:rsidR="001D28E5" w:rsidRPr="00054738">
        <w:rPr>
          <w:rFonts w:ascii="Arial" w:hAnsi="Arial" w:cs="Arial"/>
          <w:sz w:val="24"/>
          <w:szCs w:val="24"/>
        </w:rPr>
        <w:t xml:space="preserve"> London has developed as a worldwide hub for technology innovation, drawing talent and funding while cultivating an ecosystem </w:t>
      </w:r>
      <w:r w:rsidR="00166F62">
        <w:rPr>
          <w:rFonts w:ascii="Arial" w:hAnsi="Arial" w:cs="Arial"/>
          <w:sz w:val="24"/>
          <w:szCs w:val="24"/>
        </w:rPr>
        <w:t>favorable</w:t>
      </w:r>
      <w:r w:rsidR="001D28E5" w:rsidRPr="00054738">
        <w:rPr>
          <w:rFonts w:ascii="Arial" w:hAnsi="Arial" w:cs="Arial"/>
          <w:sz w:val="24"/>
          <w:szCs w:val="24"/>
        </w:rPr>
        <w:t xml:space="preserve"> to digital brilliance. Google's decision to locate its headquarters at King's Cross demonstrates its importance in the global digital scene. A varied and highly qualified workforce, a supportive regulatory framework, and a dedication to fostering ingenuity have all contributed to London's IT sector's success</w:t>
      </w:r>
      <w:r w:rsidR="00514C21" w:rsidRPr="00054738">
        <w:rPr>
          <w:rFonts w:ascii="Arial" w:hAnsi="Arial" w:cs="Arial"/>
          <w:sz w:val="24"/>
          <w:szCs w:val="24"/>
        </w:rPr>
        <w:t xml:space="preserve"> (DCMS, 2021)</w:t>
      </w:r>
      <w:r w:rsidR="001D28E5" w:rsidRPr="00054738">
        <w:rPr>
          <w:rFonts w:ascii="Arial" w:hAnsi="Arial" w:cs="Arial"/>
          <w:sz w:val="24"/>
          <w:szCs w:val="24"/>
        </w:rPr>
        <w:t xml:space="preserve">. The juxtaposition of the Google Headquarters with this booming digital environment represents a reciprocal </w:t>
      </w:r>
      <w:r w:rsidR="00166F62">
        <w:rPr>
          <w:rFonts w:ascii="Arial" w:hAnsi="Arial" w:cs="Arial"/>
          <w:sz w:val="24"/>
          <w:szCs w:val="24"/>
        </w:rPr>
        <w:t>acknowledgment</w:t>
      </w:r>
      <w:r w:rsidR="001D28E5" w:rsidRPr="00054738">
        <w:rPr>
          <w:rFonts w:ascii="Arial" w:hAnsi="Arial" w:cs="Arial"/>
          <w:sz w:val="24"/>
          <w:szCs w:val="24"/>
        </w:rPr>
        <w:t xml:space="preserve"> — Google </w:t>
      </w:r>
      <w:proofErr w:type="gramStart"/>
      <w:r w:rsidR="001D28E5" w:rsidRPr="00054738">
        <w:rPr>
          <w:rFonts w:ascii="Arial" w:hAnsi="Arial" w:cs="Arial"/>
          <w:sz w:val="24"/>
          <w:szCs w:val="24"/>
        </w:rPr>
        <w:t>benefitting</w:t>
      </w:r>
      <w:proofErr w:type="gramEnd"/>
      <w:r w:rsidR="001D28E5" w:rsidRPr="00054738">
        <w:rPr>
          <w:rFonts w:ascii="Arial" w:hAnsi="Arial" w:cs="Arial"/>
          <w:sz w:val="24"/>
          <w:szCs w:val="24"/>
        </w:rPr>
        <w:t xml:space="preserve"> from London's tech competence and London enjoying Google's worldwide presence and innovation catalyst.</w:t>
      </w:r>
    </w:p>
    <w:p w14:paraId="75352F58" w14:textId="77777777" w:rsidR="001D28E5"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The proximity of Google's headquarters in London attracts outstanding tech talent. The city’s diversification has already contributed significantly to the development of various gadget firms. The Google initiative strengthens London's appeal as a haven for IT experts, generating a pool of unparalleled talent vital to Google's success and the city's IT sector's sustained expansion. Aside from its physical form, the Google Headquarters at King's Cross is positioned to become a thriving innovation hub in London. The initiative includes cutting-edge technology and design aspects to foster innovative thinking, teamwork, and the development of game-changing ideas</w:t>
      </w:r>
      <w:r w:rsidR="00514C21" w:rsidRPr="00054738">
        <w:rPr>
          <w:rFonts w:ascii="Arial" w:hAnsi="Arial" w:cs="Arial"/>
          <w:sz w:val="24"/>
          <w:szCs w:val="24"/>
        </w:rPr>
        <w:t xml:space="preserve"> (Tech et al., 2017)</w:t>
      </w:r>
      <w:r w:rsidRPr="00054738">
        <w:rPr>
          <w:rFonts w:ascii="Arial" w:hAnsi="Arial" w:cs="Arial"/>
          <w:sz w:val="24"/>
          <w:szCs w:val="24"/>
        </w:rPr>
        <w:t>.</w:t>
      </w:r>
    </w:p>
    <w:p w14:paraId="14664905" w14:textId="05E0064C" w:rsidR="001D28E5"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 xml:space="preserve">The building of Google's London headquarters is a proactive booster for the city's scientific finances, not merely a physical improvement. The initiative is anticipated to generate economic possibilities, inspire commercialization, and boost the overall growth of the technological community. Google's physical presence boosts London's IT economy, as does the immeasurable impact created by information exchange and </w:t>
      </w:r>
      <w:r w:rsidRPr="00054738">
        <w:rPr>
          <w:rFonts w:ascii="Arial" w:hAnsi="Arial" w:cs="Arial"/>
          <w:sz w:val="24"/>
          <w:szCs w:val="24"/>
        </w:rPr>
        <w:lastRenderedPageBreak/>
        <w:t xml:space="preserve">industry cooperation. The initiative strengthens London's status as an urban </w:t>
      </w:r>
      <w:r w:rsidR="00EA38EA">
        <w:rPr>
          <w:rFonts w:ascii="Arial" w:hAnsi="Arial" w:cs="Arial"/>
          <w:sz w:val="24"/>
          <w:szCs w:val="24"/>
        </w:rPr>
        <w:t>center</w:t>
      </w:r>
      <w:r w:rsidRPr="00054738">
        <w:rPr>
          <w:rFonts w:ascii="Arial" w:hAnsi="Arial" w:cs="Arial"/>
          <w:sz w:val="24"/>
          <w:szCs w:val="24"/>
        </w:rPr>
        <w:t xml:space="preserve"> that draws worldwide tech titans and actively shapes the global digital industry's direction. The merger of Google's headquarters with London's IT industry reflects a constructive synergy in which a global technology leader and a solid local ecosystem mutually promote each other's success</w:t>
      </w:r>
      <w:r w:rsidR="00514C21" w:rsidRPr="00054738">
        <w:rPr>
          <w:rFonts w:ascii="Arial" w:hAnsi="Arial" w:cs="Arial"/>
          <w:sz w:val="24"/>
          <w:szCs w:val="24"/>
        </w:rPr>
        <w:t xml:space="preserve"> (Centre for London, 2020)</w:t>
      </w:r>
      <w:r w:rsidRPr="00054738">
        <w:rPr>
          <w:rFonts w:ascii="Arial" w:hAnsi="Arial" w:cs="Arial"/>
          <w:sz w:val="24"/>
          <w:szCs w:val="24"/>
        </w:rPr>
        <w:t>. As Google's presence in London evolves, it grows into an accelerator for creative high standards, expanding the frontiers of development and adding to the city's heritage as a tech superpower.</w:t>
      </w:r>
    </w:p>
    <w:p w14:paraId="330BF6A5" w14:textId="77777777" w:rsidR="001D28E5" w:rsidRPr="00054738" w:rsidRDefault="00000000" w:rsidP="00054738">
      <w:pPr>
        <w:pStyle w:val="ListParagraph"/>
        <w:numPr>
          <w:ilvl w:val="0"/>
          <w:numId w:val="1"/>
        </w:numPr>
        <w:spacing w:line="360" w:lineRule="auto"/>
        <w:jc w:val="center"/>
        <w:outlineLvl w:val="1"/>
        <w:rPr>
          <w:rFonts w:ascii="Arial" w:hAnsi="Arial" w:cs="Arial"/>
          <w:b/>
          <w:sz w:val="24"/>
          <w:szCs w:val="24"/>
        </w:rPr>
      </w:pPr>
      <w:bookmarkStart w:id="3" w:name="_Toc151555407"/>
      <w:r w:rsidRPr="00054738">
        <w:rPr>
          <w:rFonts w:ascii="Arial" w:hAnsi="Arial" w:cs="Arial"/>
          <w:b/>
          <w:sz w:val="24"/>
          <w:szCs w:val="24"/>
        </w:rPr>
        <w:t>Failure of the IT sector of London</w:t>
      </w:r>
      <w:bookmarkEnd w:id="3"/>
    </w:p>
    <w:p w14:paraId="6D01E9C3" w14:textId="77777777" w:rsidR="00E6020A"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While London's IT sector has experienced remarkable success, it has challenges. Recognizing and addressing these challenges is crucial for maintaining and enhancing the resilience of the city's tech landscape. The rising recession is a big concern for London's IT sector. Because of the city's renown as a technology hub, there is a significant concentration of enterprises, startups, and talent. While this emphasis encourages innovation, it also increases rivalry for resources, money, and qualified people. The fast rise of London's IT sector has put pressure on the city's physical infrastructure. The construction of cities must catch up to the requirement for office space, connection settings, and support services. While London draws top-tier IT talent, there are issues with skill shortages and retention</w:t>
      </w:r>
      <w:r w:rsidR="00486DCE" w:rsidRPr="00054738">
        <w:rPr>
          <w:rFonts w:ascii="Arial" w:hAnsi="Arial" w:cs="Arial"/>
          <w:sz w:val="24"/>
          <w:szCs w:val="24"/>
        </w:rPr>
        <w:t xml:space="preserve"> (Hussin et al., 2012)</w:t>
      </w:r>
      <w:r w:rsidRPr="00054738">
        <w:rPr>
          <w:rFonts w:ascii="Arial" w:hAnsi="Arial" w:cs="Arial"/>
          <w:sz w:val="24"/>
          <w:szCs w:val="24"/>
        </w:rPr>
        <w:t>. Demand for qualified individuals is high, and the expense associated with living in London may make keeping talent challenging, particularly for smaller businesses and startups. Brexit uncertainty presents issues for London's IT sector. Immigration rules, regulations, and trade deals can all influence the sector's capacity to attract foreign workers, access markets, and traverse regulatory environments. Strategic methods, such as planned equipment expenditures, multiculturalism and inclusion efforts, and continued partnership amongst authorities and the corporate sector, can help to overcome these obstacles.</w:t>
      </w:r>
    </w:p>
    <w:p w14:paraId="7D71C52A" w14:textId="00BB581C" w:rsidR="00E6020A" w:rsidRPr="00054738" w:rsidRDefault="00000000" w:rsidP="00054738">
      <w:pPr>
        <w:pStyle w:val="ListParagraph"/>
        <w:numPr>
          <w:ilvl w:val="0"/>
          <w:numId w:val="1"/>
        </w:numPr>
        <w:spacing w:line="360" w:lineRule="auto"/>
        <w:jc w:val="center"/>
        <w:outlineLvl w:val="1"/>
        <w:rPr>
          <w:rFonts w:ascii="Arial" w:hAnsi="Arial" w:cs="Arial"/>
          <w:b/>
          <w:sz w:val="24"/>
          <w:szCs w:val="24"/>
        </w:rPr>
      </w:pPr>
      <w:bookmarkStart w:id="4" w:name="_Toc151555408"/>
      <w:r w:rsidRPr="00054738">
        <w:rPr>
          <w:rFonts w:ascii="Arial" w:hAnsi="Arial" w:cs="Arial"/>
          <w:b/>
          <w:sz w:val="24"/>
          <w:szCs w:val="24"/>
        </w:rPr>
        <w:t xml:space="preserve">Lessons </w:t>
      </w:r>
      <w:r w:rsidR="00EA38EA">
        <w:rPr>
          <w:rFonts w:ascii="Arial" w:hAnsi="Arial" w:cs="Arial"/>
          <w:b/>
          <w:sz w:val="24"/>
          <w:szCs w:val="24"/>
        </w:rPr>
        <w:t>learned</w:t>
      </w:r>
      <w:r w:rsidRPr="00054738">
        <w:rPr>
          <w:rFonts w:ascii="Arial" w:hAnsi="Arial" w:cs="Arial"/>
          <w:b/>
          <w:sz w:val="24"/>
          <w:szCs w:val="24"/>
        </w:rPr>
        <w:t xml:space="preserve"> from The Google Headquarters </w:t>
      </w:r>
      <w:proofErr w:type="gramStart"/>
      <w:r w:rsidRPr="00054738">
        <w:rPr>
          <w:rFonts w:ascii="Arial" w:hAnsi="Arial" w:cs="Arial"/>
          <w:b/>
          <w:sz w:val="24"/>
          <w:szCs w:val="24"/>
        </w:rPr>
        <w:t>project</w:t>
      </w:r>
      <w:bookmarkEnd w:id="4"/>
      <w:proofErr w:type="gramEnd"/>
    </w:p>
    <w:p w14:paraId="10A5C8AF" w14:textId="7C5FC619" w:rsidR="00E6020A"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 xml:space="preserve">The Google Headquarters project in London is an abundance of knowledge and observations that may be used for the subsequent stages of this creation and guidelines </w:t>
      </w:r>
      <w:r w:rsidRPr="00054738">
        <w:rPr>
          <w:rFonts w:ascii="Arial" w:hAnsi="Arial" w:cs="Arial"/>
          <w:sz w:val="24"/>
          <w:szCs w:val="24"/>
        </w:rPr>
        <w:lastRenderedPageBreak/>
        <w:t xml:space="preserve">in enormous-scale building projects in general. The project has demonstrated the significance of agile scheduling. Adaptive planning approaches that cater to real-time modifications to avoid unexpected interruptions might benefit forthcoming </w:t>
      </w:r>
      <w:r w:rsidR="00EA38EA">
        <w:rPr>
          <w:rFonts w:ascii="Arial" w:hAnsi="Arial" w:cs="Arial"/>
          <w:sz w:val="24"/>
          <w:szCs w:val="24"/>
        </w:rPr>
        <w:t>endeavors</w:t>
      </w:r>
      <w:r w:rsidRPr="00054738">
        <w:rPr>
          <w:rFonts w:ascii="Arial" w:hAnsi="Arial" w:cs="Arial"/>
          <w:sz w:val="24"/>
          <w:szCs w:val="24"/>
        </w:rPr>
        <w:t xml:space="preserve">. The venture needed help reconciling innovation with project limitations such as money and timeline. It is vital to carefully analyze the implications of project adjustments to prevent jeopardizing overall project objectives. </w:t>
      </w:r>
      <w:r w:rsidR="007A64F6" w:rsidRPr="00054738">
        <w:rPr>
          <w:rFonts w:ascii="Arial" w:hAnsi="Arial" w:cs="Arial"/>
          <w:sz w:val="24"/>
          <w:szCs w:val="24"/>
        </w:rPr>
        <w:t>Developing a specialist innovation team that collaborates effectively with supervisors can help incorporate new qualities without impacting key factors.</w:t>
      </w:r>
      <w:r w:rsidRPr="00054738">
        <w:rPr>
          <w:rFonts w:ascii="Arial" w:hAnsi="Arial" w:cs="Arial"/>
          <w:sz w:val="24"/>
          <w:szCs w:val="24"/>
        </w:rPr>
        <w:t xml:space="preserve"> </w:t>
      </w:r>
      <w:r w:rsidR="007A64F6" w:rsidRPr="00054738">
        <w:rPr>
          <w:rFonts w:ascii="Arial" w:hAnsi="Arial" w:cs="Arial"/>
          <w:sz w:val="24"/>
          <w:szCs w:val="24"/>
        </w:rPr>
        <w:t>Additionally, an ongoing dedication to constant quality enhancement, including frequent audits and polls, helps to ensure that high standards are maintained across the project's lifetime. Establishing a process for quality control that incorporates periodic evaluations, loops of input, and the incorporation of principles acquired through past projects develops a culture of continual growth</w:t>
      </w:r>
      <w:r w:rsidR="000E0308" w:rsidRPr="00054738">
        <w:rPr>
          <w:rFonts w:ascii="Arial" w:hAnsi="Arial" w:cs="Arial"/>
          <w:sz w:val="24"/>
          <w:szCs w:val="24"/>
        </w:rPr>
        <w:t xml:space="preserve"> (Project Management Institute, 2018)</w:t>
      </w:r>
      <w:r w:rsidR="007A64F6" w:rsidRPr="00054738">
        <w:rPr>
          <w:rFonts w:ascii="Arial" w:hAnsi="Arial" w:cs="Arial"/>
          <w:sz w:val="24"/>
          <w:szCs w:val="24"/>
        </w:rPr>
        <w:t xml:space="preserve">. </w:t>
      </w:r>
    </w:p>
    <w:p w14:paraId="43108EC2" w14:textId="77777777" w:rsidR="007A64F6"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Active engagement in the forum helps foster amicable relationships to resolve issues expressed by local communities. Early community impact evaluations and building schedule changes reflect a commitment to working with local stakeholders. Forming an external connector role within the execution staff can enable continuing communication and cooperation while guaranteeing that community demands are considered throughout the project. The Google headquarters project exemplifies the value of community-focused methods. Addressing local community concerns and adjusting building dates demonstrates a commitment to peaceful cohabitation. The following initiatives should include community impact appraisals in the early phases of development to encourage collaboration while limiting possible disturbance. The implementation demonstrated the advantages of utilizing automation to improve project efficiency</w:t>
      </w:r>
      <w:r w:rsidR="000E0308" w:rsidRPr="00054738">
        <w:rPr>
          <w:rFonts w:ascii="Arial" w:hAnsi="Arial" w:cs="Arial"/>
          <w:sz w:val="24"/>
          <w:szCs w:val="24"/>
        </w:rPr>
        <w:t xml:space="preserve"> (Mayor of London, 2018)</w:t>
      </w:r>
      <w:r w:rsidRPr="00054738">
        <w:rPr>
          <w:rFonts w:ascii="Arial" w:hAnsi="Arial" w:cs="Arial"/>
          <w:sz w:val="24"/>
          <w:szCs w:val="24"/>
        </w:rPr>
        <w:t xml:space="preserve">. Adopting technology plays a vital role in enhancing the overall execution of projects, from enhanced security systems to simplified communication tools. Using technology in future initiatives can streamline operations, enhance communication, and boost productivity. The project exemplifies the advantages of incorporating technology to improve project efficiency. Sophisticated security systems, communication methods, and organizational software contribute to process </w:t>
      </w:r>
      <w:r w:rsidRPr="00054738">
        <w:rPr>
          <w:rFonts w:ascii="Arial" w:hAnsi="Arial" w:cs="Arial"/>
          <w:sz w:val="24"/>
          <w:szCs w:val="24"/>
        </w:rPr>
        <w:lastRenderedPageBreak/>
        <w:t>simplification. Modern tools utilized in building planning and design may increase cooperation and cost by lowering the possibility of errors and delays.</w:t>
      </w:r>
    </w:p>
    <w:p w14:paraId="6D417041" w14:textId="002E8AAB" w:rsidR="007A64F6" w:rsidRPr="00054738" w:rsidRDefault="00000000" w:rsidP="00054738">
      <w:pPr>
        <w:spacing w:line="360" w:lineRule="auto"/>
        <w:ind w:firstLine="360"/>
        <w:jc w:val="both"/>
        <w:rPr>
          <w:rFonts w:ascii="Arial" w:hAnsi="Arial" w:cs="Arial"/>
          <w:sz w:val="24"/>
          <w:szCs w:val="24"/>
        </w:rPr>
      </w:pPr>
      <w:r w:rsidRPr="00054738">
        <w:rPr>
          <w:rFonts w:ascii="Arial" w:hAnsi="Arial" w:cs="Arial"/>
          <w:sz w:val="24"/>
          <w:szCs w:val="24"/>
        </w:rPr>
        <w:t>The study emphasizes the significance of creative office design in enhancing employee well-being and productivity. Such developments inspire future initiatives to prioritize worker happiness and retention. As the first entirely funded and planned Google building beyond the United States, Google's headquarters exemplifies the achievement of global teamwork. Current projects can benefit from this experience by promoting international collaboration and harnessing varied knowledge to achieve overall project success. The staged method allows for rigorous quality checks at each level, reducing the possibility of mistakes and improving project management</w:t>
      </w:r>
      <w:r w:rsidR="000E0308" w:rsidRPr="00054738">
        <w:rPr>
          <w:rFonts w:ascii="Arial" w:hAnsi="Arial" w:cs="Arial"/>
          <w:sz w:val="24"/>
          <w:szCs w:val="24"/>
        </w:rPr>
        <w:t xml:space="preserve"> (PMI, 2010)</w:t>
      </w:r>
      <w:r w:rsidRPr="00054738">
        <w:rPr>
          <w:rFonts w:ascii="Arial" w:hAnsi="Arial" w:cs="Arial"/>
          <w:sz w:val="24"/>
          <w:szCs w:val="24"/>
        </w:rPr>
        <w:t xml:space="preserve">. These methods can be used in other initiatives to increase quality control and speed-building procedures. Google's headquarters aids the growth of King's Cross's science municipality and burgeoning information-based economy, illustrating how large-scale developments may be crucial to long-term urban development. Similar urban development ideas might be explored in later initiatives designed to add to </w:t>
      </w:r>
      <w:r w:rsidR="00EA38EA">
        <w:rPr>
          <w:rFonts w:ascii="Arial" w:hAnsi="Arial" w:cs="Arial"/>
          <w:sz w:val="24"/>
          <w:szCs w:val="24"/>
        </w:rPr>
        <w:t>neighboring</w:t>
      </w:r>
      <w:r w:rsidRPr="00054738">
        <w:rPr>
          <w:rFonts w:ascii="Arial" w:hAnsi="Arial" w:cs="Arial"/>
          <w:sz w:val="24"/>
          <w:szCs w:val="24"/>
        </w:rPr>
        <w:t xml:space="preserve"> areas' monetary and social vitality positively.</w:t>
      </w:r>
    </w:p>
    <w:p w14:paraId="027C6E45" w14:textId="77777777" w:rsidR="00176B95" w:rsidRPr="00054738" w:rsidRDefault="00000000" w:rsidP="00054738">
      <w:pPr>
        <w:pStyle w:val="Heading2"/>
        <w:jc w:val="center"/>
        <w:rPr>
          <w:rFonts w:ascii="Arial" w:hAnsi="Arial" w:cs="Arial"/>
          <w:b/>
          <w:color w:val="auto"/>
          <w:sz w:val="24"/>
          <w:szCs w:val="24"/>
        </w:rPr>
      </w:pPr>
      <w:bookmarkStart w:id="5" w:name="_Toc151555409"/>
      <w:r w:rsidRPr="00054738">
        <w:rPr>
          <w:rFonts w:ascii="Arial" w:hAnsi="Arial" w:cs="Arial"/>
          <w:b/>
          <w:color w:val="auto"/>
          <w:sz w:val="24"/>
          <w:szCs w:val="24"/>
        </w:rPr>
        <w:t>Conclusion</w:t>
      </w:r>
      <w:bookmarkEnd w:id="5"/>
    </w:p>
    <w:p w14:paraId="5679F8C9" w14:textId="2A7690C5" w:rsidR="00F2338A" w:rsidRPr="00054738" w:rsidRDefault="00F2338A" w:rsidP="00054738">
      <w:pPr>
        <w:spacing w:line="360" w:lineRule="auto"/>
        <w:ind w:firstLine="720"/>
        <w:jc w:val="both"/>
        <w:rPr>
          <w:rFonts w:ascii="Arial" w:hAnsi="Arial" w:cs="Arial"/>
          <w:sz w:val="24"/>
          <w:szCs w:val="24"/>
        </w:rPr>
      </w:pPr>
      <w:r w:rsidRPr="00054738">
        <w:rPr>
          <w:rFonts w:ascii="Arial" w:hAnsi="Arial" w:cs="Arial"/>
          <w:sz w:val="24"/>
          <w:szCs w:val="24"/>
        </w:rPr>
        <w:t xml:space="preserve">The Google Headquarters project in London is a prime example of how forward-thinking architecture, careful planning, and a commitment to environmental responsibility can effectively coexist. When essential parts of the project, such as time, cost, value, stakeholders, and risk factors, are </w:t>
      </w:r>
      <w:r w:rsidR="00EA38EA" w:rsidRPr="00054738">
        <w:rPr>
          <w:rFonts w:ascii="Arial" w:hAnsi="Arial" w:cs="Arial"/>
          <w:sz w:val="24"/>
          <w:szCs w:val="24"/>
        </w:rPr>
        <w:t>analyzed</w:t>
      </w:r>
      <w:r w:rsidRPr="00054738">
        <w:rPr>
          <w:rFonts w:ascii="Arial" w:hAnsi="Arial" w:cs="Arial"/>
          <w:sz w:val="24"/>
          <w:szCs w:val="24"/>
        </w:rPr>
        <w:t xml:space="preserve">, it becomes abundantly evident that the </w:t>
      </w:r>
      <w:r w:rsidR="00EA38EA">
        <w:rPr>
          <w:rFonts w:ascii="Arial" w:hAnsi="Arial" w:cs="Arial"/>
          <w:sz w:val="24"/>
          <w:szCs w:val="24"/>
        </w:rPr>
        <w:t>project's</w:t>
      </w:r>
      <w:r w:rsidRPr="00054738">
        <w:rPr>
          <w:rFonts w:ascii="Arial" w:hAnsi="Arial" w:cs="Arial"/>
          <w:sz w:val="24"/>
          <w:szCs w:val="24"/>
        </w:rPr>
        <w:t xml:space="preserve"> success depends on a holistic and flexible viewpoint of the management of the project. There has been careful management of the distribution of materials, both emotional and physical, and the project plan has been designed with flexibility in mind to address any challenges that may arise that were not foreseen. Continuous inspections and a commitment to ongoing improvement have ensured that the </w:t>
      </w:r>
      <w:r w:rsidR="00EA38EA" w:rsidRPr="00054738">
        <w:rPr>
          <w:rFonts w:ascii="Arial" w:hAnsi="Arial" w:cs="Arial"/>
          <w:sz w:val="24"/>
          <w:szCs w:val="24"/>
        </w:rPr>
        <w:t>endeavor</w:t>
      </w:r>
      <w:r w:rsidRPr="00054738">
        <w:rPr>
          <w:rFonts w:ascii="Arial" w:hAnsi="Arial" w:cs="Arial"/>
          <w:sz w:val="24"/>
          <w:szCs w:val="24"/>
        </w:rPr>
        <w:t xml:space="preserve"> meets and exceeds the standards prevalent in the industry. Participation from affected parties served as the foundation for forming mutually beneficial relationships and incorporating the enterprise into the more extraordinary urban setting. In addition, the Google Headquarters project serves as a beacon for the lessons that have been </w:t>
      </w:r>
      <w:r w:rsidR="00EA38EA">
        <w:rPr>
          <w:rFonts w:ascii="Arial" w:hAnsi="Arial" w:cs="Arial"/>
          <w:sz w:val="24"/>
          <w:szCs w:val="24"/>
        </w:rPr>
        <w:t>learned</w:t>
      </w:r>
      <w:r w:rsidRPr="00054738">
        <w:rPr>
          <w:rFonts w:ascii="Arial" w:hAnsi="Arial" w:cs="Arial"/>
          <w:sz w:val="24"/>
          <w:szCs w:val="24"/>
        </w:rPr>
        <w:t xml:space="preserve"> across a variety of domains. Among the many potential innovations that may be implemented </w:t>
      </w:r>
      <w:r w:rsidRPr="00054738">
        <w:rPr>
          <w:rFonts w:ascii="Arial" w:hAnsi="Arial" w:cs="Arial"/>
          <w:sz w:val="24"/>
          <w:szCs w:val="24"/>
        </w:rPr>
        <w:lastRenderedPageBreak/>
        <w:t>on a big scale, the project possesses a wealth of experience. These innovations include innovative workplace design, problems with scaling, and global collaboration models. The incorporation of environmental sustainability approaches, which include the preservation of biodiversity as well as the sustainable design of buildings, increases the project's reputation as a model for ecologically conscientious and accountable expansion in urban areas.</w:t>
      </w:r>
    </w:p>
    <w:p w14:paraId="204A1D99" w14:textId="683C1304" w:rsidR="00F2338A" w:rsidRPr="00054738" w:rsidRDefault="00F2338A" w:rsidP="00054738">
      <w:pPr>
        <w:spacing w:line="360" w:lineRule="auto"/>
        <w:ind w:firstLine="360"/>
        <w:jc w:val="both"/>
        <w:rPr>
          <w:rFonts w:ascii="Arial" w:hAnsi="Arial" w:cs="Arial"/>
          <w:sz w:val="24"/>
          <w:szCs w:val="24"/>
        </w:rPr>
      </w:pPr>
      <w:r w:rsidRPr="00054738">
        <w:rPr>
          <w:rFonts w:ascii="Arial" w:hAnsi="Arial" w:cs="Arial"/>
          <w:sz w:val="24"/>
          <w:szCs w:val="24"/>
        </w:rPr>
        <w:t xml:space="preserve">Furthermore, the effort's synergy with the blooming of London's information technology industry demonstrates the connectivity of global information technology behemoths and other ecosystems in the environment. Google's decision to establish its headquarters at King's Cross not only contributes to the advancement of London's scientific and economic advantages but also positions the company as a significant player in the flourishing digital ecosystem of the city. The Google Headquarters project generally represents a significant step forward in terms of project management, environmentally responsible </w:t>
      </w:r>
      <w:r w:rsidR="00166F62">
        <w:rPr>
          <w:rFonts w:ascii="Arial" w:hAnsi="Arial" w:cs="Arial"/>
          <w:sz w:val="24"/>
          <w:szCs w:val="24"/>
        </w:rPr>
        <w:t>practices</w:t>
      </w:r>
      <w:r w:rsidRPr="00054738">
        <w:rPr>
          <w:rFonts w:ascii="Arial" w:hAnsi="Arial" w:cs="Arial"/>
          <w:sz w:val="24"/>
          <w:szCs w:val="24"/>
        </w:rPr>
        <w:t xml:space="preserve">, and how people might work together to </w:t>
      </w:r>
      <w:r w:rsidR="00166F62">
        <w:rPr>
          <w:rFonts w:ascii="Arial" w:hAnsi="Arial" w:cs="Arial"/>
          <w:sz w:val="24"/>
          <w:szCs w:val="24"/>
        </w:rPr>
        <w:t>revitalize</w:t>
      </w:r>
      <w:r w:rsidRPr="00054738">
        <w:rPr>
          <w:rFonts w:ascii="Arial" w:hAnsi="Arial" w:cs="Arial"/>
          <w:sz w:val="24"/>
          <w:szCs w:val="24"/>
        </w:rPr>
        <w:t xml:space="preserve"> metropolitan areas. The lessons it teaches are widely disseminated throughout the industry, serving as a guide for projects that seek to develop, adapt, and integrate in a way that is harmonious with the audiences they represent. From the moment the new headquarters are opened, the project's influence extends beyond its confines, leaving an indelible mark on the landscape of large-scale construction and urban growth everywhere in the countryside.</w:t>
      </w:r>
    </w:p>
    <w:p w14:paraId="69BA0ADD" w14:textId="77777777" w:rsidR="00E034E8" w:rsidRPr="00054738" w:rsidRDefault="00000000" w:rsidP="00054738">
      <w:pPr>
        <w:spacing w:line="360" w:lineRule="auto"/>
        <w:jc w:val="both"/>
        <w:rPr>
          <w:rFonts w:ascii="Arial" w:hAnsi="Arial" w:cs="Arial"/>
          <w:sz w:val="24"/>
          <w:szCs w:val="24"/>
        </w:rPr>
      </w:pPr>
      <w:r w:rsidRPr="00054738">
        <w:rPr>
          <w:rFonts w:ascii="Arial" w:hAnsi="Arial" w:cs="Arial"/>
          <w:sz w:val="24"/>
          <w:szCs w:val="24"/>
        </w:rPr>
        <w:br w:type="page"/>
      </w:r>
    </w:p>
    <w:p w14:paraId="213FC1EA" w14:textId="77777777" w:rsidR="00176B95" w:rsidRPr="00054738" w:rsidRDefault="00000000" w:rsidP="00054738">
      <w:pPr>
        <w:pStyle w:val="ListParagraph"/>
        <w:spacing w:line="360" w:lineRule="auto"/>
        <w:jc w:val="center"/>
        <w:outlineLvl w:val="0"/>
        <w:rPr>
          <w:rFonts w:ascii="Arial" w:hAnsi="Arial" w:cs="Arial"/>
          <w:b/>
          <w:sz w:val="24"/>
          <w:szCs w:val="24"/>
        </w:rPr>
      </w:pPr>
      <w:bookmarkStart w:id="6" w:name="_Toc151555410"/>
      <w:r w:rsidRPr="00054738">
        <w:rPr>
          <w:rFonts w:ascii="Arial" w:hAnsi="Arial" w:cs="Arial"/>
          <w:b/>
          <w:sz w:val="24"/>
          <w:szCs w:val="24"/>
        </w:rPr>
        <w:lastRenderedPageBreak/>
        <w:t>References</w:t>
      </w:r>
      <w:bookmarkEnd w:id="6"/>
    </w:p>
    <w:p w14:paraId="25FEEAA0"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Adoko, M. T., Mazzuchi, T. A., &amp; Sarkani, S. (2016). Developing a cost overrun predictive model for complex systems development projects. Project Management Journal,46(6), 111–125.</w:t>
      </w:r>
    </w:p>
    <w:p w14:paraId="3F7BD3F1"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Brown, M. (2021). "Ensuring Quality in Large Construction Projects: Insights from the Google Headquarters Project." Construction Quality Management Journal, 8(2), 101-120.</w:t>
      </w:r>
    </w:p>
    <w:p w14:paraId="0C7E99E6"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 xml:space="preserve">Centre for London. (2020). Tech at Scale: Meeting the Growth Challenge of London's Tech Sector. London: Centre </w:t>
      </w:r>
      <w:proofErr w:type="gramStart"/>
      <w:r w:rsidRPr="00054738">
        <w:rPr>
          <w:rFonts w:ascii="Arial" w:hAnsi="Arial" w:cs="Arial"/>
          <w:sz w:val="24"/>
          <w:szCs w:val="24"/>
        </w:rPr>
        <w:t>for</w:t>
      </w:r>
      <w:proofErr w:type="gramEnd"/>
      <w:r w:rsidRPr="00054738">
        <w:rPr>
          <w:rFonts w:ascii="Arial" w:hAnsi="Arial" w:cs="Arial"/>
          <w:sz w:val="24"/>
          <w:szCs w:val="24"/>
        </w:rPr>
        <w:t xml:space="preserve"> London.</w:t>
      </w:r>
    </w:p>
    <w:p w14:paraId="6FE2BBC2"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 xml:space="preserve">Department </w:t>
      </w:r>
      <w:proofErr w:type="gramStart"/>
      <w:r w:rsidRPr="00054738">
        <w:rPr>
          <w:rFonts w:ascii="Arial" w:hAnsi="Arial" w:cs="Arial"/>
          <w:sz w:val="24"/>
          <w:szCs w:val="24"/>
        </w:rPr>
        <w:t>for</w:t>
      </w:r>
      <w:proofErr w:type="gramEnd"/>
      <w:r w:rsidRPr="00054738">
        <w:rPr>
          <w:rFonts w:ascii="Arial" w:hAnsi="Arial" w:cs="Arial"/>
          <w:sz w:val="24"/>
          <w:szCs w:val="24"/>
        </w:rPr>
        <w:t xml:space="preserve"> Digital, Culture, Media &amp; Sport. (2021). Tech Nation Report. London: UK Government. Available on </w:t>
      </w:r>
      <w:hyperlink r:id="rId10" w:history="1">
        <w:r w:rsidRPr="00054738">
          <w:rPr>
            <w:rStyle w:val="Hyperlink"/>
            <w:rFonts w:ascii="Arial" w:hAnsi="Arial" w:cs="Arial"/>
            <w:sz w:val="24"/>
            <w:szCs w:val="24"/>
          </w:rPr>
          <w:t>https://assets.publishing.service.gov.uk/government/uploads/system/uploads/attachment_data/file/1121289/DCMS_Annual_Report_and_Accounts_2021-22_-_print_version.pdf</w:t>
        </w:r>
      </w:hyperlink>
      <w:r w:rsidRPr="00054738">
        <w:rPr>
          <w:rFonts w:ascii="Arial" w:hAnsi="Arial" w:cs="Arial"/>
          <w:sz w:val="24"/>
          <w:szCs w:val="24"/>
        </w:rPr>
        <w:t xml:space="preserve"> Last accessed on 19 November 2023.</w:t>
      </w:r>
    </w:p>
    <w:p w14:paraId="6849EBF3"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Hussin, J. Md, I. A. Rahman, and A. H. Memon. (2012), “The way forward in sustainable construction: issues and challenges,” International Journal of Advances in Applied Sciences, vol 2(1).</w:t>
      </w:r>
    </w:p>
    <w:p w14:paraId="76EDA776"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 xml:space="preserve">International Organization for Standardization. (2016). Collaborative Business Relationship Management Systems. </w:t>
      </w:r>
    </w:p>
    <w:p w14:paraId="163E4012"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Johnson, P. (2020). "Case Study: Stakeholders' Evaluation in the Google Headquarters Construction Project." Construction Case Studies, 15(4), 275-290.</w:t>
      </w:r>
    </w:p>
    <w:p w14:paraId="6D2CC316"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 xml:space="preserve">Kingscross. (2023). History is in the fabric of King’s Cross and is a big part of what makes it a special place. Available on </w:t>
      </w:r>
      <w:hyperlink r:id="rId11" w:history="1">
        <w:r w:rsidRPr="00054738">
          <w:rPr>
            <w:rStyle w:val="Hyperlink"/>
            <w:rFonts w:ascii="Arial" w:hAnsi="Arial" w:cs="Arial"/>
            <w:sz w:val="24"/>
            <w:szCs w:val="24"/>
          </w:rPr>
          <w:t>https://www.kingscross.co.uk/history</w:t>
        </w:r>
      </w:hyperlink>
      <w:r w:rsidRPr="00054738">
        <w:rPr>
          <w:rFonts w:ascii="Arial" w:hAnsi="Arial" w:cs="Arial"/>
          <w:sz w:val="24"/>
          <w:szCs w:val="24"/>
        </w:rPr>
        <w:t xml:space="preserve"> Last Accessed on 18 November 2023.</w:t>
      </w:r>
    </w:p>
    <w:p w14:paraId="694506F2"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Mayor of London. (2018). Urban Development Lessons from the Google Headquarters Project. London: Greater London Authority.</w:t>
      </w:r>
    </w:p>
    <w:p w14:paraId="182857BF"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 xml:space="preserve">PMI, (2010). A Guide to the Project Management Body of </w:t>
      </w:r>
      <w:proofErr w:type="gramStart"/>
      <w:r w:rsidRPr="00054738">
        <w:rPr>
          <w:rFonts w:ascii="Arial" w:hAnsi="Arial" w:cs="Arial"/>
          <w:sz w:val="24"/>
          <w:szCs w:val="24"/>
        </w:rPr>
        <w:t>Knowledge(</w:t>
      </w:r>
      <w:proofErr w:type="gramEnd"/>
      <w:r w:rsidRPr="00054738">
        <w:rPr>
          <w:rFonts w:ascii="Arial" w:hAnsi="Arial" w:cs="Arial"/>
          <w:sz w:val="24"/>
          <w:szCs w:val="24"/>
        </w:rPr>
        <w:t>PMBOK Guide). 4th Edn., Project Management Institute, Newtown Square, PA., pp: 466.</w:t>
      </w:r>
    </w:p>
    <w:p w14:paraId="5EBAE817"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Project Management Institute. (2018). "Lessons Learned from Google Headquarters: A Case Study." In Proceedings of the PMI Annual Conference, London.</w:t>
      </w:r>
    </w:p>
    <w:p w14:paraId="4366B2EA"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lastRenderedPageBreak/>
        <w:t>Tech London Advocates. (2017). "Driving Growth: The Role of London's Tech Sector." In Proceedings of London Tech Week Conference, London.</w:t>
      </w:r>
    </w:p>
    <w:p w14:paraId="55EA9ED0"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White, S. (2018). "Risk Mitigation Strategies in Large Construction Projects: Lessons from Google Headquarters." Journal of Construction Risk Management, 13(4), 320-335.</w:t>
      </w:r>
    </w:p>
    <w:p w14:paraId="24DB694E" w14:textId="77777777" w:rsidR="000E0308" w:rsidRPr="00054738" w:rsidRDefault="00000000" w:rsidP="00054738">
      <w:pPr>
        <w:pStyle w:val="ListParagraph"/>
        <w:numPr>
          <w:ilvl w:val="0"/>
          <w:numId w:val="2"/>
        </w:numPr>
        <w:spacing w:line="360" w:lineRule="auto"/>
        <w:jc w:val="both"/>
        <w:rPr>
          <w:rFonts w:ascii="Arial" w:hAnsi="Arial" w:cs="Arial"/>
          <w:sz w:val="24"/>
          <w:szCs w:val="24"/>
        </w:rPr>
      </w:pPr>
      <w:r w:rsidRPr="00054738">
        <w:rPr>
          <w:rFonts w:ascii="Arial" w:hAnsi="Arial" w:cs="Arial"/>
          <w:sz w:val="24"/>
          <w:szCs w:val="24"/>
        </w:rPr>
        <w:t>Y. A. Olawale and M. Sun, (2010). “Cost and time control of construction projects: inhibiting factors and mitigating measures in practice,” Construction Management and Economics, vol. 28, pp. 509-526.</w:t>
      </w:r>
    </w:p>
    <w:p w14:paraId="1063A3B7" w14:textId="77777777" w:rsidR="00E6020A" w:rsidRPr="00054738" w:rsidRDefault="00E6020A" w:rsidP="00054738">
      <w:pPr>
        <w:spacing w:line="360" w:lineRule="auto"/>
        <w:jc w:val="both"/>
        <w:rPr>
          <w:rFonts w:ascii="Arial" w:hAnsi="Arial" w:cs="Arial"/>
          <w:sz w:val="24"/>
          <w:szCs w:val="24"/>
        </w:rPr>
      </w:pPr>
    </w:p>
    <w:p w14:paraId="598C56CE" w14:textId="77777777" w:rsidR="00877746" w:rsidRPr="00054738" w:rsidRDefault="00877746" w:rsidP="00054738">
      <w:pPr>
        <w:spacing w:line="360" w:lineRule="auto"/>
        <w:jc w:val="both"/>
        <w:rPr>
          <w:rFonts w:ascii="Arial" w:hAnsi="Arial" w:cs="Arial"/>
          <w:sz w:val="24"/>
          <w:szCs w:val="24"/>
        </w:rPr>
      </w:pPr>
    </w:p>
    <w:sectPr w:rsidR="00877746" w:rsidRPr="00054738" w:rsidSect="00054738">
      <w:footerReference w:type="default" r:id="rId12"/>
      <w:pgSz w:w="12240" w:h="15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9D33C" w14:textId="77777777" w:rsidR="009E2E0B" w:rsidRDefault="009E2E0B" w:rsidP="00054738">
      <w:pPr>
        <w:spacing w:after="0" w:line="240" w:lineRule="auto"/>
      </w:pPr>
      <w:r>
        <w:separator/>
      </w:r>
    </w:p>
  </w:endnote>
  <w:endnote w:type="continuationSeparator" w:id="0">
    <w:p w14:paraId="3FCF0C04" w14:textId="77777777" w:rsidR="009E2E0B" w:rsidRDefault="009E2E0B" w:rsidP="00054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087292"/>
      <w:docPartObj>
        <w:docPartGallery w:val="Page Numbers (Bottom of Page)"/>
        <w:docPartUnique/>
      </w:docPartObj>
    </w:sdtPr>
    <w:sdtContent>
      <w:p w14:paraId="0478402C" w14:textId="699CDBEC" w:rsidR="00054738" w:rsidRDefault="00054738">
        <w:pPr>
          <w:pStyle w:val="Footer"/>
          <w:jc w:val="center"/>
        </w:pPr>
        <w:r>
          <w:fldChar w:fldCharType="begin"/>
        </w:r>
        <w:r>
          <w:instrText>PAGE   \* MERGEFORMAT</w:instrText>
        </w:r>
        <w:r>
          <w:fldChar w:fldCharType="separate"/>
        </w:r>
        <w:r>
          <w:rPr>
            <w:lang w:val="en-GB"/>
          </w:rPr>
          <w:t>2</w:t>
        </w:r>
        <w:r>
          <w:fldChar w:fldCharType="end"/>
        </w:r>
      </w:p>
    </w:sdtContent>
  </w:sdt>
  <w:p w14:paraId="01BD539A" w14:textId="77777777" w:rsidR="00054738" w:rsidRDefault="00054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FD9D8" w14:textId="77777777" w:rsidR="009E2E0B" w:rsidRDefault="009E2E0B" w:rsidP="00054738">
      <w:pPr>
        <w:spacing w:after="0" w:line="240" w:lineRule="auto"/>
      </w:pPr>
      <w:r>
        <w:separator/>
      </w:r>
    </w:p>
  </w:footnote>
  <w:footnote w:type="continuationSeparator" w:id="0">
    <w:p w14:paraId="1047CC0D" w14:textId="77777777" w:rsidR="009E2E0B" w:rsidRDefault="009E2E0B" w:rsidP="00054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F67A2B"/>
    <w:multiLevelType w:val="hybridMultilevel"/>
    <w:tmpl w:val="8EF035F4"/>
    <w:lvl w:ilvl="0" w:tplc="D84C6E36">
      <w:start w:val="1"/>
      <w:numFmt w:val="decimal"/>
      <w:lvlText w:val="%1."/>
      <w:lvlJc w:val="left"/>
      <w:pPr>
        <w:ind w:left="720" w:hanging="360"/>
      </w:pPr>
      <w:rPr>
        <w:rFonts w:hint="default"/>
      </w:rPr>
    </w:lvl>
    <w:lvl w:ilvl="1" w:tplc="9AA88E7A" w:tentative="1">
      <w:start w:val="1"/>
      <w:numFmt w:val="lowerLetter"/>
      <w:lvlText w:val="%2."/>
      <w:lvlJc w:val="left"/>
      <w:pPr>
        <w:ind w:left="1440" w:hanging="360"/>
      </w:pPr>
    </w:lvl>
    <w:lvl w:ilvl="2" w:tplc="836C4414" w:tentative="1">
      <w:start w:val="1"/>
      <w:numFmt w:val="lowerRoman"/>
      <w:lvlText w:val="%3."/>
      <w:lvlJc w:val="right"/>
      <w:pPr>
        <w:ind w:left="2160" w:hanging="180"/>
      </w:pPr>
    </w:lvl>
    <w:lvl w:ilvl="3" w:tplc="275099F2" w:tentative="1">
      <w:start w:val="1"/>
      <w:numFmt w:val="decimal"/>
      <w:lvlText w:val="%4."/>
      <w:lvlJc w:val="left"/>
      <w:pPr>
        <w:ind w:left="2880" w:hanging="360"/>
      </w:pPr>
    </w:lvl>
    <w:lvl w:ilvl="4" w:tplc="76AAE17A" w:tentative="1">
      <w:start w:val="1"/>
      <w:numFmt w:val="lowerLetter"/>
      <w:lvlText w:val="%5."/>
      <w:lvlJc w:val="left"/>
      <w:pPr>
        <w:ind w:left="3600" w:hanging="360"/>
      </w:pPr>
    </w:lvl>
    <w:lvl w:ilvl="5" w:tplc="97A05E86" w:tentative="1">
      <w:start w:val="1"/>
      <w:numFmt w:val="lowerRoman"/>
      <w:lvlText w:val="%6."/>
      <w:lvlJc w:val="right"/>
      <w:pPr>
        <w:ind w:left="4320" w:hanging="180"/>
      </w:pPr>
    </w:lvl>
    <w:lvl w:ilvl="6" w:tplc="9A68ED02" w:tentative="1">
      <w:start w:val="1"/>
      <w:numFmt w:val="decimal"/>
      <w:lvlText w:val="%7."/>
      <w:lvlJc w:val="left"/>
      <w:pPr>
        <w:ind w:left="5040" w:hanging="360"/>
      </w:pPr>
    </w:lvl>
    <w:lvl w:ilvl="7" w:tplc="14A0BC76" w:tentative="1">
      <w:start w:val="1"/>
      <w:numFmt w:val="lowerLetter"/>
      <w:lvlText w:val="%8."/>
      <w:lvlJc w:val="left"/>
      <w:pPr>
        <w:ind w:left="5760" w:hanging="360"/>
      </w:pPr>
    </w:lvl>
    <w:lvl w:ilvl="8" w:tplc="A5D20D36" w:tentative="1">
      <w:start w:val="1"/>
      <w:numFmt w:val="lowerRoman"/>
      <w:lvlText w:val="%9."/>
      <w:lvlJc w:val="right"/>
      <w:pPr>
        <w:ind w:left="6480" w:hanging="180"/>
      </w:pPr>
    </w:lvl>
  </w:abstractNum>
  <w:abstractNum w:abstractNumId="1" w15:restartNumberingAfterBreak="0">
    <w:nsid w:val="7BBE70CD"/>
    <w:multiLevelType w:val="hybridMultilevel"/>
    <w:tmpl w:val="D7489606"/>
    <w:lvl w:ilvl="0" w:tplc="418C0EE6">
      <w:start w:val="1"/>
      <w:numFmt w:val="decimal"/>
      <w:lvlText w:val="%1."/>
      <w:lvlJc w:val="left"/>
      <w:pPr>
        <w:ind w:left="720" w:hanging="360"/>
      </w:pPr>
      <w:rPr>
        <w:rFonts w:hint="default"/>
        <w:b w:val="0"/>
      </w:rPr>
    </w:lvl>
    <w:lvl w:ilvl="1" w:tplc="1078214A" w:tentative="1">
      <w:start w:val="1"/>
      <w:numFmt w:val="lowerLetter"/>
      <w:lvlText w:val="%2."/>
      <w:lvlJc w:val="left"/>
      <w:pPr>
        <w:ind w:left="1440" w:hanging="360"/>
      </w:pPr>
    </w:lvl>
    <w:lvl w:ilvl="2" w:tplc="73805240" w:tentative="1">
      <w:start w:val="1"/>
      <w:numFmt w:val="lowerRoman"/>
      <w:lvlText w:val="%3."/>
      <w:lvlJc w:val="right"/>
      <w:pPr>
        <w:ind w:left="2160" w:hanging="180"/>
      </w:pPr>
    </w:lvl>
    <w:lvl w:ilvl="3" w:tplc="F1D067CC" w:tentative="1">
      <w:start w:val="1"/>
      <w:numFmt w:val="decimal"/>
      <w:lvlText w:val="%4."/>
      <w:lvlJc w:val="left"/>
      <w:pPr>
        <w:ind w:left="2880" w:hanging="360"/>
      </w:pPr>
    </w:lvl>
    <w:lvl w:ilvl="4" w:tplc="69EABE96" w:tentative="1">
      <w:start w:val="1"/>
      <w:numFmt w:val="lowerLetter"/>
      <w:lvlText w:val="%5."/>
      <w:lvlJc w:val="left"/>
      <w:pPr>
        <w:ind w:left="3600" w:hanging="360"/>
      </w:pPr>
    </w:lvl>
    <w:lvl w:ilvl="5" w:tplc="0A1412FE" w:tentative="1">
      <w:start w:val="1"/>
      <w:numFmt w:val="lowerRoman"/>
      <w:lvlText w:val="%6."/>
      <w:lvlJc w:val="right"/>
      <w:pPr>
        <w:ind w:left="4320" w:hanging="180"/>
      </w:pPr>
    </w:lvl>
    <w:lvl w:ilvl="6" w:tplc="0CA452A0" w:tentative="1">
      <w:start w:val="1"/>
      <w:numFmt w:val="decimal"/>
      <w:lvlText w:val="%7."/>
      <w:lvlJc w:val="left"/>
      <w:pPr>
        <w:ind w:left="5040" w:hanging="360"/>
      </w:pPr>
    </w:lvl>
    <w:lvl w:ilvl="7" w:tplc="226ABA28" w:tentative="1">
      <w:start w:val="1"/>
      <w:numFmt w:val="lowerLetter"/>
      <w:lvlText w:val="%8."/>
      <w:lvlJc w:val="left"/>
      <w:pPr>
        <w:ind w:left="5760" w:hanging="360"/>
      </w:pPr>
    </w:lvl>
    <w:lvl w:ilvl="8" w:tplc="386E57C2" w:tentative="1">
      <w:start w:val="1"/>
      <w:numFmt w:val="lowerRoman"/>
      <w:lvlText w:val="%9."/>
      <w:lvlJc w:val="right"/>
      <w:pPr>
        <w:ind w:left="6480" w:hanging="180"/>
      </w:pPr>
    </w:lvl>
  </w:abstractNum>
  <w:num w:numId="1" w16cid:durableId="30687066">
    <w:abstractNumId w:val="0"/>
  </w:num>
  <w:num w:numId="2" w16cid:durableId="1387021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014B"/>
    <w:rsid w:val="00054738"/>
    <w:rsid w:val="000D72A6"/>
    <w:rsid w:val="000E0308"/>
    <w:rsid w:val="00126B31"/>
    <w:rsid w:val="00166F62"/>
    <w:rsid w:val="00176B95"/>
    <w:rsid w:val="00191E4E"/>
    <w:rsid w:val="001D28E5"/>
    <w:rsid w:val="001E4F46"/>
    <w:rsid w:val="003C3007"/>
    <w:rsid w:val="00462781"/>
    <w:rsid w:val="00486DCE"/>
    <w:rsid w:val="00514C21"/>
    <w:rsid w:val="00633EE8"/>
    <w:rsid w:val="0066685D"/>
    <w:rsid w:val="007A64F6"/>
    <w:rsid w:val="008724EB"/>
    <w:rsid w:val="00877656"/>
    <w:rsid w:val="00877746"/>
    <w:rsid w:val="009E2E0B"/>
    <w:rsid w:val="009F4F30"/>
    <w:rsid w:val="00AA4101"/>
    <w:rsid w:val="00B152FB"/>
    <w:rsid w:val="00C40233"/>
    <w:rsid w:val="00CB01A9"/>
    <w:rsid w:val="00D9014B"/>
    <w:rsid w:val="00E034E8"/>
    <w:rsid w:val="00E56A98"/>
    <w:rsid w:val="00E6020A"/>
    <w:rsid w:val="00EA38EA"/>
    <w:rsid w:val="00F2338A"/>
    <w:rsid w:val="00FE59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30B60E"/>
  <w15:docId w15:val="{0AF35D04-6A0B-497F-9BB1-174237952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73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05473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14B"/>
    <w:pPr>
      <w:ind w:left="720"/>
      <w:contextualSpacing/>
    </w:pPr>
  </w:style>
  <w:style w:type="character" w:styleId="Hyperlink">
    <w:name w:val="Hyperlink"/>
    <w:basedOn w:val="DefaultParagraphFont"/>
    <w:uiPriority w:val="99"/>
    <w:unhideWhenUsed/>
    <w:rsid w:val="00E034E8"/>
    <w:rPr>
      <w:color w:val="0000FF" w:themeColor="hyperlink"/>
      <w:u w:val="single"/>
    </w:rPr>
  </w:style>
  <w:style w:type="paragraph" w:styleId="Header">
    <w:name w:val="header"/>
    <w:basedOn w:val="Normal"/>
    <w:link w:val="HeaderChar"/>
    <w:uiPriority w:val="99"/>
    <w:unhideWhenUsed/>
    <w:rsid w:val="00054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738"/>
  </w:style>
  <w:style w:type="paragraph" w:styleId="Footer">
    <w:name w:val="footer"/>
    <w:basedOn w:val="Normal"/>
    <w:link w:val="FooterChar"/>
    <w:uiPriority w:val="99"/>
    <w:unhideWhenUsed/>
    <w:rsid w:val="00054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738"/>
  </w:style>
  <w:style w:type="character" w:customStyle="1" w:styleId="Heading1Char">
    <w:name w:val="Heading 1 Char"/>
    <w:basedOn w:val="DefaultParagraphFont"/>
    <w:link w:val="Heading1"/>
    <w:uiPriority w:val="9"/>
    <w:rsid w:val="0005473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054738"/>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54738"/>
    <w:pPr>
      <w:spacing w:line="259" w:lineRule="auto"/>
      <w:outlineLvl w:val="9"/>
    </w:pPr>
    <w:rPr>
      <w:lang w:val="bg-BG" w:eastAsia="bg-BG"/>
    </w:rPr>
  </w:style>
  <w:style w:type="paragraph" w:styleId="TOC1">
    <w:name w:val="toc 1"/>
    <w:basedOn w:val="Normal"/>
    <w:next w:val="Normal"/>
    <w:autoRedefine/>
    <w:uiPriority w:val="39"/>
    <w:unhideWhenUsed/>
    <w:rsid w:val="00054738"/>
    <w:pPr>
      <w:spacing w:after="100"/>
    </w:pPr>
  </w:style>
  <w:style w:type="paragraph" w:styleId="TOC2">
    <w:name w:val="toc 2"/>
    <w:basedOn w:val="Normal"/>
    <w:next w:val="Normal"/>
    <w:autoRedefine/>
    <w:uiPriority w:val="39"/>
    <w:unhideWhenUsed/>
    <w:rsid w:val="0005473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cross.co.uk/history" TargetMode="External"/><Relationship Id="rId5" Type="http://schemas.openxmlformats.org/officeDocument/2006/relationships/webSettings" Target="webSettings.xml"/><Relationship Id="rId10" Type="http://schemas.openxmlformats.org/officeDocument/2006/relationships/hyperlink" Target="https://assets.publishing.service.gov.uk/government/uploads/system/uploads/attachment_data/file/1121289/DCMS_Annual_Report_and_Accounts_2021-22_-_print_version.pdf"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2343C-B8F1-460E-8865-9D4740B6B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12</Pages>
  <Words>2982</Words>
  <Characters>18465</Characters>
  <Application>Microsoft Office Word</Application>
  <DocSecurity>0</DocSecurity>
  <Lines>293</Lines>
  <Paragraphs>50</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Nikoleta</dc:creator>
  <cp:lastModifiedBy>Desislava Nikolova</cp:lastModifiedBy>
  <cp:revision>10</cp:revision>
  <dcterms:created xsi:type="dcterms:W3CDTF">2023-11-17T14:34:00Z</dcterms:created>
  <dcterms:modified xsi:type="dcterms:W3CDTF">2023-11-24T23:48:00Z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5b65cdbec26b908012536e69eaba4b72114063205303ab6ab842366080e5507d</vt:lpwstr>
  </property>
</Properties>
</file>