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E3AD22" w14:textId="77777777" w:rsidR="00F32624" w:rsidRPr="00F32624" w:rsidRDefault="00F32624" w:rsidP="00F32624">
      <w:pPr>
        <w:spacing w:line="360" w:lineRule="auto"/>
        <w:jc w:val="center"/>
        <w:rPr>
          <w:rFonts w:ascii="Times New Roman" w:hAnsi="Times New Roman" w:cs="Times New Roman"/>
          <w:b/>
          <w:sz w:val="24"/>
          <w:szCs w:val="24"/>
        </w:rPr>
      </w:pPr>
    </w:p>
    <w:p w14:paraId="0C75DA2E" w14:textId="77777777" w:rsidR="00F32624" w:rsidRPr="00F32624" w:rsidRDefault="00F32624" w:rsidP="00F32624">
      <w:pPr>
        <w:spacing w:line="360" w:lineRule="auto"/>
        <w:jc w:val="center"/>
        <w:rPr>
          <w:rFonts w:ascii="Times New Roman" w:hAnsi="Times New Roman" w:cs="Times New Roman"/>
          <w:b/>
          <w:sz w:val="24"/>
          <w:szCs w:val="24"/>
        </w:rPr>
      </w:pPr>
    </w:p>
    <w:p w14:paraId="203FCEAF" w14:textId="77777777" w:rsidR="00F32624" w:rsidRPr="00F32624" w:rsidRDefault="00F32624" w:rsidP="00F32624">
      <w:pPr>
        <w:spacing w:line="360" w:lineRule="auto"/>
        <w:jc w:val="center"/>
        <w:rPr>
          <w:rFonts w:ascii="Times New Roman" w:hAnsi="Times New Roman" w:cs="Times New Roman"/>
          <w:b/>
          <w:sz w:val="24"/>
          <w:szCs w:val="24"/>
        </w:rPr>
      </w:pPr>
    </w:p>
    <w:p w14:paraId="4AE8DD59" w14:textId="77777777" w:rsidR="00F32624" w:rsidRPr="00F32624" w:rsidRDefault="00F32624" w:rsidP="00F32624">
      <w:pPr>
        <w:spacing w:line="360" w:lineRule="auto"/>
        <w:jc w:val="center"/>
        <w:rPr>
          <w:rFonts w:ascii="Times New Roman" w:hAnsi="Times New Roman" w:cs="Times New Roman"/>
          <w:b/>
          <w:sz w:val="24"/>
          <w:szCs w:val="24"/>
        </w:rPr>
      </w:pPr>
    </w:p>
    <w:p w14:paraId="62808E00" w14:textId="77777777" w:rsidR="00F32624" w:rsidRPr="00F32624" w:rsidRDefault="00F32624" w:rsidP="00F32624">
      <w:pPr>
        <w:spacing w:line="360" w:lineRule="auto"/>
        <w:jc w:val="center"/>
        <w:rPr>
          <w:rFonts w:ascii="Times New Roman" w:hAnsi="Times New Roman" w:cs="Times New Roman"/>
          <w:b/>
          <w:sz w:val="24"/>
          <w:szCs w:val="24"/>
        </w:rPr>
      </w:pPr>
      <w:r w:rsidRPr="00F32624">
        <w:rPr>
          <w:rFonts w:ascii="Times New Roman" w:hAnsi="Times New Roman" w:cs="Times New Roman"/>
          <w:b/>
          <w:sz w:val="24"/>
          <w:szCs w:val="24"/>
        </w:rPr>
        <w:t>BUSINESS MANAGEMENT</w:t>
      </w:r>
    </w:p>
    <w:p w14:paraId="78D47AB3" w14:textId="77777777" w:rsidR="00F32624" w:rsidRPr="00F32624" w:rsidRDefault="00F32624" w:rsidP="00F32624">
      <w:pPr>
        <w:spacing w:line="360" w:lineRule="auto"/>
        <w:jc w:val="center"/>
        <w:rPr>
          <w:rFonts w:ascii="Times New Roman" w:hAnsi="Times New Roman" w:cs="Times New Roman"/>
          <w:b/>
          <w:sz w:val="24"/>
          <w:szCs w:val="24"/>
        </w:rPr>
      </w:pPr>
      <w:r w:rsidRPr="00F32624">
        <w:rPr>
          <w:rFonts w:ascii="Times New Roman" w:hAnsi="Times New Roman" w:cs="Times New Roman"/>
          <w:b/>
          <w:sz w:val="24"/>
          <w:szCs w:val="24"/>
        </w:rPr>
        <w:t>COMMUNITY ENGAGEMENT</w:t>
      </w:r>
    </w:p>
    <w:p w14:paraId="6444D5A5" w14:textId="77777777" w:rsidR="001C3383" w:rsidRDefault="001C3383" w:rsidP="00F32624">
      <w:pPr>
        <w:spacing w:line="360" w:lineRule="auto"/>
        <w:jc w:val="center"/>
        <w:rPr>
          <w:rFonts w:ascii="Times New Roman" w:hAnsi="Times New Roman" w:cs="Times New Roman"/>
          <w:b/>
          <w:sz w:val="24"/>
          <w:szCs w:val="24"/>
        </w:rPr>
      </w:pPr>
    </w:p>
    <w:p w14:paraId="06F174A7" w14:textId="77777777" w:rsidR="001C3383" w:rsidRDefault="001C3383" w:rsidP="00F32624">
      <w:pPr>
        <w:spacing w:line="360" w:lineRule="auto"/>
        <w:jc w:val="center"/>
        <w:rPr>
          <w:rFonts w:ascii="Times New Roman" w:hAnsi="Times New Roman" w:cs="Times New Roman"/>
          <w:b/>
          <w:sz w:val="24"/>
          <w:szCs w:val="24"/>
        </w:rPr>
      </w:pPr>
    </w:p>
    <w:p w14:paraId="0A742A07" w14:textId="3FC51633" w:rsidR="00F32624" w:rsidRPr="001C3383" w:rsidRDefault="00F32624" w:rsidP="00F32624">
      <w:pPr>
        <w:spacing w:line="360" w:lineRule="auto"/>
        <w:jc w:val="center"/>
        <w:rPr>
          <w:rFonts w:ascii="Times New Roman" w:hAnsi="Times New Roman" w:cs="Times New Roman"/>
          <w:b/>
          <w:sz w:val="24"/>
          <w:szCs w:val="24"/>
        </w:rPr>
      </w:pPr>
      <w:r w:rsidRPr="00F32624">
        <w:rPr>
          <w:rFonts w:ascii="Times New Roman" w:hAnsi="Times New Roman" w:cs="Times New Roman"/>
          <w:b/>
          <w:sz w:val="24"/>
          <w:szCs w:val="24"/>
        </w:rPr>
        <w:t>STUDENT ID</w:t>
      </w:r>
      <w:r w:rsidR="001C3383">
        <w:rPr>
          <w:rFonts w:ascii="Times New Roman" w:hAnsi="Times New Roman" w:cs="Times New Roman"/>
          <w:b/>
          <w:sz w:val="24"/>
          <w:szCs w:val="24"/>
        </w:rPr>
        <w:t xml:space="preserve">: </w:t>
      </w:r>
      <w:r w:rsidR="001C3383" w:rsidRPr="001C3383">
        <w:rPr>
          <w:rFonts w:ascii="Times New Roman" w:eastAsia="Times New Roman" w:hAnsi="Times New Roman" w:cs="Times New Roman"/>
          <w:b/>
          <w:color w:val="000000" w:themeColor="text1"/>
        </w:rPr>
        <w:t>2122648</w:t>
      </w:r>
    </w:p>
    <w:p w14:paraId="257D11E8" w14:textId="77777777" w:rsidR="00F32624" w:rsidRPr="00F32624" w:rsidRDefault="00F32624" w:rsidP="00F32624">
      <w:pPr>
        <w:spacing w:line="360" w:lineRule="auto"/>
        <w:jc w:val="center"/>
        <w:rPr>
          <w:rFonts w:ascii="Times New Roman" w:hAnsi="Times New Roman" w:cs="Times New Roman"/>
          <w:b/>
          <w:sz w:val="24"/>
          <w:szCs w:val="24"/>
        </w:rPr>
      </w:pPr>
      <w:r w:rsidRPr="00F32624">
        <w:rPr>
          <w:rFonts w:ascii="Times New Roman" w:hAnsi="Times New Roman" w:cs="Times New Roman"/>
          <w:b/>
          <w:sz w:val="24"/>
          <w:szCs w:val="24"/>
        </w:rPr>
        <w:t>MODULE CODE: LCBB4002</w:t>
      </w:r>
    </w:p>
    <w:p w14:paraId="540DFDF0" w14:textId="77777777" w:rsidR="001C3383" w:rsidRDefault="001C3383" w:rsidP="00F32624">
      <w:pPr>
        <w:spacing w:line="360" w:lineRule="auto"/>
        <w:jc w:val="center"/>
        <w:rPr>
          <w:rFonts w:ascii="Times New Roman" w:hAnsi="Times New Roman" w:cs="Times New Roman"/>
          <w:b/>
          <w:sz w:val="24"/>
          <w:szCs w:val="24"/>
        </w:rPr>
      </w:pPr>
    </w:p>
    <w:p w14:paraId="4A24B012" w14:textId="7814E123" w:rsidR="00F32624" w:rsidRPr="00F32624" w:rsidRDefault="00F32624" w:rsidP="00F32624">
      <w:pPr>
        <w:spacing w:line="360" w:lineRule="auto"/>
        <w:jc w:val="center"/>
        <w:rPr>
          <w:rFonts w:ascii="Times New Roman" w:hAnsi="Times New Roman" w:cs="Times New Roman"/>
          <w:b/>
          <w:sz w:val="24"/>
          <w:szCs w:val="24"/>
        </w:rPr>
      </w:pPr>
      <w:r w:rsidRPr="00F32624">
        <w:rPr>
          <w:rFonts w:ascii="Times New Roman" w:hAnsi="Times New Roman" w:cs="Times New Roman"/>
          <w:b/>
          <w:sz w:val="24"/>
          <w:szCs w:val="24"/>
        </w:rPr>
        <w:t>LECTURER</w:t>
      </w:r>
      <w:r w:rsidR="001C3383">
        <w:rPr>
          <w:rFonts w:ascii="Times New Roman" w:hAnsi="Times New Roman" w:cs="Times New Roman"/>
          <w:b/>
          <w:sz w:val="24"/>
          <w:szCs w:val="24"/>
        </w:rPr>
        <w:t xml:space="preserve">: </w:t>
      </w:r>
      <w:r w:rsidR="001C3383">
        <w:rPr>
          <w:rFonts w:ascii="Calibri" w:eastAsia="Times New Roman" w:hAnsi="Calibri" w:cs="Calibri"/>
          <w:b/>
          <w:color w:val="000000" w:themeColor="text1"/>
        </w:rPr>
        <w:t xml:space="preserve">DR. MOLLY JACK </w:t>
      </w:r>
    </w:p>
    <w:p w14:paraId="7C83849E" w14:textId="1EE11BB1" w:rsidR="00F32624" w:rsidRPr="00F32624" w:rsidRDefault="00F32624" w:rsidP="00F32624">
      <w:pPr>
        <w:spacing w:line="360" w:lineRule="auto"/>
        <w:jc w:val="center"/>
        <w:rPr>
          <w:rFonts w:ascii="Times New Roman" w:eastAsiaTheme="majorEastAsia" w:hAnsi="Times New Roman" w:cs="Times New Roman"/>
          <w:b/>
          <w:bCs/>
          <w:sz w:val="24"/>
          <w:szCs w:val="24"/>
        </w:rPr>
      </w:pPr>
      <w:r w:rsidRPr="00F32624">
        <w:rPr>
          <w:rFonts w:ascii="Times New Roman" w:hAnsi="Times New Roman" w:cs="Times New Roman"/>
          <w:b/>
          <w:sz w:val="24"/>
          <w:szCs w:val="24"/>
        </w:rPr>
        <w:t>SUBMISIION DATE</w:t>
      </w:r>
      <w:r w:rsidR="001C3383">
        <w:rPr>
          <w:rFonts w:ascii="Times New Roman" w:hAnsi="Times New Roman" w:cs="Times New Roman"/>
          <w:b/>
          <w:sz w:val="24"/>
          <w:szCs w:val="24"/>
        </w:rPr>
        <w:t>: 05.09.2022</w:t>
      </w:r>
    </w:p>
    <w:p w14:paraId="5C8398AF" w14:textId="77777777" w:rsidR="00F32624" w:rsidRPr="00F32624" w:rsidRDefault="00F32624" w:rsidP="00F32624">
      <w:pPr>
        <w:spacing w:line="360" w:lineRule="auto"/>
        <w:rPr>
          <w:rFonts w:ascii="Times New Roman" w:eastAsia="Times New Roman" w:hAnsi="Times New Roman" w:cs="Times New Roman"/>
          <w:sz w:val="24"/>
          <w:szCs w:val="24"/>
          <w:lang w:eastAsia="en-GB"/>
        </w:rPr>
      </w:pPr>
      <w:r w:rsidRPr="00F32624">
        <w:rPr>
          <w:rFonts w:ascii="Times New Roman" w:hAnsi="Times New Roman" w:cs="Times New Roman"/>
          <w:sz w:val="24"/>
          <w:szCs w:val="24"/>
        </w:rPr>
        <w:br w:type="page"/>
      </w:r>
    </w:p>
    <w:p w14:paraId="3F855202" w14:textId="77777777" w:rsidR="00435275" w:rsidRPr="00F32624" w:rsidRDefault="00F32624" w:rsidP="00F32624">
      <w:pPr>
        <w:pStyle w:val="root-block-node"/>
        <w:spacing w:line="360" w:lineRule="auto"/>
        <w:rPr>
          <w:b/>
        </w:rPr>
      </w:pPr>
      <w:r w:rsidRPr="00F32624">
        <w:rPr>
          <w:b/>
        </w:rPr>
        <w:lastRenderedPageBreak/>
        <w:t>AN ESSAY ON COMMUNITY ENGAGEMENT</w:t>
      </w:r>
    </w:p>
    <w:p w14:paraId="78A7E7CC" w14:textId="77777777" w:rsidR="00435275" w:rsidRPr="00F32624" w:rsidRDefault="00435275" w:rsidP="00F32624">
      <w:pPr>
        <w:pStyle w:val="root-block-node"/>
        <w:spacing w:line="360" w:lineRule="auto"/>
      </w:pPr>
      <w:r w:rsidRPr="00F32624">
        <w:t xml:space="preserve">This essay is on community engagement and aims to deepen the understanding of the deeper meaning and the ways in which the activity of community engagement can be engaged in the community to promote the development of the aspect of involving the stakeholders. This means that the meaning of community involvement will also be done in the aspect of community development. The discussion on the efficient ways and the definitions of the stakeholders in community development will also be discussed. This is because there is a need to involve the stakeholders in the community activities and the development </w:t>
      </w:r>
      <w:proofErr w:type="gramStart"/>
      <w:r w:rsidRPr="00F32624">
        <w:t>so as to</w:t>
      </w:r>
      <w:proofErr w:type="gramEnd"/>
      <w:r w:rsidRPr="00F32624">
        <w:t xml:space="preserve"> facilitate the easy growth of the society and the community at large. </w:t>
      </w:r>
    </w:p>
    <w:p w14:paraId="5C746B7A" w14:textId="77777777" w:rsidR="00435275" w:rsidRPr="00F32624" w:rsidRDefault="00435275" w:rsidP="00F32624">
      <w:pPr>
        <w:pStyle w:val="root-block-node"/>
        <w:spacing w:line="360" w:lineRule="auto"/>
      </w:pPr>
      <w:r w:rsidRPr="00F32624">
        <w:t xml:space="preserve">The community engagement is aimed at improving the quality of life of the community and the living standards of the locals in the community. It is sometimes referred to as "public participation" because various people come together in the desire to make participatory decision-making that is aimed at improving the life standards of the people living in a specific community by improving their services (Guimares et al., 2020). This means that an efficient and strategic decision-making process is needed in community engagement because most of the individuals are aimed at the improvement of society's living standards. The simplest definition of community engagement is the employment of both political and non-political tactics to try to enhance the standard of living </w:t>
      </w:r>
      <w:proofErr w:type="gramStart"/>
      <w:r w:rsidRPr="00F32624">
        <w:t>in a given</w:t>
      </w:r>
      <w:proofErr w:type="gramEnd"/>
      <w:r w:rsidRPr="00F32624">
        <w:t xml:space="preserve"> community. "Public participation," "civic engagement," and "community involvement" are three terms used to describe various types of behaviour that incorporate knowledge, abilities, attitudes, and motivation. They are all motivated by a desire to better one's community (Doris et al., 2019).</w:t>
      </w:r>
    </w:p>
    <w:p w14:paraId="794C1696" w14:textId="5BBC3468" w:rsidR="00435275" w:rsidRPr="00F32624" w:rsidRDefault="00435275" w:rsidP="00F32624">
      <w:pPr>
        <w:pStyle w:val="root-block-node"/>
        <w:spacing w:line="360" w:lineRule="auto"/>
      </w:pPr>
      <w:r w:rsidRPr="00F32624">
        <w:t xml:space="preserve">There are various forms of community engagement that can be done at the community level by the locals together with the stakeholders who are aiming at the improvement of the community standards of living. The activities include the building of communal facilities such as healthcare facilities and schools in the given society; participating in the local drive; helping the local farmers aim at the establishment of the local market; and attending the meetings in the community that are aimed at developing the community in the aspect of development. With the rise of deepening and expanding public engagement globally, the importance of community engagement has become pivotal for well-functioning twenty-first century democracies (Lumpkin et al., 2019). Constructive relationships between communities and the institutions of government make community engagement not only desirable, but necessary and viable as it is likely to lead to more equitable, sustainable public decisions and </w:t>
      </w:r>
      <w:r w:rsidRPr="00F32624">
        <w:lastRenderedPageBreak/>
        <w:t xml:space="preserve">improve the liveability of local communities. </w:t>
      </w:r>
      <w:r w:rsidR="002A6130" w:rsidRPr="00F32624">
        <w:t>Therefore</w:t>
      </w:r>
      <w:r w:rsidR="002A6130">
        <w:t xml:space="preserve">, </w:t>
      </w:r>
      <w:r w:rsidRPr="00F32624">
        <w:t>community engagement is important for individuals, public organizations, and governments (Weger et al., 2018).</w:t>
      </w:r>
    </w:p>
    <w:p w14:paraId="770B6E93" w14:textId="77777777" w:rsidR="00435275" w:rsidRPr="00F32624" w:rsidRDefault="00435275" w:rsidP="00F32624">
      <w:pPr>
        <w:pStyle w:val="root-block-node"/>
        <w:spacing w:line="360" w:lineRule="auto"/>
      </w:pPr>
      <w:r w:rsidRPr="00F32624">
        <w:t>Where traditional, executive-led approaches are ineffective, community engagement is important in its collaborative approach to the design and/or delivery of services. For the complexity of issues in any given community—where traditional approaches have been ineffective if non-inclusive in the extreme—community engagement enables a better understanding of communities’ needs and aspirations. Communities may gain from the aid of governmental organisations and public oversight bodies if they actively seek them out and then pay attention to what they have to say about their objectives, issues, and values (Hussey et al., 2021). Public decision-makers are more able to address community demands when making choices based on informed opinions.</w:t>
      </w:r>
    </w:p>
    <w:p w14:paraId="0C9E07CC" w14:textId="77777777" w:rsidR="00435275" w:rsidRPr="00394268" w:rsidRDefault="00435275" w:rsidP="00394268">
      <w:pPr>
        <w:spacing w:line="360" w:lineRule="auto"/>
        <w:rPr>
          <w:rFonts w:ascii="Times New Roman" w:eastAsia="Times New Roman" w:hAnsi="Times New Roman" w:cs="Times New Roman"/>
          <w:sz w:val="24"/>
          <w:szCs w:val="24"/>
          <w:lang w:eastAsia="en-GB"/>
        </w:rPr>
      </w:pPr>
      <w:r w:rsidRPr="00F32624">
        <w:rPr>
          <w:rFonts w:ascii="Times New Roman" w:hAnsi="Times New Roman" w:cs="Times New Roman"/>
          <w:sz w:val="24"/>
          <w:szCs w:val="24"/>
        </w:rPr>
        <w:t>Through the tailoring of services to the specific aims of the community, long-term, productive partnerships between public institutions and communities enhance the sense of community ownership and service uptake. Community engagement is of importance at the community level to both the locals and the stakeholders. By encouraging and protecting cohesive communities, citizens' engagement in local problems can aid local governments in better representing the concerns of the public. Community involvement is also essential for social transformation and can improve conditions for those who live in underdeveloped or abandoned areas (Greenhalgh et al., 2016).</w:t>
      </w:r>
    </w:p>
    <w:p w14:paraId="259DE378" w14:textId="77777777" w:rsidR="00435275" w:rsidRPr="00F32624" w:rsidRDefault="00435275" w:rsidP="00F32624">
      <w:pPr>
        <w:pStyle w:val="root-block-node"/>
        <w:spacing w:line="360" w:lineRule="auto"/>
      </w:pPr>
      <w:r w:rsidRPr="00F32624">
        <w:t>Community engagement is of importance as it increases the likelihood of acceptance by the locals of the projects that are being undertaken at the local level. This is through the acceptance of the project that is being undertaken by the existing community. There is also more creation of effective solutions, which is based on the application of knowledge on the local level to the diverse groups’ solutions that are more pragmatic and effective. Community engagement is also important in the improvement of the skills and knowledge of the participants at the community level (</w:t>
      </w:r>
      <w:proofErr w:type="spellStart"/>
      <w:r w:rsidRPr="00F32624">
        <w:t>Veelen</w:t>
      </w:r>
      <w:proofErr w:type="spellEnd"/>
      <w:r w:rsidRPr="00F32624">
        <w:t xml:space="preserve"> et al., 2017). Participants in the local community </w:t>
      </w:r>
      <w:proofErr w:type="gramStart"/>
      <w:r w:rsidRPr="00F32624">
        <w:t>are able to</w:t>
      </w:r>
      <w:proofErr w:type="gramEnd"/>
      <w:r w:rsidRPr="00F32624">
        <w:t xml:space="preserve"> learn about the issues in their broader context, demonstrating greater knowledge and equipping them with basic decision-making skills. This also aids in the practise of both decision-making and communication skills, which are essential for local understanding.</w:t>
      </w:r>
    </w:p>
    <w:p w14:paraId="352C3B93" w14:textId="77777777" w:rsidR="00394268" w:rsidRDefault="00394268">
      <w:pPr>
        <w:rPr>
          <w:rFonts w:ascii="Times New Roman" w:eastAsia="Times New Roman" w:hAnsi="Times New Roman" w:cs="Times New Roman"/>
          <w:sz w:val="24"/>
          <w:szCs w:val="24"/>
          <w:lang w:eastAsia="en-GB"/>
        </w:rPr>
      </w:pPr>
      <w:r>
        <w:br w:type="page"/>
      </w:r>
    </w:p>
    <w:p w14:paraId="7CF64D17" w14:textId="73B3FA11" w:rsidR="00435275" w:rsidRPr="00F32624" w:rsidRDefault="00435275" w:rsidP="00F32624">
      <w:pPr>
        <w:pStyle w:val="root-block-node"/>
        <w:spacing w:line="360" w:lineRule="auto"/>
      </w:pPr>
      <w:r w:rsidRPr="00F32624">
        <w:lastRenderedPageBreak/>
        <w:t xml:space="preserve">There are various principles that help in the provision of the basic guidelines for the engagement of stakeholders in community development. The Principles of Community Engagement provide both practical guidance and a research-based argument for why people should participate in community decision-making and action for illness prevention, health promotion, and health protection. These suggestions can help public health professionals and local government representatives better coordinate, collaborate, and work with other groups, </w:t>
      </w:r>
      <w:r w:rsidR="002A6130" w:rsidRPr="00F32624">
        <w:t>residents</w:t>
      </w:r>
      <w:r w:rsidRPr="00F32624">
        <w:t>, and other stakeholders. Some of the principles in community engagement are careful planning and preparation (Boaz et al., 2018). Through effective planning and inclusive planning, there is a basic definition of the mission of the engagement and the project that is aimed at the accomplishment of the mission that was stated. This is accompanied by the design, organisation, and convening of the purpose of the project, which helps in convincing the stakeholders to come to the aid of helping the project be successful. The other principle is the inclusion of and demographic diversity in the community engagement process (</w:t>
      </w:r>
      <w:proofErr w:type="spellStart"/>
      <w:r w:rsidRPr="00F32624">
        <w:t>Andriof</w:t>
      </w:r>
      <w:proofErr w:type="spellEnd"/>
      <w:r w:rsidRPr="00F32624">
        <w:t xml:space="preserve"> et al., 2017). </w:t>
      </w:r>
    </w:p>
    <w:p w14:paraId="0FF871A1" w14:textId="77777777" w:rsidR="00435275" w:rsidRPr="00F32624" w:rsidRDefault="00435275" w:rsidP="00F32624">
      <w:pPr>
        <w:pStyle w:val="root-block-node"/>
        <w:spacing w:line="360" w:lineRule="auto"/>
      </w:pPr>
      <w:r w:rsidRPr="00F32624">
        <w:t>These principles involve the incorporation of various individuals into the community engagement in the groundwork to improve the community standard. This leads to quality outcomes and democratic legitimacy during and after the project in the community that involves the engagement. The other principle is that the community engager must gain more knowledge of the community that is supposed to be engaged. This helps in the learning of the community values and the ethical practises that the person is expected to follow during the process of the project that is supposed to be undertaken in society. This principle also entails gaining knowledge of the specific community's economic statistics, political trends, and socio-cultural practises (Edward et al., 2020). There is a need to learn and be knowledgeable of the community in the aspect of the perception of the project that the community is aiming to be engaged in. The other principle is to establish trust in the given community by establishing the basic relationship that will help in formal and informal leadership. This can help in bringing the communal relationship into the mobilisation of the community.</w:t>
      </w:r>
    </w:p>
    <w:p w14:paraId="492BF425" w14:textId="77777777" w:rsidR="00394268" w:rsidRDefault="00394268">
      <w:pPr>
        <w:rPr>
          <w:rFonts w:ascii="Times New Roman" w:eastAsia="Times New Roman" w:hAnsi="Times New Roman" w:cs="Times New Roman"/>
          <w:sz w:val="24"/>
          <w:szCs w:val="24"/>
          <w:lang w:eastAsia="en-GB"/>
        </w:rPr>
      </w:pPr>
      <w:r>
        <w:br w:type="page"/>
      </w:r>
    </w:p>
    <w:p w14:paraId="3642144C" w14:textId="77777777" w:rsidR="00435275" w:rsidRPr="00F32624" w:rsidRDefault="00435275" w:rsidP="00F32624">
      <w:pPr>
        <w:pStyle w:val="root-block-node"/>
        <w:spacing w:line="360" w:lineRule="auto"/>
      </w:pPr>
      <w:r w:rsidRPr="00F32624">
        <w:lastRenderedPageBreak/>
        <w:t>The other principle is that there is a need for the community engagement person to always remember and have acceptance of the community determination. This is known as the rights of the locals, or community people, who are in the project that they are supposed to be engaged in. This protects the person from establishing a personal interest in the project rather than focusing on the community interest. The other principle is that there is a need for respecting and recognising cultural diversity, and this is helpful in designing and implementing community engagement practises (Ninomiya et al., 2017). This is encompassed and supported by the mobilisation of community assets in a sustainable way and by developing more resources for the community and the resources that are helpful in the decision-making and actions in community engagement. </w:t>
      </w:r>
    </w:p>
    <w:p w14:paraId="20116DD2" w14:textId="77777777" w:rsidR="00435275" w:rsidRPr="00F32624" w:rsidRDefault="00435275" w:rsidP="00F32624">
      <w:pPr>
        <w:pStyle w:val="root-block-node"/>
        <w:spacing w:line="360" w:lineRule="auto"/>
      </w:pPr>
      <w:r w:rsidRPr="00F32624">
        <w:t xml:space="preserve">Hence, there is also a need to be prepared to release control of the various actions and interventions in the given community and be flexible in meeting the changes that are needed in the community. These adjustments are necessary for the community to address its most pressing requirements. To earn the public trust, there is also a need for the practitioners to be clear on what the community people want or need to be established. There is also a need to be concise </w:t>
      </w:r>
      <w:proofErr w:type="gramStart"/>
      <w:r w:rsidRPr="00F32624">
        <w:t>in order to</w:t>
      </w:r>
      <w:proofErr w:type="gramEnd"/>
      <w:r w:rsidRPr="00F32624">
        <w:t xml:space="preserve"> avoid becoming a barrier between the community and the practitioner (Sharifi et al., 2016). The facts about the community should also be changed to enhance the frequent update on the communal changes that may be occurring in the community. This can help in making the stakeholders interested in the project that requires community engagement.</w:t>
      </w:r>
    </w:p>
    <w:p w14:paraId="57AECC55" w14:textId="77777777" w:rsidR="00435275" w:rsidRPr="00F32624" w:rsidRDefault="00435275" w:rsidP="00F32624">
      <w:pPr>
        <w:pStyle w:val="root-block-node"/>
        <w:spacing w:line="360" w:lineRule="auto"/>
      </w:pPr>
      <w:r w:rsidRPr="00F32624">
        <w:t xml:space="preserve">Those with an interest in or concern for the neighbourhood are referred to as stakeholders in the process of community participation. The goals, ambitions, and policies of the community may have an impact on or influence stakeholders. Important community stakeholders include residents, community organisations, builders, government officials (and the organisations they represent), shop owners, local authorities, commission members, and other organisations that supply the community with resources (Weger et al., 2018). </w:t>
      </w:r>
      <w:proofErr w:type="gramStart"/>
      <w:r w:rsidRPr="00F32624">
        <w:t>In order to</w:t>
      </w:r>
      <w:proofErr w:type="gramEnd"/>
      <w:r w:rsidRPr="00F32624">
        <w:t xml:space="preserve"> incorporate all the stakeholders, social media needs to be used strategically to organise people and create relationships for community involvement.</w:t>
      </w:r>
    </w:p>
    <w:p w14:paraId="67E1B7D0" w14:textId="77777777" w:rsidR="00394268" w:rsidRDefault="00394268">
      <w:pPr>
        <w:rPr>
          <w:rFonts w:ascii="Times New Roman" w:eastAsia="Times New Roman" w:hAnsi="Times New Roman" w:cs="Times New Roman"/>
          <w:sz w:val="24"/>
          <w:szCs w:val="24"/>
          <w:lang w:eastAsia="en-GB"/>
        </w:rPr>
      </w:pPr>
      <w:r>
        <w:br w:type="page"/>
      </w:r>
    </w:p>
    <w:p w14:paraId="595585B8" w14:textId="77777777" w:rsidR="00394268" w:rsidRDefault="00435275" w:rsidP="00F32624">
      <w:pPr>
        <w:pStyle w:val="root-block-node"/>
        <w:spacing w:line="360" w:lineRule="auto"/>
      </w:pPr>
      <w:r w:rsidRPr="00F32624">
        <w:lastRenderedPageBreak/>
        <w:t>This is attributed to good interpersonal relationships, professional skills, and creative thinking abilities gained through social media sites. To engage the stakeholders through social networking, there is a need to maintain a presence on the various social media platforms. This is done by first creating an account that aims for the community engagement project. There is also a need for the establishment of a genuine account that is focused on the community engagement project rather than the parody accounts. This can help in raising the trust of the stakeholders who might be interested in the project in the community (Smith et al., 2018). This also helps in the creation of awareness among the stakeholders who are interested in your project so that there can be a higher possibility of them being involved in your project. Having relevant social media profiles offers the benefit of stakeholder identification by "liking" your page, following you, or adding you as a contact. You may get ready for future interactions with this new audience by helping others, whether it is through direction, advice, or teamwork (Cortado et al., 2016).</w:t>
      </w:r>
    </w:p>
    <w:p w14:paraId="40F7D7E8" w14:textId="77777777" w:rsidR="00435275" w:rsidRPr="00F32624" w:rsidRDefault="00435275" w:rsidP="00F32624">
      <w:pPr>
        <w:pStyle w:val="root-block-node"/>
        <w:spacing w:line="360" w:lineRule="auto"/>
      </w:pPr>
      <w:r w:rsidRPr="00F32624">
        <w:t>The technique of searching for stakeholder conversations on social media is also important. This is in the aspect of knowing what these stakeholders have about you on the project. This can point you in the direction of the ideal stakeholder to include in your project. This is determined by the comments that are made by the stakeholders on the social media pages. The person is advised to use and involve the stakeholders who only have positive comments on the projects. The other technique in engaging the stakeholders is targeting the stakeholders' interests. Through social media, it is easier to identify the potential stakeholders, and this is done by searching the social networks for mentions of places, services, events, and other relevant content (Andersson et al., 2017). This results in the build-up of a social network among the local people, and this network has got the potential to become an online breakthrough when the needs of the stakeholders are met.</w:t>
      </w:r>
    </w:p>
    <w:p w14:paraId="7F22C6FA" w14:textId="77777777" w:rsidR="00435275" w:rsidRPr="00F32624" w:rsidRDefault="00435275" w:rsidP="00F32624">
      <w:pPr>
        <w:pStyle w:val="root-block-node"/>
        <w:spacing w:line="360" w:lineRule="auto"/>
      </w:pPr>
      <w:r w:rsidRPr="00F32624">
        <w:t xml:space="preserve">Another social media strategy of engaging the potential stakeholders is through sharing the relevant content that is focused on building the stakeholders' interests and the community activity that is relevant to the content of the project that requires community engagement. This helps in the identification of the potential collaborators who are stakeholders and can help in the implementation of the project to be undertaken. The involvement of various groups in social media is encouraged (Barrett et al., 2016). And immediately the stakeholders have become part of your project, you can introduce the subscription button that will help </w:t>
      </w:r>
      <w:r w:rsidRPr="00F32624">
        <w:lastRenderedPageBreak/>
        <w:t>them be on the radar of any updates on the project that you are accomplishing in the community engagement.</w:t>
      </w:r>
    </w:p>
    <w:p w14:paraId="74387401" w14:textId="77777777" w:rsidR="00F32624" w:rsidRPr="00F32624" w:rsidRDefault="00435275" w:rsidP="00F32624">
      <w:pPr>
        <w:pStyle w:val="root-block-node"/>
        <w:spacing w:line="360" w:lineRule="auto"/>
      </w:pPr>
      <w:r w:rsidRPr="00F32624">
        <w:t>In conclusion, community engagement is the aspect that is aimed at improving the quality of life of the community and the living standards of the locals in the community. It is sometimes referred to as "public participation" because various people come together in the desire to make participatory decision-making that is aimed at improving the life standards of the people living in a specific community by improving their services. Community engagement is important in the improvement of the skills and knowledge of the participants at the community level. According to the Principles of Social Engagement, which also provides helpful advice, including the public in local decision-making and action for improving health, health protection, and sickness treatment is backed by research. These principles involve the incorporation of various individuals into the community engagement in the groundwork to improve the community standard. There are also basic standards that must be met in the engagement process of the stakeholders in the use of social media. To engage the stakeholders through social networking, there is a need to maintain a presence on the various social media platforms. This is done by first creating an account that aims for the community engagement project.</w:t>
      </w:r>
      <w:r w:rsidR="00F32624" w:rsidRPr="00F32624">
        <w:br w:type="page"/>
      </w:r>
    </w:p>
    <w:p w14:paraId="34C74F10" w14:textId="77777777" w:rsidR="00927DC7" w:rsidRPr="00F32624" w:rsidRDefault="00F32624" w:rsidP="00F32624">
      <w:pPr>
        <w:pStyle w:val="root-block-node"/>
        <w:spacing w:line="360" w:lineRule="auto"/>
        <w:rPr>
          <w:b/>
        </w:rPr>
      </w:pPr>
      <w:r w:rsidRPr="00F32624">
        <w:rPr>
          <w:b/>
        </w:rPr>
        <w:lastRenderedPageBreak/>
        <w:t xml:space="preserve">REFERENCES </w:t>
      </w:r>
    </w:p>
    <w:p w14:paraId="5D30E6A9" w14:textId="77777777" w:rsidR="00F32624" w:rsidRPr="00F32624" w:rsidRDefault="00F32624" w:rsidP="00F32624">
      <w:pPr>
        <w:spacing w:line="360" w:lineRule="auto"/>
        <w:rPr>
          <w:rFonts w:ascii="Times New Roman" w:hAnsi="Times New Roman" w:cs="Times New Roman"/>
          <w:color w:val="222222"/>
          <w:sz w:val="24"/>
          <w:szCs w:val="24"/>
          <w:shd w:val="clear" w:color="auto" w:fill="FFFFFF"/>
        </w:rPr>
      </w:pPr>
      <w:r w:rsidRPr="00F32624">
        <w:rPr>
          <w:rFonts w:ascii="Times New Roman" w:hAnsi="Times New Roman" w:cs="Times New Roman"/>
          <w:color w:val="222222"/>
          <w:sz w:val="24"/>
          <w:szCs w:val="24"/>
          <w:shd w:val="clear" w:color="auto" w:fill="FFFFFF"/>
        </w:rPr>
        <w:t xml:space="preserve">Andersson, S. and Wikström, N., 2017. Why and how are social media used in a B2B context, and which stakeholders are </w:t>
      </w:r>
      <w:proofErr w:type="gramStart"/>
      <w:r w:rsidRPr="00F32624">
        <w:rPr>
          <w:rFonts w:ascii="Times New Roman" w:hAnsi="Times New Roman" w:cs="Times New Roman"/>
          <w:color w:val="222222"/>
          <w:sz w:val="24"/>
          <w:szCs w:val="24"/>
          <w:shd w:val="clear" w:color="auto" w:fill="FFFFFF"/>
        </w:rPr>
        <w:t>involved?.</w:t>
      </w:r>
      <w:proofErr w:type="gramEnd"/>
      <w:r w:rsidRPr="00F32624">
        <w:rPr>
          <w:rFonts w:ascii="Times New Roman" w:hAnsi="Times New Roman" w:cs="Times New Roman"/>
          <w:color w:val="222222"/>
          <w:sz w:val="24"/>
          <w:szCs w:val="24"/>
          <w:shd w:val="clear" w:color="auto" w:fill="FFFFFF"/>
        </w:rPr>
        <w:t> </w:t>
      </w:r>
      <w:r w:rsidRPr="00F32624">
        <w:rPr>
          <w:rFonts w:ascii="Times New Roman" w:hAnsi="Times New Roman" w:cs="Times New Roman"/>
          <w:i/>
          <w:iCs/>
          <w:color w:val="222222"/>
          <w:sz w:val="24"/>
          <w:szCs w:val="24"/>
          <w:shd w:val="clear" w:color="auto" w:fill="FFFFFF"/>
        </w:rPr>
        <w:t>Journal of Business &amp; Industrial Marketing</w:t>
      </w:r>
      <w:r w:rsidRPr="00F32624">
        <w:rPr>
          <w:rFonts w:ascii="Times New Roman" w:hAnsi="Times New Roman" w:cs="Times New Roman"/>
          <w:color w:val="222222"/>
          <w:sz w:val="24"/>
          <w:szCs w:val="24"/>
          <w:shd w:val="clear" w:color="auto" w:fill="FFFFFF"/>
        </w:rPr>
        <w:t>.</w:t>
      </w:r>
    </w:p>
    <w:p w14:paraId="380DD708" w14:textId="77777777" w:rsidR="00F32624" w:rsidRPr="00F32624" w:rsidRDefault="00F32624" w:rsidP="00F32624">
      <w:pPr>
        <w:spacing w:line="360" w:lineRule="auto"/>
        <w:rPr>
          <w:rFonts w:ascii="Times New Roman" w:hAnsi="Times New Roman" w:cs="Times New Roman"/>
          <w:color w:val="222222"/>
          <w:sz w:val="24"/>
          <w:szCs w:val="24"/>
          <w:shd w:val="clear" w:color="auto" w:fill="FFFFFF"/>
        </w:rPr>
      </w:pPr>
      <w:proofErr w:type="spellStart"/>
      <w:r w:rsidRPr="00F32624">
        <w:rPr>
          <w:rFonts w:ascii="Times New Roman" w:hAnsi="Times New Roman" w:cs="Times New Roman"/>
          <w:color w:val="222222"/>
          <w:sz w:val="24"/>
          <w:szCs w:val="24"/>
          <w:shd w:val="clear" w:color="auto" w:fill="FFFFFF"/>
        </w:rPr>
        <w:t>Andriof</w:t>
      </w:r>
      <w:proofErr w:type="spellEnd"/>
      <w:r w:rsidRPr="00F32624">
        <w:rPr>
          <w:rFonts w:ascii="Times New Roman" w:hAnsi="Times New Roman" w:cs="Times New Roman"/>
          <w:color w:val="222222"/>
          <w:sz w:val="24"/>
          <w:szCs w:val="24"/>
          <w:shd w:val="clear" w:color="auto" w:fill="FFFFFF"/>
        </w:rPr>
        <w:t>, J. and Waddock, S., 2017. Unfolding stakeholder engagement. In </w:t>
      </w:r>
      <w:r w:rsidRPr="00F32624">
        <w:rPr>
          <w:rFonts w:ascii="Times New Roman" w:hAnsi="Times New Roman" w:cs="Times New Roman"/>
          <w:i/>
          <w:iCs/>
          <w:color w:val="222222"/>
          <w:sz w:val="24"/>
          <w:szCs w:val="24"/>
          <w:shd w:val="clear" w:color="auto" w:fill="FFFFFF"/>
        </w:rPr>
        <w:t>Unfolding stakeholder thinking</w:t>
      </w:r>
      <w:r w:rsidRPr="00F32624">
        <w:rPr>
          <w:rFonts w:ascii="Times New Roman" w:hAnsi="Times New Roman" w:cs="Times New Roman"/>
          <w:color w:val="222222"/>
          <w:sz w:val="24"/>
          <w:szCs w:val="24"/>
          <w:shd w:val="clear" w:color="auto" w:fill="FFFFFF"/>
        </w:rPr>
        <w:t> (pp. 19-42). Routledge.</w:t>
      </w:r>
    </w:p>
    <w:p w14:paraId="05FF2E7E" w14:textId="77777777" w:rsidR="00F32624" w:rsidRPr="00F32624" w:rsidRDefault="00F32624" w:rsidP="00F32624">
      <w:pPr>
        <w:spacing w:line="360" w:lineRule="auto"/>
        <w:rPr>
          <w:rFonts w:ascii="Times New Roman" w:hAnsi="Times New Roman" w:cs="Times New Roman"/>
          <w:color w:val="222222"/>
          <w:sz w:val="24"/>
          <w:szCs w:val="24"/>
          <w:shd w:val="clear" w:color="auto" w:fill="FFFFFF"/>
        </w:rPr>
      </w:pPr>
      <w:r w:rsidRPr="00F32624">
        <w:rPr>
          <w:rFonts w:ascii="Times New Roman" w:hAnsi="Times New Roman" w:cs="Times New Roman"/>
          <w:color w:val="222222"/>
          <w:sz w:val="24"/>
          <w:szCs w:val="24"/>
          <w:shd w:val="clear" w:color="auto" w:fill="FFFFFF"/>
        </w:rPr>
        <w:t xml:space="preserve">Barrett, M., Oborn, E. and Orlikowski, W., 2016. Creating value in online communities: The </w:t>
      </w:r>
      <w:proofErr w:type="spellStart"/>
      <w:r w:rsidRPr="00F32624">
        <w:rPr>
          <w:rFonts w:ascii="Times New Roman" w:hAnsi="Times New Roman" w:cs="Times New Roman"/>
          <w:color w:val="222222"/>
          <w:sz w:val="24"/>
          <w:szCs w:val="24"/>
          <w:shd w:val="clear" w:color="auto" w:fill="FFFFFF"/>
        </w:rPr>
        <w:t>sociomaterial</w:t>
      </w:r>
      <w:proofErr w:type="spellEnd"/>
      <w:r w:rsidRPr="00F32624">
        <w:rPr>
          <w:rFonts w:ascii="Times New Roman" w:hAnsi="Times New Roman" w:cs="Times New Roman"/>
          <w:color w:val="222222"/>
          <w:sz w:val="24"/>
          <w:szCs w:val="24"/>
          <w:shd w:val="clear" w:color="auto" w:fill="FFFFFF"/>
        </w:rPr>
        <w:t xml:space="preserve"> configuring of strategy, platform, and stakeholder engagement. </w:t>
      </w:r>
      <w:r w:rsidRPr="00F32624">
        <w:rPr>
          <w:rFonts w:ascii="Times New Roman" w:hAnsi="Times New Roman" w:cs="Times New Roman"/>
          <w:i/>
          <w:iCs/>
          <w:color w:val="222222"/>
          <w:sz w:val="24"/>
          <w:szCs w:val="24"/>
          <w:shd w:val="clear" w:color="auto" w:fill="FFFFFF"/>
        </w:rPr>
        <w:t>Information Systems Research</w:t>
      </w:r>
      <w:r w:rsidRPr="00F32624">
        <w:rPr>
          <w:rFonts w:ascii="Times New Roman" w:hAnsi="Times New Roman" w:cs="Times New Roman"/>
          <w:color w:val="222222"/>
          <w:sz w:val="24"/>
          <w:szCs w:val="24"/>
          <w:shd w:val="clear" w:color="auto" w:fill="FFFFFF"/>
        </w:rPr>
        <w:t>, </w:t>
      </w:r>
      <w:r w:rsidRPr="00F32624">
        <w:rPr>
          <w:rFonts w:ascii="Times New Roman" w:hAnsi="Times New Roman" w:cs="Times New Roman"/>
          <w:i/>
          <w:iCs/>
          <w:color w:val="222222"/>
          <w:sz w:val="24"/>
          <w:szCs w:val="24"/>
          <w:shd w:val="clear" w:color="auto" w:fill="FFFFFF"/>
        </w:rPr>
        <w:t>27</w:t>
      </w:r>
      <w:r w:rsidRPr="00F32624">
        <w:rPr>
          <w:rFonts w:ascii="Times New Roman" w:hAnsi="Times New Roman" w:cs="Times New Roman"/>
          <w:color w:val="222222"/>
          <w:sz w:val="24"/>
          <w:szCs w:val="24"/>
          <w:shd w:val="clear" w:color="auto" w:fill="FFFFFF"/>
        </w:rPr>
        <w:t>(4), pp.704-723.</w:t>
      </w:r>
    </w:p>
    <w:p w14:paraId="29A7506C" w14:textId="77777777" w:rsidR="00F32624" w:rsidRPr="00F32624" w:rsidRDefault="00F32624" w:rsidP="00F32624">
      <w:pPr>
        <w:spacing w:line="360" w:lineRule="auto"/>
        <w:rPr>
          <w:rFonts w:ascii="Times New Roman" w:hAnsi="Times New Roman" w:cs="Times New Roman"/>
          <w:color w:val="222222"/>
          <w:sz w:val="24"/>
          <w:szCs w:val="24"/>
          <w:shd w:val="clear" w:color="auto" w:fill="FFFFFF"/>
        </w:rPr>
      </w:pPr>
      <w:r w:rsidRPr="00F32624">
        <w:rPr>
          <w:rFonts w:ascii="Times New Roman" w:hAnsi="Times New Roman" w:cs="Times New Roman"/>
          <w:color w:val="222222"/>
          <w:sz w:val="24"/>
          <w:szCs w:val="24"/>
          <w:shd w:val="clear" w:color="auto" w:fill="FFFFFF"/>
        </w:rPr>
        <w:t>Boaz, Annette, Stephen Hanney, Robert Borst, Alison O’Shea, and Maarten Kok 2018. "How to engage stakeholders in research: design principles to support improvement." </w:t>
      </w:r>
      <w:r w:rsidRPr="00F32624">
        <w:rPr>
          <w:rFonts w:ascii="Times New Roman" w:hAnsi="Times New Roman" w:cs="Times New Roman"/>
          <w:i/>
          <w:iCs/>
          <w:color w:val="222222"/>
          <w:sz w:val="24"/>
          <w:szCs w:val="24"/>
          <w:shd w:val="clear" w:color="auto" w:fill="FFFFFF"/>
        </w:rPr>
        <w:t>Health research policy and systems</w:t>
      </w:r>
      <w:r w:rsidRPr="00F32624">
        <w:rPr>
          <w:rFonts w:ascii="Times New Roman" w:hAnsi="Times New Roman" w:cs="Times New Roman"/>
          <w:color w:val="222222"/>
          <w:sz w:val="24"/>
          <w:szCs w:val="24"/>
          <w:shd w:val="clear" w:color="auto" w:fill="FFFFFF"/>
        </w:rPr>
        <w:t> 16, no: 1-9.</w:t>
      </w:r>
    </w:p>
    <w:p w14:paraId="12C4FF00" w14:textId="77777777" w:rsidR="00F32624" w:rsidRPr="00F32624" w:rsidRDefault="00F32624" w:rsidP="00F32624">
      <w:pPr>
        <w:spacing w:line="360" w:lineRule="auto"/>
        <w:rPr>
          <w:rFonts w:ascii="Times New Roman" w:hAnsi="Times New Roman" w:cs="Times New Roman"/>
          <w:color w:val="222222"/>
          <w:sz w:val="24"/>
          <w:szCs w:val="24"/>
          <w:shd w:val="clear" w:color="auto" w:fill="FFFFFF"/>
        </w:rPr>
      </w:pPr>
      <w:r w:rsidRPr="00F32624">
        <w:rPr>
          <w:rFonts w:ascii="Times New Roman" w:hAnsi="Times New Roman" w:cs="Times New Roman"/>
          <w:color w:val="222222"/>
          <w:sz w:val="24"/>
          <w:szCs w:val="24"/>
          <w:shd w:val="clear" w:color="auto" w:fill="FFFFFF"/>
        </w:rPr>
        <w:t xml:space="preserve">Cortado, F.J. and </w:t>
      </w:r>
      <w:proofErr w:type="spellStart"/>
      <w:r w:rsidRPr="00F32624">
        <w:rPr>
          <w:rFonts w:ascii="Times New Roman" w:hAnsi="Times New Roman" w:cs="Times New Roman"/>
          <w:color w:val="222222"/>
          <w:sz w:val="24"/>
          <w:szCs w:val="24"/>
          <w:shd w:val="clear" w:color="auto" w:fill="FFFFFF"/>
        </w:rPr>
        <w:t>Chalmeta</w:t>
      </w:r>
      <w:proofErr w:type="spellEnd"/>
      <w:r w:rsidRPr="00F32624">
        <w:rPr>
          <w:rFonts w:ascii="Times New Roman" w:hAnsi="Times New Roman" w:cs="Times New Roman"/>
          <w:color w:val="222222"/>
          <w:sz w:val="24"/>
          <w:szCs w:val="24"/>
          <w:shd w:val="clear" w:color="auto" w:fill="FFFFFF"/>
        </w:rPr>
        <w:t>, R., 2016. Use of social networks as a CSR communication tool. </w:t>
      </w:r>
      <w:r w:rsidRPr="00F32624">
        <w:rPr>
          <w:rFonts w:ascii="Times New Roman" w:hAnsi="Times New Roman" w:cs="Times New Roman"/>
          <w:i/>
          <w:iCs/>
          <w:color w:val="222222"/>
          <w:sz w:val="24"/>
          <w:szCs w:val="24"/>
          <w:shd w:val="clear" w:color="auto" w:fill="FFFFFF"/>
        </w:rPr>
        <w:t>Cogent business &amp; management</w:t>
      </w:r>
      <w:r w:rsidRPr="00F32624">
        <w:rPr>
          <w:rFonts w:ascii="Times New Roman" w:hAnsi="Times New Roman" w:cs="Times New Roman"/>
          <w:color w:val="222222"/>
          <w:sz w:val="24"/>
          <w:szCs w:val="24"/>
          <w:shd w:val="clear" w:color="auto" w:fill="FFFFFF"/>
        </w:rPr>
        <w:t>, </w:t>
      </w:r>
      <w:r w:rsidRPr="00F32624">
        <w:rPr>
          <w:rFonts w:ascii="Times New Roman" w:hAnsi="Times New Roman" w:cs="Times New Roman"/>
          <w:i/>
          <w:iCs/>
          <w:color w:val="222222"/>
          <w:sz w:val="24"/>
          <w:szCs w:val="24"/>
          <w:shd w:val="clear" w:color="auto" w:fill="FFFFFF"/>
        </w:rPr>
        <w:t>3</w:t>
      </w:r>
      <w:r w:rsidRPr="00F32624">
        <w:rPr>
          <w:rFonts w:ascii="Times New Roman" w:hAnsi="Times New Roman" w:cs="Times New Roman"/>
          <w:color w:val="222222"/>
          <w:sz w:val="24"/>
          <w:szCs w:val="24"/>
          <w:shd w:val="clear" w:color="auto" w:fill="FFFFFF"/>
        </w:rPr>
        <w:t>(1), p.1187783.</w:t>
      </w:r>
    </w:p>
    <w:p w14:paraId="2A776C95" w14:textId="77777777" w:rsidR="00F32624" w:rsidRPr="00F32624" w:rsidRDefault="00F32624" w:rsidP="00F32624">
      <w:pPr>
        <w:spacing w:line="360" w:lineRule="auto"/>
        <w:rPr>
          <w:rFonts w:ascii="Times New Roman" w:hAnsi="Times New Roman" w:cs="Times New Roman"/>
          <w:color w:val="222222"/>
          <w:sz w:val="24"/>
          <w:szCs w:val="24"/>
          <w:shd w:val="clear" w:color="auto" w:fill="FFFFFF"/>
        </w:rPr>
      </w:pPr>
      <w:r w:rsidRPr="00F32624">
        <w:rPr>
          <w:rFonts w:ascii="Times New Roman" w:hAnsi="Times New Roman" w:cs="Times New Roman"/>
          <w:color w:val="222222"/>
          <w:sz w:val="24"/>
          <w:szCs w:val="24"/>
          <w:shd w:val="clear" w:color="auto" w:fill="FFFFFF"/>
        </w:rPr>
        <w:t xml:space="preserve">De Guimarães, Julio Cesar Ferro, Eliana Andréa Severo, Luiz Antonio Felix Júnior, </w:t>
      </w:r>
      <w:proofErr w:type="spellStart"/>
      <w:r w:rsidRPr="00F32624">
        <w:rPr>
          <w:rFonts w:ascii="Times New Roman" w:hAnsi="Times New Roman" w:cs="Times New Roman"/>
          <w:color w:val="222222"/>
          <w:sz w:val="24"/>
          <w:szCs w:val="24"/>
          <w:shd w:val="clear" w:color="auto" w:fill="FFFFFF"/>
        </w:rPr>
        <w:t>Wênyka</w:t>
      </w:r>
      <w:proofErr w:type="spellEnd"/>
      <w:r w:rsidRPr="00F32624">
        <w:rPr>
          <w:rFonts w:ascii="Times New Roman" w:hAnsi="Times New Roman" w:cs="Times New Roman"/>
          <w:color w:val="222222"/>
          <w:sz w:val="24"/>
          <w:szCs w:val="24"/>
          <w:shd w:val="clear" w:color="auto" w:fill="FFFFFF"/>
        </w:rPr>
        <w:t xml:space="preserve"> Preston Leite Batista Da Costa, and Fernanda Tasso </w:t>
      </w:r>
      <w:proofErr w:type="spellStart"/>
      <w:r w:rsidRPr="00F32624">
        <w:rPr>
          <w:rFonts w:ascii="Times New Roman" w:hAnsi="Times New Roman" w:cs="Times New Roman"/>
          <w:color w:val="222222"/>
          <w:sz w:val="24"/>
          <w:szCs w:val="24"/>
          <w:shd w:val="clear" w:color="auto" w:fill="FFFFFF"/>
        </w:rPr>
        <w:t>Salmoria</w:t>
      </w:r>
      <w:proofErr w:type="spellEnd"/>
      <w:r w:rsidRPr="00F32624">
        <w:rPr>
          <w:rFonts w:ascii="Times New Roman" w:hAnsi="Times New Roman" w:cs="Times New Roman"/>
          <w:color w:val="222222"/>
          <w:sz w:val="24"/>
          <w:szCs w:val="24"/>
          <w:shd w:val="clear" w:color="auto" w:fill="FFFFFF"/>
        </w:rPr>
        <w:t xml:space="preserve"> 2020. "Governance and quality of life in smart cities: Towards sustainable development goals." </w:t>
      </w:r>
      <w:r w:rsidRPr="00F32624">
        <w:rPr>
          <w:rFonts w:ascii="Times New Roman" w:hAnsi="Times New Roman" w:cs="Times New Roman"/>
          <w:i/>
          <w:iCs/>
          <w:color w:val="222222"/>
          <w:sz w:val="24"/>
          <w:szCs w:val="24"/>
          <w:shd w:val="clear" w:color="auto" w:fill="FFFFFF"/>
        </w:rPr>
        <w:t>Journal of Cleaner Production</w:t>
      </w:r>
      <w:r w:rsidRPr="00F32624">
        <w:rPr>
          <w:rFonts w:ascii="Times New Roman" w:hAnsi="Times New Roman" w:cs="Times New Roman"/>
          <w:color w:val="222222"/>
          <w:sz w:val="24"/>
          <w:szCs w:val="24"/>
          <w:shd w:val="clear" w:color="auto" w:fill="FFFFFF"/>
        </w:rPr>
        <w:t> 253: 119926.</w:t>
      </w:r>
    </w:p>
    <w:p w14:paraId="428D51D7" w14:textId="77777777" w:rsidR="00F32624" w:rsidRPr="00F32624" w:rsidRDefault="00F32624" w:rsidP="00F32624">
      <w:pPr>
        <w:spacing w:line="360" w:lineRule="auto"/>
        <w:rPr>
          <w:rFonts w:ascii="Times New Roman" w:hAnsi="Times New Roman" w:cs="Times New Roman"/>
          <w:color w:val="222222"/>
          <w:sz w:val="24"/>
          <w:szCs w:val="24"/>
          <w:shd w:val="clear" w:color="auto" w:fill="FFFFFF"/>
        </w:rPr>
      </w:pPr>
      <w:r w:rsidRPr="00F32624">
        <w:rPr>
          <w:rFonts w:ascii="Times New Roman" w:hAnsi="Times New Roman" w:cs="Times New Roman"/>
          <w:color w:val="222222"/>
          <w:sz w:val="24"/>
          <w:szCs w:val="24"/>
          <w:shd w:val="clear" w:color="auto" w:fill="FFFFFF"/>
        </w:rPr>
        <w:t xml:space="preserve">De Weger, E., N. Van Vooren, K. G. </w:t>
      </w:r>
      <w:proofErr w:type="spellStart"/>
      <w:r w:rsidRPr="00F32624">
        <w:rPr>
          <w:rFonts w:ascii="Times New Roman" w:hAnsi="Times New Roman" w:cs="Times New Roman"/>
          <w:color w:val="222222"/>
          <w:sz w:val="24"/>
          <w:szCs w:val="24"/>
          <w:shd w:val="clear" w:color="auto" w:fill="FFFFFF"/>
        </w:rPr>
        <w:t>Luijkx</w:t>
      </w:r>
      <w:proofErr w:type="spellEnd"/>
      <w:r w:rsidRPr="00F32624">
        <w:rPr>
          <w:rFonts w:ascii="Times New Roman" w:hAnsi="Times New Roman" w:cs="Times New Roman"/>
          <w:color w:val="222222"/>
          <w:sz w:val="24"/>
          <w:szCs w:val="24"/>
          <w:shd w:val="clear" w:color="auto" w:fill="FFFFFF"/>
        </w:rPr>
        <w:t>, C. A. Baan, and H. W. Drewes. "Achieving successful community engagement: a rapid realist review." </w:t>
      </w:r>
      <w:r w:rsidRPr="00F32624">
        <w:rPr>
          <w:rFonts w:ascii="Times New Roman" w:hAnsi="Times New Roman" w:cs="Times New Roman"/>
          <w:i/>
          <w:iCs/>
          <w:color w:val="222222"/>
          <w:sz w:val="24"/>
          <w:szCs w:val="24"/>
          <w:shd w:val="clear" w:color="auto" w:fill="FFFFFF"/>
        </w:rPr>
        <w:t>BMC health services research</w:t>
      </w:r>
      <w:r w:rsidRPr="00F32624">
        <w:rPr>
          <w:rFonts w:ascii="Times New Roman" w:hAnsi="Times New Roman" w:cs="Times New Roman"/>
          <w:color w:val="222222"/>
          <w:sz w:val="24"/>
          <w:szCs w:val="24"/>
          <w:shd w:val="clear" w:color="auto" w:fill="FFFFFF"/>
        </w:rPr>
        <w:t> 18, no. 1 (2018): 1-18.</w:t>
      </w:r>
    </w:p>
    <w:p w14:paraId="42898A69" w14:textId="77777777" w:rsidR="00F32624" w:rsidRPr="00F32624" w:rsidRDefault="00F32624" w:rsidP="00F32624">
      <w:pPr>
        <w:spacing w:line="360" w:lineRule="auto"/>
        <w:rPr>
          <w:rFonts w:ascii="Times New Roman" w:hAnsi="Times New Roman" w:cs="Times New Roman"/>
          <w:color w:val="222222"/>
          <w:sz w:val="24"/>
          <w:szCs w:val="24"/>
          <w:shd w:val="clear" w:color="auto" w:fill="FFFFFF"/>
        </w:rPr>
      </w:pPr>
      <w:r w:rsidRPr="00F32624">
        <w:rPr>
          <w:rFonts w:ascii="Times New Roman" w:hAnsi="Times New Roman" w:cs="Times New Roman"/>
          <w:color w:val="222222"/>
          <w:sz w:val="24"/>
          <w:szCs w:val="24"/>
          <w:shd w:val="clear" w:color="auto" w:fill="FFFFFF"/>
        </w:rPr>
        <w:t>Freeman, R. Edward, Bidhan L. Parmar, and Kirsten Martin 2020. "BUSINESS AND ETHICS." </w:t>
      </w:r>
      <w:r w:rsidRPr="00F32624">
        <w:rPr>
          <w:rFonts w:ascii="Times New Roman" w:hAnsi="Times New Roman" w:cs="Times New Roman"/>
          <w:i/>
          <w:iCs/>
          <w:color w:val="222222"/>
          <w:sz w:val="24"/>
          <w:szCs w:val="24"/>
          <w:shd w:val="clear" w:color="auto" w:fill="FFFFFF"/>
        </w:rPr>
        <w:t>The Power of And</w:t>
      </w:r>
      <w:r w:rsidRPr="00F32624">
        <w:rPr>
          <w:rFonts w:ascii="Times New Roman" w:hAnsi="Times New Roman" w:cs="Times New Roman"/>
          <w:color w:val="222222"/>
          <w:sz w:val="24"/>
          <w:szCs w:val="24"/>
          <w:shd w:val="clear" w:color="auto" w:fill="FFFFFF"/>
        </w:rPr>
        <w:t xml:space="preserve">. Columbia University </w:t>
      </w:r>
      <w:proofErr w:type="gramStart"/>
      <w:r w:rsidRPr="00F32624">
        <w:rPr>
          <w:rFonts w:ascii="Times New Roman" w:hAnsi="Times New Roman" w:cs="Times New Roman"/>
          <w:color w:val="222222"/>
          <w:sz w:val="24"/>
          <w:szCs w:val="24"/>
          <w:shd w:val="clear" w:color="auto" w:fill="FFFFFF"/>
        </w:rPr>
        <w:t>Press,.</w:t>
      </w:r>
      <w:proofErr w:type="gramEnd"/>
      <w:r w:rsidRPr="00F32624">
        <w:rPr>
          <w:rFonts w:ascii="Times New Roman" w:hAnsi="Times New Roman" w:cs="Times New Roman"/>
          <w:color w:val="222222"/>
          <w:sz w:val="24"/>
          <w:szCs w:val="24"/>
          <w:shd w:val="clear" w:color="auto" w:fill="FFFFFF"/>
        </w:rPr>
        <w:t xml:space="preserve"> 129-140.</w:t>
      </w:r>
    </w:p>
    <w:p w14:paraId="318FA7CD" w14:textId="77777777" w:rsidR="00F32624" w:rsidRPr="00F32624" w:rsidRDefault="00F32624" w:rsidP="00F32624">
      <w:pPr>
        <w:spacing w:line="360" w:lineRule="auto"/>
        <w:rPr>
          <w:rFonts w:ascii="Times New Roman" w:hAnsi="Times New Roman" w:cs="Times New Roman"/>
          <w:color w:val="222222"/>
          <w:sz w:val="24"/>
          <w:szCs w:val="24"/>
          <w:shd w:val="clear" w:color="auto" w:fill="FFFFFF"/>
        </w:rPr>
      </w:pPr>
      <w:r w:rsidRPr="00F32624">
        <w:rPr>
          <w:rFonts w:ascii="Times New Roman" w:hAnsi="Times New Roman" w:cs="Times New Roman"/>
          <w:color w:val="222222"/>
          <w:sz w:val="24"/>
          <w:szCs w:val="24"/>
          <w:shd w:val="clear" w:color="auto" w:fill="FFFFFF"/>
        </w:rPr>
        <w:t>Greenhalgh, Trisha, 2016. "Achieving research impact through co</w:t>
      </w:r>
      <w:r w:rsidRPr="00F32624">
        <w:rPr>
          <w:rFonts w:ascii="Cambria Math" w:hAnsi="Cambria Math" w:cs="Times New Roman"/>
          <w:color w:val="222222"/>
          <w:sz w:val="24"/>
          <w:szCs w:val="24"/>
          <w:shd w:val="clear" w:color="auto" w:fill="FFFFFF"/>
        </w:rPr>
        <w:t>‐</w:t>
      </w:r>
      <w:r w:rsidRPr="00F32624">
        <w:rPr>
          <w:rFonts w:ascii="Times New Roman" w:hAnsi="Times New Roman" w:cs="Times New Roman"/>
          <w:color w:val="222222"/>
          <w:sz w:val="24"/>
          <w:szCs w:val="24"/>
          <w:shd w:val="clear" w:color="auto" w:fill="FFFFFF"/>
        </w:rPr>
        <w:t>creation in community</w:t>
      </w:r>
      <w:r w:rsidRPr="00F32624">
        <w:rPr>
          <w:rFonts w:ascii="Cambria Math" w:hAnsi="Cambria Math" w:cs="Times New Roman"/>
          <w:color w:val="222222"/>
          <w:sz w:val="24"/>
          <w:szCs w:val="24"/>
          <w:shd w:val="clear" w:color="auto" w:fill="FFFFFF"/>
        </w:rPr>
        <w:t>‐</w:t>
      </w:r>
      <w:r w:rsidRPr="00F32624">
        <w:rPr>
          <w:rFonts w:ascii="Times New Roman" w:hAnsi="Times New Roman" w:cs="Times New Roman"/>
          <w:color w:val="222222"/>
          <w:sz w:val="24"/>
          <w:szCs w:val="24"/>
          <w:shd w:val="clear" w:color="auto" w:fill="FFFFFF"/>
        </w:rPr>
        <w:t>based health services: literature review and case study." </w:t>
      </w:r>
      <w:r w:rsidRPr="00F32624">
        <w:rPr>
          <w:rFonts w:ascii="Times New Roman" w:hAnsi="Times New Roman" w:cs="Times New Roman"/>
          <w:i/>
          <w:iCs/>
          <w:color w:val="222222"/>
          <w:sz w:val="24"/>
          <w:szCs w:val="24"/>
          <w:shd w:val="clear" w:color="auto" w:fill="FFFFFF"/>
        </w:rPr>
        <w:t>The Milbank Quarterly</w:t>
      </w:r>
      <w:r w:rsidRPr="00F32624">
        <w:rPr>
          <w:rFonts w:ascii="Times New Roman" w:hAnsi="Times New Roman" w:cs="Times New Roman"/>
          <w:color w:val="222222"/>
          <w:sz w:val="24"/>
          <w:szCs w:val="24"/>
          <w:shd w:val="clear" w:color="auto" w:fill="FFFFFF"/>
        </w:rPr>
        <w:t> </w:t>
      </w:r>
      <w:proofErr w:type="gramStart"/>
      <w:r w:rsidRPr="00F32624">
        <w:rPr>
          <w:rFonts w:ascii="Times New Roman" w:hAnsi="Times New Roman" w:cs="Times New Roman"/>
          <w:color w:val="222222"/>
          <w:sz w:val="24"/>
          <w:szCs w:val="24"/>
          <w:shd w:val="clear" w:color="auto" w:fill="FFFFFF"/>
        </w:rPr>
        <w:t>94.2 :</w:t>
      </w:r>
      <w:proofErr w:type="gramEnd"/>
      <w:r w:rsidRPr="00F32624">
        <w:rPr>
          <w:rFonts w:ascii="Times New Roman" w:hAnsi="Times New Roman" w:cs="Times New Roman"/>
          <w:color w:val="222222"/>
          <w:sz w:val="24"/>
          <w:szCs w:val="24"/>
          <w:shd w:val="clear" w:color="auto" w:fill="FFFFFF"/>
        </w:rPr>
        <w:t xml:space="preserve"> 392-429.</w:t>
      </w:r>
    </w:p>
    <w:p w14:paraId="6F252C27" w14:textId="77777777" w:rsidR="00F32624" w:rsidRPr="00F32624" w:rsidRDefault="00F32624" w:rsidP="00F32624">
      <w:pPr>
        <w:spacing w:line="360" w:lineRule="auto"/>
        <w:rPr>
          <w:rFonts w:ascii="Times New Roman" w:hAnsi="Times New Roman" w:cs="Times New Roman"/>
          <w:color w:val="222222"/>
          <w:sz w:val="24"/>
          <w:szCs w:val="24"/>
          <w:shd w:val="clear" w:color="auto" w:fill="FFFFFF"/>
        </w:rPr>
      </w:pPr>
      <w:r w:rsidRPr="00F32624">
        <w:rPr>
          <w:rFonts w:ascii="Times New Roman" w:hAnsi="Times New Roman" w:cs="Times New Roman"/>
          <w:color w:val="222222"/>
          <w:sz w:val="24"/>
          <w:szCs w:val="24"/>
          <w:shd w:val="clear" w:color="auto" w:fill="FFFFFF"/>
        </w:rPr>
        <w:t>Hussey, S., 2021. Community engagement 101: understand the impact of public consultation.</w:t>
      </w:r>
    </w:p>
    <w:p w14:paraId="001BB55B" w14:textId="77777777" w:rsidR="00F32624" w:rsidRPr="00F32624" w:rsidRDefault="00F32624" w:rsidP="00F32624">
      <w:pPr>
        <w:spacing w:line="360" w:lineRule="auto"/>
        <w:rPr>
          <w:rFonts w:ascii="Times New Roman" w:hAnsi="Times New Roman" w:cs="Times New Roman"/>
          <w:sz w:val="24"/>
          <w:szCs w:val="24"/>
        </w:rPr>
      </w:pPr>
      <w:r w:rsidRPr="00F32624">
        <w:rPr>
          <w:rFonts w:ascii="Times New Roman" w:hAnsi="Times New Roman" w:cs="Times New Roman"/>
          <w:color w:val="222222"/>
          <w:sz w:val="24"/>
          <w:szCs w:val="24"/>
          <w:shd w:val="clear" w:color="auto" w:fill="FFFFFF"/>
        </w:rPr>
        <w:t xml:space="preserve">Lumpkin, G. T., and Sophie </w:t>
      </w:r>
      <w:proofErr w:type="spellStart"/>
      <w:r w:rsidRPr="00F32624">
        <w:rPr>
          <w:rFonts w:ascii="Times New Roman" w:hAnsi="Times New Roman" w:cs="Times New Roman"/>
          <w:color w:val="222222"/>
          <w:sz w:val="24"/>
          <w:szCs w:val="24"/>
          <w:shd w:val="clear" w:color="auto" w:fill="FFFFFF"/>
        </w:rPr>
        <w:t>Bacq</w:t>
      </w:r>
      <w:proofErr w:type="spellEnd"/>
      <w:r w:rsidRPr="00F32624">
        <w:rPr>
          <w:rFonts w:ascii="Times New Roman" w:hAnsi="Times New Roman" w:cs="Times New Roman"/>
          <w:color w:val="222222"/>
          <w:sz w:val="24"/>
          <w:szCs w:val="24"/>
          <w:shd w:val="clear" w:color="auto" w:fill="FFFFFF"/>
        </w:rPr>
        <w:t xml:space="preserve"> 2019. "Civic wealth creation: A new view of stakeholder engagement and societal impact." </w:t>
      </w:r>
      <w:r w:rsidRPr="00F32624">
        <w:rPr>
          <w:rFonts w:ascii="Times New Roman" w:hAnsi="Times New Roman" w:cs="Times New Roman"/>
          <w:i/>
          <w:iCs/>
          <w:color w:val="222222"/>
          <w:sz w:val="24"/>
          <w:szCs w:val="24"/>
          <w:shd w:val="clear" w:color="auto" w:fill="FFFFFF"/>
        </w:rPr>
        <w:t>Academy of Management Perspectives</w:t>
      </w:r>
      <w:r w:rsidRPr="00F32624">
        <w:rPr>
          <w:rFonts w:ascii="Times New Roman" w:hAnsi="Times New Roman" w:cs="Times New Roman"/>
          <w:color w:val="222222"/>
          <w:sz w:val="24"/>
          <w:szCs w:val="24"/>
          <w:shd w:val="clear" w:color="auto" w:fill="FFFFFF"/>
        </w:rPr>
        <w:t> 33.4: 383-404.</w:t>
      </w:r>
    </w:p>
    <w:p w14:paraId="420907CD" w14:textId="77777777" w:rsidR="00F32624" w:rsidRPr="00F32624" w:rsidRDefault="00F32624" w:rsidP="00F32624">
      <w:pPr>
        <w:spacing w:line="360" w:lineRule="auto"/>
        <w:rPr>
          <w:rFonts w:ascii="Times New Roman" w:hAnsi="Times New Roman" w:cs="Times New Roman"/>
          <w:color w:val="222222"/>
          <w:sz w:val="24"/>
          <w:szCs w:val="24"/>
          <w:shd w:val="clear" w:color="auto" w:fill="FFFFFF"/>
        </w:rPr>
      </w:pPr>
      <w:r w:rsidRPr="00F32624">
        <w:rPr>
          <w:rFonts w:ascii="Times New Roman" w:hAnsi="Times New Roman" w:cs="Times New Roman"/>
          <w:color w:val="222222"/>
          <w:sz w:val="24"/>
          <w:szCs w:val="24"/>
          <w:shd w:val="clear" w:color="auto" w:fill="FFFFFF"/>
        </w:rPr>
        <w:lastRenderedPageBreak/>
        <w:t>Ninomiya, Melody E. Morton, and Nathaniel J. Pollock 2017. "Reconciling community-based Indigenous research and academic practices: Knowing principles is not always enough." </w:t>
      </w:r>
      <w:r w:rsidRPr="00F32624">
        <w:rPr>
          <w:rFonts w:ascii="Times New Roman" w:hAnsi="Times New Roman" w:cs="Times New Roman"/>
          <w:i/>
          <w:iCs/>
          <w:color w:val="222222"/>
          <w:sz w:val="24"/>
          <w:szCs w:val="24"/>
          <w:shd w:val="clear" w:color="auto" w:fill="FFFFFF"/>
        </w:rPr>
        <w:t>Social science &amp; medicine</w:t>
      </w:r>
      <w:r w:rsidRPr="00F32624">
        <w:rPr>
          <w:rFonts w:ascii="Times New Roman" w:hAnsi="Times New Roman" w:cs="Times New Roman"/>
          <w:color w:val="222222"/>
          <w:sz w:val="24"/>
          <w:szCs w:val="24"/>
          <w:shd w:val="clear" w:color="auto" w:fill="FFFFFF"/>
        </w:rPr>
        <w:t> 172: 28-36.</w:t>
      </w:r>
    </w:p>
    <w:p w14:paraId="6F7D0F99" w14:textId="77777777" w:rsidR="00F32624" w:rsidRPr="00F32624" w:rsidRDefault="00F32624" w:rsidP="00F32624">
      <w:pPr>
        <w:spacing w:line="360" w:lineRule="auto"/>
        <w:rPr>
          <w:rFonts w:ascii="Times New Roman" w:hAnsi="Times New Roman" w:cs="Times New Roman"/>
          <w:color w:val="222222"/>
          <w:sz w:val="24"/>
          <w:szCs w:val="24"/>
          <w:shd w:val="clear" w:color="auto" w:fill="FFFFFF"/>
        </w:rPr>
      </w:pPr>
      <w:r w:rsidRPr="00F32624">
        <w:rPr>
          <w:rFonts w:ascii="Times New Roman" w:hAnsi="Times New Roman" w:cs="Times New Roman"/>
          <w:color w:val="222222"/>
          <w:sz w:val="24"/>
          <w:szCs w:val="24"/>
          <w:shd w:val="clear" w:color="auto" w:fill="FFFFFF"/>
        </w:rPr>
        <w:t>Sharifi, A., 2016. A critical review of selected tools for assessing community resilience. </w:t>
      </w:r>
      <w:r w:rsidRPr="00F32624">
        <w:rPr>
          <w:rFonts w:ascii="Times New Roman" w:hAnsi="Times New Roman" w:cs="Times New Roman"/>
          <w:i/>
          <w:iCs/>
          <w:color w:val="222222"/>
          <w:sz w:val="24"/>
          <w:szCs w:val="24"/>
          <w:shd w:val="clear" w:color="auto" w:fill="FFFFFF"/>
        </w:rPr>
        <w:t>Ecological indicators</w:t>
      </w:r>
      <w:r w:rsidRPr="00F32624">
        <w:rPr>
          <w:rFonts w:ascii="Times New Roman" w:hAnsi="Times New Roman" w:cs="Times New Roman"/>
          <w:color w:val="222222"/>
          <w:sz w:val="24"/>
          <w:szCs w:val="24"/>
          <w:shd w:val="clear" w:color="auto" w:fill="FFFFFF"/>
        </w:rPr>
        <w:t>, </w:t>
      </w:r>
      <w:r w:rsidRPr="00F32624">
        <w:rPr>
          <w:rFonts w:ascii="Times New Roman" w:hAnsi="Times New Roman" w:cs="Times New Roman"/>
          <w:i/>
          <w:iCs/>
          <w:color w:val="222222"/>
          <w:sz w:val="24"/>
          <w:szCs w:val="24"/>
          <w:shd w:val="clear" w:color="auto" w:fill="FFFFFF"/>
        </w:rPr>
        <w:t>69</w:t>
      </w:r>
      <w:r w:rsidRPr="00F32624">
        <w:rPr>
          <w:rFonts w:ascii="Times New Roman" w:hAnsi="Times New Roman" w:cs="Times New Roman"/>
          <w:color w:val="222222"/>
          <w:sz w:val="24"/>
          <w:szCs w:val="24"/>
          <w:shd w:val="clear" w:color="auto" w:fill="FFFFFF"/>
        </w:rPr>
        <w:t>, pp.629-647.</w:t>
      </w:r>
    </w:p>
    <w:p w14:paraId="2BCC5DCA" w14:textId="77777777" w:rsidR="00F32624" w:rsidRPr="00F32624" w:rsidRDefault="00F32624" w:rsidP="00F32624">
      <w:pPr>
        <w:spacing w:line="360" w:lineRule="auto"/>
        <w:rPr>
          <w:rFonts w:ascii="Times New Roman" w:hAnsi="Times New Roman" w:cs="Times New Roman"/>
          <w:sz w:val="24"/>
          <w:szCs w:val="24"/>
        </w:rPr>
      </w:pPr>
      <w:r w:rsidRPr="00F32624">
        <w:rPr>
          <w:rFonts w:ascii="Times New Roman" w:hAnsi="Times New Roman" w:cs="Times New Roman"/>
          <w:color w:val="222222"/>
          <w:sz w:val="24"/>
          <w:szCs w:val="24"/>
          <w:shd w:val="clear" w:color="auto" w:fill="FFFFFF"/>
        </w:rPr>
        <w:t xml:space="preserve">Smith, J.N., 2018. The social </w:t>
      </w:r>
      <w:proofErr w:type="gramStart"/>
      <w:r w:rsidRPr="00F32624">
        <w:rPr>
          <w:rFonts w:ascii="Times New Roman" w:hAnsi="Times New Roman" w:cs="Times New Roman"/>
          <w:color w:val="222222"/>
          <w:sz w:val="24"/>
          <w:szCs w:val="24"/>
          <w:shd w:val="clear" w:color="auto" w:fill="FFFFFF"/>
        </w:rPr>
        <w:t>network?:</w:t>
      </w:r>
      <w:proofErr w:type="gramEnd"/>
      <w:r w:rsidRPr="00F32624">
        <w:rPr>
          <w:rFonts w:ascii="Times New Roman" w:hAnsi="Times New Roman" w:cs="Times New Roman"/>
          <w:color w:val="222222"/>
          <w:sz w:val="24"/>
          <w:szCs w:val="24"/>
          <w:shd w:val="clear" w:color="auto" w:fill="FFFFFF"/>
        </w:rPr>
        <w:t xml:space="preserve"> </w:t>
      </w:r>
      <w:proofErr w:type="spellStart"/>
      <w:r w:rsidRPr="00F32624">
        <w:rPr>
          <w:rFonts w:ascii="Times New Roman" w:hAnsi="Times New Roman" w:cs="Times New Roman"/>
          <w:color w:val="222222"/>
          <w:sz w:val="24"/>
          <w:szCs w:val="24"/>
          <w:shd w:val="clear" w:color="auto" w:fill="FFFFFF"/>
        </w:rPr>
        <w:t>Nonprofit</w:t>
      </w:r>
      <w:proofErr w:type="spellEnd"/>
      <w:r w:rsidRPr="00F32624">
        <w:rPr>
          <w:rFonts w:ascii="Times New Roman" w:hAnsi="Times New Roman" w:cs="Times New Roman"/>
          <w:color w:val="222222"/>
          <w:sz w:val="24"/>
          <w:szCs w:val="24"/>
          <w:shd w:val="clear" w:color="auto" w:fill="FFFFFF"/>
        </w:rPr>
        <w:t xml:space="preserve"> constituent engagement through social media. </w:t>
      </w:r>
      <w:r w:rsidRPr="00F32624">
        <w:rPr>
          <w:rFonts w:ascii="Times New Roman" w:hAnsi="Times New Roman" w:cs="Times New Roman"/>
          <w:i/>
          <w:iCs/>
          <w:color w:val="222222"/>
          <w:sz w:val="24"/>
          <w:szCs w:val="24"/>
          <w:shd w:val="clear" w:color="auto" w:fill="FFFFFF"/>
        </w:rPr>
        <w:t xml:space="preserve">Journal of </w:t>
      </w:r>
      <w:proofErr w:type="spellStart"/>
      <w:r w:rsidRPr="00F32624">
        <w:rPr>
          <w:rFonts w:ascii="Times New Roman" w:hAnsi="Times New Roman" w:cs="Times New Roman"/>
          <w:i/>
          <w:iCs/>
          <w:color w:val="222222"/>
          <w:sz w:val="24"/>
          <w:szCs w:val="24"/>
          <w:shd w:val="clear" w:color="auto" w:fill="FFFFFF"/>
        </w:rPr>
        <w:t>Nonprofit</w:t>
      </w:r>
      <w:proofErr w:type="spellEnd"/>
      <w:r w:rsidRPr="00F32624">
        <w:rPr>
          <w:rFonts w:ascii="Times New Roman" w:hAnsi="Times New Roman" w:cs="Times New Roman"/>
          <w:i/>
          <w:iCs/>
          <w:color w:val="222222"/>
          <w:sz w:val="24"/>
          <w:szCs w:val="24"/>
          <w:shd w:val="clear" w:color="auto" w:fill="FFFFFF"/>
        </w:rPr>
        <w:t xml:space="preserve"> &amp; Public Sector Marketing</w:t>
      </w:r>
      <w:r w:rsidRPr="00F32624">
        <w:rPr>
          <w:rFonts w:ascii="Times New Roman" w:hAnsi="Times New Roman" w:cs="Times New Roman"/>
          <w:color w:val="222222"/>
          <w:sz w:val="24"/>
          <w:szCs w:val="24"/>
          <w:shd w:val="clear" w:color="auto" w:fill="FFFFFF"/>
        </w:rPr>
        <w:t>, </w:t>
      </w:r>
      <w:r w:rsidRPr="00F32624">
        <w:rPr>
          <w:rFonts w:ascii="Times New Roman" w:hAnsi="Times New Roman" w:cs="Times New Roman"/>
          <w:i/>
          <w:iCs/>
          <w:color w:val="222222"/>
          <w:sz w:val="24"/>
          <w:szCs w:val="24"/>
          <w:shd w:val="clear" w:color="auto" w:fill="FFFFFF"/>
        </w:rPr>
        <w:t>30</w:t>
      </w:r>
      <w:r w:rsidRPr="00F32624">
        <w:rPr>
          <w:rFonts w:ascii="Times New Roman" w:hAnsi="Times New Roman" w:cs="Times New Roman"/>
          <w:color w:val="222222"/>
          <w:sz w:val="24"/>
          <w:szCs w:val="24"/>
          <w:shd w:val="clear" w:color="auto" w:fill="FFFFFF"/>
        </w:rPr>
        <w:t>(3), pp.294-316.</w:t>
      </w:r>
    </w:p>
    <w:p w14:paraId="5A36D5F0" w14:textId="77777777" w:rsidR="00F32624" w:rsidRPr="00F32624" w:rsidRDefault="00F32624" w:rsidP="00F32624">
      <w:pPr>
        <w:spacing w:line="360" w:lineRule="auto"/>
        <w:rPr>
          <w:rFonts w:ascii="Times New Roman" w:hAnsi="Times New Roman" w:cs="Times New Roman"/>
          <w:color w:val="222222"/>
          <w:sz w:val="24"/>
          <w:szCs w:val="24"/>
          <w:shd w:val="clear" w:color="auto" w:fill="FFFFFF"/>
        </w:rPr>
      </w:pPr>
      <w:r w:rsidRPr="00F32624">
        <w:rPr>
          <w:rFonts w:ascii="Times New Roman" w:hAnsi="Times New Roman" w:cs="Times New Roman"/>
          <w:color w:val="222222"/>
          <w:sz w:val="24"/>
          <w:szCs w:val="24"/>
          <w:shd w:val="clear" w:color="auto" w:fill="FFFFFF"/>
        </w:rPr>
        <w:t>Song, D. and Doris, S.F., 2019. Effects of a moderate-intensity aerobic exercise programme on the cognitive function and quality of life of community-dwelling elderly people with mild cognitive impairment: a randomised controlled trial. </w:t>
      </w:r>
      <w:r w:rsidRPr="00F32624">
        <w:rPr>
          <w:rFonts w:ascii="Times New Roman" w:hAnsi="Times New Roman" w:cs="Times New Roman"/>
          <w:i/>
          <w:iCs/>
          <w:color w:val="222222"/>
          <w:sz w:val="24"/>
          <w:szCs w:val="24"/>
          <w:shd w:val="clear" w:color="auto" w:fill="FFFFFF"/>
        </w:rPr>
        <w:t>International journal of nursing studies</w:t>
      </w:r>
      <w:r w:rsidRPr="00F32624">
        <w:rPr>
          <w:rFonts w:ascii="Times New Roman" w:hAnsi="Times New Roman" w:cs="Times New Roman"/>
          <w:color w:val="222222"/>
          <w:sz w:val="24"/>
          <w:szCs w:val="24"/>
          <w:shd w:val="clear" w:color="auto" w:fill="FFFFFF"/>
        </w:rPr>
        <w:t>, </w:t>
      </w:r>
      <w:r w:rsidRPr="00F32624">
        <w:rPr>
          <w:rFonts w:ascii="Times New Roman" w:hAnsi="Times New Roman" w:cs="Times New Roman"/>
          <w:i/>
          <w:iCs/>
          <w:color w:val="222222"/>
          <w:sz w:val="24"/>
          <w:szCs w:val="24"/>
          <w:shd w:val="clear" w:color="auto" w:fill="FFFFFF"/>
        </w:rPr>
        <w:t>93</w:t>
      </w:r>
      <w:r w:rsidRPr="00F32624">
        <w:rPr>
          <w:rFonts w:ascii="Times New Roman" w:hAnsi="Times New Roman" w:cs="Times New Roman"/>
          <w:color w:val="222222"/>
          <w:sz w:val="24"/>
          <w:szCs w:val="24"/>
          <w:shd w:val="clear" w:color="auto" w:fill="FFFFFF"/>
        </w:rPr>
        <w:t>, pp.97-105.</w:t>
      </w:r>
    </w:p>
    <w:p w14:paraId="04BA43F0" w14:textId="77777777" w:rsidR="00F32624" w:rsidRPr="00F32624" w:rsidRDefault="00F32624" w:rsidP="00F32624">
      <w:pPr>
        <w:tabs>
          <w:tab w:val="left" w:pos="3503"/>
        </w:tabs>
        <w:spacing w:line="360" w:lineRule="auto"/>
        <w:rPr>
          <w:rFonts w:ascii="Times New Roman" w:hAnsi="Times New Roman" w:cs="Times New Roman"/>
          <w:sz w:val="24"/>
          <w:szCs w:val="24"/>
        </w:rPr>
      </w:pPr>
      <w:r w:rsidRPr="00F32624">
        <w:rPr>
          <w:rFonts w:ascii="Times New Roman" w:hAnsi="Times New Roman" w:cs="Times New Roman"/>
          <w:color w:val="222222"/>
          <w:sz w:val="24"/>
          <w:szCs w:val="24"/>
          <w:shd w:val="clear" w:color="auto" w:fill="FFFFFF"/>
        </w:rPr>
        <w:t xml:space="preserve">Van </w:t>
      </w:r>
      <w:proofErr w:type="spellStart"/>
      <w:r w:rsidRPr="00F32624">
        <w:rPr>
          <w:rFonts w:ascii="Times New Roman" w:hAnsi="Times New Roman" w:cs="Times New Roman"/>
          <w:color w:val="222222"/>
          <w:sz w:val="24"/>
          <w:szCs w:val="24"/>
          <w:shd w:val="clear" w:color="auto" w:fill="FFFFFF"/>
        </w:rPr>
        <w:t>Veelen</w:t>
      </w:r>
      <w:proofErr w:type="spellEnd"/>
      <w:r w:rsidRPr="00F32624">
        <w:rPr>
          <w:rFonts w:ascii="Times New Roman" w:hAnsi="Times New Roman" w:cs="Times New Roman"/>
          <w:color w:val="222222"/>
          <w:sz w:val="24"/>
          <w:szCs w:val="24"/>
          <w:shd w:val="clear" w:color="auto" w:fill="FFFFFF"/>
        </w:rPr>
        <w:t>, Bregje, and Claire Haggett 2017. "Uncommon ground: The role of different place attachments in explaining community renewable energy projects." </w:t>
      </w:r>
      <w:proofErr w:type="spellStart"/>
      <w:r w:rsidRPr="00F32624">
        <w:rPr>
          <w:rFonts w:ascii="Times New Roman" w:hAnsi="Times New Roman" w:cs="Times New Roman"/>
          <w:i/>
          <w:iCs/>
          <w:color w:val="222222"/>
          <w:sz w:val="24"/>
          <w:szCs w:val="24"/>
          <w:shd w:val="clear" w:color="auto" w:fill="FFFFFF"/>
        </w:rPr>
        <w:t>Sociologia</w:t>
      </w:r>
      <w:proofErr w:type="spellEnd"/>
      <w:r w:rsidRPr="00F32624">
        <w:rPr>
          <w:rFonts w:ascii="Times New Roman" w:hAnsi="Times New Roman" w:cs="Times New Roman"/>
          <w:i/>
          <w:iCs/>
          <w:color w:val="222222"/>
          <w:sz w:val="24"/>
          <w:szCs w:val="24"/>
          <w:shd w:val="clear" w:color="auto" w:fill="FFFFFF"/>
        </w:rPr>
        <w:t xml:space="preserve"> </w:t>
      </w:r>
      <w:proofErr w:type="spellStart"/>
      <w:r w:rsidRPr="00F32624">
        <w:rPr>
          <w:rFonts w:ascii="Times New Roman" w:hAnsi="Times New Roman" w:cs="Times New Roman"/>
          <w:i/>
          <w:iCs/>
          <w:color w:val="222222"/>
          <w:sz w:val="24"/>
          <w:szCs w:val="24"/>
          <w:shd w:val="clear" w:color="auto" w:fill="FFFFFF"/>
        </w:rPr>
        <w:t>Ruralis</w:t>
      </w:r>
      <w:proofErr w:type="spellEnd"/>
      <w:r w:rsidRPr="00F32624">
        <w:rPr>
          <w:rFonts w:ascii="Times New Roman" w:hAnsi="Times New Roman" w:cs="Times New Roman"/>
          <w:color w:val="222222"/>
          <w:sz w:val="24"/>
          <w:szCs w:val="24"/>
          <w:shd w:val="clear" w:color="auto" w:fill="FFFFFF"/>
        </w:rPr>
        <w:t> 57: 533-554.</w:t>
      </w:r>
    </w:p>
    <w:p w14:paraId="78CD094E" w14:textId="77777777" w:rsidR="00435275" w:rsidRPr="00F32624" w:rsidRDefault="00435275" w:rsidP="00F32624">
      <w:pPr>
        <w:pStyle w:val="root-block-node"/>
        <w:spacing w:line="360" w:lineRule="auto"/>
      </w:pPr>
    </w:p>
    <w:sectPr w:rsidR="00435275" w:rsidRPr="00F32624" w:rsidSect="009A61F5">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069BD" w14:textId="77777777" w:rsidR="00530909" w:rsidRPr="00F32624" w:rsidRDefault="00530909" w:rsidP="00F32624">
      <w:pPr>
        <w:pStyle w:val="root-block-node"/>
        <w:spacing w:before="0" w:after="0"/>
        <w:rPr>
          <w:rFonts w:asciiTheme="minorHAnsi" w:eastAsiaTheme="minorHAnsi" w:hAnsiTheme="minorHAnsi" w:cstheme="minorBidi"/>
          <w:sz w:val="22"/>
          <w:szCs w:val="22"/>
          <w:lang w:eastAsia="en-US"/>
        </w:rPr>
      </w:pPr>
      <w:r>
        <w:separator/>
      </w:r>
    </w:p>
  </w:endnote>
  <w:endnote w:type="continuationSeparator" w:id="0">
    <w:p w14:paraId="0796FC2D" w14:textId="77777777" w:rsidR="00530909" w:rsidRPr="00F32624" w:rsidRDefault="00530909" w:rsidP="00F32624">
      <w:pPr>
        <w:pStyle w:val="root-block-node"/>
        <w:spacing w:before="0" w:after="0"/>
        <w:rPr>
          <w:rFonts w:asciiTheme="minorHAnsi" w:eastAsiaTheme="minorHAnsi" w:hAnsiTheme="minorHAnsi" w:cstheme="minorBidi"/>
          <w:sz w:val="22"/>
          <w:szCs w:val="22"/>
          <w:lang w:eastAsia="en-US"/>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95235"/>
      <w:docPartObj>
        <w:docPartGallery w:val="Page Numbers (Bottom of Page)"/>
        <w:docPartUnique/>
      </w:docPartObj>
    </w:sdtPr>
    <w:sdtEndPr/>
    <w:sdtContent>
      <w:p w14:paraId="48353B52" w14:textId="77777777" w:rsidR="00F32624" w:rsidRDefault="001C3383">
        <w:pPr>
          <w:pStyle w:val="Footer"/>
          <w:jc w:val="center"/>
        </w:pPr>
        <w:r>
          <w:fldChar w:fldCharType="begin"/>
        </w:r>
        <w:r>
          <w:instrText xml:space="preserve"> PAGE   \* MERGEFORMAT </w:instrText>
        </w:r>
        <w:r>
          <w:fldChar w:fldCharType="separate"/>
        </w:r>
        <w:r w:rsidR="00394268">
          <w:rPr>
            <w:noProof/>
          </w:rPr>
          <w:t>5</w:t>
        </w:r>
        <w:r>
          <w:rPr>
            <w:noProof/>
          </w:rPr>
          <w:fldChar w:fldCharType="end"/>
        </w:r>
      </w:p>
    </w:sdtContent>
  </w:sdt>
  <w:p w14:paraId="3D31952D" w14:textId="77777777" w:rsidR="00F32624" w:rsidRDefault="00F326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EADB3C" w14:textId="77777777" w:rsidR="00530909" w:rsidRPr="00F32624" w:rsidRDefault="00530909" w:rsidP="00F32624">
      <w:pPr>
        <w:pStyle w:val="root-block-node"/>
        <w:spacing w:before="0" w:after="0"/>
        <w:rPr>
          <w:rFonts w:asciiTheme="minorHAnsi" w:eastAsiaTheme="minorHAnsi" w:hAnsiTheme="minorHAnsi" w:cstheme="minorBidi"/>
          <w:sz w:val="22"/>
          <w:szCs w:val="22"/>
          <w:lang w:eastAsia="en-US"/>
        </w:rPr>
      </w:pPr>
      <w:r>
        <w:separator/>
      </w:r>
    </w:p>
  </w:footnote>
  <w:footnote w:type="continuationSeparator" w:id="0">
    <w:p w14:paraId="030108AE" w14:textId="77777777" w:rsidR="00530909" w:rsidRPr="00F32624" w:rsidRDefault="00530909" w:rsidP="00F32624">
      <w:pPr>
        <w:pStyle w:val="root-block-node"/>
        <w:spacing w:before="0" w:after="0"/>
        <w:rPr>
          <w:rFonts w:asciiTheme="minorHAnsi" w:eastAsiaTheme="minorHAnsi" w:hAnsiTheme="minorHAnsi" w:cstheme="minorBidi"/>
          <w:sz w:val="22"/>
          <w:szCs w:val="22"/>
          <w:lang w:eastAsia="en-US"/>
        </w:rPr>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A45"/>
    <w:rsid w:val="000170AF"/>
    <w:rsid w:val="000510D6"/>
    <w:rsid w:val="00096013"/>
    <w:rsid w:val="000977BF"/>
    <w:rsid w:val="000B5B9F"/>
    <w:rsid w:val="00106B86"/>
    <w:rsid w:val="00115748"/>
    <w:rsid w:val="001321DB"/>
    <w:rsid w:val="00177DEF"/>
    <w:rsid w:val="001C3383"/>
    <w:rsid w:val="00245277"/>
    <w:rsid w:val="00257EBD"/>
    <w:rsid w:val="002A6130"/>
    <w:rsid w:val="002D0CA6"/>
    <w:rsid w:val="00394268"/>
    <w:rsid w:val="003B29B9"/>
    <w:rsid w:val="003C1B57"/>
    <w:rsid w:val="003C36FE"/>
    <w:rsid w:val="003D3F57"/>
    <w:rsid w:val="00435275"/>
    <w:rsid w:val="0044026C"/>
    <w:rsid w:val="004E6B6B"/>
    <w:rsid w:val="004F034A"/>
    <w:rsid w:val="004F395E"/>
    <w:rsid w:val="00527368"/>
    <w:rsid w:val="00530909"/>
    <w:rsid w:val="005A58F9"/>
    <w:rsid w:val="005E15B8"/>
    <w:rsid w:val="005E566C"/>
    <w:rsid w:val="0060436A"/>
    <w:rsid w:val="0061573E"/>
    <w:rsid w:val="00674255"/>
    <w:rsid w:val="006E0F2C"/>
    <w:rsid w:val="0070091B"/>
    <w:rsid w:val="00721536"/>
    <w:rsid w:val="007B5C4F"/>
    <w:rsid w:val="00815DC3"/>
    <w:rsid w:val="00845D5B"/>
    <w:rsid w:val="008837F8"/>
    <w:rsid w:val="008918BA"/>
    <w:rsid w:val="008E5BE0"/>
    <w:rsid w:val="009010ED"/>
    <w:rsid w:val="00927DC7"/>
    <w:rsid w:val="009969FC"/>
    <w:rsid w:val="009A61F5"/>
    <w:rsid w:val="00A0559D"/>
    <w:rsid w:val="00A07AFC"/>
    <w:rsid w:val="00A12A45"/>
    <w:rsid w:val="00A3016E"/>
    <w:rsid w:val="00A71BC4"/>
    <w:rsid w:val="00A82C20"/>
    <w:rsid w:val="00AE2E42"/>
    <w:rsid w:val="00B77B8F"/>
    <w:rsid w:val="00B809E5"/>
    <w:rsid w:val="00BA13DB"/>
    <w:rsid w:val="00BB4F75"/>
    <w:rsid w:val="00BD5DED"/>
    <w:rsid w:val="00BF3C6E"/>
    <w:rsid w:val="00C146B3"/>
    <w:rsid w:val="00CA1A3E"/>
    <w:rsid w:val="00D66C93"/>
    <w:rsid w:val="00D758DB"/>
    <w:rsid w:val="00D95EAD"/>
    <w:rsid w:val="00DC434F"/>
    <w:rsid w:val="00DD0356"/>
    <w:rsid w:val="00E05C51"/>
    <w:rsid w:val="00E12A41"/>
    <w:rsid w:val="00E34FD5"/>
    <w:rsid w:val="00E4779E"/>
    <w:rsid w:val="00EE16F6"/>
    <w:rsid w:val="00EE5685"/>
    <w:rsid w:val="00EE5CC9"/>
    <w:rsid w:val="00F32624"/>
    <w:rsid w:val="00F83A65"/>
    <w:rsid w:val="00FE3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865B0"/>
  <w15:docId w15:val="{5E47C9B6-F6C0-4CC8-B0AC-46F9E7F56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61F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321DB"/>
    <w:rPr>
      <w:color w:val="0000FF"/>
      <w:u w:val="single"/>
    </w:rPr>
  </w:style>
  <w:style w:type="paragraph" w:styleId="NormalWeb">
    <w:name w:val="Normal (Web)"/>
    <w:basedOn w:val="Normal"/>
    <w:uiPriority w:val="99"/>
    <w:semiHidden/>
    <w:unhideWhenUsed/>
    <w:rsid w:val="008837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oot-block-node">
    <w:name w:val="root-block-node"/>
    <w:basedOn w:val="Normal"/>
    <w:rsid w:val="0044026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F3262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32624"/>
  </w:style>
  <w:style w:type="paragraph" w:styleId="Footer">
    <w:name w:val="footer"/>
    <w:basedOn w:val="Normal"/>
    <w:link w:val="FooterChar"/>
    <w:uiPriority w:val="99"/>
    <w:unhideWhenUsed/>
    <w:rsid w:val="00F326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26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729432">
      <w:bodyDiv w:val="1"/>
      <w:marLeft w:val="0"/>
      <w:marRight w:val="0"/>
      <w:marTop w:val="0"/>
      <w:marBottom w:val="0"/>
      <w:divBdr>
        <w:top w:val="none" w:sz="0" w:space="0" w:color="auto"/>
        <w:left w:val="none" w:sz="0" w:space="0" w:color="auto"/>
        <w:bottom w:val="none" w:sz="0" w:space="0" w:color="auto"/>
        <w:right w:val="none" w:sz="0" w:space="0" w:color="auto"/>
      </w:divBdr>
    </w:div>
    <w:div w:id="703555327">
      <w:bodyDiv w:val="1"/>
      <w:marLeft w:val="0"/>
      <w:marRight w:val="0"/>
      <w:marTop w:val="0"/>
      <w:marBottom w:val="0"/>
      <w:divBdr>
        <w:top w:val="none" w:sz="0" w:space="0" w:color="auto"/>
        <w:left w:val="none" w:sz="0" w:space="0" w:color="auto"/>
        <w:bottom w:val="none" w:sz="0" w:space="0" w:color="auto"/>
        <w:right w:val="none" w:sz="0" w:space="0" w:color="auto"/>
      </w:divBdr>
    </w:div>
    <w:div w:id="1522888794">
      <w:bodyDiv w:val="1"/>
      <w:marLeft w:val="0"/>
      <w:marRight w:val="0"/>
      <w:marTop w:val="0"/>
      <w:marBottom w:val="0"/>
      <w:divBdr>
        <w:top w:val="none" w:sz="0" w:space="0" w:color="auto"/>
        <w:left w:val="none" w:sz="0" w:space="0" w:color="auto"/>
        <w:bottom w:val="none" w:sz="0" w:space="0" w:color="auto"/>
        <w:right w:val="none" w:sz="0" w:space="0" w:color="auto"/>
      </w:divBdr>
    </w:div>
    <w:div w:id="1578856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9</Pages>
  <Words>2567</Words>
  <Characters>14637</Characters>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2022-09-05T22:46:00Z</dcterms:created>
  <dcterms:modified xsi:type="dcterms:W3CDTF">2022-09-05T22:46:00Z</dcterms:modified>
</cp:coreProperties>
</file>