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46C03B" w14:textId="19BA2A35" w:rsidR="00D06ED1" w:rsidRDefault="00D06ED1">
      <w:r>
        <w:t>Cataloguing contents:</w:t>
      </w:r>
    </w:p>
    <w:p w14:paraId="4966E903" w14:textId="1CD3F81C" w:rsidR="007F7712" w:rsidRPr="007F7712" w:rsidRDefault="007F7712">
      <w:pPr>
        <w:rPr>
          <w:b/>
          <w:bCs/>
        </w:rPr>
      </w:pPr>
      <w:r>
        <w:rPr>
          <w:b/>
          <w:bCs/>
        </w:rPr>
        <w:t>Slide 2</w:t>
      </w:r>
    </w:p>
    <w:p w14:paraId="00A57223" w14:textId="3FB69349" w:rsidR="00D06ED1" w:rsidRPr="00596D1C" w:rsidRDefault="008D0169">
      <w:pPr>
        <w:rPr>
          <w:b/>
          <w:bCs/>
        </w:rPr>
      </w:pPr>
      <w:r w:rsidRPr="00596D1C">
        <w:rPr>
          <w:b/>
          <w:bCs/>
        </w:rPr>
        <w:t>How does this fit in with the work of an archaeologist?</w:t>
      </w:r>
    </w:p>
    <w:p w14:paraId="4EC239F6" w14:textId="477FE2CB" w:rsidR="00345DF4" w:rsidRDefault="005D2633" w:rsidP="002438E4">
      <w:r>
        <w:t>During my professional placement with the Strata Florida Trust, I was entrusted with the crucial task of archiving and reporting on a diverse collection of art</w:t>
      </w:r>
      <w:r w:rsidR="00F77AE0">
        <w:t>efacts</w:t>
      </w:r>
      <w:r>
        <w:t xml:space="preserve"> unearthed from the kitchen of the Strata Florida farmhouse, an impressive Grade II* listed structure that has a rich history dating back to the 17th century. This immersive role </w:t>
      </w:r>
      <w:r w:rsidR="00F77AE0">
        <w:t>gave me invaluable insights into an archaeologist's multifaceted responsibilities. It helped</w:t>
      </w:r>
      <w:r>
        <w:t xml:space="preserve"> shape my understanding of the various career paths available within archaeology. I quickly discovered the discipline is not just about excavating sites</w:t>
      </w:r>
      <w:r w:rsidR="00F77AE0">
        <w:t xml:space="preserve"> but also about engaging with artefacts that tell the stories of past lives and civilisations.</w:t>
      </w:r>
    </w:p>
    <w:p w14:paraId="6D240CBB" w14:textId="64EFBFFF" w:rsidR="005D2633" w:rsidRPr="00536561" w:rsidRDefault="00536561" w:rsidP="002438E4">
      <w:pPr>
        <w:rPr>
          <w:b/>
          <w:bCs/>
        </w:rPr>
      </w:pPr>
      <w:proofErr w:type="spellStart"/>
      <w:r>
        <w:rPr>
          <w:b/>
          <w:bCs/>
        </w:rPr>
        <w:t>W</w:t>
      </w:r>
      <w:proofErr w:type="spellEnd"/>
      <w:r>
        <w:rPr>
          <w:b/>
          <w:bCs/>
        </w:rPr>
        <w:t>hy is it important?</w:t>
      </w:r>
    </w:p>
    <w:p w14:paraId="52098A42" w14:textId="7864D50B" w:rsidR="005D2633" w:rsidRDefault="005D2633" w:rsidP="002438E4">
      <w:r>
        <w:t>The process of archiving these art</w:t>
      </w:r>
      <w:r w:rsidR="00F77AE0">
        <w:t>efacts</w:t>
      </w:r>
      <w:r>
        <w:t xml:space="preserve"> serves a dual purpose. It not only preserves essential knowledge for future generations of archaeologists but also plays a vital role in educating the public about the historical contexts from which these objects originated. By rigorously documenting each item, we develop a clearer understanding of their unique characteristics, cultural significance, and the rich narratives they embody. This process allows us to connect the dots between the past and present, fostering a deeper appreciation for our shared history.</w:t>
      </w:r>
    </w:p>
    <w:p w14:paraId="0417E202" w14:textId="111159FA" w:rsidR="002350FB" w:rsidRPr="002350FB" w:rsidRDefault="002350FB" w:rsidP="002438E4">
      <w:pPr>
        <w:rPr>
          <w:b/>
          <w:bCs/>
        </w:rPr>
      </w:pPr>
      <w:r>
        <w:rPr>
          <w:b/>
          <w:bCs/>
        </w:rPr>
        <w:t>Slide 3</w:t>
      </w:r>
    </w:p>
    <w:p w14:paraId="1DFA59A5" w14:textId="3096606A" w:rsidR="005D2633" w:rsidRPr="00536561" w:rsidRDefault="00536561" w:rsidP="002438E4">
      <w:pPr>
        <w:rPr>
          <w:b/>
          <w:bCs/>
        </w:rPr>
      </w:pPr>
      <w:r>
        <w:rPr>
          <w:b/>
          <w:bCs/>
        </w:rPr>
        <w:t>purpose</w:t>
      </w:r>
    </w:p>
    <w:p w14:paraId="4ABDCDD1" w14:textId="0EB34F0C" w:rsidR="005D2633" w:rsidRDefault="005D2633" w:rsidP="002438E4">
      <w:r>
        <w:t xml:space="preserve">The primary goal of my placement </w:t>
      </w:r>
      <w:r w:rsidR="00B972ED">
        <w:t>was cataloguing a varied array of kitchen artefacts from the farmhouse. This location holds many stories about the numerous families that inhabited and worked within its walls for</w:t>
      </w:r>
      <w:r>
        <w:t xml:space="preserve"> centuries. The Strata Florida Trust envisions this project as an opportunity to weave together the narratives of rural life in Wales, with plans to potentially showcase these art</w:t>
      </w:r>
      <w:r w:rsidR="00B972ED">
        <w:t>efacts in an exhibition or visitor centre dedicated to educational outreach and research.</w:t>
      </w:r>
    </w:p>
    <w:p w14:paraId="3494D43E" w14:textId="60EF3036" w:rsidR="005D2633" w:rsidRPr="00901B3A" w:rsidRDefault="00901B3A" w:rsidP="002438E4">
      <w:pPr>
        <w:rPr>
          <w:b/>
          <w:bCs/>
        </w:rPr>
      </w:pPr>
      <w:r>
        <w:rPr>
          <w:b/>
          <w:bCs/>
        </w:rPr>
        <w:t>process</w:t>
      </w:r>
    </w:p>
    <w:p w14:paraId="0F2FFCBB" w14:textId="308CBAE9" w:rsidR="005D2633" w:rsidRDefault="005D2633" w:rsidP="002438E4">
      <w:r>
        <w:t xml:space="preserve">Our initial project phase involved a systematic cataloging process, </w:t>
      </w:r>
      <w:r w:rsidR="00B972ED">
        <w:t xml:space="preserve">during which the Strata Florida Trust required us to produce detailed entries for each </w:t>
      </w:r>
      <w:r w:rsidR="00283EE1">
        <w:t>artefact</w:t>
      </w:r>
      <w:r w:rsidR="00B972ED">
        <w:t>. These entries comprised key details,</w:t>
      </w:r>
      <w:r>
        <w:t xml:space="preserve"> including in-depth descriptions derived from extensive research, room attribution (given that all objects stemmed from the kitchen), condition assessments, and evaluations of each art</w:t>
      </w:r>
      <w:r w:rsidR="00B972ED">
        <w:t>efact’s</w:t>
      </w:r>
      <w:r>
        <w:t xml:space="preserve"> display potential. Interestingly, some items, due to their placement within a lived-in space, might not hold enough historical significance to justify public display.</w:t>
      </w:r>
    </w:p>
    <w:p w14:paraId="4E0453A5" w14:textId="77777777" w:rsidR="005D2633" w:rsidRDefault="005D2633" w:rsidP="002438E4"/>
    <w:p w14:paraId="6966B250" w14:textId="0D132AFA" w:rsidR="005D2633" w:rsidRDefault="005D2633" w:rsidP="002438E4">
      <w:r>
        <w:lastRenderedPageBreak/>
        <w:t xml:space="preserve">To enhance our efficiency during the cataloging process, my colleague Caleb and I developed a structured approach. We began by thoroughly inspecting each box of </w:t>
      </w:r>
      <w:r w:rsidR="00283EE1">
        <w:t>artefacts</w:t>
      </w:r>
      <w:r>
        <w:t xml:space="preserve"> to </w:t>
      </w:r>
      <w:r w:rsidR="00283EE1">
        <w:t>familiarise</w:t>
      </w:r>
      <w:r>
        <w:t xml:space="preserve"> ourselves with their physical attributes and features before entering into collaborative discussions. While this initial method seemed effective, we soon </w:t>
      </w:r>
      <w:r w:rsidR="00283EE1">
        <w:t>realised</w:t>
      </w:r>
      <w:r>
        <w:t xml:space="preserve"> that it was consuming an unexpected amount of time. Acknowledging the need for improved efficiency, we adapted our strategy: Caleb primarily focused on </w:t>
      </w:r>
      <w:r w:rsidR="00283EE1">
        <w:t>organising</w:t>
      </w:r>
      <w:r>
        <w:t xml:space="preserve"> cutlery, while I took on the task of cataloging miscellaneous items—both of us working concurrently to expedite progress.</w:t>
      </w:r>
    </w:p>
    <w:p w14:paraId="6F9D3F3F" w14:textId="77777777" w:rsidR="005D2633" w:rsidRDefault="005D2633" w:rsidP="002438E4"/>
    <w:p w14:paraId="01A92B86" w14:textId="73E9EE8A" w:rsidR="005D2633" w:rsidRDefault="005D2633" w:rsidP="002438E4">
      <w:r>
        <w:t xml:space="preserve">Throughout the archiving process, I initially felt somewhat disillusioned by the modernity of the </w:t>
      </w:r>
      <w:r w:rsidR="00283EE1">
        <w:t>artefacts</w:t>
      </w:r>
      <w:r>
        <w:t xml:space="preserve"> we were uncovering. However, as I delved deeper into their details, I began to appreciate their capacity to illuminate the family's lifestyle, interests, and social dynamics. For instance, what first appeared to be an unremarkable metal pole was ultimately identified as a receipt holder, shedding light on the family's meticulous record-keeping habits. This revelation was further underscored by the discovery of hospital bands and a variety of receipts from several establishments, with some dating back approximately 25 years.</w:t>
      </w:r>
    </w:p>
    <w:p w14:paraId="77ADF4DD" w14:textId="77777777" w:rsidR="005D2633" w:rsidRDefault="005D2633" w:rsidP="002438E4"/>
    <w:p w14:paraId="43B6CB09" w14:textId="1511481B" w:rsidR="005D2633" w:rsidRDefault="005D2633" w:rsidP="002438E4">
      <w:r>
        <w:t xml:space="preserve">One particularly intriguing receipt from Argos, dated December 24th in the early 2000s for a whimsical Garfield-themed children's armchair, provided a glimpse into familial dynamics. It hinted at a last-minute Christmas gift purchased for a child, thus illustrating the notion that even in a rural Welsh setting, cultural </w:t>
      </w:r>
      <w:r w:rsidR="00283EE1">
        <w:t>artefacts</w:t>
      </w:r>
      <w:r>
        <w:t xml:space="preserve"> maintain connections to broader social narratives that resonate beyond geographic confines.</w:t>
      </w:r>
    </w:p>
    <w:p w14:paraId="0A4BDF02" w14:textId="2A9E7090" w:rsidR="002350FB" w:rsidRPr="002350FB" w:rsidRDefault="002350FB" w:rsidP="002438E4">
      <w:pPr>
        <w:rPr>
          <w:b/>
          <w:bCs/>
        </w:rPr>
      </w:pPr>
      <w:r>
        <w:rPr>
          <w:b/>
          <w:bCs/>
        </w:rPr>
        <w:t>Slide 4</w:t>
      </w:r>
    </w:p>
    <w:p w14:paraId="450D74E2" w14:textId="1E2952CC" w:rsidR="005D2633" w:rsidRPr="007F7712" w:rsidRDefault="007F7712" w:rsidP="002438E4">
      <w:pPr>
        <w:rPr>
          <w:b/>
          <w:bCs/>
        </w:rPr>
      </w:pPr>
      <w:r>
        <w:rPr>
          <w:b/>
          <w:bCs/>
        </w:rPr>
        <w:t>Research</w:t>
      </w:r>
    </w:p>
    <w:p w14:paraId="1A9354BA" w14:textId="52A29376" w:rsidR="005D2633" w:rsidRDefault="005D2633" w:rsidP="002438E4">
      <w:r>
        <w:t xml:space="preserve">Through this enriching journey, I learned a valuable lesson: often, the most illuminating </w:t>
      </w:r>
      <w:r w:rsidR="00283EE1">
        <w:t>artefacts</w:t>
      </w:r>
      <w:r>
        <w:t xml:space="preserve"> are those that have been overlooked or dismissed as trivial. These seemingly mundane objects can offer profound insights into everyday life and the </w:t>
      </w:r>
      <w:r w:rsidR="00283EE1">
        <w:t>behaviours</w:t>
      </w:r>
      <w:r>
        <w:t xml:space="preserve"> of individuals, challenging our preconceived notions of what constitutes historical significance. My reading of "After Modernity: Archaeological Approaches to the Contemporary Past" by Rodney Harrison and John Schofield further deepened my appreciation for contemporary </w:t>
      </w:r>
      <w:r w:rsidR="00283EE1">
        <w:t>artefacts</w:t>
      </w:r>
      <w:r>
        <w:t xml:space="preserve"> and their significance in understanding human </w:t>
      </w:r>
      <w:r w:rsidR="00283EE1">
        <w:t>behaviour</w:t>
      </w:r>
      <w:r>
        <w:t xml:space="preserve"> and societal evolution (Schofield and Harrison, 2010).</w:t>
      </w:r>
    </w:p>
    <w:p w14:paraId="675D0E56" w14:textId="3C86B86F" w:rsidR="004F0F9F" w:rsidRDefault="00E70EB5" w:rsidP="002438E4">
      <w:r>
        <w:t>As I engaged in the meticulous process of archiving a diverse array of objects, I found myself concurrently immersed in "Life Beneath the Arch" by Charles Arch. This poignant narrative offered me a rare glimpse into Arch's life and personal experiences,</w:t>
      </w:r>
    </w:p>
    <w:p w14:paraId="72C74942" w14:textId="6188147C" w:rsidR="00CB7FAC" w:rsidRDefault="00E70EB5" w:rsidP="002438E4">
      <w:r>
        <w:t xml:space="preserve"> unveiling the complexities of his world with an almost intimate familiarity. </w:t>
      </w:r>
    </w:p>
    <w:p w14:paraId="1C9BDCB5" w14:textId="77777777" w:rsidR="00E70EB5" w:rsidRDefault="00E70EB5" w:rsidP="002438E4"/>
    <w:p w14:paraId="0E71632F" w14:textId="76FF5580" w:rsidR="00E70EB5" w:rsidRDefault="00E70EB5" w:rsidP="002438E4">
      <w:r>
        <w:t xml:space="preserve">While diligently sifting through the collection of books, I stumbled upon several volumes that had previously belonged to the milk boy referenced in Arch's compelling narrative. The name etched in flowing script on the front page of each book confirmed their intriguing provenance, connecting me to a figure that had once walked the very streets Arch described. This serendipitous discovery enriched my understanding of the historical context and social fabric that Arch so eloquently addressed in his writing. It was as if the echoes of the past were reverberating through the pages, deepening my connection to both the text and the history surrounding it. The intertwining of these narratives created a profound sense of continuity—one that bridged the gap between the past and my present </w:t>
      </w:r>
      <w:r w:rsidR="00283EE1">
        <w:t>endeavour</w:t>
      </w:r>
      <w:r>
        <w:t>.</w:t>
      </w:r>
    </w:p>
    <w:p w14:paraId="0DE27F2D" w14:textId="02DCBAE4" w:rsidR="002350FB" w:rsidRPr="002350FB" w:rsidRDefault="002350FB" w:rsidP="002438E4">
      <w:pPr>
        <w:rPr>
          <w:b/>
          <w:bCs/>
        </w:rPr>
      </w:pPr>
      <w:r>
        <w:rPr>
          <w:b/>
          <w:bCs/>
        </w:rPr>
        <w:t xml:space="preserve">Slide 5 </w:t>
      </w:r>
    </w:p>
    <w:p w14:paraId="516C733F" w14:textId="1F55DB89" w:rsidR="005D2633" w:rsidRPr="007F7712" w:rsidRDefault="007F7712" w:rsidP="002438E4">
      <w:pPr>
        <w:rPr>
          <w:b/>
          <w:bCs/>
        </w:rPr>
      </w:pPr>
      <w:r>
        <w:rPr>
          <w:b/>
          <w:bCs/>
        </w:rPr>
        <w:t>challenges</w:t>
      </w:r>
    </w:p>
    <w:p w14:paraId="0DD7B7E9" w14:textId="27B70E8F" w:rsidR="005D2633" w:rsidRPr="00DC1863" w:rsidRDefault="005D2633" w:rsidP="002438E4">
      <w:r>
        <w:t xml:space="preserve">Nonetheless, challenges did arise as we transitioned to a box filled with books. While this expedited our progress, it also introduced a significant language barrier, as many of the volumes were written in Welsh. Lacking proficiency in the language due to my upbringing in the Midlands of England, I encountered obstacles in interpretation that necessitated creative problem-solving and adaptability. This situation compelled us to reconfigure our approach, collaborating with colleagues fluent in Welsh and employing translation tools to navigate the material meaningfully. Ultimately, this experience underscored the importance of flexibility and teamwork in archaeological </w:t>
      </w:r>
      <w:proofErr w:type="spellStart"/>
      <w:r>
        <w:t>endeavors</w:t>
      </w:r>
      <w:proofErr w:type="spellEnd"/>
      <w:r>
        <w:t>, reinforcing my commitment to advocating for inclusivity and accessibility within the field.</w:t>
      </w:r>
    </w:p>
    <w:p w14:paraId="5A6A8BA9" w14:textId="77777777" w:rsidR="00B008B7" w:rsidRPr="00421B27" w:rsidRDefault="00B008B7" w:rsidP="002438E4"/>
    <w:p w14:paraId="4727CAF1" w14:textId="4B4D57AA" w:rsidR="004A34DB" w:rsidRDefault="004A34DB"/>
    <w:sectPr w:rsidR="004A34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46CD2" w14:textId="77777777" w:rsidR="00201A30" w:rsidRDefault="00201A30" w:rsidP="004E09FA">
      <w:pPr>
        <w:spacing w:after="0" w:line="240" w:lineRule="auto"/>
      </w:pPr>
      <w:r>
        <w:separator/>
      </w:r>
    </w:p>
  </w:endnote>
  <w:endnote w:type="continuationSeparator" w:id="0">
    <w:p w14:paraId="693D3162" w14:textId="77777777" w:rsidR="00201A30" w:rsidRDefault="00201A30" w:rsidP="004E09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64B3F" w14:textId="77777777" w:rsidR="00201A30" w:rsidRDefault="00201A30" w:rsidP="004E09FA">
      <w:pPr>
        <w:spacing w:after="0" w:line="240" w:lineRule="auto"/>
      </w:pPr>
      <w:r>
        <w:separator/>
      </w:r>
    </w:p>
  </w:footnote>
  <w:footnote w:type="continuationSeparator" w:id="0">
    <w:p w14:paraId="62730012" w14:textId="77777777" w:rsidR="00201A30" w:rsidRDefault="00201A30" w:rsidP="004E09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ED1"/>
    <w:rsid w:val="000134EE"/>
    <w:rsid w:val="000266C6"/>
    <w:rsid w:val="00051253"/>
    <w:rsid w:val="00055C6C"/>
    <w:rsid w:val="00065CD1"/>
    <w:rsid w:val="00076128"/>
    <w:rsid w:val="00096C96"/>
    <w:rsid w:val="000D2306"/>
    <w:rsid w:val="001802D7"/>
    <w:rsid w:val="00201A30"/>
    <w:rsid w:val="002350FB"/>
    <w:rsid w:val="00255D9F"/>
    <w:rsid w:val="00283EE1"/>
    <w:rsid w:val="003332E6"/>
    <w:rsid w:val="00345DF4"/>
    <w:rsid w:val="003B3D9F"/>
    <w:rsid w:val="00421B27"/>
    <w:rsid w:val="00423AE3"/>
    <w:rsid w:val="00470FD2"/>
    <w:rsid w:val="00476083"/>
    <w:rsid w:val="00481328"/>
    <w:rsid w:val="004A34DB"/>
    <w:rsid w:val="004E09FA"/>
    <w:rsid w:val="004F0F9F"/>
    <w:rsid w:val="004F4034"/>
    <w:rsid w:val="00536561"/>
    <w:rsid w:val="00552899"/>
    <w:rsid w:val="00596D1C"/>
    <w:rsid w:val="005D2633"/>
    <w:rsid w:val="006273DE"/>
    <w:rsid w:val="0067007E"/>
    <w:rsid w:val="00684EA1"/>
    <w:rsid w:val="006B074D"/>
    <w:rsid w:val="006F2A18"/>
    <w:rsid w:val="00752D14"/>
    <w:rsid w:val="0079073F"/>
    <w:rsid w:val="007A23D4"/>
    <w:rsid w:val="007B3535"/>
    <w:rsid w:val="007D0456"/>
    <w:rsid w:val="007F7712"/>
    <w:rsid w:val="008452B2"/>
    <w:rsid w:val="008A0B67"/>
    <w:rsid w:val="008B5FEE"/>
    <w:rsid w:val="008D0169"/>
    <w:rsid w:val="008F7674"/>
    <w:rsid w:val="00901B3A"/>
    <w:rsid w:val="00903124"/>
    <w:rsid w:val="00937B71"/>
    <w:rsid w:val="009647B2"/>
    <w:rsid w:val="00972127"/>
    <w:rsid w:val="009D020A"/>
    <w:rsid w:val="00A453C7"/>
    <w:rsid w:val="00A470C7"/>
    <w:rsid w:val="00AD3FB1"/>
    <w:rsid w:val="00AF6F92"/>
    <w:rsid w:val="00B008B7"/>
    <w:rsid w:val="00B972ED"/>
    <w:rsid w:val="00C63FD6"/>
    <w:rsid w:val="00C745A7"/>
    <w:rsid w:val="00CB7FAC"/>
    <w:rsid w:val="00D06ED1"/>
    <w:rsid w:val="00D6011D"/>
    <w:rsid w:val="00DA7425"/>
    <w:rsid w:val="00DC1863"/>
    <w:rsid w:val="00E24A68"/>
    <w:rsid w:val="00E54660"/>
    <w:rsid w:val="00E70EB5"/>
    <w:rsid w:val="00EC6CA6"/>
    <w:rsid w:val="00EE69C5"/>
    <w:rsid w:val="00F20F83"/>
    <w:rsid w:val="00F77AE0"/>
    <w:rsid w:val="00F91A9A"/>
    <w:rsid w:val="00FC1DD4"/>
    <w:rsid w:val="00FC57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E34334"/>
  <w15:chartTrackingRefBased/>
  <w15:docId w15:val="{BEF022E5-5834-0346-8B37-1E2EC39F5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6E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6E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6E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E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E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E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E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E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E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6E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6E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6E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6E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6E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6E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6E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6E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6ED1"/>
    <w:rPr>
      <w:rFonts w:eastAsiaTheme="majorEastAsia" w:cstheme="majorBidi"/>
      <w:color w:val="272727" w:themeColor="text1" w:themeTint="D8"/>
    </w:rPr>
  </w:style>
  <w:style w:type="paragraph" w:styleId="Title">
    <w:name w:val="Title"/>
    <w:basedOn w:val="Normal"/>
    <w:next w:val="Normal"/>
    <w:link w:val="TitleChar"/>
    <w:uiPriority w:val="10"/>
    <w:qFormat/>
    <w:rsid w:val="00D06E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6E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6E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6E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ED1"/>
    <w:pPr>
      <w:spacing w:before="160"/>
      <w:jc w:val="center"/>
    </w:pPr>
    <w:rPr>
      <w:i/>
      <w:iCs/>
      <w:color w:val="404040" w:themeColor="text1" w:themeTint="BF"/>
    </w:rPr>
  </w:style>
  <w:style w:type="character" w:customStyle="1" w:styleId="QuoteChar">
    <w:name w:val="Quote Char"/>
    <w:basedOn w:val="DefaultParagraphFont"/>
    <w:link w:val="Quote"/>
    <w:uiPriority w:val="29"/>
    <w:rsid w:val="00D06ED1"/>
    <w:rPr>
      <w:i/>
      <w:iCs/>
      <w:color w:val="404040" w:themeColor="text1" w:themeTint="BF"/>
    </w:rPr>
  </w:style>
  <w:style w:type="paragraph" w:styleId="ListParagraph">
    <w:name w:val="List Paragraph"/>
    <w:basedOn w:val="Normal"/>
    <w:uiPriority w:val="34"/>
    <w:qFormat/>
    <w:rsid w:val="00D06ED1"/>
    <w:pPr>
      <w:ind w:left="720"/>
      <w:contextualSpacing/>
    </w:pPr>
  </w:style>
  <w:style w:type="character" w:styleId="IntenseEmphasis">
    <w:name w:val="Intense Emphasis"/>
    <w:basedOn w:val="DefaultParagraphFont"/>
    <w:uiPriority w:val="21"/>
    <w:qFormat/>
    <w:rsid w:val="00D06ED1"/>
    <w:rPr>
      <w:i/>
      <w:iCs/>
      <w:color w:val="0F4761" w:themeColor="accent1" w:themeShade="BF"/>
    </w:rPr>
  </w:style>
  <w:style w:type="paragraph" w:styleId="IntenseQuote">
    <w:name w:val="Intense Quote"/>
    <w:basedOn w:val="Normal"/>
    <w:next w:val="Normal"/>
    <w:link w:val="IntenseQuoteChar"/>
    <w:uiPriority w:val="30"/>
    <w:qFormat/>
    <w:rsid w:val="00D06E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6ED1"/>
    <w:rPr>
      <w:i/>
      <w:iCs/>
      <w:color w:val="0F4761" w:themeColor="accent1" w:themeShade="BF"/>
    </w:rPr>
  </w:style>
  <w:style w:type="character" w:styleId="IntenseReference">
    <w:name w:val="Intense Reference"/>
    <w:basedOn w:val="DefaultParagraphFont"/>
    <w:uiPriority w:val="32"/>
    <w:qFormat/>
    <w:rsid w:val="00D06ED1"/>
    <w:rPr>
      <w:b/>
      <w:bCs/>
      <w:smallCaps/>
      <w:color w:val="0F4761" w:themeColor="accent1" w:themeShade="BF"/>
      <w:spacing w:val="5"/>
    </w:rPr>
  </w:style>
  <w:style w:type="paragraph" w:styleId="Header">
    <w:name w:val="header"/>
    <w:basedOn w:val="Normal"/>
    <w:link w:val="HeaderChar"/>
    <w:uiPriority w:val="99"/>
    <w:unhideWhenUsed/>
    <w:rsid w:val="004E09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9FA"/>
  </w:style>
  <w:style w:type="paragraph" w:styleId="Footer">
    <w:name w:val="footer"/>
    <w:basedOn w:val="Normal"/>
    <w:link w:val="FooterChar"/>
    <w:uiPriority w:val="99"/>
    <w:unhideWhenUsed/>
    <w:rsid w:val="004E09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985</Words>
  <Characters>5733</Characters>
  <Application>Microsoft Office Word</Application>
  <DocSecurity>0</DocSecurity>
  <Lines>97</Lines>
  <Paragraphs>26</Paragraphs>
  <ScaleCrop>false</ScaleCrop>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York (2317170)</dc:creator>
  <cp:keywords/>
  <dc:description/>
  <cp:lastModifiedBy>Lilly York (2317170)</cp:lastModifiedBy>
  <cp:revision>37</cp:revision>
  <dcterms:created xsi:type="dcterms:W3CDTF">2025-02-10T12:56:00Z</dcterms:created>
  <dcterms:modified xsi:type="dcterms:W3CDTF">2025-02-10T14:29:00Z</dcterms:modified>
</cp:coreProperties>
</file>