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55C222" w14:textId="77D86BF8" w:rsidR="009F2F24" w:rsidRDefault="009F2F24">
      <w:pPr>
        <w:rPr>
          <w:b/>
          <w:bCs/>
          <w:u w:val="single"/>
        </w:rPr>
      </w:pPr>
      <w:r>
        <w:rPr>
          <w:b/>
          <w:bCs/>
          <w:u w:val="single"/>
        </w:rPr>
        <w:t>Section One</w:t>
      </w:r>
    </w:p>
    <w:p w14:paraId="43F7EF5A" w14:textId="011CC247" w:rsidR="000F7749" w:rsidRDefault="00843713">
      <w:pPr>
        <w:rPr>
          <w:b/>
          <w:bCs/>
          <w:u w:val="single"/>
        </w:rPr>
      </w:pPr>
      <w:r w:rsidRPr="00843713">
        <w:rPr>
          <w:b/>
          <w:bCs/>
          <w:u w:val="single"/>
        </w:rPr>
        <w:t xml:space="preserve">Explain what evidence-based practice is and how it might be applied within an organisation. (AC 1.1) </w:t>
      </w:r>
    </w:p>
    <w:p w14:paraId="18887D84" w14:textId="0C57D6C3" w:rsidR="0063110A" w:rsidRDefault="0063110A" w:rsidP="0063110A">
      <w:pPr>
        <w:rPr>
          <w:rFonts w:ascii="Trebuchet MS" w:hAnsi="Trebuchet MS"/>
          <w:color w:val="000000"/>
        </w:rPr>
      </w:pPr>
      <w:r w:rsidRPr="009264BF">
        <w:rPr>
          <w:rFonts w:ascii="Trebuchet MS" w:hAnsi="Trebuchet MS"/>
          <w:color w:val="000000"/>
        </w:rPr>
        <w:t xml:space="preserve">According to </w:t>
      </w:r>
      <w:r>
        <w:rPr>
          <w:rFonts w:ascii="Trebuchet MS" w:hAnsi="Trebuchet MS"/>
          <w:color w:val="000000"/>
        </w:rPr>
        <w:t>Waite</w:t>
      </w:r>
      <w:r w:rsidRPr="009264BF">
        <w:rPr>
          <w:rFonts w:ascii="Trebuchet MS" w:hAnsi="Trebuchet MS"/>
          <w:color w:val="000000"/>
        </w:rPr>
        <w:t xml:space="preserve"> et al (2021 pp.</w:t>
      </w:r>
      <w:r>
        <w:rPr>
          <w:rFonts w:ascii="Trebuchet MS" w:hAnsi="Trebuchet MS"/>
          <w:color w:val="000000"/>
        </w:rPr>
        <w:t>47</w:t>
      </w:r>
      <w:r w:rsidRPr="009264BF">
        <w:rPr>
          <w:rFonts w:ascii="Trebuchet MS" w:hAnsi="Trebuchet MS"/>
          <w:color w:val="000000"/>
        </w:rPr>
        <w:t>)</w:t>
      </w:r>
      <w:r>
        <w:rPr>
          <w:rFonts w:ascii="Trebuchet MS" w:hAnsi="Trebuchet MS"/>
          <w:color w:val="000000"/>
        </w:rPr>
        <w:t xml:space="preserve"> ‘Evidence-based practice is a process where evidence from reliable sources is used to develop knowledge and understanding to inform practice’, this would be used within an organisation to determine </w:t>
      </w:r>
      <w:r w:rsidR="00F24823">
        <w:rPr>
          <w:rFonts w:ascii="Trebuchet MS" w:hAnsi="Trebuchet MS"/>
          <w:color w:val="000000"/>
        </w:rPr>
        <w:t>several</w:t>
      </w:r>
      <w:r>
        <w:rPr>
          <w:rFonts w:ascii="Trebuchet MS" w:hAnsi="Trebuchet MS"/>
          <w:color w:val="000000"/>
        </w:rPr>
        <w:t xml:space="preserve"> things. </w:t>
      </w:r>
      <w:r w:rsidR="00F24823">
        <w:rPr>
          <w:rFonts w:ascii="Trebuchet MS" w:hAnsi="Trebuchet MS"/>
          <w:color w:val="000000"/>
        </w:rPr>
        <w:t xml:space="preserve">Evidence based practice is based on a combination of critical thinking and the best available evidence. </w:t>
      </w:r>
      <w:r w:rsidR="009D68B4" w:rsidRPr="009D68B4">
        <w:rPr>
          <w:rFonts w:ascii="Trebuchet MS" w:hAnsi="Trebuchet MS"/>
          <w:color w:val="000000"/>
        </w:rPr>
        <w:t xml:space="preserve">Briner (2019) provides a useful six step approach to guide people professionals through the process of evidence-based decision-making. </w:t>
      </w:r>
      <w:r w:rsidR="00F24823">
        <w:rPr>
          <w:rFonts w:ascii="Trebuchet MS" w:hAnsi="Trebuchet MS"/>
          <w:color w:val="000000"/>
        </w:rPr>
        <w:t xml:space="preserve">The 6 </w:t>
      </w:r>
      <w:proofErr w:type="gramStart"/>
      <w:r w:rsidR="00F24823">
        <w:rPr>
          <w:rFonts w:ascii="Trebuchet MS" w:hAnsi="Trebuchet MS"/>
          <w:color w:val="000000"/>
        </w:rPr>
        <w:t>A’s</w:t>
      </w:r>
      <w:proofErr w:type="gramEnd"/>
      <w:r w:rsidR="00F24823">
        <w:rPr>
          <w:rFonts w:ascii="Trebuchet MS" w:hAnsi="Trebuchet MS"/>
          <w:color w:val="000000"/>
        </w:rPr>
        <w:t xml:space="preserve"> are Asking, Acquiring, Appraising, Aggregating, Applying and Assessing. Going through these 6 steps would increase the likelihood of a favourable outcome. </w:t>
      </w:r>
      <w:r>
        <w:rPr>
          <w:rFonts w:ascii="Trebuchet MS" w:hAnsi="Trebuchet MS"/>
          <w:color w:val="000000"/>
        </w:rPr>
        <w:t xml:space="preserve">Within Pembrokeshire County Council Recruitment Team, we use </w:t>
      </w:r>
      <w:r w:rsidR="00710BEC">
        <w:rPr>
          <w:rFonts w:ascii="Trebuchet MS" w:hAnsi="Trebuchet MS"/>
          <w:color w:val="000000"/>
        </w:rPr>
        <w:t>evidence-based</w:t>
      </w:r>
      <w:r>
        <w:rPr>
          <w:rFonts w:ascii="Trebuchet MS" w:hAnsi="Trebuchet MS"/>
          <w:color w:val="000000"/>
        </w:rPr>
        <w:t xml:space="preserve"> practice to make decisions on what methods of </w:t>
      </w:r>
      <w:r w:rsidR="00710BEC">
        <w:rPr>
          <w:rFonts w:ascii="Trebuchet MS" w:hAnsi="Trebuchet MS"/>
          <w:color w:val="000000"/>
        </w:rPr>
        <w:t xml:space="preserve">paid </w:t>
      </w:r>
      <w:r>
        <w:rPr>
          <w:rFonts w:ascii="Trebuchet MS" w:hAnsi="Trebuchet MS"/>
          <w:color w:val="000000"/>
        </w:rPr>
        <w:t xml:space="preserve">recruitment </w:t>
      </w:r>
      <w:r w:rsidR="00710BEC">
        <w:rPr>
          <w:rFonts w:ascii="Trebuchet MS" w:hAnsi="Trebuchet MS"/>
          <w:color w:val="000000"/>
        </w:rPr>
        <w:t xml:space="preserve">is best used when requested by the manager. </w:t>
      </w:r>
      <w:r w:rsidR="0020597A">
        <w:rPr>
          <w:rFonts w:ascii="Trebuchet MS" w:hAnsi="Trebuchet MS"/>
          <w:color w:val="000000"/>
        </w:rPr>
        <w:t xml:space="preserve">We look at what the return of investment is on different platforms and use this to give advice to our manager when </w:t>
      </w:r>
      <w:r w:rsidR="009D68B4">
        <w:rPr>
          <w:rFonts w:ascii="Trebuchet MS" w:hAnsi="Trebuchet MS"/>
          <w:color w:val="000000"/>
        </w:rPr>
        <w:t>they are</w:t>
      </w:r>
      <w:r w:rsidR="0020597A">
        <w:rPr>
          <w:rFonts w:ascii="Trebuchet MS" w:hAnsi="Trebuchet MS"/>
          <w:color w:val="000000"/>
        </w:rPr>
        <w:t xml:space="preserve"> looking to reach further afield with their recruitment activity. It is best to make decisions on </w:t>
      </w:r>
      <w:r w:rsidR="00235A29">
        <w:rPr>
          <w:rFonts w:ascii="Trebuchet MS" w:hAnsi="Trebuchet MS"/>
          <w:color w:val="000000"/>
        </w:rPr>
        <w:t xml:space="preserve">different sources of evidence. This can lead to an outcome that is fair. We </w:t>
      </w:r>
      <w:r w:rsidR="00F24823">
        <w:rPr>
          <w:rFonts w:ascii="Trebuchet MS" w:hAnsi="Trebuchet MS"/>
          <w:color w:val="000000"/>
        </w:rPr>
        <w:t>must</w:t>
      </w:r>
      <w:r w:rsidR="00235A29">
        <w:rPr>
          <w:rFonts w:ascii="Trebuchet MS" w:hAnsi="Trebuchet MS"/>
          <w:color w:val="000000"/>
        </w:rPr>
        <w:t xml:space="preserve"> make sure that the evidence that we used is trustworthy and reliable to make the best decisions. In this instance it can lead to cost savings. </w:t>
      </w:r>
      <w:r w:rsidR="009D68B4">
        <w:rPr>
          <w:rFonts w:ascii="Trebuchet MS" w:hAnsi="Trebuchet MS"/>
          <w:color w:val="000000"/>
        </w:rPr>
        <w:t xml:space="preserve">As an organisation we have reports that provide us with data on where applicants select where they’ve seen the vacancy. Working off this data, we can then provide it to a manager who wants to advertise externally via a paid advertisement. </w:t>
      </w:r>
    </w:p>
    <w:p w14:paraId="7E90F589" w14:textId="13713B01" w:rsidR="00235A29" w:rsidRDefault="00235A29" w:rsidP="0063110A">
      <w:pPr>
        <w:rPr>
          <w:b/>
          <w:bCs/>
          <w:u w:val="single"/>
        </w:rPr>
      </w:pPr>
      <w:r w:rsidRPr="00235A29">
        <w:rPr>
          <w:b/>
          <w:bCs/>
          <w:u w:val="single"/>
        </w:rPr>
        <w:t>Explain the importance of using data in organisations and why it is necessary to ensure that data is accurate when determining problems and issues. (AC 1.2)</w:t>
      </w:r>
    </w:p>
    <w:p w14:paraId="3FEBD97F" w14:textId="4A4EE1DC" w:rsidR="00DD423E" w:rsidRPr="00DD423E" w:rsidRDefault="00235A29" w:rsidP="0063110A">
      <w:pPr>
        <w:rPr>
          <w:rFonts w:ascii="Trebuchet MS" w:hAnsi="Trebuchet MS"/>
          <w:color w:val="000000"/>
        </w:rPr>
      </w:pPr>
      <w:r w:rsidRPr="00DD423E">
        <w:rPr>
          <w:rFonts w:ascii="Trebuchet MS" w:hAnsi="Trebuchet MS"/>
          <w:color w:val="000000"/>
        </w:rPr>
        <w:t xml:space="preserve">It is important to due </w:t>
      </w:r>
      <w:r w:rsidR="00835676" w:rsidRPr="00DD423E">
        <w:rPr>
          <w:rFonts w:ascii="Trebuchet MS" w:hAnsi="Trebuchet MS"/>
          <w:color w:val="000000"/>
        </w:rPr>
        <w:t xml:space="preserve">reliable </w:t>
      </w:r>
      <w:r w:rsidRPr="00DD423E">
        <w:rPr>
          <w:rFonts w:ascii="Trebuchet MS" w:hAnsi="Trebuchet MS"/>
          <w:color w:val="000000"/>
        </w:rPr>
        <w:t xml:space="preserve">data within an organisation to make </w:t>
      </w:r>
      <w:r w:rsidR="00835676" w:rsidRPr="00DD423E">
        <w:rPr>
          <w:rFonts w:ascii="Trebuchet MS" w:hAnsi="Trebuchet MS"/>
          <w:color w:val="000000"/>
        </w:rPr>
        <w:t xml:space="preserve">decisions because then no wrong decisions are made and there is no loss in trust in HR. In a day-to-day environment, people professionals are often confronted with a range of people and business-related issues, this requires decisions of some kind to be made. Relevant sources of data can be used in informing those decisions. </w:t>
      </w:r>
      <w:r w:rsidR="00EC2858" w:rsidRPr="00DD423E">
        <w:rPr>
          <w:rFonts w:ascii="Trebuchet MS" w:hAnsi="Trebuchet MS"/>
          <w:color w:val="000000"/>
        </w:rPr>
        <w:t xml:space="preserve">Using a wide variety of data helps us to develop factual knowledge and understanding on a wide range of organisation and people issues. </w:t>
      </w:r>
      <w:r w:rsidR="009D68B4" w:rsidRPr="00DD423E">
        <w:rPr>
          <w:rFonts w:ascii="Trebuchet MS" w:hAnsi="Trebuchet MS"/>
          <w:color w:val="000000"/>
        </w:rPr>
        <w:t xml:space="preserve">There are 4 different types of evidence that we can work off. These 4 types of evidence are, scientific, organisational, experimental and stakeholder. Pembrokeshire County Council get stakeholder evidence to make decisions. Currently, they have provided a survey to the residents of Pembrokeshire to find out their thoughts on the budget and reducing services before making informed decisions. If the organisation did not go out to the residents, this would be </w:t>
      </w:r>
      <w:proofErr w:type="spellStart"/>
      <w:r w:rsidR="006E6C0E" w:rsidRPr="00DD423E">
        <w:rPr>
          <w:rFonts w:ascii="Trebuchet MS" w:hAnsi="Trebuchet MS"/>
          <w:color w:val="000000"/>
        </w:rPr>
        <w:t>not</w:t>
      </w:r>
      <w:proofErr w:type="spellEnd"/>
      <w:r w:rsidR="006E6C0E" w:rsidRPr="00DD423E">
        <w:rPr>
          <w:rFonts w:ascii="Trebuchet MS" w:hAnsi="Trebuchet MS"/>
          <w:color w:val="000000"/>
        </w:rPr>
        <w:t xml:space="preserve"> reliable data as the residents are directly affected by these decisions with the reduction of services or the increase of Council Tax. </w:t>
      </w:r>
      <w:r w:rsidR="00DD423E" w:rsidRPr="00DD423E">
        <w:rPr>
          <w:rFonts w:ascii="Trebuchet MS" w:hAnsi="Trebuchet MS"/>
          <w:color w:val="000000"/>
        </w:rPr>
        <w:t xml:space="preserve"> </w:t>
      </w:r>
      <w:r w:rsidR="00727358">
        <w:rPr>
          <w:rFonts w:ascii="Trebuchet MS" w:hAnsi="Trebuchet MS"/>
          <w:color w:val="000000"/>
        </w:rPr>
        <w:t xml:space="preserve">If the data is not accurate and reliable, then this can cause wrong decisions to be made and a loss of trust in the organisation. </w:t>
      </w:r>
      <w:r w:rsidR="00DD423E" w:rsidRPr="00DD423E">
        <w:rPr>
          <w:rFonts w:ascii="Trebuchet MS" w:hAnsi="Trebuchet MS"/>
          <w:color w:val="000000"/>
        </w:rPr>
        <w:t xml:space="preserve">According to the CIPD, we need to observe our culture to understand our own organisation’s capabilities, engaging with business leaders and asking questions to understand their word, with its risks, challenges and potential. </w:t>
      </w:r>
    </w:p>
    <w:p w14:paraId="076DFAE8" w14:textId="77777777" w:rsidR="006E6C0E" w:rsidRPr="006E6C0E" w:rsidRDefault="006E6C0E" w:rsidP="006E6C0E">
      <w:pPr>
        <w:spacing w:after="0" w:line="240" w:lineRule="auto"/>
        <w:rPr>
          <w:rFonts w:ascii="Trebuchet MS" w:hAnsi="Trebuchet MS"/>
          <w:b/>
          <w:bCs/>
          <w:u w:val="single"/>
        </w:rPr>
      </w:pPr>
      <w:r w:rsidRPr="006E6C0E">
        <w:rPr>
          <w:rFonts w:ascii="Trebuchet MS" w:hAnsi="Trebuchet MS"/>
          <w:b/>
          <w:bCs/>
          <w:u w:val="single"/>
        </w:rPr>
        <w:t xml:space="preserve">Explain the different types of data measurements used by people professionals. (AC 1.3) </w:t>
      </w:r>
    </w:p>
    <w:p w14:paraId="2884BDB1" w14:textId="77777777" w:rsidR="006E6C0E" w:rsidRDefault="006E6C0E" w:rsidP="0063110A"/>
    <w:p w14:paraId="39946882" w14:textId="450F2564" w:rsidR="006E6C0E" w:rsidRPr="00874B9F" w:rsidRDefault="00DD423E" w:rsidP="0063110A">
      <w:pPr>
        <w:rPr>
          <w:rFonts w:ascii="Trebuchet MS" w:hAnsi="Trebuchet MS"/>
          <w:color w:val="000000"/>
        </w:rPr>
      </w:pPr>
      <w:r w:rsidRPr="00874B9F">
        <w:rPr>
          <w:rFonts w:ascii="Trebuchet MS" w:hAnsi="Trebuchet MS"/>
          <w:color w:val="000000"/>
        </w:rPr>
        <w:t xml:space="preserve">The impact of data can be significant, this can affect culture, performance and perception. </w:t>
      </w:r>
      <w:r w:rsidR="006E6C0E" w:rsidRPr="00874B9F">
        <w:rPr>
          <w:rFonts w:ascii="Trebuchet MS" w:hAnsi="Trebuchet MS"/>
          <w:color w:val="000000"/>
        </w:rPr>
        <w:t xml:space="preserve">There are different types of data measurements used by people professionals. These types of data measurements are quantitative and qualitative data. An example of qualitative data is usually collected through performance appraisals and exit interviews. </w:t>
      </w:r>
      <w:r w:rsidR="006E6C0E" w:rsidRPr="00874B9F">
        <w:rPr>
          <w:rFonts w:ascii="Trebuchet MS" w:hAnsi="Trebuchet MS"/>
          <w:color w:val="000000"/>
        </w:rPr>
        <w:lastRenderedPageBreak/>
        <w:t xml:space="preserve">According to the </w:t>
      </w:r>
      <w:r w:rsidRPr="00874B9F">
        <w:rPr>
          <w:rFonts w:ascii="Trebuchet MS" w:hAnsi="Trebuchet MS"/>
          <w:color w:val="000000"/>
        </w:rPr>
        <w:t>CIPD It</w:t>
      </w:r>
      <w:r w:rsidR="006E6C0E" w:rsidRPr="00874B9F">
        <w:rPr>
          <w:rFonts w:ascii="Trebuchet MS" w:hAnsi="Trebuchet MS"/>
          <w:color w:val="000000"/>
        </w:rPr>
        <w:t xml:space="preserve"> is important for people professionals to understand the ‘what’, ‘why’, and ‘how’ of something. </w:t>
      </w:r>
      <w:r w:rsidRPr="00874B9F">
        <w:rPr>
          <w:rFonts w:ascii="Trebuchet MS" w:hAnsi="Trebuchet MS"/>
          <w:color w:val="000000"/>
        </w:rPr>
        <w:t xml:space="preserve">The approach of </w:t>
      </w:r>
      <w:r w:rsidR="00B52E47">
        <w:rPr>
          <w:rFonts w:ascii="Trebuchet MS" w:hAnsi="Trebuchet MS"/>
          <w:color w:val="000000"/>
        </w:rPr>
        <w:t>qualitative</w:t>
      </w:r>
      <w:r w:rsidRPr="00874B9F">
        <w:rPr>
          <w:rFonts w:ascii="Trebuchet MS" w:hAnsi="Trebuchet MS"/>
          <w:color w:val="000000"/>
        </w:rPr>
        <w:t xml:space="preserve"> data is useful when you need to capture understanding of the views and perception of how people feel. An example of an approach to collate this data would be to analyse a range of evidence when reviewing disciplinary or grievance statements and understand the reasons for people leaving their employment via extra interview or surveys. </w:t>
      </w:r>
      <w:r w:rsidR="006E6C0E" w:rsidRPr="00874B9F">
        <w:rPr>
          <w:rFonts w:ascii="Trebuchet MS" w:hAnsi="Trebuchet MS"/>
          <w:color w:val="000000"/>
        </w:rPr>
        <w:t>According to the CIPD</w:t>
      </w:r>
      <w:r w:rsidR="00A1630A">
        <w:rPr>
          <w:rFonts w:ascii="Trebuchet MS" w:hAnsi="Trebuchet MS"/>
          <w:color w:val="000000"/>
        </w:rPr>
        <w:t xml:space="preserve"> Factsheet 2024</w:t>
      </w:r>
      <w:r w:rsidR="006E6C0E" w:rsidRPr="00874B9F">
        <w:rPr>
          <w:rFonts w:ascii="Trebuchet MS" w:hAnsi="Trebuchet MS"/>
          <w:color w:val="000000"/>
        </w:rPr>
        <w:t xml:space="preserve">, examples of this data is the number of employees and average age. Quantitative data are quantifiable. </w:t>
      </w:r>
      <w:r w:rsidRPr="00874B9F">
        <w:rPr>
          <w:rFonts w:ascii="Trebuchet MS" w:hAnsi="Trebuchet MS"/>
          <w:color w:val="000000"/>
        </w:rPr>
        <w:t xml:space="preserve">The approach of quantitative data is useful when you need to measure different trends or patterns over </w:t>
      </w:r>
      <w:r w:rsidR="00B52E47" w:rsidRPr="00874B9F">
        <w:rPr>
          <w:rFonts w:ascii="Trebuchet MS" w:hAnsi="Trebuchet MS"/>
          <w:color w:val="000000"/>
        </w:rPr>
        <w:t>a period</w:t>
      </w:r>
      <w:r w:rsidRPr="00874B9F">
        <w:rPr>
          <w:rFonts w:ascii="Trebuchet MS" w:hAnsi="Trebuchet MS"/>
          <w:color w:val="000000"/>
        </w:rPr>
        <w:t>.</w:t>
      </w:r>
      <w:r w:rsidR="00727358" w:rsidRPr="00874B9F">
        <w:rPr>
          <w:rFonts w:ascii="Trebuchet MS" w:hAnsi="Trebuchet MS"/>
          <w:color w:val="000000"/>
        </w:rPr>
        <w:t xml:space="preserve"> Examples of this would be labour turnover data across the various departments with an organisation and successful take up of advertised jobs when recruiting. </w:t>
      </w:r>
      <w:r w:rsidR="00A1630A">
        <w:rPr>
          <w:rFonts w:ascii="Trebuchet MS" w:hAnsi="Trebuchet MS"/>
          <w:color w:val="000000"/>
        </w:rPr>
        <w:t xml:space="preserve">According to the CIPD’s article </w:t>
      </w:r>
      <w:r w:rsidR="0080473B">
        <w:rPr>
          <w:rFonts w:ascii="Trebuchet MS" w:hAnsi="Trebuchet MS"/>
          <w:color w:val="000000"/>
        </w:rPr>
        <w:t>‘</w:t>
      </w:r>
      <w:r w:rsidR="0080473B" w:rsidRPr="0080473B">
        <w:rPr>
          <w:rFonts w:ascii="Trebuchet MS" w:hAnsi="Trebuchet MS"/>
          <w:color w:val="000000"/>
        </w:rPr>
        <w:t xml:space="preserve">Can data drive racial </w:t>
      </w:r>
      <w:r w:rsidR="0080473B">
        <w:rPr>
          <w:rFonts w:ascii="Trebuchet MS" w:hAnsi="Trebuchet MS"/>
          <w:color w:val="000000"/>
        </w:rPr>
        <w:t xml:space="preserve">equality? 2021, it shows us that asking the right questions can reveal red flags and help identify the right data. This can be both qualitative and quantitative data. </w:t>
      </w:r>
      <w:r w:rsidR="00C24AE0">
        <w:rPr>
          <w:rFonts w:ascii="Trebuchet MS" w:hAnsi="Trebuchet MS"/>
          <w:color w:val="000000"/>
        </w:rPr>
        <w:t xml:space="preserve">An example of positive use of </w:t>
      </w:r>
      <w:r w:rsidR="00C24AE0" w:rsidRPr="00C24AE0">
        <w:rPr>
          <w:rFonts w:ascii="Trebuchet MS" w:hAnsi="Trebuchet MS"/>
          <w:color w:val="000000"/>
        </w:rPr>
        <w:t>quantitative </w:t>
      </w:r>
      <w:r w:rsidR="00C24AE0">
        <w:rPr>
          <w:rFonts w:ascii="Trebuchet MS" w:hAnsi="Trebuchet MS"/>
          <w:color w:val="000000"/>
        </w:rPr>
        <w:t xml:space="preserve">data was how </w:t>
      </w:r>
      <w:r w:rsidR="00A725EE">
        <w:rPr>
          <w:rFonts w:ascii="Trebuchet MS" w:hAnsi="Trebuchet MS"/>
          <w:color w:val="000000"/>
        </w:rPr>
        <w:t>t</w:t>
      </w:r>
      <w:r w:rsidR="00C24AE0">
        <w:rPr>
          <w:rFonts w:ascii="Trebuchet MS" w:hAnsi="Trebuchet MS"/>
          <w:color w:val="000000"/>
        </w:rPr>
        <w:t xml:space="preserve">he Financial Times collect and </w:t>
      </w:r>
      <w:r w:rsidR="00A725EE">
        <w:rPr>
          <w:rFonts w:ascii="Trebuchet MS" w:hAnsi="Trebuchet MS"/>
          <w:color w:val="000000"/>
        </w:rPr>
        <w:t>analysed</w:t>
      </w:r>
      <w:r w:rsidR="00C24AE0">
        <w:rPr>
          <w:rFonts w:ascii="Trebuchet MS" w:hAnsi="Trebuchet MS"/>
          <w:color w:val="000000"/>
        </w:rPr>
        <w:t xml:space="preserve"> this data. </w:t>
      </w:r>
      <w:r w:rsidR="00A725EE">
        <w:rPr>
          <w:rFonts w:ascii="Trebuchet MS" w:hAnsi="Trebuchet MS"/>
          <w:color w:val="000000"/>
        </w:rPr>
        <w:t>According</w:t>
      </w:r>
      <w:r w:rsidR="00C24AE0">
        <w:rPr>
          <w:rFonts w:ascii="Trebuchet MS" w:hAnsi="Trebuchet MS"/>
          <w:color w:val="000000"/>
        </w:rPr>
        <w:t xml:space="preserve"> to the CIPD </w:t>
      </w:r>
      <w:r w:rsidR="00A725EE">
        <w:rPr>
          <w:rFonts w:ascii="Trebuchet MS" w:hAnsi="Trebuchet MS"/>
          <w:color w:val="000000"/>
        </w:rPr>
        <w:t>case study ‘</w:t>
      </w:r>
      <w:r w:rsidR="00A725EE" w:rsidRPr="00A725EE">
        <w:rPr>
          <w:rFonts w:ascii="Trebuchet MS" w:hAnsi="Trebuchet MS"/>
          <w:color w:val="000000"/>
        </w:rPr>
        <w:t>Solving business problems with people analytics: Financial Times</w:t>
      </w:r>
      <w:r w:rsidR="00A725EE">
        <w:rPr>
          <w:rFonts w:ascii="Trebuchet MS" w:hAnsi="Trebuchet MS"/>
          <w:color w:val="000000"/>
        </w:rPr>
        <w:t xml:space="preserve">, 2021’ this shows us that the Financial Times weighed up the aggregated scores from their surveys and measured against the benchmark. </w:t>
      </w:r>
      <w:r w:rsidR="001A2181">
        <w:rPr>
          <w:rFonts w:ascii="Trebuchet MS" w:hAnsi="Trebuchet MS"/>
          <w:color w:val="000000"/>
        </w:rPr>
        <w:t xml:space="preserve">They Financial Times put initiatives in place which were received well by the staff. This </w:t>
      </w:r>
      <w:r w:rsidR="00B52E47">
        <w:rPr>
          <w:rFonts w:ascii="Trebuchet MS" w:hAnsi="Trebuchet MS"/>
          <w:color w:val="000000"/>
        </w:rPr>
        <w:t>led</w:t>
      </w:r>
      <w:r w:rsidR="001A2181">
        <w:rPr>
          <w:rFonts w:ascii="Trebuchet MS" w:hAnsi="Trebuchet MS"/>
          <w:color w:val="000000"/>
        </w:rPr>
        <w:t xml:space="preserve"> to engagement scores being improved year on year by almost 5%</w:t>
      </w:r>
    </w:p>
    <w:p w14:paraId="33A6C582" w14:textId="77777777" w:rsidR="003B2D2B" w:rsidRPr="003B2D2B" w:rsidRDefault="003B2D2B" w:rsidP="003B2D2B">
      <w:pPr>
        <w:spacing w:after="0" w:line="240" w:lineRule="auto"/>
        <w:rPr>
          <w:rFonts w:ascii="Trebuchet MS" w:hAnsi="Trebuchet MS"/>
          <w:b/>
          <w:bCs/>
          <w:u w:val="single"/>
        </w:rPr>
      </w:pPr>
      <w:r w:rsidRPr="003B2D2B">
        <w:rPr>
          <w:rFonts w:ascii="Trebuchet MS" w:hAnsi="Trebuchet MS"/>
          <w:b/>
          <w:bCs/>
          <w:u w:val="single"/>
        </w:rPr>
        <w:t>Explain how the application of agreed policies and procedures informs decisions. (AC 1.6)</w:t>
      </w:r>
    </w:p>
    <w:p w14:paraId="34809CA3" w14:textId="22425CA3" w:rsidR="00727358" w:rsidRDefault="00727358" w:rsidP="003B2D2B">
      <w:pPr>
        <w:spacing w:after="0" w:line="240" w:lineRule="auto"/>
        <w:rPr>
          <w:rFonts w:ascii="Trebuchet MS" w:hAnsi="Trebuchet MS"/>
          <w:b/>
          <w:bCs/>
          <w:color w:val="FF0000"/>
          <w:u w:val="single"/>
        </w:rPr>
      </w:pPr>
    </w:p>
    <w:p w14:paraId="03672899" w14:textId="0372C7B3" w:rsidR="00727358" w:rsidRPr="00874B9F" w:rsidRDefault="00727358" w:rsidP="00874B9F">
      <w:pPr>
        <w:rPr>
          <w:rFonts w:ascii="Trebuchet MS" w:hAnsi="Trebuchet MS"/>
          <w:color w:val="000000"/>
        </w:rPr>
      </w:pPr>
      <w:r w:rsidRPr="00874B9F">
        <w:rPr>
          <w:rFonts w:ascii="Trebuchet MS" w:hAnsi="Trebuchet MS"/>
          <w:color w:val="000000"/>
        </w:rPr>
        <w:t>Agreed policies and procedures are important to inform decisions</w:t>
      </w:r>
      <w:r w:rsidR="003700C2" w:rsidRPr="00874B9F">
        <w:rPr>
          <w:rFonts w:ascii="Trebuchet MS" w:hAnsi="Trebuchet MS"/>
          <w:color w:val="000000"/>
        </w:rPr>
        <w:t xml:space="preserve"> within an organisation. </w:t>
      </w:r>
      <w:r w:rsidR="00874B9F" w:rsidRPr="00874B9F">
        <w:rPr>
          <w:rFonts w:ascii="Trebuchet MS" w:hAnsi="Trebuchet MS"/>
          <w:color w:val="000000"/>
        </w:rPr>
        <w:t>They help to drive a customer focused strategy</w:t>
      </w:r>
      <w:r w:rsidR="00A725EE">
        <w:rPr>
          <w:rFonts w:ascii="Trebuchet MS" w:hAnsi="Trebuchet MS"/>
          <w:color w:val="000000"/>
        </w:rPr>
        <w:t>, Pembrokeshire Couty Council has a</w:t>
      </w:r>
      <w:r w:rsidR="001A2181">
        <w:rPr>
          <w:rFonts w:ascii="Trebuchet MS" w:hAnsi="Trebuchet MS"/>
          <w:color w:val="000000"/>
        </w:rPr>
        <w:t xml:space="preserve"> Prior Consideration policy in place which means that any one at risk of losing their job can be considered as a prior when applying for roles. Internal members of staff are the HR Managers’ main customer. </w:t>
      </w:r>
      <w:r w:rsidR="00A725EE">
        <w:rPr>
          <w:rFonts w:ascii="Trebuchet MS" w:hAnsi="Trebuchet MS"/>
          <w:color w:val="000000"/>
        </w:rPr>
        <w:t xml:space="preserve"> </w:t>
      </w:r>
      <w:r w:rsidR="00874B9F" w:rsidRPr="00874B9F">
        <w:rPr>
          <w:rFonts w:ascii="Trebuchet MS" w:hAnsi="Trebuchet MS"/>
          <w:color w:val="000000"/>
        </w:rPr>
        <w:t xml:space="preserve"> When managers follow and adhere to policy it helps to create a committed and engaged workforce which than then lead onto a reduction of leavers within the organisation. HR policies are in place to make sure all employees are looked after and treated fairly. For example, i</w:t>
      </w:r>
      <w:r w:rsidR="003700C2" w:rsidRPr="00874B9F">
        <w:rPr>
          <w:rFonts w:ascii="Trebuchet MS" w:hAnsi="Trebuchet MS"/>
          <w:color w:val="000000"/>
        </w:rPr>
        <w:t xml:space="preserve">t is important to have a disciplinary policy that is fit for purpose. Having the policy that is fit for purpose makes sure that decisions are made fairly day to day, and everyone making decisions that are consistent. </w:t>
      </w:r>
      <w:r w:rsidR="002B188B">
        <w:rPr>
          <w:rFonts w:ascii="Trebuchet MS" w:hAnsi="Trebuchet MS"/>
          <w:color w:val="000000"/>
        </w:rPr>
        <w:t>A policy we have in place is a Recruitment and selection policy, we keep our managers in line when reviewing their documents to make sure that all applicants have been scored fairly and that all policy has been followed to make sure there has been no discrimination</w:t>
      </w:r>
      <w:r w:rsidR="003303CD">
        <w:rPr>
          <w:rFonts w:ascii="Trebuchet MS" w:hAnsi="Trebuchet MS"/>
          <w:color w:val="000000"/>
        </w:rPr>
        <w:t xml:space="preserve"> in line with the Equality Act 2010.</w:t>
      </w:r>
      <w:r w:rsidR="002B188B">
        <w:rPr>
          <w:rFonts w:ascii="Trebuchet MS" w:hAnsi="Trebuchet MS"/>
          <w:color w:val="000000"/>
        </w:rPr>
        <w:t xml:space="preserve"> </w:t>
      </w:r>
      <w:r w:rsidR="00874B9F" w:rsidRPr="00874B9F">
        <w:rPr>
          <w:rFonts w:ascii="Trebuchet MS" w:hAnsi="Trebuchet MS"/>
          <w:color w:val="000000"/>
        </w:rPr>
        <w:t xml:space="preserve">If agreed policies and procedures are not followed, this can then lead onto a negative psychological contact and negative organisational culture. </w:t>
      </w:r>
      <w:r w:rsidR="00874B9F">
        <w:rPr>
          <w:rFonts w:ascii="Trebuchet MS" w:hAnsi="Trebuchet MS"/>
          <w:color w:val="000000"/>
        </w:rPr>
        <w:t xml:space="preserve">If a manager does not follow it, this can lead to a team that are not committed to the organisation and a non-engaged workforce. </w:t>
      </w:r>
    </w:p>
    <w:p w14:paraId="6B0D64DC" w14:textId="77777777" w:rsidR="003700C2" w:rsidRPr="00727358" w:rsidRDefault="003700C2" w:rsidP="003B2D2B">
      <w:pPr>
        <w:spacing w:after="0" w:line="240" w:lineRule="auto"/>
        <w:rPr>
          <w:rFonts w:ascii="Trebuchet MS" w:hAnsi="Trebuchet MS"/>
        </w:rPr>
      </w:pPr>
    </w:p>
    <w:p w14:paraId="6A860F14" w14:textId="77777777" w:rsidR="003B2D2B" w:rsidRDefault="003B2D2B" w:rsidP="003B2D2B">
      <w:pPr>
        <w:spacing w:after="0" w:line="240" w:lineRule="auto"/>
        <w:rPr>
          <w:rFonts w:ascii="Trebuchet MS" w:hAnsi="Trebuchet MS"/>
          <w:b/>
          <w:bCs/>
          <w:color w:val="FF0000"/>
          <w:u w:val="single"/>
        </w:rPr>
      </w:pPr>
      <w:r w:rsidRPr="003B2D2B">
        <w:rPr>
          <w:rFonts w:ascii="Trebuchet MS" w:hAnsi="Trebuchet MS"/>
          <w:b/>
          <w:bCs/>
          <w:u w:val="single"/>
        </w:rPr>
        <w:t>Explain how people professionals create value for people, organisations and wider stakeholders. (AC 2.1)</w:t>
      </w:r>
      <w:r w:rsidRPr="003B2D2B">
        <w:rPr>
          <w:rFonts w:ascii="Trebuchet MS" w:hAnsi="Trebuchet MS"/>
          <w:b/>
          <w:bCs/>
          <w:color w:val="FF0000"/>
          <w:u w:val="single"/>
        </w:rPr>
        <w:t xml:space="preserve"> </w:t>
      </w:r>
    </w:p>
    <w:p w14:paraId="5496F92D" w14:textId="77777777" w:rsidR="00EF4E4B" w:rsidRDefault="00EF4E4B" w:rsidP="003B2D2B">
      <w:pPr>
        <w:spacing w:after="0" w:line="240" w:lineRule="auto"/>
        <w:rPr>
          <w:rFonts w:ascii="Trebuchet MS" w:hAnsi="Trebuchet MS"/>
          <w:b/>
          <w:bCs/>
          <w:color w:val="FF0000"/>
          <w:u w:val="single"/>
        </w:rPr>
      </w:pPr>
    </w:p>
    <w:p w14:paraId="00ECFE71" w14:textId="5BFEA56B" w:rsidR="00EF4E4B" w:rsidRPr="00EF4E4B" w:rsidRDefault="00EF4E4B" w:rsidP="003B2D2B">
      <w:pPr>
        <w:spacing w:after="0" w:line="240" w:lineRule="auto"/>
        <w:rPr>
          <w:rFonts w:ascii="Trebuchet MS" w:hAnsi="Trebuchet MS"/>
        </w:rPr>
      </w:pPr>
      <w:r w:rsidRPr="00EF4E4B">
        <w:rPr>
          <w:rFonts w:ascii="Trebuchet MS" w:hAnsi="Trebuchet MS"/>
        </w:rPr>
        <w:t>People professionals can create value for people, organisations and wider stakeholders through providing them with a service that adds value</w:t>
      </w:r>
      <w:r>
        <w:rPr>
          <w:rFonts w:ascii="Trebuchet MS" w:hAnsi="Trebuchet MS"/>
        </w:rPr>
        <w:t xml:space="preserve"> to their experience</w:t>
      </w:r>
      <w:r w:rsidRPr="00EF4E4B">
        <w:rPr>
          <w:rFonts w:ascii="Trebuchet MS" w:hAnsi="Trebuchet MS"/>
        </w:rPr>
        <w:t xml:space="preserve">. </w:t>
      </w:r>
      <w:r>
        <w:rPr>
          <w:rFonts w:ascii="Trebuchet MS" w:hAnsi="Trebuchet MS"/>
        </w:rPr>
        <w:t xml:space="preserve">A negative way of looking at it is through Swaroopa,2019 quote </w:t>
      </w:r>
      <w:r w:rsidR="00B13468">
        <w:rPr>
          <w:rFonts w:ascii="Trebuchet MS" w:hAnsi="Trebuchet MS"/>
        </w:rPr>
        <w:t>‘When</w:t>
      </w:r>
      <w:r w:rsidRPr="00EF4E4B">
        <w:rPr>
          <w:rFonts w:ascii="Trebuchet MS" w:hAnsi="Trebuchet MS"/>
        </w:rPr>
        <w:t xml:space="preserve"> there is a choice between values and profits, people always go for the latter</w:t>
      </w:r>
      <w:r>
        <w:rPr>
          <w:rFonts w:ascii="Trebuchet MS" w:hAnsi="Trebuchet MS"/>
        </w:rPr>
        <w:t xml:space="preserve">’. This quote might be applicable to a private organisation but as Pembrokeshire County Council is local government, we are mostly </w:t>
      </w:r>
      <w:proofErr w:type="gramStart"/>
      <w:r>
        <w:rPr>
          <w:rFonts w:ascii="Trebuchet MS" w:hAnsi="Trebuchet MS"/>
        </w:rPr>
        <w:t>go</w:t>
      </w:r>
      <w:proofErr w:type="gramEnd"/>
      <w:r>
        <w:rPr>
          <w:rFonts w:ascii="Trebuchet MS" w:hAnsi="Trebuchet MS"/>
        </w:rPr>
        <w:t xml:space="preserve"> for our values. We, as people professionals will need to be relevant and sufficient to support the business and adding value in what we do</w:t>
      </w:r>
      <w:r w:rsidR="00B13468">
        <w:rPr>
          <w:rFonts w:ascii="Trebuchet MS" w:hAnsi="Trebuchet MS"/>
        </w:rPr>
        <w:t xml:space="preserve">. For people, when we add value of </w:t>
      </w:r>
      <w:r w:rsidR="00B13468">
        <w:rPr>
          <w:rFonts w:ascii="Trebuchet MS" w:hAnsi="Trebuchet MS"/>
        </w:rPr>
        <w:lastRenderedPageBreak/>
        <w:t xml:space="preserve">HR there is then </w:t>
      </w:r>
      <w:r w:rsidR="00F71A18">
        <w:rPr>
          <w:rFonts w:ascii="Trebuchet MS" w:hAnsi="Trebuchet MS"/>
        </w:rPr>
        <w:t>an</w:t>
      </w:r>
      <w:r w:rsidR="00B13468">
        <w:rPr>
          <w:rFonts w:ascii="Trebuchet MS" w:hAnsi="Trebuchet MS"/>
        </w:rPr>
        <w:t xml:space="preserve"> </w:t>
      </w:r>
      <w:r w:rsidR="00F71A18">
        <w:rPr>
          <w:rFonts w:ascii="Trebuchet MS" w:hAnsi="Trebuchet MS"/>
        </w:rPr>
        <w:t>increase</w:t>
      </w:r>
      <w:r w:rsidR="00B13468">
        <w:rPr>
          <w:rFonts w:ascii="Trebuchet MS" w:hAnsi="Trebuchet MS"/>
        </w:rPr>
        <w:t xml:space="preserve"> of connection between HR and performance. </w:t>
      </w:r>
      <w:r w:rsidR="004D658E">
        <w:rPr>
          <w:rFonts w:ascii="Trebuchet MS" w:hAnsi="Trebuchet MS"/>
        </w:rPr>
        <w:t xml:space="preserve">Within Pembrokeshire County Council Recruitment Team through supporting and guiding applicants and managers through the recruitment process. We offer guidance for managers whilst they shortlist and interview applicants and on the other </w:t>
      </w:r>
      <w:r w:rsidR="00B52E47">
        <w:rPr>
          <w:rFonts w:ascii="Trebuchet MS" w:hAnsi="Trebuchet MS"/>
        </w:rPr>
        <w:t>side,</w:t>
      </w:r>
      <w:r w:rsidR="004D658E">
        <w:rPr>
          <w:rFonts w:ascii="Trebuchet MS" w:hAnsi="Trebuchet MS"/>
        </w:rPr>
        <w:t xml:space="preserve"> we provide guidance to applicants who have any queries about the roles they are applying for. </w:t>
      </w:r>
    </w:p>
    <w:p w14:paraId="33FD65F5" w14:textId="77777777" w:rsidR="003B2D2B" w:rsidRPr="003B2D2B" w:rsidRDefault="003B2D2B" w:rsidP="003B2D2B">
      <w:pPr>
        <w:spacing w:after="0" w:line="240" w:lineRule="auto"/>
        <w:contextualSpacing/>
        <w:rPr>
          <w:rFonts w:ascii="Trebuchet MS" w:hAnsi="Trebuchet MS"/>
          <w:b/>
          <w:bCs/>
          <w:u w:val="single"/>
        </w:rPr>
      </w:pPr>
    </w:p>
    <w:p w14:paraId="1B3D2CDE" w14:textId="77777777" w:rsidR="003B2D2B" w:rsidRDefault="003B2D2B" w:rsidP="003B2D2B">
      <w:pPr>
        <w:spacing w:after="0" w:line="240" w:lineRule="auto"/>
        <w:rPr>
          <w:rFonts w:ascii="Trebuchet MS" w:hAnsi="Trebuchet MS"/>
          <w:b/>
          <w:bCs/>
          <w:u w:val="single"/>
        </w:rPr>
      </w:pPr>
      <w:r w:rsidRPr="003B2D2B">
        <w:rPr>
          <w:rFonts w:ascii="Trebuchet MS" w:hAnsi="Trebuchet MS"/>
          <w:b/>
          <w:bCs/>
          <w:u w:val="single"/>
        </w:rPr>
        <w:t>Summarise the ways in which you can be customer-focused, and standards-driven in your own context. (AC 2.2)</w:t>
      </w:r>
    </w:p>
    <w:p w14:paraId="463C63F1" w14:textId="47F2B4EF" w:rsidR="00874B9F" w:rsidRDefault="00874B9F" w:rsidP="003B2D2B">
      <w:pPr>
        <w:spacing w:after="0" w:line="240" w:lineRule="auto"/>
        <w:rPr>
          <w:rFonts w:ascii="Trebuchet MS" w:hAnsi="Trebuchet MS"/>
          <w:b/>
          <w:bCs/>
          <w:u w:val="single"/>
        </w:rPr>
      </w:pPr>
    </w:p>
    <w:p w14:paraId="305D8095" w14:textId="68E73DB4" w:rsidR="00874B9F" w:rsidRPr="00874B9F" w:rsidRDefault="00874B9F" w:rsidP="003B2D2B">
      <w:pPr>
        <w:spacing w:after="0" w:line="240" w:lineRule="auto"/>
        <w:rPr>
          <w:rFonts w:ascii="Trebuchet MS" w:hAnsi="Trebuchet MS"/>
        </w:rPr>
      </w:pPr>
      <w:r w:rsidRPr="00874B9F">
        <w:rPr>
          <w:rFonts w:ascii="Trebuchet MS" w:hAnsi="Trebuchet MS"/>
        </w:rPr>
        <w:t>Customer focused work is at heart of what we do within the Recruitment Team in Pembrokeshire County Council</w:t>
      </w:r>
      <w:r>
        <w:rPr>
          <w:rFonts w:ascii="Trebuchet MS" w:hAnsi="Trebuchet MS"/>
        </w:rPr>
        <w:t xml:space="preserve">. We currently deal with </w:t>
      </w:r>
      <w:r w:rsidR="00B52E47">
        <w:rPr>
          <w:rFonts w:ascii="Trebuchet MS" w:hAnsi="Trebuchet MS"/>
        </w:rPr>
        <w:t>several</w:t>
      </w:r>
      <w:r w:rsidR="002B188B">
        <w:rPr>
          <w:rFonts w:ascii="Trebuchet MS" w:hAnsi="Trebuchet MS"/>
        </w:rPr>
        <w:t xml:space="preserve"> different</w:t>
      </w:r>
      <w:r>
        <w:rPr>
          <w:rFonts w:ascii="Trebuchet MS" w:hAnsi="Trebuchet MS"/>
        </w:rPr>
        <w:t xml:space="preserve"> customers we have as a team. Our internal customers are the internal members of staff we deal with on a </w:t>
      </w:r>
      <w:r w:rsidR="002B188B">
        <w:rPr>
          <w:rFonts w:ascii="Trebuchet MS" w:hAnsi="Trebuchet MS"/>
        </w:rPr>
        <w:t>day-to-day</w:t>
      </w:r>
      <w:r>
        <w:rPr>
          <w:rFonts w:ascii="Trebuchet MS" w:hAnsi="Trebuchet MS"/>
        </w:rPr>
        <w:t xml:space="preserve"> basis.</w:t>
      </w:r>
      <w:r w:rsidR="00D566BE">
        <w:rPr>
          <w:rFonts w:ascii="Trebuchet MS" w:hAnsi="Trebuchet MS"/>
        </w:rPr>
        <w:t xml:space="preserve"> Going the extra mile for our customers, it shows that are work is principles led which in turn give us purpose as shown in the CIPD professions map. </w:t>
      </w:r>
      <w:r>
        <w:rPr>
          <w:rFonts w:ascii="Trebuchet MS" w:hAnsi="Trebuchet MS"/>
        </w:rPr>
        <w:t xml:space="preserve"> We deal with HR managers and advisors daily and </w:t>
      </w:r>
      <w:r w:rsidR="00B52E47">
        <w:rPr>
          <w:rFonts w:ascii="Trebuchet MS" w:hAnsi="Trebuchet MS"/>
        </w:rPr>
        <w:t>must</w:t>
      </w:r>
      <w:r>
        <w:rPr>
          <w:rFonts w:ascii="Trebuchet MS" w:hAnsi="Trebuchet MS"/>
        </w:rPr>
        <w:t xml:space="preserve"> keep</w:t>
      </w:r>
      <w:r w:rsidR="002B188B">
        <w:rPr>
          <w:rFonts w:ascii="Trebuchet MS" w:hAnsi="Trebuchet MS"/>
        </w:rPr>
        <w:t xml:space="preserve"> a professional effective relationship. We keep to our service level agreement and process the paperwork within the time frame agreed. Our current time frame is 10 working days, but we are currently processing this within 2 working days. Our external customers are service users who are using our service from the outside in. We support them in logging into the system and with any job queries. We are currently customer focused due to trying to better the system and processes for our internal and external customers. With our internal customers we are rolling ou</w:t>
      </w:r>
      <w:r w:rsidR="00B52E47">
        <w:rPr>
          <w:rFonts w:ascii="Trebuchet MS" w:hAnsi="Trebuchet MS"/>
        </w:rPr>
        <w:t>t a</w:t>
      </w:r>
      <w:r w:rsidR="002B188B">
        <w:rPr>
          <w:rFonts w:ascii="Trebuchet MS" w:hAnsi="Trebuchet MS"/>
        </w:rPr>
        <w:t xml:space="preserve"> process where they can access </w:t>
      </w:r>
      <w:proofErr w:type="gramStart"/>
      <w:r w:rsidR="002B188B">
        <w:rPr>
          <w:rFonts w:ascii="Trebuchet MS" w:hAnsi="Trebuchet MS"/>
        </w:rPr>
        <w:t>data</w:t>
      </w:r>
      <w:proofErr w:type="gramEnd"/>
      <w:r w:rsidR="002B188B">
        <w:rPr>
          <w:rFonts w:ascii="Trebuchet MS" w:hAnsi="Trebuchet MS"/>
        </w:rPr>
        <w:t xml:space="preserve"> they haven’t been able to access previously, this is due to trying to reduce time and resources from our team then the managers can access shortlisting data and applicant data without our intervention. For our external customers, we are always looking to update our application process. We are updating the application form to </w:t>
      </w:r>
      <w:r w:rsidR="00EF4E4B">
        <w:rPr>
          <w:rFonts w:ascii="Trebuchet MS" w:hAnsi="Trebuchet MS"/>
        </w:rPr>
        <w:t xml:space="preserve">better the user experience when completing the form, but by updating the application form we then </w:t>
      </w:r>
      <w:r w:rsidR="00B52E47">
        <w:rPr>
          <w:rFonts w:ascii="Trebuchet MS" w:hAnsi="Trebuchet MS"/>
        </w:rPr>
        <w:t>can</w:t>
      </w:r>
      <w:r w:rsidR="00EF4E4B">
        <w:rPr>
          <w:rFonts w:ascii="Trebuchet MS" w:hAnsi="Trebuchet MS"/>
        </w:rPr>
        <w:t xml:space="preserve"> collate data better for our internal customers. For us to better understand any process that aren’t efficient, we could look at having feedback from our service users and working on and with them to make the customer experience better for both internal and external customers.</w:t>
      </w:r>
    </w:p>
    <w:p w14:paraId="07CF3812" w14:textId="77777777" w:rsidR="003B2D2B" w:rsidRDefault="003B2D2B" w:rsidP="0063110A"/>
    <w:p w14:paraId="23DD15E8" w14:textId="6E1A2561" w:rsidR="009F2F24" w:rsidRDefault="009F2F24" w:rsidP="0063110A">
      <w:pPr>
        <w:rPr>
          <w:b/>
          <w:bCs/>
          <w:u w:val="single"/>
        </w:rPr>
      </w:pPr>
      <w:r w:rsidRPr="009F2F24">
        <w:rPr>
          <w:b/>
          <w:bCs/>
          <w:u w:val="single"/>
        </w:rPr>
        <w:t>Section Two</w:t>
      </w:r>
    </w:p>
    <w:p w14:paraId="31D97B6C" w14:textId="6F34B3B0" w:rsidR="002B39C4" w:rsidRPr="00282713" w:rsidRDefault="002B39C4" w:rsidP="002B39C4">
      <w:pPr>
        <w:rPr>
          <w:rFonts w:ascii="Trebuchet MS" w:hAnsi="Trebuchet MS"/>
          <w:b/>
          <w:bCs/>
        </w:rPr>
      </w:pPr>
      <w:r w:rsidRPr="00282713">
        <w:rPr>
          <w:rFonts w:ascii="Trebuchet MS" w:hAnsi="Trebuchet MS"/>
          <w:b/>
          <w:bCs/>
        </w:rPr>
        <w:t>In section two, your manager has asked you to provide practical working examples of how the people practice team examines, interprets and presents the findings of data in different diagrammatical formats so it can be easily understood.  She has asked you to use the information in Table 1 below, about turnover rates, as an example. The table shows the number of employees leaving different departments over a three-year period.</w:t>
      </w:r>
    </w:p>
    <w:p w14:paraId="7F60BDEA" w14:textId="77777777" w:rsidR="002B39C4" w:rsidRPr="00282713" w:rsidRDefault="002B39C4" w:rsidP="002B39C4">
      <w:pPr>
        <w:pStyle w:val="ListParagraph"/>
        <w:spacing w:after="0" w:line="240" w:lineRule="auto"/>
        <w:ind w:left="0"/>
        <w:rPr>
          <w:rFonts w:ascii="Trebuchet MS" w:hAnsi="Trebuchet MS"/>
          <w:b/>
          <w:bCs/>
        </w:rPr>
      </w:pPr>
      <w:r w:rsidRPr="00282713">
        <w:rPr>
          <w:rFonts w:ascii="Trebuchet MS" w:hAnsi="Trebuchet MS"/>
          <w:b/>
          <w:bCs/>
        </w:rPr>
        <w:t>To make the data more easily understood:</w:t>
      </w:r>
    </w:p>
    <w:p w14:paraId="3D62B87D" w14:textId="77777777" w:rsidR="002B39C4" w:rsidRPr="00282713" w:rsidRDefault="002B39C4" w:rsidP="002B39C4">
      <w:pPr>
        <w:pStyle w:val="ListParagraph"/>
        <w:spacing w:after="0" w:line="240" w:lineRule="auto"/>
        <w:ind w:left="0"/>
        <w:rPr>
          <w:rFonts w:ascii="Trebuchet MS" w:hAnsi="Trebuchet MS"/>
          <w:b/>
          <w:bCs/>
        </w:rPr>
      </w:pPr>
    </w:p>
    <w:p w14:paraId="0F4C5E44" w14:textId="77777777" w:rsidR="002B39C4" w:rsidRPr="00282713" w:rsidRDefault="002B39C4" w:rsidP="002B39C4">
      <w:pPr>
        <w:pStyle w:val="ListParagraph"/>
        <w:numPr>
          <w:ilvl w:val="0"/>
          <w:numId w:val="2"/>
        </w:numPr>
        <w:spacing w:before="120" w:after="0" w:line="240" w:lineRule="auto"/>
        <w:rPr>
          <w:rFonts w:ascii="Trebuchet MS" w:hAnsi="Trebuchet MS"/>
          <w:b/>
          <w:bCs/>
        </w:rPr>
      </w:pPr>
      <w:r w:rsidRPr="00282713">
        <w:rPr>
          <w:rFonts w:ascii="Trebuchet MS" w:hAnsi="Trebuchet MS"/>
          <w:b/>
          <w:bCs/>
        </w:rPr>
        <w:t>show as a percentage the number of employees leaving each department, each year</w:t>
      </w:r>
    </w:p>
    <w:p w14:paraId="495BB906" w14:textId="09632396" w:rsidR="00DC1EEA" w:rsidRPr="00282713" w:rsidRDefault="002B39C4" w:rsidP="0063110A">
      <w:pPr>
        <w:pStyle w:val="ListParagraph"/>
        <w:numPr>
          <w:ilvl w:val="0"/>
          <w:numId w:val="2"/>
        </w:numPr>
        <w:spacing w:before="120" w:after="0" w:line="240" w:lineRule="auto"/>
        <w:rPr>
          <w:rFonts w:ascii="Trebuchet MS" w:hAnsi="Trebuchet MS"/>
          <w:b/>
          <w:bCs/>
        </w:rPr>
      </w:pPr>
      <w:r w:rsidRPr="00282713">
        <w:rPr>
          <w:rFonts w:ascii="Trebuchet MS" w:hAnsi="Trebuchet MS"/>
          <w:b/>
          <w:bCs/>
        </w:rPr>
        <w:t>present the overall total leaving rate for the whole organisation as a percentage, for each year.  (AC 1.4)</w:t>
      </w:r>
    </w:p>
    <w:p w14:paraId="4EE0EC9D" w14:textId="0A370F1D" w:rsidR="00DC1EEA" w:rsidRDefault="00DC1EEA" w:rsidP="0063110A">
      <w:pPr>
        <w:rPr>
          <w:b/>
          <w:bCs/>
          <w:u w:val="single"/>
        </w:rPr>
      </w:pPr>
    </w:p>
    <w:p w14:paraId="47F22C97" w14:textId="59BD108D" w:rsidR="00824C4F" w:rsidRDefault="00824C4F" w:rsidP="0063110A">
      <w:pPr>
        <w:rPr>
          <w:b/>
          <w:bCs/>
          <w:u w:val="single"/>
        </w:rPr>
      </w:pPr>
      <w:r>
        <w:rPr>
          <w:noProof/>
        </w:rPr>
        <w:lastRenderedPageBreak/>
        <w:drawing>
          <wp:inline distT="0" distB="0" distL="0" distR="0" wp14:anchorId="4530E8BC" wp14:editId="59630DC7">
            <wp:extent cx="5731510" cy="2973070"/>
            <wp:effectExtent l="0" t="0" r="2540" b="17780"/>
            <wp:docPr id="628267471" name="Chart 1">
              <a:extLst xmlns:a="http://schemas.openxmlformats.org/drawingml/2006/main">
                <a:ext uri="{FF2B5EF4-FFF2-40B4-BE49-F238E27FC236}">
                  <a16:creationId xmlns:a16="http://schemas.microsoft.com/office/drawing/2014/main" id="{50E651F8-2F99-0166-CFB8-9EE2C181D7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00B41D4" w14:textId="295B4352" w:rsidR="00824C4F" w:rsidRDefault="00824C4F" w:rsidP="0063110A">
      <w:pPr>
        <w:rPr>
          <w:b/>
          <w:bCs/>
          <w:u w:val="single"/>
        </w:rPr>
      </w:pPr>
      <w:r>
        <w:rPr>
          <w:noProof/>
        </w:rPr>
        <w:drawing>
          <wp:inline distT="0" distB="0" distL="0" distR="0" wp14:anchorId="2D325D42" wp14:editId="027FB816">
            <wp:extent cx="5731510" cy="2621915"/>
            <wp:effectExtent l="0" t="0" r="2540" b="6985"/>
            <wp:docPr id="1008413099" name="Chart 1">
              <a:extLst xmlns:a="http://schemas.openxmlformats.org/drawingml/2006/main">
                <a:ext uri="{FF2B5EF4-FFF2-40B4-BE49-F238E27FC236}">
                  <a16:creationId xmlns:a16="http://schemas.microsoft.com/office/drawing/2014/main" id="{E0B28FEF-4288-43B3-8C92-5FB6763FA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920E47" w14:textId="77777777" w:rsidR="00824C4F" w:rsidRDefault="00824C4F" w:rsidP="0063110A">
      <w:pPr>
        <w:rPr>
          <w:b/>
          <w:bCs/>
          <w:u w:val="single"/>
        </w:rPr>
      </w:pPr>
    </w:p>
    <w:p w14:paraId="4215934B" w14:textId="77777777" w:rsidR="00824C4F" w:rsidRDefault="00824C4F" w:rsidP="0063110A">
      <w:pPr>
        <w:rPr>
          <w:b/>
          <w:bCs/>
          <w:u w:val="single"/>
        </w:rPr>
      </w:pPr>
    </w:p>
    <w:p w14:paraId="794305FD" w14:textId="28DB8CB3" w:rsidR="002B39C4" w:rsidRDefault="002B39C4" w:rsidP="0063110A">
      <w:pPr>
        <w:rPr>
          <w:b/>
          <w:bCs/>
          <w:u w:val="single"/>
        </w:rPr>
      </w:pPr>
    </w:p>
    <w:p w14:paraId="5C74E53A" w14:textId="22002DFE" w:rsidR="0080473B" w:rsidRDefault="002B39C4" w:rsidP="00980C29">
      <w:pPr>
        <w:spacing w:after="0" w:line="240" w:lineRule="auto"/>
        <w:contextualSpacing/>
        <w:rPr>
          <w:rFonts w:ascii="Trebuchet MS" w:hAnsi="Trebuchet MS"/>
          <w:b/>
          <w:bCs/>
          <w:u w:val="single"/>
        </w:rPr>
      </w:pPr>
      <w:r w:rsidRPr="002B39C4">
        <w:rPr>
          <w:rFonts w:ascii="Trebuchet MS" w:hAnsi="Trebuchet MS"/>
          <w:b/>
          <w:bCs/>
          <w:u w:val="single"/>
        </w:rPr>
        <w:t>Having analysed your findings, comment on any issues that the data has revealed and propose potential solutions. (AC 1.5)</w:t>
      </w:r>
    </w:p>
    <w:p w14:paraId="6DA36F81" w14:textId="77777777" w:rsidR="00980C29" w:rsidRPr="00980C29" w:rsidRDefault="00980C29" w:rsidP="00980C29">
      <w:pPr>
        <w:spacing w:after="0" w:line="240" w:lineRule="auto"/>
        <w:contextualSpacing/>
        <w:rPr>
          <w:rFonts w:ascii="Trebuchet MS" w:hAnsi="Trebuchet MS"/>
          <w:b/>
          <w:bCs/>
          <w:u w:val="single"/>
        </w:rPr>
      </w:pPr>
    </w:p>
    <w:p w14:paraId="65D8D9FC" w14:textId="49E13CCC" w:rsidR="0080473B" w:rsidRDefault="00B70442" w:rsidP="0063110A">
      <w:r>
        <w:t xml:space="preserve">Having looked at the findings above, you can see that some departments have more leavers than others. </w:t>
      </w:r>
      <w:r w:rsidR="00384A7F">
        <w:t xml:space="preserve">The CIPD factsheet,2024 says that Labour Market conditions such as the ease of hiring and training new tablet can impact of high turnover rates on business performance. </w:t>
      </w:r>
      <w:r>
        <w:t xml:space="preserve">Between 2020 – 2023 the highest number of leavers were in the Packing and Dispatching team. </w:t>
      </w:r>
      <w:r w:rsidR="00D81798">
        <w:t xml:space="preserve">According to the CIPD factsheet 2024, there are no set point which employee turnover starts to have a negative impact on the organisation performance. </w:t>
      </w:r>
      <w:r>
        <w:t xml:space="preserve">One of the other departments that have had a high </w:t>
      </w:r>
      <w:r w:rsidR="00D81798">
        <w:t>turnover</w:t>
      </w:r>
      <w:r>
        <w:t xml:space="preserve"> of staffing is </w:t>
      </w:r>
      <w:r w:rsidR="00D81798">
        <w:t xml:space="preserve">Production but as you can see from the findings that the number of staff in that department is high. </w:t>
      </w:r>
      <w:r>
        <w:t xml:space="preserve">According to the CIPD article published in 2024, it was found that three in ten UK employees leave to join another organisation each year. </w:t>
      </w:r>
      <w:r w:rsidR="00D81798">
        <w:t xml:space="preserve">An </w:t>
      </w:r>
      <w:r w:rsidR="00D81798">
        <w:lastRenderedPageBreak/>
        <w:t xml:space="preserve">organisation can also look at ‘stay interviews’ instead of an exit interview. This can be a solution to people leaving as you can understand their concerns.  As mentioned in HR </w:t>
      </w:r>
      <w:r w:rsidR="00452BB9">
        <w:t>Magazine</w:t>
      </w:r>
      <w:r w:rsidR="00D81798">
        <w:t>, 2021, they quote the following on the positive impact of stay interviews ‘</w:t>
      </w:r>
      <w:r w:rsidR="00D81798" w:rsidRPr="00D81798">
        <w:t>It’s a really simple format to anchor back to why they joined, firm up what motivates them and pin down what the business can do to retain them.</w:t>
      </w:r>
      <w:r w:rsidR="00D81798">
        <w:t xml:space="preserve">’ </w:t>
      </w:r>
      <w:r w:rsidR="00452BB9">
        <w:t>HR Centre Website, 2022 mentions that potential reasoning for quitting would be that workers recalibrate their work-life balance following the COVID-19 Pandemic and rise of hybrid / remote working. Looking on from this</w:t>
      </w:r>
      <w:r>
        <w:t xml:space="preserve"> we can find by looking at this data is that 2020 had the highest total overall leaving rate over the 4 hours. This could have been down to COVID-19 pandemic and the affect this pandemic had on the working people. The high leaver rate could have been down to </w:t>
      </w:r>
      <w:proofErr w:type="gramStart"/>
      <w:r>
        <w:t>a number of</w:t>
      </w:r>
      <w:proofErr w:type="gramEnd"/>
      <w:r>
        <w:t xml:space="preserve"> people having to lose their jobs. </w:t>
      </w:r>
      <w:r w:rsidR="00452BB9">
        <w:t>When looking at this data you can see that another area that has high leavers is manufacturing. As shown in the Census from the Office of National Statistics, 2024 you can see that the labour market for manufacturing has been reducing slowly since 1978.</w:t>
      </w:r>
      <w:r w:rsidR="00384A7F">
        <w:t xml:space="preserve"> The organisation can also look at the salary differences between their manufacturing department and other organisations. A CIPD article, 2016 shows to stop smart business from losing out is </w:t>
      </w:r>
      <w:proofErr w:type="spellStart"/>
      <w:r w:rsidR="00384A7F">
        <w:t>o</w:t>
      </w:r>
      <w:proofErr w:type="spellEnd"/>
      <w:r w:rsidR="00384A7F">
        <w:t xml:space="preserve"> make sure they are competitive from the start. </w:t>
      </w:r>
      <w:r w:rsidR="00452BB9">
        <w:t>A potential solution to this would be to employee engagement surgery and to find out what their biggest worries and if the organisation can prevent people from leaving.</w:t>
      </w:r>
      <w:r w:rsidR="00303147">
        <w:t xml:space="preserve"> The organisation can look at what other organisations are doing in the maintenance market and how they are retaining their staff. An article from the CIPD, 2016 ‘How to stop your staff leaving’, shows that the Marriott International, shows that they looked at the hiring process. They would conduct surveys after three months from hiring to discover if the person is settling into their role.  They could pick up any concerns early and support the staff who haven’t settled in well. </w:t>
      </w:r>
    </w:p>
    <w:p w14:paraId="79ADEA52" w14:textId="77777777" w:rsidR="0080473B" w:rsidRDefault="0080473B" w:rsidP="0063110A"/>
    <w:p w14:paraId="35B00D40" w14:textId="25A6B9DA" w:rsidR="0080473B" w:rsidRDefault="0080473B" w:rsidP="0063110A">
      <w:r>
        <w:t xml:space="preserve">References </w:t>
      </w:r>
    </w:p>
    <w:p w14:paraId="1492F414" w14:textId="02F4D4FE" w:rsidR="0080473B" w:rsidRDefault="00C24AE0" w:rsidP="0063110A">
      <w:hyperlink r:id="rId9" w:history="1">
        <w:r w:rsidRPr="00CE5164">
          <w:rPr>
            <w:rStyle w:val="Hyperlink"/>
          </w:rPr>
          <w:t>https://www.cipd.org/uk/knowledge/bitesize-research/racial-equality/</w:t>
        </w:r>
      </w:hyperlink>
    </w:p>
    <w:p w14:paraId="4018DC76" w14:textId="1CE93353" w:rsidR="00C24AE0" w:rsidRDefault="00B52E47" w:rsidP="0063110A">
      <w:hyperlink r:id="rId10" w:history="1">
        <w:r w:rsidRPr="0001436B">
          <w:rPr>
            <w:rStyle w:val="Hyperlink"/>
          </w:rPr>
          <w:t>https://www.cipd.org/uk/knowledge/case-studies/financial-times/</w:t>
        </w:r>
      </w:hyperlink>
    </w:p>
    <w:p w14:paraId="1533E829" w14:textId="3B1334DA" w:rsidR="00B52E47" w:rsidRDefault="00B52E47" w:rsidP="00B70442">
      <w:pPr>
        <w:tabs>
          <w:tab w:val="left" w:pos="8238"/>
        </w:tabs>
      </w:pPr>
      <w:r w:rsidRPr="00F16E7B">
        <w:t>Waite, K </w:t>
      </w:r>
      <w:r w:rsidRPr="00F16E7B">
        <w:rPr>
          <w:i/>
          <w:iCs/>
        </w:rPr>
        <w:t>et al.</w:t>
      </w:r>
      <w:r w:rsidRPr="00F16E7B">
        <w:t> (2021) </w:t>
      </w:r>
      <w:r w:rsidRPr="00F16E7B">
        <w:rPr>
          <w:i/>
          <w:iCs/>
        </w:rPr>
        <w:t>People Practice, A Complete Guide</w:t>
      </w:r>
      <w:r w:rsidRPr="00F16E7B">
        <w:t>. London: Kogan Page</w:t>
      </w:r>
      <w:r w:rsidR="00B70442">
        <w:tab/>
      </w:r>
    </w:p>
    <w:p w14:paraId="164F0125" w14:textId="18352633" w:rsidR="00B70442" w:rsidRDefault="00B70442" w:rsidP="00B70442">
      <w:pPr>
        <w:tabs>
          <w:tab w:val="left" w:pos="8238"/>
        </w:tabs>
      </w:pPr>
      <w:hyperlink r:id="rId11" w:anchor=":~:text=Three%20in%20ten%20UK%20employees%20leave%20to%20join%20another%20organisation%20each%20year&amp;text=The%20most%20popular%20request%20from,chart%20below%20for%202022%E2%80%9323." w:history="1">
        <w:r w:rsidRPr="00B70442">
          <w:rPr>
            <w:rStyle w:val="Hyperlink"/>
          </w:rPr>
          <w:t>Benchmarking employee turnover: What are the latest trends and insights? | CIPD</w:t>
        </w:r>
      </w:hyperlink>
    </w:p>
    <w:p w14:paraId="6D4BD21C" w14:textId="28559B50" w:rsidR="00D81798" w:rsidRDefault="00D81798" w:rsidP="00B70442">
      <w:pPr>
        <w:tabs>
          <w:tab w:val="left" w:pos="8238"/>
        </w:tabs>
        <w:rPr>
          <w:rStyle w:val="Hyperlink"/>
        </w:rPr>
      </w:pPr>
      <w:hyperlink r:id="rId12" w:history="1">
        <w:r w:rsidRPr="00D81798">
          <w:rPr>
            <w:rStyle w:val="Hyperlink"/>
          </w:rPr>
          <w:t>Employee turnover and retention | Factsheets | CIPD</w:t>
        </w:r>
      </w:hyperlink>
    </w:p>
    <w:p w14:paraId="665DB0F7" w14:textId="7B58AA12" w:rsidR="00384A7F" w:rsidRDefault="00384A7F" w:rsidP="00B70442">
      <w:pPr>
        <w:tabs>
          <w:tab w:val="left" w:pos="8238"/>
        </w:tabs>
      </w:pPr>
      <w:r w:rsidRPr="00384A7F">
        <w:t>https://www.cipd.org/uk/knowledge/factsheets/turnover-retention-factsheet/</w:t>
      </w:r>
    </w:p>
    <w:p w14:paraId="78A471FA" w14:textId="13817305" w:rsidR="00384A7F" w:rsidRDefault="00452BB9" w:rsidP="0063110A">
      <w:hyperlink r:id="rId13" w:history="1">
        <w:r w:rsidRPr="00DB44A3">
          <w:rPr>
            <w:rStyle w:val="Hyperlink"/>
          </w:rPr>
          <w:t>https://hrcentre.uk.brightmine.com/commentary-and-insights/quiet-quitting-five-things-for-employers-to-think-about/166606/</w:t>
        </w:r>
      </w:hyperlink>
    </w:p>
    <w:p w14:paraId="458FD925" w14:textId="06336B6A" w:rsidR="00452BB9" w:rsidRDefault="00303147" w:rsidP="0063110A">
      <w:hyperlink r:id="rId14" w:history="1">
        <w:r w:rsidRPr="00DB44A3">
          <w:rPr>
            <w:rStyle w:val="Hyperlink"/>
          </w:rPr>
          <w:t>https://www.ons.gov.uk/employmentandlabourmarket/peopleinwork/employmentandemployeetypes/timeseries/jwr7/lms</w:t>
        </w:r>
      </w:hyperlink>
    </w:p>
    <w:p w14:paraId="2BA67E84" w14:textId="7B1B4DFA" w:rsidR="00303147" w:rsidRPr="00282713" w:rsidRDefault="00303147" w:rsidP="0063110A">
      <w:r w:rsidRPr="00303147">
        <w:t>https://www.cipd.org/uk/about/news-archive/stop-best-staff-leaving/</w:t>
      </w:r>
    </w:p>
    <w:sectPr w:rsidR="00303147" w:rsidRPr="002827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BCAB22" w14:textId="77777777" w:rsidR="008F5BBE" w:rsidRDefault="008F5BBE" w:rsidP="00824C4F">
      <w:pPr>
        <w:spacing w:after="0" w:line="240" w:lineRule="auto"/>
      </w:pPr>
      <w:r>
        <w:separator/>
      </w:r>
    </w:p>
  </w:endnote>
  <w:endnote w:type="continuationSeparator" w:id="0">
    <w:p w14:paraId="70D9FD70" w14:textId="77777777" w:rsidR="008F5BBE" w:rsidRDefault="008F5BBE" w:rsidP="00824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C2DE83" w14:textId="77777777" w:rsidR="008F5BBE" w:rsidRDefault="008F5BBE" w:rsidP="00824C4F">
      <w:pPr>
        <w:spacing w:after="0" w:line="240" w:lineRule="auto"/>
      </w:pPr>
      <w:r>
        <w:separator/>
      </w:r>
    </w:p>
  </w:footnote>
  <w:footnote w:type="continuationSeparator" w:id="0">
    <w:p w14:paraId="6A147C76" w14:textId="77777777" w:rsidR="008F5BBE" w:rsidRDefault="008F5BBE" w:rsidP="00824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828511">
    <w:abstractNumId w:val="0"/>
  </w:num>
  <w:num w:numId="2" w16cid:durableId="1642231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0F"/>
    <w:rsid w:val="00017A0D"/>
    <w:rsid w:val="000F7749"/>
    <w:rsid w:val="001A2181"/>
    <w:rsid w:val="0020597A"/>
    <w:rsid w:val="00235A29"/>
    <w:rsid w:val="00282713"/>
    <w:rsid w:val="002B188B"/>
    <w:rsid w:val="002B39C4"/>
    <w:rsid w:val="00303147"/>
    <w:rsid w:val="003303CD"/>
    <w:rsid w:val="003700C2"/>
    <w:rsid w:val="00371688"/>
    <w:rsid w:val="00384A7F"/>
    <w:rsid w:val="003B2D2B"/>
    <w:rsid w:val="00452BB9"/>
    <w:rsid w:val="004A00A8"/>
    <w:rsid w:val="004D658E"/>
    <w:rsid w:val="0057002F"/>
    <w:rsid w:val="005C2802"/>
    <w:rsid w:val="0063110A"/>
    <w:rsid w:val="006A5013"/>
    <w:rsid w:val="006E3CD3"/>
    <w:rsid w:val="006E6C0E"/>
    <w:rsid w:val="00710BEC"/>
    <w:rsid w:val="00727358"/>
    <w:rsid w:val="0080473B"/>
    <w:rsid w:val="00824C4F"/>
    <w:rsid w:val="00835676"/>
    <w:rsid w:val="00843713"/>
    <w:rsid w:val="00874B9F"/>
    <w:rsid w:val="008E0F73"/>
    <w:rsid w:val="008E47E4"/>
    <w:rsid w:val="008F5BBE"/>
    <w:rsid w:val="00980C29"/>
    <w:rsid w:val="009D68B4"/>
    <w:rsid w:val="009F2F24"/>
    <w:rsid w:val="00A1630A"/>
    <w:rsid w:val="00A5160F"/>
    <w:rsid w:val="00A725EE"/>
    <w:rsid w:val="00B13468"/>
    <w:rsid w:val="00B52E47"/>
    <w:rsid w:val="00B559A4"/>
    <w:rsid w:val="00B70442"/>
    <w:rsid w:val="00C24AE0"/>
    <w:rsid w:val="00CE765B"/>
    <w:rsid w:val="00D566BE"/>
    <w:rsid w:val="00D81798"/>
    <w:rsid w:val="00DC1EEA"/>
    <w:rsid w:val="00DD423E"/>
    <w:rsid w:val="00E02B1F"/>
    <w:rsid w:val="00E56ECE"/>
    <w:rsid w:val="00E759BB"/>
    <w:rsid w:val="00EC166F"/>
    <w:rsid w:val="00EC2858"/>
    <w:rsid w:val="00EF4E4B"/>
    <w:rsid w:val="00F24823"/>
    <w:rsid w:val="00F71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58E2D"/>
  <w15:chartTrackingRefBased/>
  <w15:docId w15:val="{0D17AC40-6104-4029-8DA5-F3E5E5FE3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60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5160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5160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5160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5160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51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60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5160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5160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5160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5160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51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60F"/>
    <w:rPr>
      <w:rFonts w:eastAsiaTheme="majorEastAsia" w:cstheme="majorBidi"/>
      <w:color w:val="272727" w:themeColor="text1" w:themeTint="D8"/>
    </w:rPr>
  </w:style>
  <w:style w:type="paragraph" w:styleId="Title">
    <w:name w:val="Title"/>
    <w:basedOn w:val="Normal"/>
    <w:next w:val="Normal"/>
    <w:link w:val="TitleChar"/>
    <w:uiPriority w:val="10"/>
    <w:qFormat/>
    <w:rsid w:val="00A51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60F"/>
    <w:pPr>
      <w:spacing w:before="160"/>
      <w:jc w:val="center"/>
    </w:pPr>
    <w:rPr>
      <w:i/>
      <w:iCs/>
      <w:color w:val="404040" w:themeColor="text1" w:themeTint="BF"/>
    </w:rPr>
  </w:style>
  <w:style w:type="character" w:customStyle="1" w:styleId="QuoteChar">
    <w:name w:val="Quote Char"/>
    <w:basedOn w:val="DefaultParagraphFont"/>
    <w:link w:val="Quote"/>
    <w:uiPriority w:val="29"/>
    <w:rsid w:val="00A5160F"/>
    <w:rPr>
      <w:i/>
      <w:iCs/>
      <w:color w:val="404040" w:themeColor="text1" w:themeTint="BF"/>
    </w:rPr>
  </w:style>
  <w:style w:type="paragraph" w:styleId="ListParagraph">
    <w:name w:val="List Paragraph"/>
    <w:basedOn w:val="Normal"/>
    <w:link w:val="ListParagraphChar"/>
    <w:uiPriority w:val="34"/>
    <w:qFormat/>
    <w:rsid w:val="00A5160F"/>
    <w:pPr>
      <w:ind w:left="720"/>
      <w:contextualSpacing/>
    </w:pPr>
  </w:style>
  <w:style w:type="character" w:styleId="IntenseEmphasis">
    <w:name w:val="Intense Emphasis"/>
    <w:basedOn w:val="DefaultParagraphFont"/>
    <w:uiPriority w:val="21"/>
    <w:qFormat/>
    <w:rsid w:val="00A5160F"/>
    <w:rPr>
      <w:i/>
      <w:iCs/>
      <w:color w:val="2E74B5" w:themeColor="accent1" w:themeShade="BF"/>
    </w:rPr>
  </w:style>
  <w:style w:type="paragraph" w:styleId="IntenseQuote">
    <w:name w:val="Intense Quote"/>
    <w:basedOn w:val="Normal"/>
    <w:next w:val="Normal"/>
    <w:link w:val="IntenseQuoteChar"/>
    <w:uiPriority w:val="30"/>
    <w:qFormat/>
    <w:rsid w:val="00A5160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5160F"/>
    <w:rPr>
      <w:i/>
      <w:iCs/>
      <w:color w:val="2E74B5" w:themeColor="accent1" w:themeShade="BF"/>
    </w:rPr>
  </w:style>
  <w:style w:type="character" w:styleId="IntenseReference">
    <w:name w:val="Intense Reference"/>
    <w:basedOn w:val="DefaultParagraphFont"/>
    <w:uiPriority w:val="32"/>
    <w:qFormat/>
    <w:rsid w:val="00A5160F"/>
    <w:rPr>
      <w:b/>
      <w:bCs/>
      <w:smallCaps/>
      <w:color w:val="2E74B5" w:themeColor="accent1" w:themeShade="BF"/>
      <w:spacing w:val="5"/>
    </w:rPr>
  </w:style>
  <w:style w:type="character" w:customStyle="1" w:styleId="ListParagraphChar">
    <w:name w:val="List Paragraph Char"/>
    <w:basedOn w:val="DefaultParagraphFont"/>
    <w:link w:val="ListParagraph"/>
    <w:uiPriority w:val="34"/>
    <w:rsid w:val="002B39C4"/>
  </w:style>
  <w:style w:type="character" w:styleId="Hyperlink">
    <w:name w:val="Hyperlink"/>
    <w:basedOn w:val="DefaultParagraphFont"/>
    <w:uiPriority w:val="99"/>
    <w:unhideWhenUsed/>
    <w:rsid w:val="0080473B"/>
    <w:rPr>
      <w:color w:val="0563C1" w:themeColor="hyperlink"/>
      <w:u w:val="single"/>
    </w:rPr>
  </w:style>
  <w:style w:type="character" w:styleId="UnresolvedMention">
    <w:name w:val="Unresolved Mention"/>
    <w:basedOn w:val="DefaultParagraphFont"/>
    <w:uiPriority w:val="99"/>
    <w:semiHidden/>
    <w:unhideWhenUsed/>
    <w:rsid w:val="0080473B"/>
    <w:rPr>
      <w:color w:val="605E5C"/>
      <w:shd w:val="clear" w:color="auto" w:fill="E1DFDD"/>
    </w:rPr>
  </w:style>
  <w:style w:type="paragraph" w:styleId="Header">
    <w:name w:val="header"/>
    <w:basedOn w:val="Normal"/>
    <w:link w:val="HeaderChar"/>
    <w:uiPriority w:val="99"/>
    <w:unhideWhenUsed/>
    <w:rsid w:val="00824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C4F"/>
  </w:style>
  <w:style w:type="paragraph" w:styleId="Footer">
    <w:name w:val="footer"/>
    <w:basedOn w:val="Normal"/>
    <w:link w:val="FooterChar"/>
    <w:uiPriority w:val="99"/>
    <w:unhideWhenUsed/>
    <w:rsid w:val="00824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90059">
      <w:bodyDiv w:val="1"/>
      <w:marLeft w:val="0"/>
      <w:marRight w:val="0"/>
      <w:marTop w:val="0"/>
      <w:marBottom w:val="0"/>
      <w:divBdr>
        <w:top w:val="none" w:sz="0" w:space="0" w:color="auto"/>
        <w:left w:val="none" w:sz="0" w:space="0" w:color="auto"/>
        <w:bottom w:val="none" w:sz="0" w:space="0" w:color="auto"/>
        <w:right w:val="none" w:sz="0" w:space="0" w:color="auto"/>
      </w:divBdr>
    </w:div>
    <w:div w:id="361856488">
      <w:bodyDiv w:val="1"/>
      <w:marLeft w:val="0"/>
      <w:marRight w:val="0"/>
      <w:marTop w:val="0"/>
      <w:marBottom w:val="0"/>
      <w:divBdr>
        <w:top w:val="none" w:sz="0" w:space="0" w:color="auto"/>
        <w:left w:val="none" w:sz="0" w:space="0" w:color="auto"/>
        <w:bottom w:val="none" w:sz="0" w:space="0" w:color="auto"/>
        <w:right w:val="none" w:sz="0" w:space="0" w:color="auto"/>
      </w:divBdr>
    </w:div>
    <w:div w:id="372729159">
      <w:bodyDiv w:val="1"/>
      <w:marLeft w:val="0"/>
      <w:marRight w:val="0"/>
      <w:marTop w:val="0"/>
      <w:marBottom w:val="0"/>
      <w:divBdr>
        <w:top w:val="none" w:sz="0" w:space="0" w:color="auto"/>
        <w:left w:val="none" w:sz="0" w:space="0" w:color="auto"/>
        <w:bottom w:val="none" w:sz="0" w:space="0" w:color="auto"/>
        <w:right w:val="none" w:sz="0" w:space="0" w:color="auto"/>
      </w:divBdr>
    </w:div>
    <w:div w:id="487866348">
      <w:bodyDiv w:val="1"/>
      <w:marLeft w:val="0"/>
      <w:marRight w:val="0"/>
      <w:marTop w:val="0"/>
      <w:marBottom w:val="0"/>
      <w:divBdr>
        <w:top w:val="none" w:sz="0" w:space="0" w:color="auto"/>
        <w:left w:val="none" w:sz="0" w:space="0" w:color="auto"/>
        <w:bottom w:val="none" w:sz="0" w:space="0" w:color="auto"/>
        <w:right w:val="none" w:sz="0" w:space="0" w:color="auto"/>
      </w:divBdr>
    </w:div>
    <w:div w:id="914821632">
      <w:bodyDiv w:val="1"/>
      <w:marLeft w:val="0"/>
      <w:marRight w:val="0"/>
      <w:marTop w:val="0"/>
      <w:marBottom w:val="0"/>
      <w:divBdr>
        <w:top w:val="none" w:sz="0" w:space="0" w:color="auto"/>
        <w:left w:val="none" w:sz="0" w:space="0" w:color="auto"/>
        <w:bottom w:val="none" w:sz="0" w:space="0" w:color="auto"/>
        <w:right w:val="none" w:sz="0" w:space="0" w:color="auto"/>
      </w:divBdr>
    </w:div>
    <w:div w:id="1115370742">
      <w:bodyDiv w:val="1"/>
      <w:marLeft w:val="0"/>
      <w:marRight w:val="0"/>
      <w:marTop w:val="0"/>
      <w:marBottom w:val="0"/>
      <w:divBdr>
        <w:top w:val="none" w:sz="0" w:space="0" w:color="auto"/>
        <w:left w:val="none" w:sz="0" w:space="0" w:color="auto"/>
        <w:bottom w:val="none" w:sz="0" w:space="0" w:color="auto"/>
        <w:right w:val="none" w:sz="0" w:space="0" w:color="auto"/>
      </w:divBdr>
    </w:div>
    <w:div w:id="1193953503">
      <w:bodyDiv w:val="1"/>
      <w:marLeft w:val="0"/>
      <w:marRight w:val="0"/>
      <w:marTop w:val="0"/>
      <w:marBottom w:val="0"/>
      <w:divBdr>
        <w:top w:val="none" w:sz="0" w:space="0" w:color="auto"/>
        <w:left w:val="none" w:sz="0" w:space="0" w:color="auto"/>
        <w:bottom w:val="none" w:sz="0" w:space="0" w:color="auto"/>
        <w:right w:val="none" w:sz="0" w:space="0" w:color="auto"/>
      </w:divBdr>
    </w:div>
    <w:div w:id="1812669090">
      <w:bodyDiv w:val="1"/>
      <w:marLeft w:val="0"/>
      <w:marRight w:val="0"/>
      <w:marTop w:val="0"/>
      <w:marBottom w:val="0"/>
      <w:divBdr>
        <w:top w:val="none" w:sz="0" w:space="0" w:color="auto"/>
        <w:left w:val="none" w:sz="0" w:space="0" w:color="auto"/>
        <w:bottom w:val="none" w:sz="0" w:space="0" w:color="auto"/>
        <w:right w:val="none" w:sz="0" w:space="0" w:color="auto"/>
      </w:divBdr>
    </w:div>
    <w:div w:id="197501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hrcentre.uk.brightmine.com/commentary-and-insights/quiet-quitting-five-things-for-employers-to-think-about/166606/"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cipd.org/uk/knowledge/factsheets/turnover-retention-factshe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views-and-insights/thought-leadership/cipd-voice/benchmarking-employee-turnov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org/uk/knowledge/case-studies/financial-times/" TargetMode="External"/><Relationship Id="rId4" Type="http://schemas.openxmlformats.org/officeDocument/2006/relationships/webSettings" Target="webSettings.xml"/><Relationship Id="rId9" Type="http://schemas.openxmlformats.org/officeDocument/2006/relationships/hyperlink" Target="https://www.cipd.org/uk/knowledge/bitesize-research/racial-equality/" TargetMode="External"/><Relationship Id="rId14" Type="http://schemas.openxmlformats.org/officeDocument/2006/relationships/hyperlink" Target="https://www.ons.gov.uk/employmentandlabourmarket/peopleinwork/employmentandemployeetypes/timeseries/jwr7/lm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117569\Desktop\CIPD\Principles%20of%20analytics%20(BMPD3001)\Worksheet%20in%20June%202024%20-%203CO02%20Principles%20of%20analytics%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17569\Desktop\CIPD\Principles%20of%20analytics%20(BMPD3001)\Worksheet%20in%20June%202024%20-%203CO02%20Principles%20of%20analytics%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June 2024 - 3CO02 Principles of analytics (2).xlsx]Sheet2!PivotTable1</c:name>
    <c:fmtId val="-1"/>
  </c:pivotSource>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600" b="0">
                <a:effectLst/>
                <a:latin typeface="+mn-lt"/>
              </a:rPr>
              <a:t>Percentage the number of employees leaving each department, each year</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Sum of % Turnover 2020</c:v>
                </c:pt>
              </c:strCache>
            </c:strRef>
          </c:tx>
          <c:spPr>
            <a:solidFill>
              <a:schemeClr val="accent1"/>
            </a:solidFill>
            <a:ln>
              <a:noFill/>
            </a:ln>
            <a:effectLst/>
          </c:spPr>
          <c:invertIfNegative val="0"/>
          <c:cat>
            <c:strRef>
              <c:f>Sheet2!$A$4:$A$14</c:f>
              <c:strCache>
                <c:ptCount val="10"/>
                <c:pt idx="0">
                  <c:v>Administration </c:v>
                </c:pt>
                <c:pt idx="1">
                  <c:v>Finance </c:v>
                </c:pt>
                <c:pt idx="2">
                  <c:v>Maintenance </c:v>
                </c:pt>
                <c:pt idx="3">
                  <c:v>Marketing </c:v>
                </c:pt>
                <c:pt idx="4">
                  <c:v>Packing and despatch</c:v>
                </c:pt>
                <c:pt idx="5">
                  <c:v>People team</c:v>
                </c:pt>
                <c:pt idx="6">
                  <c:v>Production</c:v>
                </c:pt>
                <c:pt idx="7">
                  <c:v>Research &amp; Design </c:v>
                </c:pt>
                <c:pt idx="8">
                  <c:v>Sales</c:v>
                </c:pt>
                <c:pt idx="9">
                  <c:v>Organisation Total</c:v>
                </c:pt>
              </c:strCache>
            </c:strRef>
          </c:cat>
          <c:val>
            <c:numRef>
              <c:f>Sheet2!$B$4:$B$14</c:f>
              <c:numCache>
                <c:formatCode>General</c:formatCode>
                <c:ptCount val="10"/>
                <c:pt idx="0">
                  <c:v>18.181818181818183</c:v>
                </c:pt>
                <c:pt idx="1">
                  <c:v>40</c:v>
                </c:pt>
                <c:pt idx="2">
                  <c:v>55.555555555555557</c:v>
                </c:pt>
                <c:pt idx="3">
                  <c:v>0</c:v>
                </c:pt>
                <c:pt idx="4">
                  <c:v>58.333333333333336</c:v>
                </c:pt>
                <c:pt idx="5">
                  <c:v>16.666666666666664</c:v>
                </c:pt>
                <c:pt idx="6">
                  <c:v>30.303030303030305</c:v>
                </c:pt>
                <c:pt idx="7">
                  <c:v>25</c:v>
                </c:pt>
                <c:pt idx="8">
                  <c:v>45.238095238095241</c:v>
                </c:pt>
                <c:pt idx="9">
                  <c:v>0.3426183844011142</c:v>
                </c:pt>
              </c:numCache>
            </c:numRef>
          </c:val>
          <c:extLst>
            <c:ext xmlns:c16="http://schemas.microsoft.com/office/drawing/2014/chart" uri="{C3380CC4-5D6E-409C-BE32-E72D297353CC}">
              <c16:uniqueId val="{00000000-29F4-46A1-A203-4286387732E4}"/>
            </c:ext>
          </c:extLst>
        </c:ser>
        <c:ser>
          <c:idx val="1"/>
          <c:order val="1"/>
          <c:tx>
            <c:strRef>
              <c:f>Sheet2!$C$3</c:f>
              <c:strCache>
                <c:ptCount val="1"/>
                <c:pt idx="0">
                  <c:v>Sum of % Turnover 2021</c:v>
                </c:pt>
              </c:strCache>
            </c:strRef>
          </c:tx>
          <c:spPr>
            <a:solidFill>
              <a:schemeClr val="accent2"/>
            </a:solidFill>
            <a:ln>
              <a:noFill/>
            </a:ln>
            <a:effectLst/>
          </c:spPr>
          <c:invertIfNegative val="0"/>
          <c:cat>
            <c:strRef>
              <c:f>Sheet2!$A$4:$A$14</c:f>
              <c:strCache>
                <c:ptCount val="10"/>
                <c:pt idx="0">
                  <c:v>Administration </c:v>
                </c:pt>
                <c:pt idx="1">
                  <c:v>Finance </c:v>
                </c:pt>
                <c:pt idx="2">
                  <c:v>Maintenance </c:v>
                </c:pt>
                <c:pt idx="3">
                  <c:v>Marketing </c:v>
                </c:pt>
                <c:pt idx="4">
                  <c:v>Packing and despatch</c:v>
                </c:pt>
                <c:pt idx="5">
                  <c:v>People team</c:v>
                </c:pt>
                <c:pt idx="6">
                  <c:v>Production</c:v>
                </c:pt>
                <c:pt idx="7">
                  <c:v>Research &amp; Design </c:v>
                </c:pt>
                <c:pt idx="8">
                  <c:v>Sales</c:v>
                </c:pt>
                <c:pt idx="9">
                  <c:v>Organisation Total</c:v>
                </c:pt>
              </c:strCache>
            </c:strRef>
          </c:cat>
          <c:val>
            <c:numRef>
              <c:f>Sheet2!$C$4:$C$14</c:f>
              <c:numCache>
                <c:formatCode>General</c:formatCode>
                <c:ptCount val="10"/>
                <c:pt idx="0">
                  <c:v>40</c:v>
                </c:pt>
                <c:pt idx="1">
                  <c:v>0</c:v>
                </c:pt>
                <c:pt idx="2">
                  <c:v>33.333333333333329</c:v>
                </c:pt>
                <c:pt idx="3">
                  <c:v>0</c:v>
                </c:pt>
                <c:pt idx="4">
                  <c:v>40</c:v>
                </c:pt>
                <c:pt idx="5">
                  <c:v>0</c:v>
                </c:pt>
                <c:pt idx="6">
                  <c:v>16.161616161616163</c:v>
                </c:pt>
                <c:pt idx="7">
                  <c:v>0</c:v>
                </c:pt>
                <c:pt idx="8">
                  <c:v>8.5714285714285712</c:v>
                </c:pt>
                <c:pt idx="9">
                  <c:v>0.17687074829931973</c:v>
                </c:pt>
              </c:numCache>
            </c:numRef>
          </c:val>
          <c:extLst>
            <c:ext xmlns:c16="http://schemas.microsoft.com/office/drawing/2014/chart" uri="{C3380CC4-5D6E-409C-BE32-E72D297353CC}">
              <c16:uniqueId val="{00000001-29F4-46A1-A203-4286387732E4}"/>
            </c:ext>
          </c:extLst>
        </c:ser>
        <c:ser>
          <c:idx val="2"/>
          <c:order val="2"/>
          <c:tx>
            <c:strRef>
              <c:f>Sheet2!$D$3</c:f>
              <c:strCache>
                <c:ptCount val="1"/>
                <c:pt idx="0">
                  <c:v>Sum of % Turnover 2022</c:v>
                </c:pt>
              </c:strCache>
            </c:strRef>
          </c:tx>
          <c:spPr>
            <a:solidFill>
              <a:schemeClr val="accent3"/>
            </a:solidFill>
            <a:ln>
              <a:noFill/>
            </a:ln>
            <a:effectLst/>
          </c:spPr>
          <c:invertIfNegative val="0"/>
          <c:cat>
            <c:strRef>
              <c:f>Sheet2!$A$4:$A$14</c:f>
              <c:strCache>
                <c:ptCount val="10"/>
                <c:pt idx="0">
                  <c:v>Administration </c:v>
                </c:pt>
                <c:pt idx="1">
                  <c:v>Finance </c:v>
                </c:pt>
                <c:pt idx="2">
                  <c:v>Maintenance </c:v>
                </c:pt>
                <c:pt idx="3">
                  <c:v>Marketing </c:v>
                </c:pt>
                <c:pt idx="4">
                  <c:v>Packing and despatch</c:v>
                </c:pt>
                <c:pt idx="5">
                  <c:v>People team</c:v>
                </c:pt>
                <c:pt idx="6">
                  <c:v>Production</c:v>
                </c:pt>
                <c:pt idx="7">
                  <c:v>Research &amp; Design </c:v>
                </c:pt>
                <c:pt idx="8">
                  <c:v>Sales</c:v>
                </c:pt>
                <c:pt idx="9">
                  <c:v>Organisation Total</c:v>
                </c:pt>
              </c:strCache>
            </c:strRef>
          </c:cat>
          <c:val>
            <c:numRef>
              <c:f>Sheet2!$D$4:$D$14</c:f>
              <c:numCache>
                <c:formatCode>General</c:formatCode>
                <c:ptCount val="10"/>
                <c:pt idx="0">
                  <c:v>45</c:v>
                </c:pt>
                <c:pt idx="1">
                  <c:v>0</c:v>
                </c:pt>
                <c:pt idx="2">
                  <c:v>37.5</c:v>
                </c:pt>
                <c:pt idx="3">
                  <c:v>25</c:v>
                </c:pt>
                <c:pt idx="4">
                  <c:v>50</c:v>
                </c:pt>
                <c:pt idx="5">
                  <c:v>50</c:v>
                </c:pt>
                <c:pt idx="6">
                  <c:v>21.348314606741571</c:v>
                </c:pt>
                <c:pt idx="7">
                  <c:v>0</c:v>
                </c:pt>
                <c:pt idx="8">
                  <c:v>0</c:v>
                </c:pt>
                <c:pt idx="9">
                  <c:v>0.22142857142857142</c:v>
                </c:pt>
              </c:numCache>
            </c:numRef>
          </c:val>
          <c:extLst>
            <c:ext xmlns:c16="http://schemas.microsoft.com/office/drawing/2014/chart" uri="{C3380CC4-5D6E-409C-BE32-E72D297353CC}">
              <c16:uniqueId val="{00000002-29F4-46A1-A203-4286387732E4}"/>
            </c:ext>
          </c:extLst>
        </c:ser>
        <c:ser>
          <c:idx val="3"/>
          <c:order val="3"/>
          <c:tx>
            <c:strRef>
              <c:f>Sheet2!$E$3</c:f>
              <c:strCache>
                <c:ptCount val="1"/>
                <c:pt idx="0">
                  <c:v>Sum of % Turnover 2023</c:v>
                </c:pt>
              </c:strCache>
            </c:strRef>
          </c:tx>
          <c:spPr>
            <a:solidFill>
              <a:schemeClr val="accent4"/>
            </a:solidFill>
            <a:ln>
              <a:noFill/>
            </a:ln>
            <a:effectLst/>
          </c:spPr>
          <c:invertIfNegative val="0"/>
          <c:cat>
            <c:strRef>
              <c:f>Sheet2!$A$4:$A$14</c:f>
              <c:strCache>
                <c:ptCount val="10"/>
                <c:pt idx="0">
                  <c:v>Administration </c:v>
                </c:pt>
                <c:pt idx="1">
                  <c:v>Finance </c:v>
                </c:pt>
                <c:pt idx="2">
                  <c:v>Maintenance </c:v>
                </c:pt>
                <c:pt idx="3">
                  <c:v>Marketing </c:v>
                </c:pt>
                <c:pt idx="4">
                  <c:v>Packing and despatch</c:v>
                </c:pt>
                <c:pt idx="5">
                  <c:v>People team</c:v>
                </c:pt>
                <c:pt idx="6">
                  <c:v>Production</c:v>
                </c:pt>
                <c:pt idx="7">
                  <c:v>Research &amp; Design </c:v>
                </c:pt>
                <c:pt idx="8">
                  <c:v>Sales</c:v>
                </c:pt>
                <c:pt idx="9">
                  <c:v>Organisation Total</c:v>
                </c:pt>
              </c:strCache>
            </c:strRef>
          </c:cat>
          <c:val>
            <c:numRef>
              <c:f>Sheet2!$E$4:$E$14</c:f>
              <c:numCache>
                <c:formatCode>General</c:formatCode>
                <c:ptCount val="10"/>
                <c:pt idx="0">
                  <c:v>11.111111111111111</c:v>
                </c:pt>
                <c:pt idx="1">
                  <c:v>0</c:v>
                </c:pt>
                <c:pt idx="2">
                  <c:v>14.285714285714285</c:v>
                </c:pt>
                <c:pt idx="3">
                  <c:v>0</c:v>
                </c:pt>
                <c:pt idx="4">
                  <c:v>20</c:v>
                </c:pt>
                <c:pt idx="5">
                  <c:v>40</c:v>
                </c:pt>
                <c:pt idx="6">
                  <c:v>16.022099447513813</c:v>
                </c:pt>
                <c:pt idx="7">
                  <c:v>25</c:v>
                </c:pt>
                <c:pt idx="8">
                  <c:v>4.4444444444444446</c:v>
                </c:pt>
                <c:pt idx="9">
                  <c:v>0.14184397163120568</c:v>
                </c:pt>
              </c:numCache>
            </c:numRef>
          </c:val>
          <c:extLst>
            <c:ext xmlns:c16="http://schemas.microsoft.com/office/drawing/2014/chart" uri="{C3380CC4-5D6E-409C-BE32-E72D297353CC}">
              <c16:uniqueId val="{00000003-29F4-46A1-A203-4286387732E4}"/>
            </c:ext>
          </c:extLst>
        </c:ser>
        <c:dLbls>
          <c:showLegendKey val="0"/>
          <c:showVal val="0"/>
          <c:showCatName val="0"/>
          <c:showSerName val="0"/>
          <c:showPercent val="0"/>
          <c:showBubbleSize val="0"/>
        </c:dLbls>
        <c:gapWidth val="219"/>
        <c:overlap val="-27"/>
        <c:axId val="1200514351"/>
        <c:axId val="1200519151"/>
      </c:barChart>
      <c:catAx>
        <c:axId val="1200514351"/>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519151"/>
        <c:crosses val="autoZero"/>
        <c:auto val="1"/>
        <c:lblAlgn val="ctr"/>
        <c:lblOffset val="100"/>
        <c:noMultiLvlLbl val="0"/>
      </c:catAx>
      <c:valAx>
        <c:axId val="12005191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51435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Overall total leaving rate for the whole organisation as a percentage, for each year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'Fictional leaver data - Apr (2)'!$B$21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0A-403B-A47E-EDC5C27DCBE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0A-403B-A47E-EDC5C27DCBE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0A-403B-A47E-EDC5C27DCBE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0A-403B-A47E-EDC5C27DCBE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'Fictional leaver data - Apr (2)'!$A$22:$A$25</c:f>
              <c:numCache>
                <c:formatCode>General</c:formatCode>
                <c:ptCount val="4"/>
                <c:pt idx="0">
                  <c:v>2020</c:v>
                </c:pt>
                <c:pt idx="1">
                  <c:v>2021</c:v>
                </c:pt>
                <c:pt idx="2">
                  <c:v>2022</c:v>
                </c:pt>
                <c:pt idx="3">
                  <c:v>2023</c:v>
                </c:pt>
              </c:numCache>
            </c:numRef>
          </c:cat>
          <c:val>
            <c:numRef>
              <c:f>'Fictional leaver data - Apr (2)'!$B$22:$B$25</c:f>
              <c:numCache>
                <c:formatCode>0%</c:formatCode>
                <c:ptCount val="4"/>
                <c:pt idx="0">
                  <c:v>0.3426183844011142</c:v>
                </c:pt>
                <c:pt idx="1">
                  <c:v>0.17687074829931973</c:v>
                </c:pt>
                <c:pt idx="2">
                  <c:v>0.22142857142857142</c:v>
                </c:pt>
                <c:pt idx="3">
                  <c:v>0.14184397163120568</c:v>
                </c:pt>
              </c:numCache>
            </c:numRef>
          </c:val>
          <c:extLst>
            <c:ext xmlns:c16="http://schemas.microsoft.com/office/drawing/2014/chart" uri="{C3380CC4-5D6E-409C-BE32-E72D297353CC}">
              <c16:uniqueId val="{00000008-920A-403B-A47E-EDC5C27DCBE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5</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16</cp:revision>
  <dcterms:created xsi:type="dcterms:W3CDTF">2024-11-30T12:46:00Z</dcterms:created>
  <dcterms:modified xsi:type="dcterms:W3CDTF">2024-12-15T11:03:00Z</dcterms:modified>
</cp:coreProperties>
</file>