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4"/>
          <w:szCs w:val="24"/>
          <w:highlight w:val="white"/>
          <w:u w:val="single"/>
        </w:rPr>
      </w:pPr>
      <w:r w:rsidDel="00000000" w:rsidR="00000000" w:rsidRPr="00000000">
        <w:rPr>
          <w:b w:val="1"/>
          <w:sz w:val="24"/>
          <w:szCs w:val="24"/>
          <w:highlight w:val="white"/>
          <w:u w:val="single"/>
          <w:rtl w:val="0"/>
        </w:rPr>
        <w:t xml:space="preserve">Evaluate the political and social significance of public spectacles in the late Republican and Imperial periods.</w:t>
      </w:r>
    </w:p>
    <w:p w:rsidR="00000000" w:rsidDel="00000000" w:rsidP="00000000" w:rsidRDefault="00000000" w:rsidRPr="00000000" w14:paraId="00000002">
      <w:pPr>
        <w:jc w:val="center"/>
        <w:rPr>
          <w:sz w:val="24"/>
          <w:szCs w:val="24"/>
          <w:highlight w:val="white"/>
        </w:rPr>
      </w:pPr>
      <w:r w:rsidDel="00000000" w:rsidR="00000000" w:rsidRPr="00000000">
        <w:rPr>
          <w:rtl w:val="0"/>
        </w:rPr>
      </w:r>
    </w:p>
    <w:p w:rsidR="00000000" w:rsidDel="00000000" w:rsidP="00000000" w:rsidRDefault="00000000" w:rsidRPr="00000000" w14:paraId="00000003">
      <w:pPr>
        <w:jc w:val="center"/>
        <w:rPr>
          <w:sz w:val="24"/>
          <w:szCs w:val="24"/>
          <w:highlight w:val="white"/>
        </w:rPr>
      </w:pPr>
      <w:r w:rsidDel="00000000" w:rsidR="00000000" w:rsidRPr="00000000">
        <w:rPr>
          <w:rtl w:val="0"/>
        </w:rPr>
      </w:r>
    </w:p>
    <w:p w:rsidR="00000000" w:rsidDel="00000000" w:rsidP="00000000" w:rsidRDefault="00000000" w:rsidRPr="00000000" w14:paraId="00000004">
      <w:pPr>
        <w:rPr>
          <w:sz w:val="24"/>
          <w:szCs w:val="24"/>
          <w:highlight w:val="white"/>
        </w:rPr>
      </w:pPr>
      <w:r w:rsidDel="00000000" w:rsidR="00000000" w:rsidRPr="00000000">
        <w:rPr>
          <w:sz w:val="24"/>
          <w:szCs w:val="24"/>
          <w:highlight w:val="white"/>
          <w:rtl w:val="0"/>
        </w:rPr>
        <w:t xml:space="preserve">Public spectacles, most commonly seen as bloodsports, were seen as a must during Roman times. There were different types of public spectacles, each holding a different sort of blood shed, such as games where they used live animals and gladiatorial games (also known as Munera) which were, in a sense, the most popular. Due to the popularity of these events, they were generally seen as a right to watch them, rather than a luxury.</w:t>
      </w:r>
      <w:r w:rsidDel="00000000" w:rsidR="00000000" w:rsidRPr="00000000">
        <w:rPr>
          <w:sz w:val="24"/>
          <w:szCs w:val="24"/>
          <w:highlight w:val="white"/>
          <w:vertAlign w:val="superscript"/>
        </w:rPr>
        <w:footnoteReference w:customMarkFollows="0" w:id="0"/>
      </w:r>
      <w:r w:rsidDel="00000000" w:rsidR="00000000" w:rsidRPr="00000000">
        <w:rPr>
          <w:sz w:val="24"/>
          <w:szCs w:val="24"/>
          <w:highlight w:val="white"/>
          <w:rtl w:val="0"/>
        </w:rPr>
        <w:t xml:space="preserve"> This was due to the religious nature of which they were held with, as citizens and Roman elites viewed them as sacred rather than meaningless, especially at the very beginning. </w:t>
      </w:r>
      <w:r w:rsidDel="00000000" w:rsidR="00000000" w:rsidRPr="00000000">
        <w:rPr>
          <w:sz w:val="24"/>
          <w:szCs w:val="24"/>
          <w:highlight w:val="white"/>
          <w:vertAlign w:val="superscript"/>
        </w:rPr>
        <w:footnoteReference w:customMarkFollows="0" w:id="1"/>
      </w:r>
      <w:r w:rsidDel="00000000" w:rsidR="00000000" w:rsidRPr="00000000">
        <w:rPr>
          <w:sz w:val="24"/>
          <w:szCs w:val="24"/>
          <w:highlight w:val="white"/>
          <w:rtl w:val="0"/>
        </w:rPr>
        <w:t xml:space="preserve"> However, due to this being a citizens right, meaning it was somewhat free to view the spectacles, there was a multitude of different uses to these games; both political and social.</w:t>
      </w:r>
    </w:p>
    <w:p w:rsidR="00000000" w:rsidDel="00000000" w:rsidP="00000000" w:rsidRDefault="00000000" w:rsidRPr="00000000" w14:paraId="00000005">
      <w:pPr>
        <w:rPr>
          <w:sz w:val="24"/>
          <w:szCs w:val="24"/>
          <w:highlight w:val="white"/>
        </w:rPr>
      </w:pPr>
      <w:r w:rsidDel="00000000" w:rsidR="00000000" w:rsidRPr="00000000">
        <w:rPr>
          <w:rtl w:val="0"/>
        </w:rPr>
      </w:r>
    </w:p>
    <w:p w:rsidR="00000000" w:rsidDel="00000000" w:rsidP="00000000" w:rsidRDefault="00000000" w:rsidRPr="00000000" w14:paraId="00000006">
      <w:pPr>
        <w:rPr>
          <w:sz w:val="24"/>
          <w:szCs w:val="24"/>
          <w:highlight w:val="white"/>
        </w:rPr>
      </w:pPr>
      <w:r w:rsidDel="00000000" w:rsidR="00000000" w:rsidRPr="00000000">
        <w:rPr>
          <w:sz w:val="24"/>
          <w:szCs w:val="24"/>
          <w:highlight w:val="white"/>
          <w:rtl w:val="0"/>
        </w:rPr>
        <w:t xml:space="preserve">When viewed in the political sense, these public spectacles were a particularly easy way to manipulate the public into perhaps believing one view over another, or influencing public support to and from certain people. A suggested example of this can be seen through the use of the first Munera, although it is speculated that there were some before hand. </w:t>
      </w:r>
      <w:r w:rsidDel="00000000" w:rsidR="00000000" w:rsidRPr="00000000">
        <w:rPr>
          <w:sz w:val="24"/>
          <w:szCs w:val="24"/>
          <w:highlight w:val="white"/>
          <w:vertAlign w:val="superscript"/>
        </w:rPr>
        <w:footnoteReference w:customMarkFollows="0" w:id="2"/>
      </w:r>
      <w:r w:rsidDel="00000000" w:rsidR="00000000" w:rsidRPr="00000000">
        <w:rPr>
          <w:sz w:val="24"/>
          <w:szCs w:val="24"/>
          <w:highlight w:val="white"/>
          <w:rtl w:val="0"/>
        </w:rPr>
        <w:t xml:space="preserve"> This can suggest a political motivation as it was held in 264 B.C, </w:t>
      </w:r>
      <w:r w:rsidDel="00000000" w:rsidR="00000000" w:rsidRPr="00000000">
        <w:rPr>
          <w:sz w:val="24"/>
          <w:szCs w:val="24"/>
          <w:highlight w:val="white"/>
          <w:vertAlign w:val="superscript"/>
        </w:rPr>
        <w:footnoteReference w:customMarkFollows="0" w:id="3"/>
      </w:r>
      <w:r w:rsidDel="00000000" w:rsidR="00000000" w:rsidRPr="00000000">
        <w:rPr>
          <w:sz w:val="24"/>
          <w:szCs w:val="24"/>
          <w:highlight w:val="white"/>
          <w:rtl w:val="0"/>
        </w:rPr>
        <w:t xml:space="preserve"> which was the same year in which the First Punic War took place. </w:t>
      </w:r>
      <w:r w:rsidDel="00000000" w:rsidR="00000000" w:rsidRPr="00000000">
        <w:rPr>
          <w:sz w:val="24"/>
          <w:szCs w:val="24"/>
          <w:highlight w:val="white"/>
          <w:vertAlign w:val="superscript"/>
        </w:rPr>
        <w:footnoteReference w:customMarkFollows="0" w:id="4"/>
      </w:r>
      <w:r w:rsidDel="00000000" w:rsidR="00000000" w:rsidRPr="00000000">
        <w:rPr>
          <w:sz w:val="24"/>
          <w:szCs w:val="24"/>
          <w:highlight w:val="white"/>
          <w:rtl w:val="0"/>
        </w:rPr>
        <w:t xml:space="preserve"> When looking at both of these events, and knowing that gladiators were usually either slaves or prisoners of war, </w:t>
      </w:r>
      <w:r w:rsidDel="00000000" w:rsidR="00000000" w:rsidRPr="00000000">
        <w:rPr>
          <w:sz w:val="24"/>
          <w:szCs w:val="24"/>
          <w:highlight w:val="white"/>
          <w:vertAlign w:val="superscript"/>
        </w:rPr>
        <w:footnoteReference w:customMarkFollows="0" w:id="5"/>
      </w:r>
      <w:r w:rsidDel="00000000" w:rsidR="00000000" w:rsidRPr="00000000">
        <w:rPr>
          <w:sz w:val="24"/>
          <w:szCs w:val="24"/>
          <w:highlight w:val="white"/>
          <w:rtl w:val="0"/>
        </w:rPr>
        <w:t xml:space="preserve"> it can be suggested that this was used as a political advancement. It can be seen as a warning that the Roman elites were giving out to others who might be thinking of revolting against them that they would only find death, whether that be on the battlefield or in the arena for entertainment. However, we cannot say for certain as to whether or not this Munera actually took place due to the First Punic War, or if it was just a coincidence that both happened to take place in the same year.</w:t>
      </w:r>
    </w:p>
    <w:p w:rsidR="00000000" w:rsidDel="00000000" w:rsidP="00000000" w:rsidRDefault="00000000" w:rsidRPr="00000000" w14:paraId="00000007">
      <w:pPr>
        <w:rPr>
          <w:sz w:val="24"/>
          <w:szCs w:val="24"/>
          <w:highlight w:val="white"/>
        </w:rPr>
      </w:pPr>
      <w:r w:rsidDel="00000000" w:rsidR="00000000" w:rsidRPr="00000000">
        <w:rPr>
          <w:rtl w:val="0"/>
        </w:rPr>
      </w:r>
    </w:p>
    <w:p w:rsidR="00000000" w:rsidDel="00000000" w:rsidP="00000000" w:rsidRDefault="00000000" w:rsidRPr="00000000" w14:paraId="00000008">
      <w:pPr>
        <w:rPr>
          <w:sz w:val="24"/>
          <w:szCs w:val="24"/>
          <w:highlight w:val="white"/>
        </w:rPr>
      </w:pPr>
      <w:r w:rsidDel="00000000" w:rsidR="00000000" w:rsidRPr="00000000">
        <w:rPr>
          <w:sz w:val="24"/>
          <w:szCs w:val="24"/>
          <w:highlight w:val="white"/>
          <w:rtl w:val="0"/>
        </w:rPr>
        <w:t xml:space="preserve">According to Fronto in his works ‘Introduction to History’, he states that the public only really cared for two things under the rule of any emperor: ‘the corn supply and public spectacles’. </w:t>
      </w:r>
      <w:r w:rsidDel="00000000" w:rsidR="00000000" w:rsidRPr="00000000">
        <w:rPr>
          <w:sz w:val="24"/>
          <w:szCs w:val="24"/>
          <w:highlight w:val="white"/>
          <w:vertAlign w:val="superscript"/>
        </w:rPr>
        <w:footnoteReference w:customMarkFollows="0" w:id="6"/>
      </w:r>
      <w:r w:rsidDel="00000000" w:rsidR="00000000" w:rsidRPr="00000000">
        <w:rPr>
          <w:sz w:val="24"/>
          <w:szCs w:val="24"/>
          <w:highlight w:val="white"/>
          <w:rtl w:val="0"/>
        </w:rPr>
        <w:t xml:space="preserve"> This, in a sense, shows us how much of a social aspect public spectacles played in Ancient Rome. It tells us that the Roman citizens genuinely favoured viewing such spectacles over other, more convenient things. It could be speculated that people used these games as a form of escape. Although in a modern sense it is seen as unconventional, in ancient times, especially with the daily life of a Roman citizen, it would have been a way to forget about struggles, all the while pleasing “divine powers” with their attendance. </w:t>
      </w:r>
      <w:r w:rsidDel="00000000" w:rsidR="00000000" w:rsidRPr="00000000">
        <w:rPr>
          <w:sz w:val="24"/>
          <w:szCs w:val="24"/>
          <w:highlight w:val="white"/>
          <w:vertAlign w:val="superscript"/>
        </w:rPr>
        <w:footnoteReference w:customMarkFollows="0" w:id="7"/>
      </w:r>
      <w:r w:rsidDel="00000000" w:rsidR="00000000" w:rsidRPr="00000000">
        <w:rPr>
          <w:rtl w:val="0"/>
        </w:rPr>
      </w:r>
    </w:p>
    <w:p w:rsidR="00000000" w:rsidDel="00000000" w:rsidP="00000000" w:rsidRDefault="00000000" w:rsidRPr="00000000" w14:paraId="00000009">
      <w:pPr>
        <w:rPr>
          <w:sz w:val="24"/>
          <w:szCs w:val="24"/>
          <w:highlight w:val="white"/>
        </w:rPr>
      </w:pPr>
      <w:r w:rsidDel="00000000" w:rsidR="00000000" w:rsidRPr="00000000">
        <w:rPr>
          <w:rtl w:val="0"/>
        </w:rPr>
      </w:r>
    </w:p>
    <w:p w:rsidR="00000000" w:rsidDel="00000000" w:rsidP="00000000" w:rsidRDefault="00000000" w:rsidRPr="00000000" w14:paraId="0000000A">
      <w:pPr>
        <w:rPr>
          <w:sz w:val="24"/>
          <w:szCs w:val="24"/>
          <w:highlight w:val="white"/>
        </w:rPr>
      </w:pPr>
      <w:r w:rsidDel="00000000" w:rsidR="00000000" w:rsidRPr="00000000">
        <w:rPr>
          <w:sz w:val="24"/>
          <w:szCs w:val="24"/>
          <w:highlight w:val="white"/>
          <w:rtl w:val="0"/>
        </w:rPr>
        <w:t xml:space="preserve">However, this can also be seen in the context of political manipulation. As stated before, the Roman elite could use their power in these spectacles in order for them to push for different views to be displayed. This could be seen through influencing a particular gladiator to win due to them being known to have been favoured by a certain elite, or even playing for the events in order to gain attention from the public. It was extremely possible that all of this did happen due to how corrupt ancient times already were. </w:t>
      </w:r>
      <w:r w:rsidDel="00000000" w:rsidR="00000000" w:rsidRPr="00000000">
        <w:rPr>
          <w:sz w:val="24"/>
          <w:szCs w:val="24"/>
          <w:highlight w:val="white"/>
          <w:vertAlign w:val="superscript"/>
        </w:rPr>
        <w:footnoteReference w:customMarkFollows="0" w:id="8"/>
      </w:r>
      <w:r w:rsidDel="00000000" w:rsidR="00000000" w:rsidRPr="00000000">
        <w:rPr>
          <w:rtl w:val="0"/>
        </w:rPr>
      </w:r>
    </w:p>
    <w:p w:rsidR="00000000" w:rsidDel="00000000" w:rsidP="00000000" w:rsidRDefault="00000000" w:rsidRPr="00000000" w14:paraId="0000000B">
      <w:pPr>
        <w:rPr>
          <w:sz w:val="24"/>
          <w:szCs w:val="24"/>
          <w:highlight w:val="white"/>
        </w:rPr>
      </w:pPr>
      <w:r w:rsidDel="00000000" w:rsidR="00000000" w:rsidRPr="00000000">
        <w:rPr>
          <w:rtl w:val="0"/>
        </w:rPr>
      </w:r>
    </w:p>
    <w:p w:rsidR="00000000" w:rsidDel="00000000" w:rsidP="00000000" w:rsidRDefault="00000000" w:rsidRPr="00000000" w14:paraId="0000000C">
      <w:pPr>
        <w:rPr>
          <w:sz w:val="24"/>
          <w:szCs w:val="24"/>
          <w:highlight w:val="white"/>
        </w:rPr>
      </w:pPr>
      <w:r w:rsidDel="00000000" w:rsidR="00000000" w:rsidRPr="00000000">
        <w:rPr>
          <w:sz w:val="24"/>
          <w:szCs w:val="24"/>
          <w:highlight w:val="white"/>
          <w:rtl w:val="0"/>
        </w:rPr>
        <w:t xml:space="preserve">Another social aspect that would have been significant when connected to the spectacles was that of superstition. The Romans, you could say, were particularly superstitious and “imaginative” when it came to a lot of different aspects of life such as methods used for illnesses and contraception, as well as stories told about the Gods and others. When it came to public spectacles, this did not change. It was believed that if someone acquired something from a fallen gladiator it would bring them good luck. </w:t>
      </w:r>
      <w:r w:rsidDel="00000000" w:rsidR="00000000" w:rsidRPr="00000000">
        <w:rPr>
          <w:sz w:val="24"/>
          <w:szCs w:val="24"/>
          <w:highlight w:val="white"/>
          <w:vertAlign w:val="superscript"/>
        </w:rPr>
        <w:footnoteReference w:customMarkFollows="0" w:id="9"/>
      </w:r>
      <w:r w:rsidDel="00000000" w:rsidR="00000000" w:rsidRPr="00000000">
        <w:rPr>
          <w:sz w:val="24"/>
          <w:szCs w:val="24"/>
          <w:highlight w:val="white"/>
          <w:rtl w:val="0"/>
        </w:rPr>
        <w:t xml:space="preserve"> This included things such as the warm blood of a fallen gladiator could cure epilepsy, and if a newly wed woman were to part her hair with a spear of a mortally wounded fighter it would bring her good luck in her marriage. </w:t>
      </w:r>
      <w:r w:rsidDel="00000000" w:rsidR="00000000" w:rsidRPr="00000000">
        <w:rPr>
          <w:sz w:val="24"/>
          <w:szCs w:val="24"/>
          <w:highlight w:val="white"/>
          <w:vertAlign w:val="superscript"/>
        </w:rPr>
        <w:footnoteReference w:customMarkFollows="0" w:id="10"/>
      </w:r>
      <w:r w:rsidDel="00000000" w:rsidR="00000000" w:rsidRPr="00000000">
        <w:rPr>
          <w:sz w:val="24"/>
          <w:szCs w:val="24"/>
          <w:highlight w:val="white"/>
          <w:rtl w:val="0"/>
        </w:rPr>
        <w:t xml:space="preserve"> This just shows a few of the “magical” beliefs the Romans upheld when it came to the games.</w:t>
      </w:r>
    </w:p>
    <w:p w:rsidR="00000000" w:rsidDel="00000000" w:rsidP="00000000" w:rsidRDefault="00000000" w:rsidRPr="00000000" w14:paraId="0000000D">
      <w:pPr>
        <w:rPr>
          <w:sz w:val="24"/>
          <w:szCs w:val="24"/>
          <w:highlight w:val="white"/>
        </w:rPr>
      </w:pPr>
      <w:r w:rsidDel="00000000" w:rsidR="00000000" w:rsidRPr="00000000">
        <w:rPr>
          <w:rtl w:val="0"/>
        </w:rPr>
      </w:r>
    </w:p>
    <w:p w:rsidR="00000000" w:rsidDel="00000000" w:rsidP="00000000" w:rsidRDefault="00000000" w:rsidRPr="00000000" w14:paraId="0000000E">
      <w:pPr>
        <w:rPr>
          <w:sz w:val="24"/>
          <w:szCs w:val="24"/>
          <w:highlight w:val="white"/>
        </w:rPr>
      </w:pPr>
      <w:r w:rsidDel="00000000" w:rsidR="00000000" w:rsidRPr="00000000">
        <w:rPr>
          <w:sz w:val="24"/>
          <w:szCs w:val="24"/>
          <w:highlight w:val="white"/>
          <w:rtl w:val="0"/>
        </w:rPr>
        <w:t xml:space="preserve">Another is that, according to Tertullian, they believed “souls of the dead were appeased by human blood”. This again shows the supernatural aspects of the games towards the social significance as, due to this, these spectacles would also often be held when a powerful member of the elite died, such as D. Junius Brutus Pera in 264 B.C. However, these too could also be seen as politically motivated. Due to the use of public spectacles in funerals of the elite, it can be suggested that they could have been used in a sense of competition between the elites in order to gain more political fame and favour. </w:t>
      </w:r>
    </w:p>
    <w:p w:rsidR="00000000" w:rsidDel="00000000" w:rsidP="00000000" w:rsidRDefault="00000000" w:rsidRPr="00000000" w14:paraId="0000000F">
      <w:pPr>
        <w:rPr>
          <w:sz w:val="24"/>
          <w:szCs w:val="24"/>
          <w:highlight w:val="white"/>
        </w:rPr>
      </w:pPr>
      <w:r w:rsidDel="00000000" w:rsidR="00000000" w:rsidRPr="00000000">
        <w:rPr>
          <w:rtl w:val="0"/>
        </w:rPr>
      </w:r>
    </w:p>
    <w:p w:rsidR="00000000" w:rsidDel="00000000" w:rsidP="00000000" w:rsidRDefault="00000000" w:rsidRPr="00000000" w14:paraId="00000010">
      <w:pPr>
        <w:rPr>
          <w:sz w:val="24"/>
          <w:szCs w:val="24"/>
          <w:highlight w:val="white"/>
        </w:rPr>
      </w:pPr>
      <w:r w:rsidDel="00000000" w:rsidR="00000000" w:rsidRPr="00000000">
        <w:rPr>
          <w:sz w:val="24"/>
          <w:szCs w:val="24"/>
          <w:highlight w:val="white"/>
          <w:rtl w:val="0"/>
        </w:rPr>
        <w:t xml:space="preserve">Overall, public spectacles were used in both in the political and social sense, and held significance to the public also. Although the idea of warm blood from a fallen gladiator seems odd to a modern audience, back then the idea would have held much significance in a social standpoint due to the highly religious nature that the Romans upheld. There was also the political significance due to the suggested manipulation that was used in order for the elite to put across a view of someone, good or poor, and wanting to influence the minds of the Roman public. They were also used in a way of the elite competing with each other to gain a higher position in their social class. Despite all the public spectacles being a form of entertainment and of religious meaning, it can be said that they were significantly influenced politically and socially for the time that they were being shown.</w:t>
      </w:r>
    </w:p>
    <w:p w:rsidR="00000000" w:rsidDel="00000000" w:rsidP="00000000" w:rsidRDefault="00000000" w:rsidRPr="00000000" w14:paraId="00000011">
      <w:pPr>
        <w:rPr>
          <w:sz w:val="24"/>
          <w:szCs w:val="24"/>
          <w:highlight w:val="white"/>
        </w:rPr>
      </w:pPr>
      <w:r w:rsidDel="00000000" w:rsidR="00000000" w:rsidRPr="00000000">
        <w:rPr>
          <w:rtl w:val="0"/>
        </w:rPr>
      </w:r>
    </w:p>
    <w:p w:rsidR="00000000" w:rsidDel="00000000" w:rsidP="00000000" w:rsidRDefault="00000000" w:rsidRPr="00000000" w14:paraId="00000012">
      <w:pPr>
        <w:rPr>
          <w:sz w:val="24"/>
          <w:szCs w:val="24"/>
          <w:highlight w:val="white"/>
        </w:rPr>
      </w:pPr>
      <w:r w:rsidDel="00000000" w:rsidR="00000000" w:rsidRPr="00000000">
        <w:rPr>
          <w:rtl w:val="0"/>
        </w:rPr>
      </w:r>
    </w:p>
    <w:p w:rsidR="00000000" w:rsidDel="00000000" w:rsidP="00000000" w:rsidRDefault="00000000" w:rsidRPr="00000000" w14:paraId="00000013">
      <w:pPr>
        <w:rPr>
          <w:sz w:val="24"/>
          <w:szCs w:val="24"/>
          <w:highlight w:val="white"/>
        </w:rPr>
      </w:pPr>
      <w:r w:rsidDel="00000000" w:rsidR="00000000" w:rsidRPr="00000000">
        <w:rPr>
          <w:rtl w:val="0"/>
        </w:rPr>
      </w:r>
    </w:p>
    <w:p w:rsidR="00000000" w:rsidDel="00000000" w:rsidP="00000000" w:rsidRDefault="00000000" w:rsidRPr="00000000" w14:paraId="00000014">
      <w:pPr>
        <w:rPr>
          <w:sz w:val="24"/>
          <w:szCs w:val="24"/>
          <w:highlight w:val="white"/>
        </w:rPr>
      </w:pPr>
      <w:r w:rsidDel="00000000" w:rsidR="00000000" w:rsidRPr="00000000">
        <w:rPr>
          <w:rtl w:val="0"/>
        </w:rPr>
      </w:r>
    </w:p>
    <w:p w:rsidR="00000000" w:rsidDel="00000000" w:rsidP="00000000" w:rsidRDefault="00000000" w:rsidRPr="00000000" w14:paraId="00000015">
      <w:pPr>
        <w:rPr>
          <w:b w:val="1"/>
          <w:sz w:val="24"/>
          <w:szCs w:val="24"/>
          <w:highlight w:val="white"/>
          <w:u w:val="single"/>
        </w:rPr>
      </w:pPr>
      <w:r w:rsidDel="00000000" w:rsidR="00000000" w:rsidRPr="00000000">
        <w:rPr>
          <w:b w:val="1"/>
          <w:sz w:val="24"/>
          <w:szCs w:val="24"/>
          <w:highlight w:val="white"/>
          <w:u w:val="single"/>
          <w:rtl w:val="0"/>
        </w:rPr>
        <w:t xml:space="preserve">Bibliography.</w:t>
      </w:r>
    </w:p>
    <w:p w:rsidR="00000000" w:rsidDel="00000000" w:rsidP="00000000" w:rsidRDefault="00000000" w:rsidRPr="00000000" w14:paraId="00000016">
      <w:pPr>
        <w:rPr>
          <w:sz w:val="24"/>
          <w:szCs w:val="24"/>
          <w:highlight w:val="white"/>
        </w:rPr>
      </w:pPr>
      <w:r w:rsidDel="00000000" w:rsidR="00000000" w:rsidRPr="00000000">
        <w:rPr>
          <w:rtl w:val="0"/>
        </w:rPr>
      </w:r>
    </w:p>
    <w:p w:rsidR="00000000" w:rsidDel="00000000" w:rsidP="00000000" w:rsidRDefault="00000000" w:rsidRPr="00000000" w14:paraId="00000017">
      <w:pPr>
        <w:rPr>
          <w:sz w:val="24"/>
          <w:szCs w:val="24"/>
          <w:highlight w:val="white"/>
        </w:rPr>
      </w:pPr>
      <w:r w:rsidDel="00000000" w:rsidR="00000000" w:rsidRPr="00000000">
        <w:rPr>
          <w:sz w:val="24"/>
          <w:szCs w:val="24"/>
          <w:highlight w:val="white"/>
          <w:rtl w:val="0"/>
        </w:rPr>
        <w:t xml:space="preserve">Auguet, R. (1994). </w:t>
      </w:r>
      <w:r w:rsidDel="00000000" w:rsidR="00000000" w:rsidRPr="00000000">
        <w:rPr>
          <w:i w:val="1"/>
          <w:sz w:val="24"/>
          <w:szCs w:val="24"/>
          <w:highlight w:val="white"/>
          <w:rtl w:val="0"/>
        </w:rPr>
        <w:t xml:space="preserve">Cruelty and civilization : The Roman games</w:t>
      </w:r>
      <w:r w:rsidDel="00000000" w:rsidR="00000000" w:rsidRPr="00000000">
        <w:rPr>
          <w:sz w:val="24"/>
          <w:szCs w:val="24"/>
          <w:highlight w:val="white"/>
          <w:rtl w:val="0"/>
        </w:rPr>
        <w:t xml:space="preserve">. Abingdon ; New York: Routledge.</w:t>
      </w:r>
    </w:p>
    <w:p w:rsidR="00000000" w:rsidDel="00000000" w:rsidP="00000000" w:rsidRDefault="00000000" w:rsidRPr="00000000" w14:paraId="00000018">
      <w:pPr>
        <w:rPr>
          <w:sz w:val="24"/>
          <w:szCs w:val="24"/>
          <w:highlight w:val="white"/>
        </w:rPr>
      </w:pPr>
      <w:r w:rsidDel="00000000" w:rsidR="00000000" w:rsidRPr="00000000">
        <w:rPr>
          <w:rtl w:val="0"/>
        </w:rPr>
      </w:r>
    </w:p>
    <w:p w:rsidR="00000000" w:rsidDel="00000000" w:rsidP="00000000" w:rsidRDefault="00000000" w:rsidRPr="00000000" w14:paraId="00000019">
      <w:pPr>
        <w:rPr>
          <w:sz w:val="24"/>
          <w:szCs w:val="24"/>
          <w:highlight w:val="white"/>
        </w:rPr>
      </w:pPr>
      <w:r w:rsidDel="00000000" w:rsidR="00000000" w:rsidRPr="00000000">
        <w:rPr>
          <w:sz w:val="24"/>
          <w:szCs w:val="24"/>
          <w:highlight w:val="white"/>
          <w:rtl w:val="0"/>
        </w:rPr>
        <w:t xml:space="preserve">Futrell, A. (2010). </w:t>
      </w:r>
      <w:r w:rsidDel="00000000" w:rsidR="00000000" w:rsidRPr="00000000">
        <w:rPr>
          <w:i w:val="1"/>
          <w:sz w:val="24"/>
          <w:szCs w:val="24"/>
          <w:highlight w:val="white"/>
          <w:rtl w:val="0"/>
        </w:rPr>
        <w:t xml:space="preserve">Gladiators and Gladiatorial Games</w:t>
      </w:r>
      <w:r w:rsidDel="00000000" w:rsidR="00000000" w:rsidRPr="00000000">
        <w:rPr>
          <w:sz w:val="24"/>
          <w:szCs w:val="24"/>
          <w:highlight w:val="white"/>
          <w:rtl w:val="0"/>
        </w:rPr>
        <w:t xml:space="preserve">. In  (Ed.). The Oxford Encyclopedia of Ancient Greece and Rome. Oxford University Press. [Accessed 27/02/19]</w:t>
      </w:r>
    </w:p>
    <w:p w:rsidR="00000000" w:rsidDel="00000000" w:rsidP="00000000" w:rsidRDefault="00000000" w:rsidRPr="00000000" w14:paraId="0000001A">
      <w:pPr>
        <w:rPr>
          <w:sz w:val="24"/>
          <w:szCs w:val="24"/>
          <w:highlight w:val="white"/>
        </w:rPr>
      </w:pPr>
      <w:r w:rsidDel="00000000" w:rsidR="00000000" w:rsidRPr="00000000">
        <w:rPr>
          <w:rtl w:val="0"/>
        </w:rPr>
      </w:r>
    </w:p>
    <w:p w:rsidR="00000000" w:rsidDel="00000000" w:rsidP="00000000" w:rsidRDefault="00000000" w:rsidRPr="00000000" w14:paraId="0000001B">
      <w:pPr>
        <w:rPr>
          <w:sz w:val="24"/>
          <w:szCs w:val="24"/>
          <w:highlight w:val="white"/>
        </w:rPr>
      </w:pPr>
      <w:r w:rsidDel="00000000" w:rsidR="00000000" w:rsidRPr="00000000">
        <w:rPr>
          <w:sz w:val="24"/>
          <w:szCs w:val="24"/>
          <w:highlight w:val="white"/>
          <w:rtl w:val="0"/>
        </w:rPr>
        <w:t xml:space="preserve">Futrell, A. (1997). </w:t>
      </w:r>
      <w:r w:rsidDel="00000000" w:rsidR="00000000" w:rsidRPr="00000000">
        <w:rPr>
          <w:i w:val="1"/>
          <w:sz w:val="24"/>
          <w:szCs w:val="24"/>
          <w:highlight w:val="white"/>
          <w:rtl w:val="0"/>
        </w:rPr>
        <w:t xml:space="preserve">Blood in the arena : The spectacle of Roman power</w:t>
      </w:r>
      <w:r w:rsidDel="00000000" w:rsidR="00000000" w:rsidRPr="00000000">
        <w:rPr>
          <w:sz w:val="24"/>
          <w:szCs w:val="24"/>
          <w:highlight w:val="white"/>
          <w:rtl w:val="0"/>
        </w:rPr>
        <w:t xml:space="preserve">. Austin, Tex.: University of Texas Press.</w:t>
      </w:r>
    </w:p>
    <w:p w:rsidR="00000000" w:rsidDel="00000000" w:rsidP="00000000" w:rsidRDefault="00000000" w:rsidRPr="00000000" w14:paraId="0000001C">
      <w:pPr>
        <w:rPr>
          <w:sz w:val="24"/>
          <w:szCs w:val="24"/>
          <w:highlight w:val="white"/>
        </w:rPr>
      </w:pPr>
      <w:r w:rsidDel="00000000" w:rsidR="00000000" w:rsidRPr="00000000">
        <w:rPr>
          <w:rtl w:val="0"/>
        </w:rPr>
      </w:r>
    </w:p>
    <w:p w:rsidR="00000000" w:rsidDel="00000000" w:rsidP="00000000" w:rsidRDefault="00000000" w:rsidRPr="00000000" w14:paraId="0000001D">
      <w:pPr>
        <w:rPr>
          <w:sz w:val="24"/>
          <w:szCs w:val="24"/>
          <w:highlight w:val="white"/>
        </w:rPr>
      </w:pPr>
      <w:r w:rsidDel="00000000" w:rsidR="00000000" w:rsidRPr="00000000">
        <w:rPr>
          <w:sz w:val="24"/>
          <w:szCs w:val="24"/>
          <w:highlight w:val="white"/>
          <w:rtl w:val="0"/>
        </w:rPr>
        <w:t xml:space="preserve">Giardina, A. and Cochrane, L.G. (1993). </w:t>
      </w:r>
      <w:r w:rsidDel="00000000" w:rsidR="00000000" w:rsidRPr="00000000">
        <w:rPr>
          <w:i w:val="1"/>
          <w:sz w:val="24"/>
          <w:szCs w:val="24"/>
          <w:highlight w:val="white"/>
          <w:rtl w:val="0"/>
        </w:rPr>
        <w:t xml:space="preserve">The Romans</w:t>
      </w:r>
      <w:r w:rsidDel="00000000" w:rsidR="00000000" w:rsidRPr="00000000">
        <w:rPr>
          <w:sz w:val="24"/>
          <w:szCs w:val="24"/>
          <w:highlight w:val="white"/>
          <w:rtl w:val="0"/>
        </w:rPr>
        <w:t xml:space="preserve">. The University of Chicago Press. LTD. London.</w:t>
      </w:r>
    </w:p>
    <w:p w:rsidR="00000000" w:rsidDel="00000000" w:rsidP="00000000" w:rsidRDefault="00000000" w:rsidRPr="00000000" w14:paraId="0000001E">
      <w:pPr>
        <w:rPr>
          <w:sz w:val="24"/>
          <w:szCs w:val="24"/>
          <w:highlight w:val="white"/>
        </w:rPr>
      </w:pPr>
      <w:r w:rsidDel="00000000" w:rsidR="00000000" w:rsidRPr="00000000">
        <w:rPr>
          <w:rtl w:val="0"/>
        </w:rPr>
      </w:r>
    </w:p>
    <w:p w:rsidR="00000000" w:rsidDel="00000000" w:rsidP="00000000" w:rsidRDefault="00000000" w:rsidRPr="00000000" w14:paraId="0000001F">
      <w:pPr>
        <w:rPr>
          <w:sz w:val="24"/>
          <w:szCs w:val="24"/>
          <w:highlight w:val="white"/>
        </w:rPr>
      </w:pPr>
      <w:r w:rsidDel="00000000" w:rsidR="00000000" w:rsidRPr="00000000">
        <w:rPr>
          <w:sz w:val="24"/>
          <w:szCs w:val="24"/>
          <w:highlight w:val="white"/>
          <w:rtl w:val="0"/>
        </w:rPr>
        <w:t xml:space="preserve">Grant, M. (1971). </w:t>
      </w:r>
      <w:r w:rsidDel="00000000" w:rsidR="00000000" w:rsidRPr="00000000">
        <w:rPr>
          <w:i w:val="1"/>
          <w:sz w:val="24"/>
          <w:szCs w:val="24"/>
          <w:highlight w:val="white"/>
          <w:rtl w:val="0"/>
        </w:rPr>
        <w:t xml:space="preserve">Gladiators</w:t>
      </w:r>
      <w:r w:rsidDel="00000000" w:rsidR="00000000" w:rsidRPr="00000000">
        <w:rPr>
          <w:sz w:val="24"/>
          <w:szCs w:val="24"/>
          <w:highlight w:val="white"/>
          <w:rtl w:val="0"/>
        </w:rPr>
        <w:t xml:space="preserve"> (Rev. ed.). Harmondsworth: Pelican.</w:t>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Auguet. 1994. p.17.</w:t>
      </w:r>
    </w:p>
  </w:footnote>
  <w:footnote w:id="1">
    <w:p w:rsidR="00000000" w:rsidDel="00000000" w:rsidP="00000000" w:rsidRDefault="00000000" w:rsidRPr="00000000" w14:paraId="0000002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Auguet. 1994. p.184.</w:t>
      </w:r>
    </w:p>
  </w:footnote>
  <w:footnote w:id="2">
    <w:p w:rsidR="00000000" w:rsidDel="00000000" w:rsidP="00000000" w:rsidRDefault="00000000" w:rsidRPr="00000000" w14:paraId="0000002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Futrell. 1997. p.19.</w:t>
      </w:r>
    </w:p>
  </w:footnote>
  <w:footnote w:id="3">
    <w:p w:rsidR="00000000" w:rsidDel="00000000" w:rsidP="00000000" w:rsidRDefault="00000000" w:rsidRPr="00000000" w14:paraId="0000002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Futrell. 1997. p.19.</w:t>
      </w:r>
    </w:p>
  </w:footnote>
  <w:footnote w:id="4">
    <w:p w:rsidR="00000000" w:rsidDel="00000000" w:rsidP="00000000" w:rsidRDefault="00000000" w:rsidRPr="00000000" w14:paraId="0000002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Futrell. 1997. p.23.</w:t>
      </w:r>
    </w:p>
  </w:footnote>
  <w:footnote w:id="5">
    <w:p w:rsidR="00000000" w:rsidDel="00000000" w:rsidP="00000000" w:rsidRDefault="00000000" w:rsidRPr="00000000" w14:paraId="0000002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Futrell. 2010.</w:t>
      </w:r>
    </w:p>
  </w:footnote>
  <w:footnote w:id="6">
    <w:p w:rsidR="00000000" w:rsidDel="00000000" w:rsidP="00000000" w:rsidRDefault="00000000" w:rsidRPr="00000000" w14:paraId="0000002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Giardina and Cochrane. 1993. p.272.</w:t>
      </w:r>
    </w:p>
  </w:footnote>
  <w:footnote w:id="7">
    <w:p w:rsidR="00000000" w:rsidDel="00000000" w:rsidP="00000000" w:rsidRDefault="00000000" w:rsidRPr="00000000" w14:paraId="000000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Futrell. 1997. p.19.</w:t>
      </w:r>
    </w:p>
  </w:footnote>
  <w:footnote w:id="8">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Futrell. 1997. p.31.</w:t>
      </w:r>
    </w:p>
  </w:footnote>
  <w:footnote w:id="9">
    <w:p w:rsidR="00000000" w:rsidDel="00000000" w:rsidP="00000000" w:rsidRDefault="00000000" w:rsidRPr="00000000" w14:paraId="000000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Grant. 1971. p.9.</w:t>
      </w:r>
    </w:p>
  </w:footnote>
  <w:footnote w:id="10">
    <w:p w:rsidR="00000000" w:rsidDel="00000000" w:rsidP="00000000" w:rsidRDefault="00000000" w:rsidRPr="00000000" w14:paraId="0000002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Grant. 1971. p.9.</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