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37CF1D" w14:textId="77777777" w:rsidR="00213D6E" w:rsidRPr="00922363" w:rsidRDefault="00213D6E" w:rsidP="00922363">
      <w:pPr>
        <w:spacing w:line="360" w:lineRule="auto"/>
        <w:jc w:val="center"/>
        <w:rPr>
          <w:rFonts w:ascii="Arial" w:hAnsi="Arial" w:cs="Arial"/>
        </w:rPr>
      </w:pPr>
      <w:r w:rsidRPr="00922363">
        <w:rPr>
          <w:rFonts w:ascii="Arial" w:hAnsi="Arial" w:cs="Arial"/>
          <w:noProof/>
        </w:rPr>
        <w:drawing>
          <wp:inline distT="0" distB="0" distL="0" distR="0" wp14:anchorId="6F37D1D5" wp14:editId="7097B88C">
            <wp:extent cx="2867025" cy="15906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7025" cy="1590675"/>
                    </a:xfrm>
                    <a:prstGeom prst="rect">
                      <a:avLst/>
                    </a:prstGeom>
                    <a:noFill/>
                    <a:ln>
                      <a:noFill/>
                    </a:ln>
                  </pic:spPr>
                </pic:pic>
              </a:graphicData>
            </a:graphic>
          </wp:inline>
        </w:drawing>
      </w:r>
    </w:p>
    <w:p w14:paraId="2A333B1A" w14:textId="77777777" w:rsidR="00213D6E" w:rsidRPr="00922363" w:rsidRDefault="00213D6E" w:rsidP="00922363">
      <w:pPr>
        <w:spacing w:line="360" w:lineRule="auto"/>
        <w:jc w:val="center"/>
        <w:rPr>
          <w:rFonts w:ascii="Arial" w:hAnsi="Arial" w:cs="Arial"/>
          <w:sz w:val="28"/>
          <w:szCs w:val="28"/>
        </w:rPr>
      </w:pPr>
      <w:r w:rsidRPr="00922363">
        <w:rPr>
          <w:rFonts w:ascii="Arial" w:hAnsi="Arial" w:cs="Arial"/>
          <w:sz w:val="28"/>
          <w:szCs w:val="28"/>
        </w:rPr>
        <w:t xml:space="preserve">Programme: Master of Business Administration </w:t>
      </w:r>
    </w:p>
    <w:p w14:paraId="62C600ED" w14:textId="77777777" w:rsidR="00213D6E" w:rsidRPr="00922363" w:rsidRDefault="00213D6E" w:rsidP="00922363">
      <w:pPr>
        <w:spacing w:line="360" w:lineRule="auto"/>
        <w:jc w:val="center"/>
        <w:rPr>
          <w:rFonts w:ascii="Arial" w:hAnsi="Arial" w:cs="Arial"/>
          <w:sz w:val="28"/>
          <w:szCs w:val="28"/>
        </w:rPr>
      </w:pPr>
      <w:r w:rsidRPr="00922363">
        <w:rPr>
          <w:rFonts w:ascii="Arial" w:hAnsi="Arial" w:cs="Arial"/>
          <w:sz w:val="28"/>
          <w:szCs w:val="28"/>
        </w:rPr>
        <w:t xml:space="preserve">Module: Financial Management </w:t>
      </w:r>
    </w:p>
    <w:p w14:paraId="69C67B27" w14:textId="77777777" w:rsidR="00213D6E" w:rsidRPr="00922363" w:rsidRDefault="00213D6E" w:rsidP="00922363">
      <w:pPr>
        <w:spacing w:line="360" w:lineRule="auto"/>
        <w:jc w:val="center"/>
        <w:rPr>
          <w:rFonts w:ascii="Arial" w:hAnsi="Arial" w:cs="Arial"/>
          <w:sz w:val="28"/>
          <w:szCs w:val="28"/>
        </w:rPr>
      </w:pPr>
      <w:r w:rsidRPr="00922363">
        <w:rPr>
          <w:rFonts w:ascii="Arial" w:hAnsi="Arial" w:cs="Arial"/>
          <w:sz w:val="28"/>
          <w:szCs w:val="28"/>
        </w:rPr>
        <w:t xml:space="preserve">Module code: LCMB7002 </w:t>
      </w:r>
    </w:p>
    <w:p w14:paraId="15111710" w14:textId="77777777" w:rsidR="00213D6E" w:rsidRPr="00922363" w:rsidRDefault="00213D6E" w:rsidP="00922363">
      <w:pPr>
        <w:spacing w:line="360" w:lineRule="auto"/>
        <w:jc w:val="center"/>
        <w:rPr>
          <w:rFonts w:ascii="Arial" w:hAnsi="Arial" w:cs="Arial"/>
          <w:sz w:val="28"/>
          <w:szCs w:val="28"/>
        </w:rPr>
      </w:pPr>
    </w:p>
    <w:p w14:paraId="5D7A3FCA" w14:textId="171A5B0E" w:rsidR="00213D6E" w:rsidRPr="00922363" w:rsidRDefault="00D953A0" w:rsidP="00D953A0">
      <w:pPr>
        <w:spacing w:line="360" w:lineRule="auto"/>
        <w:jc w:val="center"/>
        <w:rPr>
          <w:rFonts w:ascii="Arial" w:hAnsi="Arial" w:cs="Arial"/>
          <w:sz w:val="28"/>
          <w:szCs w:val="28"/>
        </w:rPr>
      </w:pPr>
      <w:r>
        <w:rPr>
          <w:rFonts w:ascii="Arial" w:hAnsi="Arial" w:cs="Arial"/>
          <w:sz w:val="28"/>
          <w:szCs w:val="28"/>
        </w:rPr>
        <w:t xml:space="preserve">Assignment Title: </w:t>
      </w:r>
      <w:r w:rsidR="00213D6E" w:rsidRPr="00922363">
        <w:rPr>
          <w:rFonts w:ascii="Arial" w:hAnsi="Arial" w:cs="Arial"/>
          <w:sz w:val="28"/>
          <w:szCs w:val="28"/>
        </w:rPr>
        <w:t>Financial Analysis of General Electronics</w:t>
      </w:r>
    </w:p>
    <w:p w14:paraId="09BAD525" w14:textId="77777777" w:rsidR="00213D6E" w:rsidRPr="00922363" w:rsidRDefault="00213D6E" w:rsidP="00922363">
      <w:pPr>
        <w:spacing w:line="360" w:lineRule="auto"/>
        <w:jc w:val="center"/>
        <w:rPr>
          <w:rFonts w:ascii="Arial" w:hAnsi="Arial" w:cs="Arial"/>
          <w:sz w:val="28"/>
          <w:szCs w:val="28"/>
        </w:rPr>
      </w:pPr>
    </w:p>
    <w:p w14:paraId="0EB2BB02" w14:textId="3E1D7465" w:rsidR="00213D6E" w:rsidRPr="00922363" w:rsidRDefault="00213D6E" w:rsidP="00922363">
      <w:pPr>
        <w:spacing w:line="360" w:lineRule="auto"/>
        <w:jc w:val="center"/>
        <w:rPr>
          <w:rFonts w:ascii="Arial" w:hAnsi="Arial" w:cs="Arial"/>
          <w:sz w:val="28"/>
          <w:szCs w:val="28"/>
        </w:rPr>
      </w:pPr>
      <w:r w:rsidRPr="00922363">
        <w:rPr>
          <w:rFonts w:ascii="Arial" w:hAnsi="Arial" w:cs="Arial"/>
          <w:sz w:val="28"/>
          <w:szCs w:val="28"/>
        </w:rPr>
        <w:t>Student Name:</w:t>
      </w:r>
      <w:r w:rsidR="00E46A2B">
        <w:rPr>
          <w:rFonts w:ascii="Arial" w:hAnsi="Arial" w:cs="Arial"/>
          <w:sz w:val="28"/>
          <w:szCs w:val="28"/>
        </w:rPr>
        <w:t xml:space="preserve"> </w:t>
      </w:r>
      <w:r w:rsidR="00E46A2B" w:rsidRPr="00E46A2B">
        <w:rPr>
          <w:rFonts w:ascii="Arial" w:hAnsi="Arial" w:cs="Arial"/>
          <w:sz w:val="28"/>
          <w:szCs w:val="28"/>
        </w:rPr>
        <w:t>Md Rabiul Hassan</w:t>
      </w:r>
    </w:p>
    <w:p w14:paraId="602BAFD2" w14:textId="77777777" w:rsidR="00213D6E" w:rsidRPr="00922363" w:rsidRDefault="00213D6E" w:rsidP="00922363">
      <w:pPr>
        <w:spacing w:line="360" w:lineRule="auto"/>
        <w:jc w:val="center"/>
        <w:rPr>
          <w:rFonts w:ascii="Arial" w:hAnsi="Arial" w:cs="Arial"/>
          <w:sz w:val="28"/>
          <w:szCs w:val="28"/>
        </w:rPr>
      </w:pPr>
    </w:p>
    <w:p w14:paraId="306B5A3B" w14:textId="5D25D6DD" w:rsidR="00213D6E" w:rsidRPr="00922363" w:rsidRDefault="00213D6E" w:rsidP="00922363">
      <w:pPr>
        <w:spacing w:line="360" w:lineRule="auto"/>
        <w:jc w:val="center"/>
        <w:rPr>
          <w:rFonts w:ascii="Arial" w:hAnsi="Arial" w:cs="Arial"/>
          <w:sz w:val="28"/>
          <w:szCs w:val="28"/>
        </w:rPr>
      </w:pPr>
      <w:r w:rsidRPr="00922363">
        <w:rPr>
          <w:rFonts w:ascii="Arial" w:hAnsi="Arial" w:cs="Arial"/>
          <w:sz w:val="28"/>
          <w:szCs w:val="28"/>
        </w:rPr>
        <w:t>Student ID:</w:t>
      </w:r>
      <w:r w:rsidR="00E46A2B">
        <w:rPr>
          <w:rFonts w:ascii="Arial" w:hAnsi="Arial" w:cs="Arial"/>
          <w:sz w:val="28"/>
          <w:szCs w:val="28"/>
        </w:rPr>
        <w:t xml:space="preserve"> </w:t>
      </w:r>
      <w:r w:rsidR="00E46A2B" w:rsidRPr="00E46A2B">
        <w:rPr>
          <w:rFonts w:ascii="Arial" w:hAnsi="Arial" w:cs="Arial"/>
          <w:sz w:val="28"/>
          <w:szCs w:val="28"/>
        </w:rPr>
        <w:t>2504429</w:t>
      </w:r>
    </w:p>
    <w:p w14:paraId="25231D76" w14:textId="77777777" w:rsidR="00E46A2B" w:rsidRDefault="00E46A2B" w:rsidP="00922363">
      <w:pPr>
        <w:spacing w:line="360" w:lineRule="auto"/>
        <w:jc w:val="center"/>
        <w:rPr>
          <w:rFonts w:ascii="Arial" w:hAnsi="Arial" w:cs="Arial"/>
          <w:sz w:val="28"/>
          <w:szCs w:val="28"/>
        </w:rPr>
      </w:pPr>
    </w:p>
    <w:p w14:paraId="4FE48224" w14:textId="1AFC9B4B" w:rsidR="00213D6E" w:rsidRPr="0054198D" w:rsidRDefault="00213D6E" w:rsidP="00922363">
      <w:pPr>
        <w:spacing w:line="360" w:lineRule="auto"/>
        <w:jc w:val="center"/>
        <w:rPr>
          <w:rFonts w:ascii="Arial" w:hAnsi="Arial" w:cs="Arial"/>
          <w:sz w:val="28"/>
          <w:szCs w:val="28"/>
        </w:rPr>
      </w:pPr>
      <w:r w:rsidRPr="0054198D">
        <w:rPr>
          <w:rFonts w:ascii="Arial" w:hAnsi="Arial" w:cs="Arial"/>
          <w:sz w:val="28"/>
          <w:szCs w:val="28"/>
        </w:rPr>
        <w:t xml:space="preserve">Lecturer: </w:t>
      </w:r>
      <w:r w:rsidR="00276186" w:rsidRPr="00276186">
        <w:rPr>
          <w:rFonts w:ascii="Arial" w:hAnsi="Arial" w:cs="Arial"/>
          <w:sz w:val="28"/>
          <w:szCs w:val="28"/>
        </w:rPr>
        <w:t>Isaiah Oino</w:t>
      </w:r>
    </w:p>
    <w:p w14:paraId="14C725C2" w14:textId="77777777" w:rsidR="00213D6E" w:rsidRPr="00922363" w:rsidRDefault="00213D6E" w:rsidP="00922363">
      <w:pPr>
        <w:spacing w:line="360" w:lineRule="auto"/>
        <w:jc w:val="center"/>
        <w:rPr>
          <w:rFonts w:ascii="Arial" w:hAnsi="Arial" w:cs="Arial"/>
          <w:sz w:val="28"/>
          <w:szCs w:val="28"/>
        </w:rPr>
      </w:pPr>
    </w:p>
    <w:p w14:paraId="428869EA" w14:textId="1EA93A1B" w:rsidR="00213D6E" w:rsidRPr="00922363" w:rsidRDefault="00213D6E" w:rsidP="00922363">
      <w:pPr>
        <w:spacing w:line="360" w:lineRule="auto"/>
        <w:jc w:val="center"/>
        <w:rPr>
          <w:rFonts w:ascii="Arial" w:hAnsi="Arial" w:cs="Arial"/>
          <w:sz w:val="28"/>
          <w:szCs w:val="28"/>
        </w:rPr>
      </w:pPr>
      <w:r w:rsidRPr="00922363">
        <w:rPr>
          <w:rFonts w:ascii="Arial" w:hAnsi="Arial" w:cs="Arial"/>
          <w:sz w:val="28"/>
          <w:szCs w:val="28"/>
        </w:rPr>
        <w:t>Word Count:</w:t>
      </w:r>
      <w:r w:rsidR="0054198D">
        <w:rPr>
          <w:rFonts w:ascii="Arial" w:hAnsi="Arial" w:cs="Arial"/>
          <w:sz w:val="28"/>
          <w:szCs w:val="28"/>
        </w:rPr>
        <w:t xml:space="preserve"> 5</w:t>
      </w:r>
      <w:r w:rsidR="005B3AB3">
        <w:rPr>
          <w:rFonts w:ascii="Arial" w:hAnsi="Arial" w:cs="Arial"/>
          <w:sz w:val="28"/>
          <w:szCs w:val="28"/>
        </w:rPr>
        <w:t>104</w:t>
      </w:r>
    </w:p>
    <w:p w14:paraId="5F9244CA" w14:textId="77777777" w:rsidR="00213D6E" w:rsidRPr="00922363" w:rsidRDefault="00213D6E" w:rsidP="00922363">
      <w:pPr>
        <w:spacing w:line="360" w:lineRule="auto"/>
        <w:jc w:val="center"/>
        <w:rPr>
          <w:rFonts w:ascii="Arial" w:hAnsi="Arial" w:cs="Arial"/>
        </w:rPr>
      </w:pPr>
    </w:p>
    <w:p w14:paraId="7F46AB0E" w14:textId="77777777" w:rsidR="00432D56" w:rsidRDefault="00432D56">
      <w:pPr>
        <w:rPr>
          <w:rFonts w:ascii="Arial" w:hAnsi="Arial" w:cs="Arial"/>
        </w:rPr>
      </w:pPr>
      <w:r>
        <w:rPr>
          <w:rFonts w:ascii="Arial" w:hAnsi="Arial" w:cs="Arial"/>
        </w:rPr>
        <w:br w:type="page"/>
      </w:r>
    </w:p>
    <w:sdt>
      <w:sdtPr>
        <w:rPr>
          <w:rFonts w:asciiTheme="minorHAnsi" w:eastAsiaTheme="minorHAnsi" w:hAnsiTheme="minorHAnsi" w:cstheme="minorBidi"/>
          <w:color w:val="auto"/>
          <w:sz w:val="22"/>
          <w:szCs w:val="22"/>
        </w:rPr>
        <w:id w:val="-963498831"/>
        <w:docPartObj>
          <w:docPartGallery w:val="Table of Contents"/>
          <w:docPartUnique/>
        </w:docPartObj>
      </w:sdtPr>
      <w:sdtEndPr>
        <w:rPr>
          <w:rFonts w:ascii="Arial" w:hAnsi="Arial" w:cs="Arial"/>
          <w:b/>
          <w:bCs/>
          <w:noProof/>
          <w:sz w:val="24"/>
          <w:szCs w:val="24"/>
        </w:rPr>
      </w:sdtEndPr>
      <w:sdtContent>
        <w:p w14:paraId="06BE92A7" w14:textId="7E0C54E8" w:rsidR="00892F88" w:rsidRPr="009A635C" w:rsidRDefault="00892F88" w:rsidP="009A635C">
          <w:pPr>
            <w:pStyle w:val="TOCHeading"/>
            <w:spacing w:line="360" w:lineRule="auto"/>
            <w:rPr>
              <w:rFonts w:ascii="Arial" w:hAnsi="Arial" w:cs="Arial"/>
              <w:sz w:val="24"/>
              <w:szCs w:val="24"/>
            </w:rPr>
          </w:pPr>
          <w:r w:rsidRPr="009A635C">
            <w:rPr>
              <w:rFonts w:ascii="Arial" w:hAnsi="Arial" w:cs="Arial"/>
              <w:sz w:val="24"/>
              <w:szCs w:val="24"/>
            </w:rPr>
            <w:t>Table of Contents</w:t>
          </w:r>
        </w:p>
        <w:p w14:paraId="4510F06C" w14:textId="7CA59BD9" w:rsidR="009A635C" w:rsidRPr="009A635C" w:rsidRDefault="00892F88" w:rsidP="009A635C">
          <w:pPr>
            <w:pStyle w:val="TOC1"/>
            <w:tabs>
              <w:tab w:val="right" w:leader="dot" w:pos="9350"/>
            </w:tabs>
            <w:spacing w:line="360" w:lineRule="auto"/>
            <w:rPr>
              <w:rFonts w:ascii="Arial" w:eastAsiaTheme="minorEastAsia" w:hAnsi="Arial" w:cs="Arial"/>
              <w:noProof/>
              <w:sz w:val="24"/>
              <w:szCs w:val="24"/>
            </w:rPr>
          </w:pPr>
          <w:r w:rsidRPr="009A635C">
            <w:rPr>
              <w:rFonts w:ascii="Arial" w:hAnsi="Arial" w:cs="Arial"/>
              <w:sz w:val="24"/>
              <w:szCs w:val="24"/>
            </w:rPr>
            <w:fldChar w:fldCharType="begin"/>
          </w:r>
          <w:r w:rsidRPr="009A635C">
            <w:rPr>
              <w:rFonts w:ascii="Arial" w:hAnsi="Arial" w:cs="Arial"/>
              <w:sz w:val="24"/>
              <w:szCs w:val="24"/>
            </w:rPr>
            <w:instrText xml:space="preserve"> TOC \o "1-3" \h \z \u </w:instrText>
          </w:r>
          <w:r w:rsidRPr="009A635C">
            <w:rPr>
              <w:rFonts w:ascii="Arial" w:hAnsi="Arial" w:cs="Arial"/>
              <w:sz w:val="24"/>
              <w:szCs w:val="24"/>
            </w:rPr>
            <w:fldChar w:fldCharType="separate"/>
          </w:r>
          <w:hyperlink w:anchor="_Toc217260289" w:history="1">
            <w:r w:rsidR="009A635C" w:rsidRPr="009A635C">
              <w:rPr>
                <w:rStyle w:val="Hyperlink"/>
                <w:rFonts w:ascii="Arial" w:hAnsi="Arial" w:cs="Arial"/>
                <w:noProof/>
                <w:sz w:val="24"/>
                <w:szCs w:val="24"/>
              </w:rPr>
              <w:t>Introduction</w:t>
            </w:r>
            <w:r w:rsidR="009A635C" w:rsidRPr="009A635C">
              <w:rPr>
                <w:rFonts w:ascii="Arial" w:hAnsi="Arial" w:cs="Arial"/>
                <w:noProof/>
                <w:webHidden/>
                <w:sz w:val="24"/>
                <w:szCs w:val="24"/>
              </w:rPr>
              <w:tab/>
            </w:r>
            <w:r w:rsidR="009A635C" w:rsidRPr="009A635C">
              <w:rPr>
                <w:rFonts w:ascii="Arial" w:hAnsi="Arial" w:cs="Arial"/>
                <w:noProof/>
                <w:webHidden/>
                <w:sz w:val="24"/>
                <w:szCs w:val="24"/>
              </w:rPr>
              <w:fldChar w:fldCharType="begin"/>
            </w:r>
            <w:r w:rsidR="009A635C" w:rsidRPr="009A635C">
              <w:rPr>
                <w:rFonts w:ascii="Arial" w:hAnsi="Arial" w:cs="Arial"/>
                <w:noProof/>
                <w:webHidden/>
                <w:sz w:val="24"/>
                <w:szCs w:val="24"/>
              </w:rPr>
              <w:instrText xml:space="preserve"> PAGEREF _Toc217260289 \h </w:instrText>
            </w:r>
            <w:r w:rsidR="009A635C" w:rsidRPr="009A635C">
              <w:rPr>
                <w:rFonts w:ascii="Arial" w:hAnsi="Arial" w:cs="Arial"/>
                <w:noProof/>
                <w:webHidden/>
                <w:sz w:val="24"/>
                <w:szCs w:val="24"/>
              </w:rPr>
            </w:r>
            <w:r w:rsidR="009A635C" w:rsidRPr="009A635C">
              <w:rPr>
                <w:rFonts w:ascii="Arial" w:hAnsi="Arial" w:cs="Arial"/>
                <w:noProof/>
                <w:webHidden/>
                <w:sz w:val="24"/>
                <w:szCs w:val="24"/>
              </w:rPr>
              <w:fldChar w:fldCharType="separate"/>
            </w:r>
            <w:r w:rsidR="009A635C" w:rsidRPr="009A635C">
              <w:rPr>
                <w:rFonts w:ascii="Arial" w:hAnsi="Arial" w:cs="Arial"/>
                <w:noProof/>
                <w:webHidden/>
                <w:sz w:val="24"/>
                <w:szCs w:val="24"/>
              </w:rPr>
              <w:t>7</w:t>
            </w:r>
            <w:r w:rsidR="009A635C" w:rsidRPr="009A635C">
              <w:rPr>
                <w:rFonts w:ascii="Arial" w:hAnsi="Arial" w:cs="Arial"/>
                <w:noProof/>
                <w:webHidden/>
                <w:sz w:val="24"/>
                <w:szCs w:val="24"/>
              </w:rPr>
              <w:fldChar w:fldCharType="end"/>
            </w:r>
          </w:hyperlink>
        </w:p>
        <w:p w14:paraId="35E43447" w14:textId="5F4EAA97" w:rsidR="009A635C" w:rsidRPr="009A635C" w:rsidRDefault="00A45A32" w:rsidP="009A635C">
          <w:pPr>
            <w:pStyle w:val="TOC1"/>
            <w:tabs>
              <w:tab w:val="right" w:leader="dot" w:pos="9350"/>
            </w:tabs>
            <w:spacing w:line="360" w:lineRule="auto"/>
            <w:rPr>
              <w:rFonts w:ascii="Arial" w:eastAsiaTheme="minorEastAsia" w:hAnsi="Arial" w:cs="Arial"/>
              <w:noProof/>
              <w:sz w:val="24"/>
              <w:szCs w:val="24"/>
            </w:rPr>
          </w:pPr>
          <w:hyperlink w:anchor="_Toc217260290" w:history="1">
            <w:r w:rsidR="009A635C" w:rsidRPr="009A635C">
              <w:rPr>
                <w:rStyle w:val="Hyperlink"/>
                <w:rFonts w:ascii="Arial" w:hAnsi="Arial" w:cs="Arial"/>
                <w:noProof/>
                <w:sz w:val="24"/>
                <w:szCs w:val="24"/>
              </w:rPr>
              <w:t>1.0 Financial Health Check of General Electronics (2020–2024)</w:t>
            </w:r>
            <w:r w:rsidR="009A635C" w:rsidRPr="009A635C">
              <w:rPr>
                <w:rFonts w:ascii="Arial" w:hAnsi="Arial" w:cs="Arial"/>
                <w:noProof/>
                <w:webHidden/>
                <w:sz w:val="24"/>
                <w:szCs w:val="24"/>
              </w:rPr>
              <w:tab/>
            </w:r>
            <w:r w:rsidR="009A635C" w:rsidRPr="009A635C">
              <w:rPr>
                <w:rFonts w:ascii="Arial" w:hAnsi="Arial" w:cs="Arial"/>
                <w:noProof/>
                <w:webHidden/>
                <w:sz w:val="24"/>
                <w:szCs w:val="24"/>
              </w:rPr>
              <w:fldChar w:fldCharType="begin"/>
            </w:r>
            <w:r w:rsidR="009A635C" w:rsidRPr="009A635C">
              <w:rPr>
                <w:rFonts w:ascii="Arial" w:hAnsi="Arial" w:cs="Arial"/>
                <w:noProof/>
                <w:webHidden/>
                <w:sz w:val="24"/>
                <w:szCs w:val="24"/>
              </w:rPr>
              <w:instrText xml:space="preserve"> PAGEREF _Toc217260290 \h </w:instrText>
            </w:r>
            <w:r w:rsidR="009A635C" w:rsidRPr="009A635C">
              <w:rPr>
                <w:rFonts w:ascii="Arial" w:hAnsi="Arial" w:cs="Arial"/>
                <w:noProof/>
                <w:webHidden/>
                <w:sz w:val="24"/>
                <w:szCs w:val="24"/>
              </w:rPr>
            </w:r>
            <w:r w:rsidR="009A635C" w:rsidRPr="009A635C">
              <w:rPr>
                <w:rFonts w:ascii="Arial" w:hAnsi="Arial" w:cs="Arial"/>
                <w:noProof/>
                <w:webHidden/>
                <w:sz w:val="24"/>
                <w:szCs w:val="24"/>
              </w:rPr>
              <w:fldChar w:fldCharType="separate"/>
            </w:r>
            <w:r w:rsidR="009A635C" w:rsidRPr="009A635C">
              <w:rPr>
                <w:rFonts w:ascii="Arial" w:hAnsi="Arial" w:cs="Arial"/>
                <w:noProof/>
                <w:webHidden/>
                <w:sz w:val="24"/>
                <w:szCs w:val="24"/>
              </w:rPr>
              <w:t>8</w:t>
            </w:r>
            <w:r w:rsidR="009A635C" w:rsidRPr="009A635C">
              <w:rPr>
                <w:rFonts w:ascii="Arial" w:hAnsi="Arial" w:cs="Arial"/>
                <w:noProof/>
                <w:webHidden/>
                <w:sz w:val="24"/>
                <w:szCs w:val="24"/>
              </w:rPr>
              <w:fldChar w:fldCharType="end"/>
            </w:r>
          </w:hyperlink>
        </w:p>
        <w:p w14:paraId="0EB667DB" w14:textId="1FFF8BBC" w:rsidR="009A635C" w:rsidRPr="009A635C" w:rsidRDefault="00A45A32" w:rsidP="009A635C">
          <w:pPr>
            <w:pStyle w:val="TOC2"/>
            <w:tabs>
              <w:tab w:val="right" w:leader="dot" w:pos="9350"/>
            </w:tabs>
            <w:spacing w:line="360" w:lineRule="auto"/>
            <w:rPr>
              <w:rFonts w:ascii="Arial" w:eastAsiaTheme="minorEastAsia" w:hAnsi="Arial" w:cs="Arial"/>
              <w:noProof/>
              <w:sz w:val="24"/>
              <w:szCs w:val="24"/>
            </w:rPr>
          </w:pPr>
          <w:hyperlink w:anchor="_Toc217260291" w:history="1">
            <w:r w:rsidR="009A635C" w:rsidRPr="009A635C">
              <w:rPr>
                <w:rStyle w:val="Hyperlink"/>
                <w:rFonts w:ascii="Arial" w:hAnsi="Arial" w:cs="Arial"/>
                <w:noProof/>
                <w:sz w:val="24"/>
                <w:szCs w:val="24"/>
              </w:rPr>
              <w:t>1.1 Financial performance trends in totality</w:t>
            </w:r>
            <w:r w:rsidR="009A635C" w:rsidRPr="009A635C">
              <w:rPr>
                <w:rFonts w:ascii="Arial" w:hAnsi="Arial" w:cs="Arial"/>
                <w:noProof/>
                <w:webHidden/>
                <w:sz w:val="24"/>
                <w:szCs w:val="24"/>
              </w:rPr>
              <w:tab/>
            </w:r>
            <w:r w:rsidR="009A635C" w:rsidRPr="009A635C">
              <w:rPr>
                <w:rFonts w:ascii="Arial" w:hAnsi="Arial" w:cs="Arial"/>
                <w:noProof/>
                <w:webHidden/>
                <w:sz w:val="24"/>
                <w:szCs w:val="24"/>
              </w:rPr>
              <w:fldChar w:fldCharType="begin"/>
            </w:r>
            <w:r w:rsidR="009A635C" w:rsidRPr="009A635C">
              <w:rPr>
                <w:rFonts w:ascii="Arial" w:hAnsi="Arial" w:cs="Arial"/>
                <w:noProof/>
                <w:webHidden/>
                <w:sz w:val="24"/>
                <w:szCs w:val="24"/>
              </w:rPr>
              <w:instrText xml:space="preserve"> PAGEREF _Toc217260291 \h </w:instrText>
            </w:r>
            <w:r w:rsidR="009A635C" w:rsidRPr="009A635C">
              <w:rPr>
                <w:rFonts w:ascii="Arial" w:hAnsi="Arial" w:cs="Arial"/>
                <w:noProof/>
                <w:webHidden/>
                <w:sz w:val="24"/>
                <w:szCs w:val="24"/>
              </w:rPr>
            </w:r>
            <w:r w:rsidR="009A635C" w:rsidRPr="009A635C">
              <w:rPr>
                <w:rFonts w:ascii="Arial" w:hAnsi="Arial" w:cs="Arial"/>
                <w:noProof/>
                <w:webHidden/>
                <w:sz w:val="24"/>
                <w:szCs w:val="24"/>
              </w:rPr>
              <w:fldChar w:fldCharType="separate"/>
            </w:r>
            <w:r w:rsidR="009A635C" w:rsidRPr="009A635C">
              <w:rPr>
                <w:rFonts w:ascii="Arial" w:hAnsi="Arial" w:cs="Arial"/>
                <w:noProof/>
                <w:webHidden/>
                <w:sz w:val="24"/>
                <w:szCs w:val="24"/>
              </w:rPr>
              <w:t>8</w:t>
            </w:r>
            <w:r w:rsidR="009A635C" w:rsidRPr="009A635C">
              <w:rPr>
                <w:rFonts w:ascii="Arial" w:hAnsi="Arial" w:cs="Arial"/>
                <w:noProof/>
                <w:webHidden/>
                <w:sz w:val="24"/>
                <w:szCs w:val="24"/>
              </w:rPr>
              <w:fldChar w:fldCharType="end"/>
            </w:r>
          </w:hyperlink>
        </w:p>
        <w:p w14:paraId="06BAEACB" w14:textId="431FDAF5" w:rsidR="009A635C" w:rsidRPr="009A635C" w:rsidRDefault="00A45A32" w:rsidP="009A635C">
          <w:pPr>
            <w:pStyle w:val="TOC2"/>
            <w:tabs>
              <w:tab w:val="right" w:leader="dot" w:pos="9350"/>
            </w:tabs>
            <w:spacing w:line="360" w:lineRule="auto"/>
            <w:rPr>
              <w:rFonts w:ascii="Arial" w:eastAsiaTheme="minorEastAsia" w:hAnsi="Arial" w:cs="Arial"/>
              <w:noProof/>
              <w:sz w:val="24"/>
              <w:szCs w:val="24"/>
            </w:rPr>
          </w:pPr>
          <w:hyperlink w:anchor="_Toc217260292" w:history="1">
            <w:r w:rsidR="009A635C" w:rsidRPr="009A635C">
              <w:rPr>
                <w:rStyle w:val="Hyperlink"/>
                <w:rFonts w:ascii="Arial" w:hAnsi="Arial" w:cs="Arial"/>
                <w:noProof/>
                <w:sz w:val="24"/>
                <w:szCs w:val="24"/>
              </w:rPr>
              <w:t>1.2 Profitability analysis and inter-ratio relationships</w:t>
            </w:r>
            <w:r w:rsidR="009A635C" w:rsidRPr="009A635C">
              <w:rPr>
                <w:rFonts w:ascii="Arial" w:hAnsi="Arial" w:cs="Arial"/>
                <w:noProof/>
                <w:webHidden/>
                <w:sz w:val="24"/>
                <w:szCs w:val="24"/>
              </w:rPr>
              <w:tab/>
            </w:r>
            <w:r w:rsidR="009A635C" w:rsidRPr="009A635C">
              <w:rPr>
                <w:rFonts w:ascii="Arial" w:hAnsi="Arial" w:cs="Arial"/>
                <w:noProof/>
                <w:webHidden/>
                <w:sz w:val="24"/>
                <w:szCs w:val="24"/>
              </w:rPr>
              <w:fldChar w:fldCharType="begin"/>
            </w:r>
            <w:r w:rsidR="009A635C" w:rsidRPr="009A635C">
              <w:rPr>
                <w:rFonts w:ascii="Arial" w:hAnsi="Arial" w:cs="Arial"/>
                <w:noProof/>
                <w:webHidden/>
                <w:sz w:val="24"/>
                <w:szCs w:val="24"/>
              </w:rPr>
              <w:instrText xml:space="preserve"> PAGEREF _Toc217260292 \h </w:instrText>
            </w:r>
            <w:r w:rsidR="009A635C" w:rsidRPr="009A635C">
              <w:rPr>
                <w:rFonts w:ascii="Arial" w:hAnsi="Arial" w:cs="Arial"/>
                <w:noProof/>
                <w:webHidden/>
                <w:sz w:val="24"/>
                <w:szCs w:val="24"/>
              </w:rPr>
            </w:r>
            <w:r w:rsidR="009A635C" w:rsidRPr="009A635C">
              <w:rPr>
                <w:rFonts w:ascii="Arial" w:hAnsi="Arial" w:cs="Arial"/>
                <w:noProof/>
                <w:webHidden/>
                <w:sz w:val="24"/>
                <w:szCs w:val="24"/>
              </w:rPr>
              <w:fldChar w:fldCharType="separate"/>
            </w:r>
            <w:r w:rsidR="009A635C" w:rsidRPr="009A635C">
              <w:rPr>
                <w:rFonts w:ascii="Arial" w:hAnsi="Arial" w:cs="Arial"/>
                <w:noProof/>
                <w:webHidden/>
                <w:sz w:val="24"/>
                <w:szCs w:val="24"/>
              </w:rPr>
              <w:t>9</w:t>
            </w:r>
            <w:r w:rsidR="009A635C" w:rsidRPr="009A635C">
              <w:rPr>
                <w:rFonts w:ascii="Arial" w:hAnsi="Arial" w:cs="Arial"/>
                <w:noProof/>
                <w:webHidden/>
                <w:sz w:val="24"/>
                <w:szCs w:val="24"/>
              </w:rPr>
              <w:fldChar w:fldCharType="end"/>
            </w:r>
          </w:hyperlink>
        </w:p>
        <w:p w14:paraId="4BCE23FE" w14:textId="31C661B8" w:rsidR="009A635C" w:rsidRPr="009A635C" w:rsidRDefault="00A45A32" w:rsidP="009A635C">
          <w:pPr>
            <w:pStyle w:val="TOC2"/>
            <w:tabs>
              <w:tab w:val="right" w:leader="dot" w:pos="9350"/>
            </w:tabs>
            <w:spacing w:line="360" w:lineRule="auto"/>
            <w:rPr>
              <w:rFonts w:ascii="Arial" w:eastAsiaTheme="minorEastAsia" w:hAnsi="Arial" w:cs="Arial"/>
              <w:noProof/>
              <w:sz w:val="24"/>
              <w:szCs w:val="24"/>
            </w:rPr>
          </w:pPr>
          <w:hyperlink w:anchor="_Toc217260293" w:history="1">
            <w:r w:rsidR="009A635C" w:rsidRPr="009A635C">
              <w:rPr>
                <w:rStyle w:val="Hyperlink"/>
                <w:rFonts w:ascii="Arial" w:hAnsi="Arial" w:cs="Arial"/>
                <w:noProof/>
                <w:sz w:val="24"/>
                <w:szCs w:val="24"/>
              </w:rPr>
              <w:t>1.3 Liquidity ratio analysis and interrelationship with profitability</w:t>
            </w:r>
            <w:r w:rsidR="009A635C" w:rsidRPr="009A635C">
              <w:rPr>
                <w:rFonts w:ascii="Arial" w:hAnsi="Arial" w:cs="Arial"/>
                <w:noProof/>
                <w:webHidden/>
                <w:sz w:val="24"/>
                <w:szCs w:val="24"/>
              </w:rPr>
              <w:tab/>
            </w:r>
            <w:r w:rsidR="009A635C" w:rsidRPr="009A635C">
              <w:rPr>
                <w:rFonts w:ascii="Arial" w:hAnsi="Arial" w:cs="Arial"/>
                <w:noProof/>
                <w:webHidden/>
                <w:sz w:val="24"/>
                <w:szCs w:val="24"/>
              </w:rPr>
              <w:fldChar w:fldCharType="begin"/>
            </w:r>
            <w:r w:rsidR="009A635C" w:rsidRPr="009A635C">
              <w:rPr>
                <w:rFonts w:ascii="Arial" w:hAnsi="Arial" w:cs="Arial"/>
                <w:noProof/>
                <w:webHidden/>
                <w:sz w:val="24"/>
                <w:szCs w:val="24"/>
              </w:rPr>
              <w:instrText xml:space="preserve"> PAGEREF _Toc217260293 \h </w:instrText>
            </w:r>
            <w:r w:rsidR="009A635C" w:rsidRPr="009A635C">
              <w:rPr>
                <w:rFonts w:ascii="Arial" w:hAnsi="Arial" w:cs="Arial"/>
                <w:noProof/>
                <w:webHidden/>
                <w:sz w:val="24"/>
                <w:szCs w:val="24"/>
              </w:rPr>
            </w:r>
            <w:r w:rsidR="009A635C" w:rsidRPr="009A635C">
              <w:rPr>
                <w:rFonts w:ascii="Arial" w:hAnsi="Arial" w:cs="Arial"/>
                <w:noProof/>
                <w:webHidden/>
                <w:sz w:val="24"/>
                <w:szCs w:val="24"/>
              </w:rPr>
              <w:fldChar w:fldCharType="separate"/>
            </w:r>
            <w:r w:rsidR="009A635C" w:rsidRPr="009A635C">
              <w:rPr>
                <w:rFonts w:ascii="Arial" w:hAnsi="Arial" w:cs="Arial"/>
                <w:noProof/>
                <w:webHidden/>
                <w:sz w:val="24"/>
                <w:szCs w:val="24"/>
              </w:rPr>
              <w:t>9</w:t>
            </w:r>
            <w:r w:rsidR="009A635C" w:rsidRPr="009A635C">
              <w:rPr>
                <w:rFonts w:ascii="Arial" w:hAnsi="Arial" w:cs="Arial"/>
                <w:noProof/>
                <w:webHidden/>
                <w:sz w:val="24"/>
                <w:szCs w:val="24"/>
              </w:rPr>
              <w:fldChar w:fldCharType="end"/>
            </w:r>
          </w:hyperlink>
        </w:p>
        <w:p w14:paraId="3E47B498" w14:textId="193F4E8B" w:rsidR="009A635C" w:rsidRPr="009A635C" w:rsidRDefault="00A45A32" w:rsidP="009A635C">
          <w:pPr>
            <w:pStyle w:val="TOC2"/>
            <w:tabs>
              <w:tab w:val="right" w:leader="dot" w:pos="9350"/>
            </w:tabs>
            <w:spacing w:line="360" w:lineRule="auto"/>
            <w:rPr>
              <w:rFonts w:ascii="Arial" w:eastAsiaTheme="minorEastAsia" w:hAnsi="Arial" w:cs="Arial"/>
              <w:noProof/>
              <w:sz w:val="24"/>
              <w:szCs w:val="24"/>
            </w:rPr>
          </w:pPr>
          <w:hyperlink w:anchor="_Toc217260294" w:history="1">
            <w:r w:rsidR="009A635C" w:rsidRPr="009A635C">
              <w:rPr>
                <w:rStyle w:val="Hyperlink"/>
                <w:rFonts w:ascii="Arial" w:hAnsi="Arial" w:cs="Arial"/>
                <w:noProof/>
                <w:sz w:val="24"/>
                <w:szCs w:val="24"/>
              </w:rPr>
              <w:t>1.4 Efficiency and working capital analysis</w:t>
            </w:r>
            <w:r w:rsidR="009A635C" w:rsidRPr="009A635C">
              <w:rPr>
                <w:rFonts w:ascii="Arial" w:hAnsi="Arial" w:cs="Arial"/>
                <w:noProof/>
                <w:webHidden/>
                <w:sz w:val="24"/>
                <w:szCs w:val="24"/>
              </w:rPr>
              <w:tab/>
            </w:r>
            <w:r w:rsidR="009A635C" w:rsidRPr="009A635C">
              <w:rPr>
                <w:rFonts w:ascii="Arial" w:hAnsi="Arial" w:cs="Arial"/>
                <w:noProof/>
                <w:webHidden/>
                <w:sz w:val="24"/>
                <w:szCs w:val="24"/>
              </w:rPr>
              <w:fldChar w:fldCharType="begin"/>
            </w:r>
            <w:r w:rsidR="009A635C" w:rsidRPr="009A635C">
              <w:rPr>
                <w:rFonts w:ascii="Arial" w:hAnsi="Arial" w:cs="Arial"/>
                <w:noProof/>
                <w:webHidden/>
                <w:sz w:val="24"/>
                <w:szCs w:val="24"/>
              </w:rPr>
              <w:instrText xml:space="preserve"> PAGEREF _Toc217260294 \h </w:instrText>
            </w:r>
            <w:r w:rsidR="009A635C" w:rsidRPr="009A635C">
              <w:rPr>
                <w:rFonts w:ascii="Arial" w:hAnsi="Arial" w:cs="Arial"/>
                <w:noProof/>
                <w:webHidden/>
                <w:sz w:val="24"/>
                <w:szCs w:val="24"/>
              </w:rPr>
            </w:r>
            <w:r w:rsidR="009A635C" w:rsidRPr="009A635C">
              <w:rPr>
                <w:rFonts w:ascii="Arial" w:hAnsi="Arial" w:cs="Arial"/>
                <w:noProof/>
                <w:webHidden/>
                <w:sz w:val="24"/>
                <w:szCs w:val="24"/>
              </w:rPr>
              <w:fldChar w:fldCharType="separate"/>
            </w:r>
            <w:r w:rsidR="009A635C" w:rsidRPr="009A635C">
              <w:rPr>
                <w:rFonts w:ascii="Arial" w:hAnsi="Arial" w:cs="Arial"/>
                <w:noProof/>
                <w:webHidden/>
                <w:sz w:val="24"/>
                <w:szCs w:val="24"/>
              </w:rPr>
              <w:t>10</w:t>
            </w:r>
            <w:r w:rsidR="009A635C" w:rsidRPr="009A635C">
              <w:rPr>
                <w:rFonts w:ascii="Arial" w:hAnsi="Arial" w:cs="Arial"/>
                <w:noProof/>
                <w:webHidden/>
                <w:sz w:val="24"/>
                <w:szCs w:val="24"/>
              </w:rPr>
              <w:fldChar w:fldCharType="end"/>
            </w:r>
          </w:hyperlink>
        </w:p>
        <w:p w14:paraId="5FE80595" w14:textId="75FB1B30" w:rsidR="009A635C" w:rsidRPr="009A635C" w:rsidRDefault="00A45A32" w:rsidP="009A635C">
          <w:pPr>
            <w:pStyle w:val="TOC2"/>
            <w:tabs>
              <w:tab w:val="right" w:leader="dot" w:pos="9350"/>
            </w:tabs>
            <w:spacing w:line="360" w:lineRule="auto"/>
            <w:rPr>
              <w:rFonts w:ascii="Arial" w:eastAsiaTheme="minorEastAsia" w:hAnsi="Arial" w:cs="Arial"/>
              <w:noProof/>
              <w:sz w:val="24"/>
              <w:szCs w:val="24"/>
            </w:rPr>
          </w:pPr>
          <w:hyperlink w:anchor="_Toc217260295" w:history="1">
            <w:r w:rsidR="009A635C" w:rsidRPr="009A635C">
              <w:rPr>
                <w:rStyle w:val="Hyperlink"/>
                <w:rFonts w:ascii="Arial" w:hAnsi="Arial" w:cs="Arial"/>
                <w:noProof/>
                <w:sz w:val="24"/>
                <w:szCs w:val="24"/>
              </w:rPr>
              <w:t>1.5 Gearing and leverage analysis</w:t>
            </w:r>
            <w:r w:rsidR="009A635C" w:rsidRPr="009A635C">
              <w:rPr>
                <w:rFonts w:ascii="Arial" w:hAnsi="Arial" w:cs="Arial"/>
                <w:noProof/>
                <w:webHidden/>
                <w:sz w:val="24"/>
                <w:szCs w:val="24"/>
              </w:rPr>
              <w:tab/>
            </w:r>
            <w:r w:rsidR="009A635C" w:rsidRPr="009A635C">
              <w:rPr>
                <w:rFonts w:ascii="Arial" w:hAnsi="Arial" w:cs="Arial"/>
                <w:noProof/>
                <w:webHidden/>
                <w:sz w:val="24"/>
                <w:szCs w:val="24"/>
              </w:rPr>
              <w:fldChar w:fldCharType="begin"/>
            </w:r>
            <w:r w:rsidR="009A635C" w:rsidRPr="009A635C">
              <w:rPr>
                <w:rFonts w:ascii="Arial" w:hAnsi="Arial" w:cs="Arial"/>
                <w:noProof/>
                <w:webHidden/>
                <w:sz w:val="24"/>
                <w:szCs w:val="24"/>
              </w:rPr>
              <w:instrText xml:space="preserve"> PAGEREF _Toc217260295 \h </w:instrText>
            </w:r>
            <w:r w:rsidR="009A635C" w:rsidRPr="009A635C">
              <w:rPr>
                <w:rFonts w:ascii="Arial" w:hAnsi="Arial" w:cs="Arial"/>
                <w:noProof/>
                <w:webHidden/>
                <w:sz w:val="24"/>
                <w:szCs w:val="24"/>
              </w:rPr>
            </w:r>
            <w:r w:rsidR="009A635C" w:rsidRPr="009A635C">
              <w:rPr>
                <w:rFonts w:ascii="Arial" w:hAnsi="Arial" w:cs="Arial"/>
                <w:noProof/>
                <w:webHidden/>
                <w:sz w:val="24"/>
                <w:szCs w:val="24"/>
              </w:rPr>
              <w:fldChar w:fldCharType="separate"/>
            </w:r>
            <w:r w:rsidR="009A635C" w:rsidRPr="009A635C">
              <w:rPr>
                <w:rFonts w:ascii="Arial" w:hAnsi="Arial" w:cs="Arial"/>
                <w:noProof/>
                <w:webHidden/>
                <w:sz w:val="24"/>
                <w:szCs w:val="24"/>
              </w:rPr>
              <w:t>10</w:t>
            </w:r>
            <w:r w:rsidR="009A635C" w:rsidRPr="009A635C">
              <w:rPr>
                <w:rFonts w:ascii="Arial" w:hAnsi="Arial" w:cs="Arial"/>
                <w:noProof/>
                <w:webHidden/>
                <w:sz w:val="24"/>
                <w:szCs w:val="24"/>
              </w:rPr>
              <w:fldChar w:fldCharType="end"/>
            </w:r>
          </w:hyperlink>
        </w:p>
        <w:p w14:paraId="632B0137" w14:textId="48B16558" w:rsidR="009A635C" w:rsidRPr="009A635C" w:rsidRDefault="00A45A32" w:rsidP="009A635C">
          <w:pPr>
            <w:pStyle w:val="TOC2"/>
            <w:tabs>
              <w:tab w:val="right" w:leader="dot" w:pos="9350"/>
            </w:tabs>
            <w:spacing w:line="360" w:lineRule="auto"/>
            <w:rPr>
              <w:rFonts w:ascii="Arial" w:eastAsiaTheme="minorEastAsia" w:hAnsi="Arial" w:cs="Arial"/>
              <w:noProof/>
              <w:sz w:val="24"/>
              <w:szCs w:val="24"/>
            </w:rPr>
          </w:pPr>
          <w:hyperlink w:anchor="_Toc217260296" w:history="1">
            <w:r w:rsidR="009A635C" w:rsidRPr="009A635C">
              <w:rPr>
                <w:rStyle w:val="Hyperlink"/>
                <w:rFonts w:ascii="Arial" w:hAnsi="Arial" w:cs="Arial"/>
                <w:noProof/>
                <w:sz w:val="24"/>
                <w:szCs w:val="24"/>
              </w:rPr>
              <w:t>1.6 Investment and market ratio analysis</w:t>
            </w:r>
            <w:r w:rsidR="009A635C" w:rsidRPr="009A635C">
              <w:rPr>
                <w:rFonts w:ascii="Arial" w:hAnsi="Arial" w:cs="Arial"/>
                <w:noProof/>
                <w:webHidden/>
                <w:sz w:val="24"/>
                <w:szCs w:val="24"/>
              </w:rPr>
              <w:tab/>
            </w:r>
            <w:r w:rsidR="009A635C" w:rsidRPr="009A635C">
              <w:rPr>
                <w:rFonts w:ascii="Arial" w:hAnsi="Arial" w:cs="Arial"/>
                <w:noProof/>
                <w:webHidden/>
                <w:sz w:val="24"/>
                <w:szCs w:val="24"/>
              </w:rPr>
              <w:fldChar w:fldCharType="begin"/>
            </w:r>
            <w:r w:rsidR="009A635C" w:rsidRPr="009A635C">
              <w:rPr>
                <w:rFonts w:ascii="Arial" w:hAnsi="Arial" w:cs="Arial"/>
                <w:noProof/>
                <w:webHidden/>
                <w:sz w:val="24"/>
                <w:szCs w:val="24"/>
              </w:rPr>
              <w:instrText xml:space="preserve"> PAGEREF _Toc217260296 \h </w:instrText>
            </w:r>
            <w:r w:rsidR="009A635C" w:rsidRPr="009A635C">
              <w:rPr>
                <w:rFonts w:ascii="Arial" w:hAnsi="Arial" w:cs="Arial"/>
                <w:noProof/>
                <w:webHidden/>
                <w:sz w:val="24"/>
                <w:szCs w:val="24"/>
              </w:rPr>
            </w:r>
            <w:r w:rsidR="009A635C" w:rsidRPr="009A635C">
              <w:rPr>
                <w:rFonts w:ascii="Arial" w:hAnsi="Arial" w:cs="Arial"/>
                <w:noProof/>
                <w:webHidden/>
                <w:sz w:val="24"/>
                <w:szCs w:val="24"/>
              </w:rPr>
              <w:fldChar w:fldCharType="separate"/>
            </w:r>
            <w:r w:rsidR="009A635C" w:rsidRPr="009A635C">
              <w:rPr>
                <w:rFonts w:ascii="Arial" w:hAnsi="Arial" w:cs="Arial"/>
                <w:noProof/>
                <w:webHidden/>
                <w:sz w:val="24"/>
                <w:szCs w:val="24"/>
              </w:rPr>
              <w:t>11</w:t>
            </w:r>
            <w:r w:rsidR="009A635C" w:rsidRPr="009A635C">
              <w:rPr>
                <w:rFonts w:ascii="Arial" w:hAnsi="Arial" w:cs="Arial"/>
                <w:noProof/>
                <w:webHidden/>
                <w:sz w:val="24"/>
                <w:szCs w:val="24"/>
              </w:rPr>
              <w:fldChar w:fldCharType="end"/>
            </w:r>
          </w:hyperlink>
        </w:p>
        <w:p w14:paraId="03DA7DE4" w14:textId="5F6EE2D8" w:rsidR="009A635C" w:rsidRPr="009A635C" w:rsidRDefault="00A45A32" w:rsidP="009A635C">
          <w:pPr>
            <w:pStyle w:val="TOC2"/>
            <w:tabs>
              <w:tab w:val="right" w:leader="dot" w:pos="9350"/>
            </w:tabs>
            <w:spacing w:line="360" w:lineRule="auto"/>
            <w:rPr>
              <w:rFonts w:ascii="Arial" w:eastAsiaTheme="minorEastAsia" w:hAnsi="Arial" w:cs="Arial"/>
              <w:noProof/>
              <w:sz w:val="24"/>
              <w:szCs w:val="24"/>
            </w:rPr>
          </w:pPr>
          <w:hyperlink w:anchor="_Toc217260297" w:history="1">
            <w:r w:rsidR="009A635C" w:rsidRPr="009A635C">
              <w:rPr>
                <w:rStyle w:val="Hyperlink"/>
                <w:rFonts w:ascii="Arial" w:hAnsi="Arial" w:cs="Arial"/>
                <w:noProof/>
                <w:sz w:val="24"/>
                <w:szCs w:val="24"/>
              </w:rPr>
              <w:t>1.7 Cash flow analysis</w:t>
            </w:r>
            <w:r w:rsidR="009A635C" w:rsidRPr="009A635C">
              <w:rPr>
                <w:rFonts w:ascii="Arial" w:hAnsi="Arial" w:cs="Arial"/>
                <w:noProof/>
                <w:webHidden/>
                <w:sz w:val="24"/>
                <w:szCs w:val="24"/>
              </w:rPr>
              <w:tab/>
            </w:r>
            <w:r w:rsidR="009A635C" w:rsidRPr="009A635C">
              <w:rPr>
                <w:rFonts w:ascii="Arial" w:hAnsi="Arial" w:cs="Arial"/>
                <w:noProof/>
                <w:webHidden/>
                <w:sz w:val="24"/>
                <w:szCs w:val="24"/>
              </w:rPr>
              <w:fldChar w:fldCharType="begin"/>
            </w:r>
            <w:r w:rsidR="009A635C" w:rsidRPr="009A635C">
              <w:rPr>
                <w:rFonts w:ascii="Arial" w:hAnsi="Arial" w:cs="Arial"/>
                <w:noProof/>
                <w:webHidden/>
                <w:sz w:val="24"/>
                <w:szCs w:val="24"/>
              </w:rPr>
              <w:instrText xml:space="preserve"> PAGEREF _Toc217260297 \h </w:instrText>
            </w:r>
            <w:r w:rsidR="009A635C" w:rsidRPr="009A635C">
              <w:rPr>
                <w:rFonts w:ascii="Arial" w:hAnsi="Arial" w:cs="Arial"/>
                <w:noProof/>
                <w:webHidden/>
                <w:sz w:val="24"/>
                <w:szCs w:val="24"/>
              </w:rPr>
            </w:r>
            <w:r w:rsidR="009A635C" w:rsidRPr="009A635C">
              <w:rPr>
                <w:rFonts w:ascii="Arial" w:hAnsi="Arial" w:cs="Arial"/>
                <w:noProof/>
                <w:webHidden/>
                <w:sz w:val="24"/>
                <w:szCs w:val="24"/>
              </w:rPr>
              <w:fldChar w:fldCharType="separate"/>
            </w:r>
            <w:r w:rsidR="009A635C" w:rsidRPr="009A635C">
              <w:rPr>
                <w:rFonts w:ascii="Arial" w:hAnsi="Arial" w:cs="Arial"/>
                <w:noProof/>
                <w:webHidden/>
                <w:sz w:val="24"/>
                <w:szCs w:val="24"/>
              </w:rPr>
              <w:t>11</w:t>
            </w:r>
            <w:r w:rsidR="009A635C" w:rsidRPr="009A635C">
              <w:rPr>
                <w:rFonts w:ascii="Arial" w:hAnsi="Arial" w:cs="Arial"/>
                <w:noProof/>
                <w:webHidden/>
                <w:sz w:val="24"/>
                <w:szCs w:val="24"/>
              </w:rPr>
              <w:fldChar w:fldCharType="end"/>
            </w:r>
          </w:hyperlink>
        </w:p>
        <w:p w14:paraId="701C3E4F" w14:textId="2BD0EA36" w:rsidR="009A635C" w:rsidRPr="009A635C" w:rsidRDefault="00A45A32" w:rsidP="009A635C">
          <w:pPr>
            <w:pStyle w:val="TOC2"/>
            <w:tabs>
              <w:tab w:val="right" w:leader="dot" w:pos="9350"/>
            </w:tabs>
            <w:spacing w:line="360" w:lineRule="auto"/>
            <w:rPr>
              <w:rFonts w:ascii="Arial" w:eastAsiaTheme="minorEastAsia" w:hAnsi="Arial" w:cs="Arial"/>
              <w:noProof/>
              <w:sz w:val="24"/>
              <w:szCs w:val="24"/>
            </w:rPr>
          </w:pPr>
          <w:hyperlink w:anchor="_Toc217260298" w:history="1">
            <w:r w:rsidR="009A635C" w:rsidRPr="009A635C">
              <w:rPr>
                <w:rStyle w:val="Hyperlink"/>
                <w:rFonts w:ascii="Arial" w:hAnsi="Arial" w:cs="Arial"/>
                <w:noProof/>
                <w:sz w:val="24"/>
                <w:szCs w:val="24"/>
              </w:rPr>
              <w:t>1.8 Altman Z-Score based corporate failure prediction</w:t>
            </w:r>
            <w:r w:rsidR="009A635C" w:rsidRPr="009A635C">
              <w:rPr>
                <w:rFonts w:ascii="Arial" w:hAnsi="Arial" w:cs="Arial"/>
                <w:noProof/>
                <w:webHidden/>
                <w:sz w:val="24"/>
                <w:szCs w:val="24"/>
              </w:rPr>
              <w:tab/>
            </w:r>
            <w:r w:rsidR="009A635C" w:rsidRPr="009A635C">
              <w:rPr>
                <w:rFonts w:ascii="Arial" w:hAnsi="Arial" w:cs="Arial"/>
                <w:noProof/>
                <w:webHidden/>
                <w:sz w:val="24"/>
                <w:szCs w:val="24"/>
              </w:rPr>
              <w:fldChar w:fldCharType="begin"/>
            </w:r>
            <w:r w:rsidR="009A635C" w:rsidRPr="009A635C">
              <w:rPr>
                <w:rFonts w:ascii="Arial" w:hAnsi="Arial" w:cs="Arial"/>
                <w:noProof/>
                <w:webHidden/>
                <w:sz w:val="24"/>
                <w:szCs w:val="24"/>
              </w:rPr>
              <w:instrText xml:space="preserve"> PAGEREF _Toc217260298 \h </w:instrText>
            </w:r>
            <w:r w:rsidR="009A635C" w:rsidRPr="009A635C">
              <w:rPr>
                <w:rFonts w:ascii="Arial" w:hAnsi="Arial" w:cs="Arial"/>
                <w:noProof/>
                <w:webHidden/>
                <w:sz w:val="24"/>
                <w:szCs w:val="24"/>
              </w:rPr>
            </w:r>
            <w:r w:rsidR="009A635C" w:rsidRPr="009A635C">
              <w:rPr>
                <w:rFonts w:ascii="Arial" w:hAnsi="Arial" w:cs="Arial"/>
                <w:noProof/>
                <w:webHidden/>
                <w:sz w:val="24"/>
                <w:szCs w:val="24"/>
              </w:rPr>
              <w:fldChar w:fldCharType="separate"/>
            </w:r>
            <w:r w:rsidR="009A635C" w:rsidRPr="009A635C">
              <w:rPr>
                <w:rFonts w:ascii="Arial" w:hAnsi="Arial" w:cs="Arial"/>
                <w:noProof/>
                <w:webHidden/>
                <w:sz w:val="24"/>
                <w:szCs w:val="24"/>
              </w:rPr>
              <w:t>12</w:t>
            </w:r>
            <w:r w:rsidR="009A635C" w:rsidRPr="009A635C">
              <w:rPr>
                <w:rFonts w:ascii="Arial" w:hAnsi="Arial" w:cs="Arial"/>
                <w:noProof/>
                <w:webHidden/>
                <w:sz w:val="24"/>
                <w:szCs w:val="24"/>
              </w:rPr>
              <w:fldChar w:fldCharType="end"/>
            </w:r>
          </w:hyperlink>
        </w:p>
        <w:p w14:paraId="068F5C88" w14:textId="2BB45417" w:rsidR="009A635C" w:rsidRPr="009A635C" w:rsidRDefault="00A45A32" w:rsidP="009A635C">
          <w:pPr>
            <w:pStyle w:val="TOC2"/>
            <w:tabs>
              <w:tab w:val="right" w:leader="dot" w:pos="9350"/>
            </w:tabs>
            <w:spacing w:line="360" w:lineRule="auto"/>
            <w:rPr>
              <w:rFonts w:ascii="Arial" w:eastAsiaTheme="minorEastAsia" w:hAnsi="Arial" w:cs="Arial"/>
              <w:noProof/>
              <w:sz w:val="24"/>
              <w:szCs w:val="24"/>
            </w:rPr>
          </w:pPr>
          <w:hyperlink w:anchor="_Toc217260299" w:history="1">
            <w:r w:rsidR="009A635C" w:rsidRPr="009A635C">
              <w:rPr>
                <w:rStyle w:val="Hyperlink"/>
                <w:rFonts w:ascii="Arial" w:hAnsi="Arial" w:cs="Arial"/>
                <w:noProof/>
                <w:sz w:val="24"/>
                <w:szCs w:val="24"/>
              </w:rPr>
              <w:t>1.9 Strengths, weaknesses and risk outlook</w:t>
            </w:r>
            <w:r w:rsidR="009A635C" w:rsidRPr="009A635C">
              <w:rPr>
                <w:rFonts w:ascii="Arial" w:hAnsi="Arial" w:cs="Arial"/>
                <w:noProof/>
                <w:webHidden/>
                <w:sz w:val="24"/>
                <w:szCs w:val="24"/>
              </w:rPr>
              <w:tab/>
            </w:r>
            <w:r w:rsidR="009A635C" w:rsidRPr="009A635C">
              <w:rPr>
                <w:rFonts w:ascii="Arial" w:hAnsi="Arial" w:cs="Arial"/>
                <w:noProof/>
                <w:webHidden/>
                <w:sz w:val="24"/>
                <w:szCs w:val="24"/>
              </w:rPr>
              <w:fldChar w:fldCharType="begin"/>
            </w:r>
            <w:r w:rsidR="009A635C" w:rsidRPr="009A635C">
              <w:rPr>
                <w:rFonts w:ascii="Arial" w:hAnsi="Arial" w:cs="Arial"/>
                <w:noProof/>
                <w:webHidden/>
                <w:sz w:val="24"/>
                <w:szCs w:val="24"/>
              </w:rPr>
              <w:instrText xml:space="preserve"> PAGEREF _Toc217260299 \h </w:instrText>
            </w:r>
            <w:r w:rsidR="009A635C" w:rsidRPr="009A635C">
              <w:rPr>
                <w:rFonts w:ascii="Arial" w:hAnsi="Arial" w:cs="Arial"/>
                <w:noProof/>
                <w:webHidden/>
                <w:sz w:val="24"/>
                <w:szCs w:val="24"/>
              </w:rPr>
            </w:r>
            <w:r w:rsidR="009A635C" w:rsidRPr="009A635C">
              <w:rPr>
                <w:rFonts w:ascii="Arial" w:hAnsi="Arial" w:cs="Arial"/>
                <w:noProof/>
                <w:webHidden/>
                <w:sz w:val="24"/>
                <w:szCs w:val="24"/>
              </w:rPr>
              <w:fldChar w:fldCharType="separate"/>
            </w:r>
            <w:r w:rsidR="009A635C" w:rsidRPr="009A635C">
              <w:rPr>
                <w:rFonts w:ascii="Arial" w:hAnsi="Arial" w:cs="Arial"/>
                <w:noProof/>
                <w:webHidden/>
                <w:sz w:val="24"/>
                <w:szCs w:val="24"/>
              </w:rPr>
              <w:t>12</w:t>
            </w:r>
            <w:r w:rsidR="009A635C" w:rsidRPr="009A635C">
              <w:rPr>
                <w:rFonts w:ascii="Arial" w:hAnsi="Arial" w:cs="Arial"/>
                <w:noProof/>
                <w:webHidden/>
                <w:sz w:val="24"/>
                <w:szCs w:val="24"/>
              </w:rPr>
              <w:fldChar w:fldCharType="end"/>
            </w:r>
          </w:hyperlink>
        </w:p>
        <w:p w14:paraId="44DD7C63" w14:textId="2288906A" w:rsidR="009A635C" w:rsidRPr="009A635C" w:rsidRDefault="00A45A32" w:rsidP="009A635C">
          <w:pPr>
            <w:pStyle w:val="TOC1"/>
            <w:tabs>
              <w:tab w:val="right" w:leader="dot" w:pos="9350"/>
            </w:tabs>
            <w:spacing w:line="360" w:lineRule="auto"/>
            <w:rPr>
              <w:rFonts w:ascii="Arial" w:eastAsiaTheme="minorEastAsia" w:hAnsi="Arial" w:cs="Arial"/>
              <w:noProof/>
              <w:sz w:val="24"/>
              <w:szCs w:val="24"/>
            </w:rPr>
          </w:pPr>
          <w:hyperlink w:anchor="_Toc217260300" w:history="1">
            <w:r w:rsidR="009A635C" w:rsidRPr="009A635C">
              <w:rPr>
                <w:rStyle w:val="Hyperlink"/>
                <w:rFonts w:ascii="Arial" w:eastAsia="Times New Roman" w:hAnsi="Arial" w:cs="Arial"/>
                <w:noProof/>
                <w:sz w:val="24"/>
                <w:szCs w:val="24"/>
              </w:rPr>
              <w:t>2.0 Working Capital Management Analysis</w:t>
            </w:r>
            <w:r w:rsidR="009A635C" w:rsidRPr="009A635C">
              <w:rPr>
                <w:rFonts w:ascii="Arial" w:hAnsi="Arial" w:cs="Arial"/>
                <w:noProof/>
                <w:webHidden/>
                <w:sz w:val="24"/>
                <w:szCs w:val="24"/>
              </w:rPr>
              <w:tab/>
            </w:r>
            <w:r w:rsidR="009A635C" w:rsidRPr="009A635C">
              <w:rPr>
                <w:rFonts w:ascii="Arial" w:hAnsi="Arial" w:cs="Arial"/>
                <w:noProof/>
                <w:webHidden/>
                <w:sz w:val="24"/>
                <w:szCs w:val="24"/>
              </w:rPr>
              <w:fldChar w:fldCharType="begin"/>
            </w:r>
            <w:r w:rsidR="009A635C" w:rsidRPr="009A635C">
              <w:rPr>
                <w:rFonts w:ascii="Arial" w:hAnsi="Arial" w:cs="Arial"/>
                <w:noProof/>
                <w:webHidden/>
                <w:sz w:val="24"/>
                <w:szCs w:val="24"/>
              </w:rPr>
              <w:instrText xml:space="preserve"> PAGEREF _Toc217260300 \h </w:instrText>
            </w:r>
            <w:r w:rsidR="009A635C" w:rsidRPr="009A635C">
              <w:rPr>
                <w:rFonts w:ascii="Arial" w:hAnsi="Arial" w:cs="Arial"/>
                <w:noProof/>
                <w:webHidden/>
                <w:sz w:val="24"/>
                <w:szCs w:val="24"/>
              </w:rPr>
            </w:r>
            <w:r w:rsidR="009A635C" w:rsidRPr="009A635C">
              <w:rPr>
                <w:rFonts w:ascii="Arial" w:hAnsi="Arial" w:cs="Arial"/>
                <w:noProof/>
                <w:webHidden/>
                <w:sz w:val="24"/>
                <w:szCs w:val="24"/>
              </w:rPr>
              <w:fldChar w:fldCharType="separate"/>
            </w:r>
            <w:r w:rsidR="009A635C" w:rsidRPr="009A635C">
              <w:rPr>
                <w:rFonts w:ascii="Arial" w:hAnsi="Arial" w:cs="Arial"/>
                <w:noProof/>
                <w:webHidden/>
                <w:sz w:val="24"/>
                <w:szCs w:val="24"/>
              </w:rPr>
              <w:t>12</w:t>
            </w:r>
            <w:r w:rsidR="009A635C" w:rsidRPr="009A635C">
              <w:rPr>
                <w:rFonts w:ascii="Arial" w:hAnsi="Arial" w:cs="Arial"/>
                <w:noProof/>
                <w:webHidden/>
                <w:sz w:val="24"/>
                <w:szCs w:val="24"/>
              </w:rPr>
              <w:fldChar w:fldCharType="end"/>
            </w:r>
          </w:hyperlink>
        </w:p>
        <w:p w14:paraId="7FF9B788" w14:textId="05DA75EE" w:rsidR="009A635C" w:rsidRPr="009A635C" w:rsidRDefault="00A45A32" w:rsidP="009A635C">
          <w:pPr>
            <w:pStyle w:val="TOC2"/>
            <w:tabs>
              <w:tab w:val="right" w:leader="dot" w:pos="9350"/>
            </w:tabs>
            <w:spacing w:line="360" w:lineRule="auto"/>
            <w:rPr>
              <w:rFonts w:ascii="Arial" w:eastAsiaTheme="minorEastAsia" w:hAnsi="Arial" w:cs="Arial"/>
              <w:noProof/>
              <w:sz w:val="24"/>
              <w:szCs w:val="24"/>
            </w:rPr>
          </w:pPr>
          <w:hyperlink w:anchor="_Toc217260301" w:history="1">
            <w:r w:rsidR="009A635C" w:rsidRPr="009A635C">
              <w:rPr>
                <w:rStyle w:val="Hyperlink"/>
                <w:rFonts w:ascii="Arial" w:hAnsi="Arial" w:cs="Arial"/>
                <w:noProof/>
                <w:sz w:val="24"/>
                <w:szCs w:val="24"/>
              </w:rPr>
              <w:t>2.1 Evaluation of cash operating cycle</w:t>
            </w:r>
            <w:r w:rsidR="009A635C" w:rsidRPr="009A635C">
              <w:rPr>
                <w:rFonts w:ascii="Arial" w:hAnsi="Arial" w:cs="Arial"/>
                <w:noProof/>
                <w:webHidden/>
                <w:sz w:val="24"/>
                <w:szCs w:val="24"/>
              </w:rPr>
              <w:tab/>
            </w:r>
            <w:r w:rsidR="009A635C" w:rsidRPr="009A635C">
              <w:rPr>
                <w:rFonts w:ascii="Arial" w:hAnsi="Arial" w:cs="Arial"/>
                <w:noProof/>
                <w:webHidden/>
                <w:sz w:val="24"/>
                <w:szCs w:val="24"/>
              </w:rPr>
              <w:fldChar w:fldCharType="begin"/>
            </w:r>
            <w:r w:rsidR="009A635C" w:rsidRPr="009A635C">
              <w:rPr>
                <w:rFonts w:ascii="Arial" w:hAnsi="Arial" w:cs="Arial"/>
                <w:noProof/>
                <w:webHidden/>
                <w:sz w:val="24"/>
                <w:szCs w:val="24"/>
              </w:rPr>
              <w:instrText xml:space="preserve"> PAGEREF _Toc217260301 \h </w:instrText>
            </w:r>
            <w:r w:rsidR="009A635C" w:rsidRPr="009A635C">
              <w:rPr>
                <w:rFonts w:ascii="Arial" w:hAnsi="Arial" w:cs="Arial"/>
                <w:noProof/>
                <w:webHidden/>
                <w:sz w:val="24"/>
                <w:szCs w:val="24"/>
              </w:rPr>
            </w:r>
            <w:r w:rsidR="009A635C" w:rsidRPr="009A635C">
              <w:rPr>
                <w:rFonts w:ascii="Arial" w:hAnsi="Arial" w:cs="Arial"/>
                <w:noProof/>
                <w:webHidden/>
                <w:sz w:val="24"/>
                <w:szCs w:val="24"/>
              </w:rPr>
              <w:fldChar w:fldCharType="separate"/>
            </w:r>
            <w:r w:rsidR="009A635C" w:rsidRPr="009A635C">
              <w:rPr>
                <w:rFonts w:ascii="Arial" w:hAnsi="Arial" w:cs="Arial"/>
                <w:noProof/>
                <w:webHidden/>
                <w:sz w:val="24"/>
                <w:szCs w:val="24"/>
              </w:rPr>
              <w:t>12</w:t>
            </w:r>
            <w:r w:rsidR="009A635C" w:rsidRPr="009A635C">
              <w:rPr>
                <w:rFonts w:ascii="Arial" w:hAnsi="Arial" w:cs="Arial"/>
                <w:noProof/>
                <w:webHidden/>
                <w:sz w:val="24"/>
                <w:szCs w:val="24"/>
              </w:rPr>
              <w:fldChar w:fldCharType="end"/>
            </w:r>
          </w:hyperlink>
        </w:p>
        <w:p w14:paraId="2A02C6E2" w14:textId="5FD6E49F" w:rsidR="009A635C" w:rsidRPr="009A635C" w:rsidRDefault="00A45A32" w:rsidP="009A635C">
          <w:pPr>
            <w:pStyle w:val="TOC2"/>
            <w:tabs>
              <w:tab w:val="right" w:leader="dot" w:pos="9350"/>
            </w:tabs>
            <w:spacing w:line="360" w:lineRule="auto"/>
            <w:rPr>
              <w:rFonts w:ascii="Arial" w:eastAsiaTheme="minorEastAsia" w:hAnsi="Arial" w:cs="Arial"/>
              <w:noProof/>
              <w:sz w:val="24"/>
              <w:szCs w:val="24"/>
            </w:rPr>
          </w:pPr>
          <w:hyperlink w:anchor="_Toc217260302" w:history="1">
            <w:r w:rsidR="009A635C" w:rsidRPr="009A635C">
              <w:rPr>
                <w:rStyle w:val="Hyperlink"/>
                <w:rFonts w:ascii="Arial" w:hAnsi="Arial" w:cs="Arial"/>
                <w:noProof/>
                <w:sz w:val="24"/>
                <w:szCs w:val="24"/>
              </w:rPr>
              <w:t>2.2 Liquidity implications and operational risk implications.</w:t>
            </w:r>
            <w:r w:rsidR="009A635C" w:rsidRPr="009A635C">
              <w:rPr>
                <w:rFonts w:ascii="Arial" w:hAnsi="Arial" w:cs="Arial"/>
                <w:noProof/>
                <w:webHidden/>
                <w:sz w:val="24"/>
                <w:szCs w:val="24"/>
              </w:rPr>
              <w:tab/>
            </w:r>
            <w:r w:rsidR="009A635C" w:rsidRPr="009A635C">
              <w:rPr>
                <w:rFonts w:ascii="Arial" w:hAnsi="Arial" w:cs="Arial"/>
                <w:noProof/>
                <w:webHidden/>
                <w:sz w:val="24"/>
                <w:szCs w:val="24"/>
              </w:rPr>
              <w:fldChar w:fldCharType="begin"/>
            </w:r>
            <w:r w:rsidR="009A635C" w:rsidRPr="009A635C">
              <w:rPr>
                <w:rFonts w:ascii="Arial" w:hAnsi="Arial" w:cs="Arial"/>
                <w:noProof/>
                <w:webHidden/>
                <w:sz w:val="24"/>
                <w:szCs w:val="24"/>
              </w:rPr>
              <w:instrText xml:space="preserve"> PAGEREF _Toc217260302 \h </w:instrText>
            </w:r>
            <w:r w:rsidR="009A635C" w:rsidRPr="009A635C">
              <w:rPr>
                <w:rFonts w:ascii="Arial" w:hAnsi="Arial" w:cs="Arial"/>
                <w:noProof/>
                <w:webHidden/>
                <w:sz w:val="24"/>
                <w:szCs w:val="24"/>
              </w:rPr>
            </w:r>
            <w:r w:rsidR="009A635C" w:rsidRPr="009A635C">
              <w:rPr>
                <w:rFonts w:ascii="Arial" w:hAnsi="Arial" w:cs="Arial"/>
                <w:noProof/>
                <w:webHidden/>
                <w:sz w:val="24"/>
                <w:szCs w:val="24"/>
              </w:rPr>
              <w:fldChar w:fldCharType="separate"/>
            </w:r>
            <w:r w:rsidR="009A635C" w:rsidRPr="009A635C">
              <w:rPr>
                <w:rFonts w:ascii="Arial" w:hAnsi="Arial" w:cs="Arial"/>
                <w:noProof/>
                <w:webHidden/>
                <w:sz w:val="24"/>
                <w:szCs w:val="24"/>
              </w:rPr>
              <w:t>13</w:t>
            </w:r>
            <w:r w:rsidR="009A635C" w:rsidRPr="009A635C">
              <w:rPr>
                <w:rFonts w:ascii="Arial" w:hAnsi="Arial" w:cs="Arial"/>
                <w:noProof/>
                <w:webHidden/>
                <w:sz w:val="24"/>
                <w:szCs w:val="24"/>
              </w:rPr>
              <w:fldChar w:fldCharType="end"/>
            </w:r>
          </w:hyperlink>
        </w:p>
        <w:p w14:paraId="479483EC" w14:textId="2C2E62B4" w:rsidR="009A635C" w:rsidRPr="009A635C" w:rsidRDefault="00A45A32" w:rsidP="009A635C">
          <w:pPr>
            <w:pStyle w:val="TOC2"/>
            <w:tabs>
              <w:tab w:val="right" w:leader="dot" w:pos="9350"/>
            </w:tabs>
            <w:spacing w:line="360" w:lineRule="auto"/>
            <w:rPr>
              <w:rFonts w:ascii="Arial" w:eastAsiaTheme="minorEastAsia" w:hAnsi="Arial" w:cs="Arial"/>
              <w:noProof/>
              <w:sz w:val="24"/>
              <w:szCs w:val="24"/>
            </w:rPr>
          </w:pPr>
          <w:hyperlink w:anchor="_Toc217260303" w:history="1">
            <w:r w:rsidR="009A635C" w:rsidRPr="009A635C">
              <w:rPr>
                <w:rStyle w:val="Hyperlink"/>
                <w:rFonts w:ascii="Arial" w:hAnsi="Arial" w:cs="Arial"/>
                <w:noProof/>
                <w:sz w:val="24"/>
                <w:szCs w:val="24"/>
              </w:rPr>
              <w:t>2.3 Recommended reform strategies of working capital.</w:t>
            </w:r>
            <w:r w:rsidR="009A635C" w:rsidRPr="009A635C">
              <w:rPr>
                <w:rFonts w:ascii="Arial" w:hAnsi="Arial" w:cs="Arial"/>
                <w:noProof/>
                <w:webHidden/>
                <w:sz w:val="24"/>
                <w:szCs w:val="24"/>
              </w:rPr>
              <w:tab/>
            </w:r>
            <w:r w:rsidR="009A635C" w:rsidRPr="009A635C">
              <w:rPr>
                <w:rFonts w:ascii="Arial" w:hAnsi="Arial" w:cs="Arial"/>
                <w:noProof/>
                <w:webHidden/>
                <w:sz w:val="24"/>
                <w:szCs w:val="24"/>
              </w:rPr>
              <w:fldChar w:fldCharType="begin"/>
            </w:r>
            <w:r w:rsidR="009A635C" w:rsidRPr="009A635C">
              <w:rPr>
                <w:rFonts w:ascii="Arial" w:hAnsi="Arial" w:cs="Arial"/>
                <w:noProof/>
                <w:webHidden/>
                <w:sz w:val="24"/>
                <w:szCs w:val="24"/>
              </w:rPr>
              <w:instrText xml:space="preserve"> PAGEREF _Toc217260303 \h </w:instrText>
            </w:r>
            <w:r w:rsidR="009A635C" w:rsidRPr="009A635C">
              <w:rPr>
                <w:rFonts w:ascii="Arial" w:hAnsi="Arial" w:cs="Arial"/>
                <w:noProof/>
                <w:webHidden/>
                <w:sz w:val="24"/>
                <w:szCs w:val="24"/>
              </w:rPr>
            </w:r>
            <w:r w:rsidR="009A635C" w:rsidRPr="009A635C">
              <w:rPr>
                <w:rFonts w:ascii="Arial" w:hAnsi="Arial" w:cs="Arial"/>
                <w:noProof/>
                <w:webHidden/>
                <w:sz w:val="24"/>
                <w:szCs w:val="24"/>
              </w:rPr>
              <w:fldChar w:fldCharType="separate"/>
            </w:r>
            <w:r w:rsidR="009A635C" w:rsidRPr="009A635C">
              <w:rPr>
                <w:rFonts w:ascii="Arial" w:hAnsi="Arial" w:cs="Arial"/>
                <w:noProof/>
                <w:webHidden/>
                <w:sz w:val="24"/>
                <w:szCs w:val="24"/>
              </w:rPr>
              <w:t>13</w:t>
            </w:r>
            <w:r w:rsidR="009A635C" w:rsidRPr="009A635C">
              <w:rPr>
                <w:rFonts w:ascii="Arial" w:hAnsi="Arial" w:cs="Arial"/>
                <w:noProof/>
                <w:webHidden/>
                <w:sz w:val="24"/>
                <w:szCs w:val="24"/>
              </w:rPr>
              <w:fldChar w:fldCharType="end"/>
            </w:r>
          </w:hyperlink>
        </w:p>
        <w:p w14:paraId="2795DAF0" w14:textId="50C8BA46" w:rsidR="009A635C" w:rsidRPr="009A635C" w:rsidRDefault="00A45A32" w:rsidP="009A635C">
          <w:pPr>
            <w:pStyle w:val="TOC2"/>
            <w:tabs>
              <w:tab w:val="right" w:leader="dot" w:pos="9350"/>
            </w:tabs>
            <w:spacing w:line="360" w:lineRule="auto"/>
            <w:rPr>
              <w:rFonts w:ascii="Arial" w:eastAsiaTheme="minorEastAsia" w:hAnsi="Arial" w:cs="Arial"/>
              <w:noProof/>
              <w:sz w:val="24"/>
              <w:szCs w:val="24"/>
            </w:rPr>
          </w:pPr>
          <w:hyperlink w:anchor="_Toc217260304" w:history="1">
            <w:r w:rsidR="009A635C" w:rsidRPr="009A635C">
              <w:rPr>
                <w:rStyle w:val="Hyperlink"/>
                <w:rFonts w:ascii="Arial" w:hAnsi="Arial" w:cs="Arial"/>
                <w:noProof/>
                <w:sz w:val="24"/>
                <w:szCs w:val="24"/>
              </w:rPr>
              <w:t>2.4 Comparison of Short term and long-term financing options</w:t>
            </w:r>
            <w:r w:rsidR="009A635C" w:rsidRPr="009A635C">
              <w:rPr>
                <w:rFonts w:ascii="Arial" w:hAnsi="Arial" w:cs="Arial"/>
                <w:noProof/>
                <w:webHidden/>
                <w:sz w:val="24"/>
                <w:szCs w:val="24"/>
              </w:rPr>
              <w:tab/>
            </w:r>
            <w:r w:rsidR="009A635C" w:rsidRPr="009A635C">
              <w:rPr>
                <w:rFonts w:ascii="Arial" w:hAnsi="Arial" w:cs="Arial"/>
                <w:noProof/>
                <w:webHidden/>
                <w:sz w:val="24"/>
                <w:szCs w:val="24"/>
              </w:rPr>
              <w:fldChar w:fldCharType="begin"/>
            </w:r>
            <w:r w:rsidR="009A635C" w:rsidRPr="009A635C">
              <w:rPr>
                <w:rFonts w:ascii="Arial" w:hAnsi="Arial" w:cs="Arial"/>
                <w:noProof/>
                <w:webHidden/>
                <w:sz w:val="24"/>
                <w:szCs w:val="24"/>
              </w:rPr>
              <w:instrText xml:space="preserve"> PAGEREF _Toc217260304 \h </w:instrText>
            </w:r>
            <w:r w:rsidR="009A635C" w:rsidRPr="009A635C">
              <w:rPr>
                <w:rFonts w:ascii="Arial" w:hAnsi="Arial" w:cs="Arial"/>
                <w:noProof/>
                <w:webHidden/>
                <w:sz w:val="24"/>
                <w:szCs w:val="24"/>
              </w:rPr>
            </w:r>
            <w:r w:rsidR="009A635C" w:rsidRPr="009A635C">
              <w:rPr>
                <w:rFonts w:ascii="Arial" w:hAnsi="Arial" w:cs="Arial"/>
                <w:noProof/>
                <w:webHidden/>
                <w:sz w:val="24"/>
                <w:szCs w:val="24"/>
              </w:rPr>
              <w:fldChar w:fldCharType="separate"/>
            </w:r>
            <w:r w:rsidR="009A635C" w:rsidRPr="009A635C">
              <w:rPr>
                <w:rFonts w:ascii="Arial" w:hAnsi="Arial" w:cs="Arial"/>
                <w:noProof/>
                <w:webHidden/>
                <w:sz w:val="24"/>
                <w:szCs w:val="24"/>
              </w:rPr>
              <w:t>14</w:t>
            </w:r>
            <w:r w:rsidR="009A635C" w:rsidRPr="009A635C">
              <w:rPr>
                <w:rFonts w:ascii="Arial" w:hAnsi="Arial" w:cs="Arial"/>
                <w:noProof/>
                <w:webHidden/>
                <w:sz w:val="24"/>
                <w:szCs w:val="24"/>
              </w:rPr>
              <w:fldChar w:fldCharType="end"/>
            </w:r>
          </w:hyperlink>
        </w:p>
        <w:p w14:paraId="3AFCF9BC" w14:textId="2E18F8EF" w:rsidR="009A635C" w:rsidRPr="009A635C" w:rsidRDefault="00A45A32" w:rsidP="009A635C">
          <w:pPr>
            <w:pStyle w:val="TOC1"/>
            <w:tabs>
              <w:tab w:val="right" w:leader="dot" w:pos="9350"/>
            </w:tabs>
            <w:spacing w:line="360" w:lineRule="auto"/>
            <w:rPr>
              <w:rFonts w:ascii="Arial" w:eastAsiaTheme="minorEastAsia" w:hAnsi="Arial" w:cs="Arial"/>
              <w:noProof/>
              <w:sz w:val="24"/>
              <w:szCs w:val="24"/>
            </w:rPr>
          </w:pPr>
          <w:hyperlink w:anchor="_Toc217260305" w:history="1">
            <w:r w:rsidR="009A635C" w:rsidRPr="009A635C">
              <w:rPr>
                <w:rStyle w:val="Hyperlink"/>
                <w:rFonts w:ascii="Arial" w:hAnsi="Arial" w:cs="Arial"/>
                <w:noProof/>
                <w:sz w:val="24"/>
                <w:szCs w:val="24"/>
              </w:rPr>
              <w:t>3.0 Strategic Financial Restructuring Plan</w:t>
            </w:r>
            <w:r w:rsidR="009A635C" w:rsidRPr="009A635C">
              <w:rPr>
                <w:rFonts w:ascii="Arial" w:hAnsi="Arial" w:cs="Arial"/>
                <w:noProof/>
                <w:webHidden/>
                <w:sz w:val="24"/>
                <w:szCs w:val="24"/>
              </w:rPr>
              <w:tab/>
            </w:r>
            <w:r w:rsidR="009A635C" w:rsidRPr="009A635C">
              <w:rPr>
                <w:rFonts w:ascii="Arial" w:hAnsi="Arial" w:cs="Arial"/>
                <w:noProof/>
                <w:webHidden/>
                <w:sz w:val="24"/>
                <w:szCs w:val="24"/>
              </w:rPr>
              <w:fldChar w:fldCharType="begin"/>
            </w:r>
            <w:r w:rsidR="009A635C" w:rsidRPr="009A635C">
              <w:rPr>
                <w:rFonts w:ascii="Arial" w:hAnsi="Arial" w:cs="Arial"/>
                <w:noProof/>
                <w:webHidden/>
                <w:sz w:val="24"/>
                <w:szCs w:val="24"/>
              </w:rPr>
              <w:instrText xml:space="preserve"> PAGEREF _Toc217260305 \h </w:instrText>
            </w:r>
            <w:r w:rsidR="009A635C" w:rsidRPr="009A635C">
              <w:rPr>
                <w:rFonts w:ascii="Arial" w:hAnsi="Arial" w:cs="Arial"/>
                <w:noProof/>
                <w:webHidden/>
                <w:sz w:val="24"/>
                <w:szCs w:val="24"/>
              </w:rPr>
            </w:r>
            <w:r w:rsidR="009A635C" w:rsidRPr="009A635C">
              <w:rPr>
                <w:rFonts w:ascii="Arial" w:hAnsi="Arial" w:cs="Arial"/>
                <w:noProof/>
                <w:webHidden/>
                <w:sz w:val="24"/>
                <w:szCs w:val="24"/>
              </w:rPr>
              <w:fldChar w:fldCharType="separate"/>
            </w:r>
            <w:r w:rsidR="009A635C" w:rsidRPr="009A635C">
              <w:rPr>
                <w:rFonts w:ascii="Arial" w:hAnsi="Arial" w:cs="Arial"/>
                <w:noProof/>
                <w:webHidden/>
                <w:sz w:val="24"/>
                <w:szCs w:val="24"/>
              </w:rPr>
              <w:t>14</w:t>
            </w:r>
            <w:r w:rsidR="009A635C" w:rsidRPr="009A635C">
              <w:rPr>
                <w:rFonts w:ascii="Arial" w:hAnsi="Arial" w:cs="Arial"/>
                <w:noProof/>
                <w:webHidden/>
                <w:sz w:val="24"/>
                <w:szCs w:val="24"/>
              </w:rPr>
              <w:fldChar w:fldCharType="end"/>
            </w:r>
          </w:hyperlink>
        </w:p>
        <w:p w14:paraId="16058541" w14:textId="344BD258" w:rsidR="009A635C" w:rsidRPr="009A635C" w:rsidRDefault="00A45A32" w:rsidP="009A635C">
          <w:pPr>
            <w:pStyle w:val="TOC2"/>
            <w:tabs>
              <w:tab w:val="right" w:leader="dot" w:pos="9350"/>
            </w:tabs>
            <w:spacing w:line="360" w:lineRule="auto"/>
            <w:rPr>
              <w:rFonts w:ascii="Arial" w:eastAsiaTheme="minorEastAsia" w:hAnsi="Arial" w:cs="Arial"/>
              <w:noProof/>
              <w:sz w:val="24"/>
              <w:szCs w:val="24"/>
            </w:rPr>
          </w:pPr>
          <w:hyperlink w:anchor="_Toc217260306" w:history="1">
            <w:r w:rsidR="009A635C" w:rsidRPr="009A635C">
              <w:rPr>
                <w:rStyle w:val="Hyperlink"/>
                <w:rFonts w:ascii="Arial" w:hAnsi="Arial" w:cs="Arial"/>
                <w:noProof/>
                <w:sz w:val="24"/>
                <w:szCs w:val="24"/>
              </w:rPr>
              <w:t>3.1 Objectives and constraints</w:t>
            </w:r>
            <w:r w:rsidR="009A635C" w:rsidRPr="009A635C">
              <w:rPr>
                <w:rFonts w:ascii="Arial" w:hAnsi="Arial" w:cs="Arial"/>
                <w:noProof/>
                <w:webHidden/>
                <w:sz w:val="24"/>
                <w:szCs w:val="24"/>
              </w:rPr>
              <w:tab/>
            </w:r>
            <w:r w:rsidR="009A635C" w:rsidRPr="009A635C">
              <w:rPr>
                <w:rFonts w:ascii="Arial" w:hAnsi="Arial" w:cs="Arial"/>
                <w:noProof/>
                <w:webHidden/>
                <w:sz w:val="24"/>
                <w:szCs w:val="24"/>
              </w:rPr>
              <w:fldChar w:fldCharType="begin"/>
            </w:r>
            <w:r w:rsidR="009A635C" w:rsidRPr="009A635C">
              <w:rPr>
                <w:rFonts w:ascii="Arial" w:hAnsi="Arial" w:cs="Arial"/>
                <w:noProof/>
                <w:webHidden/>
                <w:sz w:val="24"/>
                <w:szCs w:val="24"/>
              </w:rPr>
              <w:instrText xml:space="preserve"> PAGEREF _Toc217260306 \h </w:instrText>
            </w:r>
            <w:r w:rsidR="009A635C" w:rsidRPr="009A635C">
              <w:rPr>
                <w:rFonts w:ascii="Arial" w:hAnsi="Arial" w:cs="Arial"/>
                <w:noProof/>
                <w:webHidden/>
                <w:sz w:val="24"/>
                <w:szCs w:val="24"/>
              </w:rPr>
            </w:r>
            <w:r w:rsidR="009A635C" w:rsidRPr="009A635C">
              <w:rPr>
                <w:rFonts w:ascii="Arial" w:hAnsi="Arial" w:cs="Arial"/>
                <w:noProof/>
                <w:webHidden/>
                <w:sz w:val="24"/>
                <w:szCs w:val="24"/>
              </w:rPr>
              <w:fldChar w:fldCharType="separate"/>
            </w:r>
            <w:r w:rsidR="009A635C" w:rsidRPr="009A635C">
              <w:rPr>
                <w:rFonts w:ascii="Arial" w:hAnsi="Arial" w:cs="Arial"/>
                <w:noProof/>
                <w:webHidden/>
                <w:sz w:val="24"/>
                <w:szCs w:val="24"/>
              </w:rPr>
              <w:t>15</w:t>
            </w:r>
            <w:r w:rsidR="009A635C" w:rsidRPr="009A635C">
              <w:rPr>
                <w:rFonts w:ascii="Arial" w:hAnsi="Arial" w:cs="Arial"/>
                <w:noProof/>
                <w:webHidden/>
                <w:sz w:val="24"/>
                <w:szCs w:val="24"/>
              </w:rPr>
              <w:fldChar w:fldCharType="end"/>
            </w:r>
          </w:hyperlink>
        </w:p>
        <w:p w14:paraId="6CD5CDED" w14:textId="35C9AB7E" w:rsidR="009A635C" w:rsidRPr="009A635C" w:rsidRDefault="00A45A32" w:rsidP="009A635C">
          <w:pPr>
            <w:pStyle w:val="TOC2"/>
            <w:tabs>
              <w:tab w:val="right" w:leader="dot" w:pos="9350"/>
            </w:tabs>
            <w:spacing w:line="360" w:lineRule="auto"/>
            <w:rPr>
              <w:rFonts w:ascii="Arial" w:eastAsiaTheme="minorEastAsia" w:hAnsi="Arial" w:cs="Arial"/>
              <w:noProof/>
              <w:sz w:val="24"/>
              <w:szCs w:val="24"/>
            </w:rPr>
          </w:pPr>
          <w:hyperlink w:anchor="_Toc217260307" w:history="1">
            <w:r w:rsidR="009A635C" w:rsidRPr="009A635C">
              <w:rPr>
                <w:rStyle w:val="Hyperlink"/>
                <w:rFonts w:ascii="Arial" w:hAnsi="Arial" w:cs="Arial"/>
                <w:noProof/>
                <w:sz w:val="24"/>
                <w:szCs w:val="24"/>
              </w:rPr>
              <w:t>3.2 Recommended restructuring options (prioritised)</w:t>
            </w:r>
            <w:r w:rsidR="009A635C" w:rsidRPr="009A635C">
              <w:rPr>
                <w:rFonts w:ascii="Arial" w:hAnsi="Arial" w:cs="Arial"/>
                <w:noProof/>
                <w:webHidden/>
                <w:sz w:val="24"/>
                <w:szCs w:val="24"/>
              </w:rPr>
              <w:tab/>
            </w:r>
            <w:r w:rsidR="009A635C" w:rsidRPr="009A635C">
              <w:rPr>
                <w:rFonts w:ascii="Arial" w:hAnsi="Arial" w:cs="Arial"/>
                <w:noProof/>
                <w:webHidden/>
                <w:sz w:val="24"/>
                <w:szCs w:val="24"/>
              </w:rPr>
              <w:fldChar w:fldCharType="begin"/>
            </w:r>
            <w:r w:rsidR="009A635C" w:rsidRPr="009A635C">
              <w:rPr>
                <w:rFonts w:ascii="Arial" w:hAnsi="Arial" w:cs="Arial"/>
                <w:noProof/>
                <w:webHidden/>
                <w:sz w:val="24"/>
                <w:szCs w:val="24"/>
              </w:rPr>
              <w:instrText xml:space="preserve"> PAGEREF _Toc217260307 \h </w:instrText>
            </w:r>
            <w:r w:rsidR="009A635C" w:rsidRPr="009A635C">
              <w:rPr>
                <w:rFonts w:ascii="Arial" w:hAnsi="Arial" w:cs="Arial"/>
                <w:noProof/>
                <w:webHidden/>
                <w:sz w:val="24"/>
                <w:szCs w:val="24"/>
              </w:rPr>
            </w:r>
            <w:r w:rsidR="009A635C" w:rsidRPr="009A635C">
              <w:rPr>
                <w:rFonts w:ascii="Arial" w:hAnsi="Arial" w:cs="Arial"/>
                <w:noProof/>
                <w:webHidden/>
                <w:sz w:val="24"/>
                <w:szCs w:val="24"/>
              </w:rPr>
              <w:fldChar w:fldCharType="separate"/>
            </w:r>
            <w:r w:rsidR="009A635C" w:rsidRPr="009A635C">
              <w:rPr>
                <w:rFonts w:ascii="Arial" w:hAnsi="Arial" w:cs="Arial"/>
                <w:noProof/>
                <w:webHidden/>
                <w:sz w:val="24"/>
                <w:szCs w:val="24"/>
              </w:rPr>
              <w:t>15</w:t>
            </w:r>
            <w:r w:rsidR="009A635C" w:rsidRPr="009A635C">
              <w:rPr>
                <w:rFonts w:ascii="Arial" w:hAnsi="Arial" w:cs="Arial"/>
                <w:noProof/>
                <w:webHidden/>
                <w:sz w:val="24"/>
                <w:szCs w:val="24"/>
              </w:rPr>
              <w:fldChar w:fldCharType="end"/>
            </w:r>
          </w:hyperlink>
        </w:p>
        <w:p w14:paraId="6149E998" w14:textId="0FAE392C" w:rsidR="009A635C" w:rsidRPr="009A635C" w:rsidRDefault="00A45A32" w:rsidP="009A635C">
          <w:pPr>
            <w:pStyle w:val="TOC2"/>
            <w:tabs>
              <w:tab w:val="right" w:leader="dot" w:pos="9350"/>
            </w:tabs>
            <w:spacing w:line="360" w:lineRule="auto"/>
            <w:rPr>
              <w:rFonts w:ascii="Arial" w:eastAsiaTheme="minorEastAsia" w:hAnsi="Arial" w:cs="Arial"/>
              <w:noProof/>
              <w:sz w:val="24"/>
              <w:szCs w:val="24"/>
            </w:rPr>
          </w:pPr>
          <w:hyperlink w:anchor="_Toc217260308" w:history="1">
            <w:r w:rsidR="009A635C" w:rsidRPr="009A635C">
              <w:rPr>
                <w:rStyle w:val="Hyperlink"/>
                <w:rFonts w:ascii="Arial" w:hAnsi="Arial" w:cs="Arial"/>
                <w:noProof/>
                <w:sz w:val="24"/>
                <w:szCs w:val="24"/>
              </w:rPr>
              <w:t>3.3 Evaluating impact on shareholder value, debt structure and operational flexibility</w:t>
            </w:r>
            <w:r w:rsidR="009A635C" w:rsidRPr="009A635C">
              <w:rPr>
                <w:rFonts w:ascii="Arial" w:hAnsi="Arial" w:cs="Arial"/>
                <w:noProof/>
                <w:webHidden/>
                <w:sz w:val="24"/>
                <w:szCs w:val="24"/>
              </w:rPr>
              <w:tab/>
            </w:r>
            <w:r w:rsidR="009A635C" w:rsidRPr="009A635C">
              <w:rPr>
                <w:rFonts w:ascii="Arial" w:hAnsi="Arial" w:cs="Arial"/>
                <w:noProof/>
                <w:webHidden/>
                <w:sz w:val="24"/>
                <w:szCs w:val="24"/>
              </w:rPr>
              <w:fldChar w:fldCharType="begin"/>
            </w:r>
            <w:r w:rsidR="009A635C" w:rsidRPr="009A635C">
              <w:rPr>
                <w:rFonts w:ascii="Arial" w:hAnsi="Arial" w:cs="Arial"/>
                <w:noProof/>
                <w:webHidden/>
                <w:sz w:val="24"/>
                <w:szCs w:val="24"/>
              </w:rPr>
              <w:instrText xml:space="preserve"> PAGEREF _Toc217260308 \h </w:instrText>
            </w:r>
            <w:r w:rsidR="009A635C" w:rsidRPr="009A635C">
              <w:rPr>
                <w:rFonts w:ascii="Arial" w:hAnsi="Arial" w:cs="Arial"/>
                <w:noProof/>
                <w:webHidden/>
                <w:sz w:val="24"/>
                <w:szCs w:val="24"/>
              </w:rPr>
            </w:r>
            <w:r w:rsidR="009A635C" w:rsidRPr="009A635C">
              <w:rPr>
                <w:rFonts w:ascii="Arial" w:hAnsi="Arial" w:cs="Arial"/>
                <w:noProof/>
                <w:webHidden/>
                <w:sz w:val="24"/>
                <w:szCs w:val="24"/>
              </w:rPr>
              <w:fldChar w:fldCharType="separate"/>
            </w:r>
            <w:r w:rsidR="009A635C" w:rsidRPr="009A635C">
              <w:rPr>
                <w:rFonts w:ascii="Arial" w:hAnsi="Arial" w:cs="Arial"/>
                <w:noProof/>
                <w:webHidden/>
                <w:sz w:val="24"/>
                <w:szCs w:val="24"/>
              </w:rPr>
              <w:t>17</w:t>
            </w:r>
            <w:r w:rsidR="009A635C" w:rsidRPr="009A635C">
              <w:rPr>
                <w:rFonts w:ascii="Arial" w:hAnsi="Arial" w:cs="Arial"/>
                <w:noProof/>
                <w:webHidden/>
                <w:sz w:val="24"/>
                <w:szCs w:val="24"/>
              </w:rPr>
              <w:fldChar w:fldCharType="end"/>
            </w:r>
          </w:hyperlink>
        </w:p>
        <w:p w14:paraId="6B9346A8" w14:textId="37C2397C" w:rsidR="009A635C" w:rsidRPr="009A635C" w:rsidRDefault="00A45A32" w:rsidP="009A635C">
          <w:pPr>
            <w:pStyle w:val="TOC2"/>
            <w:tabs>
              <w:tab w:val="right" w:leader="dot" w:pos="9350"/>
            </w:tabs>
            <w:spacing w:line="360" w:lineRule="auto"/>
            <w:rPr>
              <w:rFonts w:ascii="Arial" w:eastAsiaTheme="minorEastAsia" w:hAnsi="Arial" w:cs="Arial"/>
              <w:noProof/>
              <w:sz w:val="24"/>
              <w:szCs w:val="24"/>
            </w:rPr>
          </w:pPr>
          <w:hyperlink w:anchor="_Toc217260309" w:history="1">
            <w:r w:rsidR="009A635C" w:rsidRPr="009A635C">
              <w:rPr>
                <w:rStyle w:val="Hyperlink"/>
                <w:rFonts w:ascii="Arial" w:hAnsi="Arial" w:cs="Arial"/>
                <w:noProof/>
                <w:sz w:val="24"/>
                <w:szCs w:val="24"/>
              </w:rPr>
              <w:t>3.4 International and ethical implications</w:t>
            </w:r>
            <w:r w:rsidR="009A635C" w:rsidRPr="009A635C">
              <w:rPr>
                <w:rFonts w:ascii="Arial" w:hAnsi="Arial" w:cs="Arial"/>
                <w:noProof/>
                <w:webHidden/>
                <w:sz w:val="24"/>
                <w:szCs w:val="24"/>
              </w:rPr>
              <w:tab/>
            </w:r>
            <w:r w:rsidR="009A635C" w:rsidRPr="009A635C">
              <w:rPr>
                <w:rFonts w:ascii="Arial" w:hAnsi="Arial" w:cs="Arial"/>
                <w:noProof/>
                <w:webHidden/>
                <w:sz w:val="24"/>
                <w:szCs w:val="24"/>
              </w:rPr>
              <w:fldChar w:fldCharType="begin"/>
            </w:r>
            <w:r w:rsidR="009A635C" w:rsidRPr="009A635C">
              <w:rPr>
                <w:rFonts w:ascii="Arial" w:hAnsi="Arial" w:cs="Arial"/>
                <w:noProof/>
                <w:webHidden/>
                <w:sz w:val="24"/>
                <w:szCs w:val="24"/>
              </w:rPr>
              <w:instrText xml:space="preserve"> PAGEREF _Toc217260309 \h </w:instrText>
            </w:r>
            <w:r w:rsidR="009A635C" w:rsidRPr="009A635C">
              <w:rPr>
                <w:rFonts w:ascii="Arial" w:hAnsi="Arial" w:cs="Arial"/>
                <w:noProof/>
                <w:webHidden/>
                <w:sz w:val="24"/>
                <w:szCs w:val="24"/>
              </w:rPr>
            </w:r>
            <w:r w:rsidR="009A635C" w:rsidRPr="009A635C">
              <w:rPr>
                <w:rFonts w:ascii="Arial" w:hAnsi="Arial" w:cs="Arial"/>
                <w:noProof/>
                <w:webHidden/>
                <w:sz w:val="24"/>
                <w:szCs w:val="24"/>
              </w:rPr>
              <w:fldChar w:fldCharType="separate"/>
            </w:r>
            <w:r w:rsidR="009A635C" w:rsidRPr="009A635C">
              <w:rPr>
                <w:rFonts w:ascii="Arial" w:hAnsi="Arial" w:cs="Arial"/>
                <w:noProof/>
                <w:webHidden/>
                <w:sz w:val="24"/>
                <w:szCs w:val="24"/>
              </w:rPr>
              <w:t>18</w:t>
            </w:r>
            <w:r w:rsidR="009A635C" w:rsidRPr="009A635C">
              <w:rPr>
                <w:rFonts w:ascii="Arial" w:hAnsi="Arial" w:cs="Arial"/>
                <w:noProof/>
                <w:webHidden/>
                <w:sz w:val="24"/>
                <w:szCs w:val="24"/>
              </w:rPr>
              <w:fldChar w:fldCharType="end"/>
            </w:r>
          </w:hyperlink>
        </w:p>
        <w:p w14:paraId="0C0A7E17" w14:textId="1F688E24" w:rsidR="009A635C" w:rsidRPr="009A635C" w:rsidRDefault="00A45A32" w:rsidP="009A635C">
          <w:pPr>
            <w:pStyle w:val="TOC2"/>
            <w:tabs>
              <w:tab w:val="right" w:leader="dot" w:pos="9350"/>
            </w:tabs>
            <w:spacing w:line="360" w:lineRule="auto"/>
            <w:rPr>
              <w:rFonts w:ascii="Arial" w:eastAsiaTheme="minorEastAsia" w:hAnsi="Arial" w:cs="Arial"/>
              <w:noProof/>
              <w:sz w:val="24"/>
              <w:szCs w:val="24"/>
            </w:rPr>
          </w:pPr>
          <w:hyperlink w:anchor="_Toc217260310" w:history="1">
            <w:r w:rsidR="009A635C" w:rsidRPr="009A635C">
              <w:rPr>
                <w:rStyle w:val="Hyperlink"/>
                <w:rFonts w:ascii="Arial" w:hAnsi="Arial" w:cs="Arial"/>
                <w:noProof/>
                <w:sz w:val="24"/>
                <w:szCs w:val="24"/>
              </w:rPr>
              <w:t>3.5 Implementation roadmap and metrics</w:t>
            </w:r>
            <w:r w:rsidR="009A635C" w:rsidRPr="009A635C">
              <w:rPr>
                <w:rFonts w:ascii="Arial" w:hAnsi="Arial" w:cs="Arial"/>
                <w:noProof/>
                <w:webHidden/>
                <w:sz w:val="24"/>
                <w:szCs w:val="24"/>
              </w:rPr>
              <w:tab/>
            </w:r>
            <w:r w:rsidR="009A635C" w:rsidRPr="009A635C">
              <w:rPr>
                <w:rFonts w:ascii="Arial" w:hAnsi="Arial" w:cs="Arial"/>
                <w:noProof/>
                <w:webHidden/>
                <w:sz w:val="24"/>
                <w:szCs w:val="24"/>
              </w:rPr>
              <w:fldChar w:fldCharType="begin"/>
            </w:r>
            <w:r w:rsidR="009A635C" w:rsidRPr="009A635C">
              <w:rPr>
                <w:rFonts w:ascii="Arial" w:hAnsi="Arial" w:cs="Arial"/>
                <w:noProof/>
                <w:webHidden/>
                <w:sz w:val="24"/>
                <w:szCs w:val="24"/>
              </w:rPr>
              <w:instrText xml:space="preserve"> PAGEREF _Toc217260310 \h </w:instrText>
            </w:r>
            <w:r w:rsidR="009A635C" w:rsidRPr="009A635C">
              <w:rPr>
                <w:rFonts w:ascii="Arial" w:hAnsi="Arial" w:cs="Arial"/>
                <w:noProof/>
                <w:webHidden/>
                <w:sz w:val="24"/>
                <w:szCs w:val="24"/>
              </w:rPr>
            </w:r>
            <w:r w:rsidR="009A635C" w:rsidRPr="009A635C">
              <w:rPr>
                <w:rFonts w:ascii="Arial" w:hAnsi="Arial" w:cs="Arial"/>
                <w:noProof/>
                <w:webHidden/>
                <w:sz w:val="24"/>
                <w:szCs w:val="24"/>
              </w:rPr>
              <w:fldChar w:fldCharType="separate"/>
            </w:r>
            <w:r w:rsidR="009A635C" w:rsidRPr="009A635C">
              <w:rPr>
                <w:rFonts w:ascii="Arial" w:hAnsi="Arial" w:cs="Arial"/>
                <w:noProof/>
                <w:webHidden/>
                <w:sz w:val="24"/>
                <w:szCs w:val="24"/>
              </w:rPr>
              <w:t>18</w:t>
            </w:r>
            <w:r w:rsidR="009A635C" w:rsidRPr="009A635C">
              <w:rPr>
                <w:rFonts w:ascii="Arial" w:hAnsi="Arial" w:cs="Arial"/>
                <w:noProof/>
                <w:webHidden/>
                <w:sz w:val="24"/>
                <w:szCs w:val="24"/>
              </w:rPr>
              <w:fldChar w:fldCharType="end"/>
            </w:r>
          </w:hyperlink>
        </w:p>
        <w:p w14:paraId="0993F0EE" w14:textId="5E31FC64" w:rsidR="009A635C" w:rsidRPr="009A635C" w:rsidRDefault="00A45A32" w:rsidP="009A635C">
          <w:pPr>
            <w:pStyle w:val="TOC1"/>
            <w:tabs>
              <w:tab w:val="right" w:leader="dot" w:pos="9350"/>
            </w:tabs>
            <w:spacing w:line="360" w:lineRule="auto"/>
            <w:rPr>
              <w:rFonts w:ascii="Arial" w:eastAsiaTheme="minorEastAsia" w:hAnsi="Arial" w:cs="Arial"/>
              <w:noProof/>
              <w:sz w:val="24"/>
              <w:szCs w:val="24"/>
            </w:rPr>
          </w:pPr>
          <w:hyperlink w:anchor="_Toc217260311" w:history="1">
            <w:r w:rsidR="009A635C" w:rsidRPr="009A635C">
              <w:rPr>
                <w:rStyle w:val="Hyperlink"/>
                <w:rFonts w:ascii="Arial" w:hAnsi="Arial" w:cs="Arial"/>
                <w:noProof/>
                <w:sz w:val="24"/>
                <w:szCs w:val="24"/>
              </w:rPr>
              <w:t>4.0 Investment Appraisal and Capital Budgeting of General Electronics</w:t>
            </w:r>
            <w:r w:rsidR="009A635C" w:rsidRPr="009A635C">
              <w:rPr>
                <w:rFonts w:ascii="Arial" w:hAnsi="Arial" w:cs="Arial"/>
                <w:noProof/>
                <w:webHidden/>
                <w:sz w:val="24"/>
                <w:szCs w:val="24"/>
              </w:rPr>
              <w:tab/>
            </w:r>
            <w:r w:rsidR="009A635C" w:rsidRPr="009A635C">
              <w:rPr>
                <w:rFonts w:ascii="Arial" w:hAnsi="Arial" w:cs="Arial"/>
                <w:noProof/>
                <w:webHidden/>
                <w:sz w:val="24"/>
                <w:szCs w:val="24"/>
              </w:rPr>
              <w:fldChar w:fldCharType="begin"/>
            </w:r>
            <w:r w:rsidR="009A635C" w:rsidRPr="009A635C">
              <w:rPr>
                <w:rFonts w:ascii="Arial" w:hAnsi="Arial" w:cs="Arial"/>
                <w:noProof/>
                <w:webHidden/>
                <w:sz w:val="24"/>
                <w:szCs w:val="24"/>
              </w:rPr>
              <w:instrText xml:space="preserve"> PAGEREF _Toc217260311 \h </w:instrText>
            </w:r>
            <w:r w:rsidR="009A635C" w:rsidRPr="009A635C">
              <w:rPr>
                <w:rFonts w:ascii="Arial" w:hAnsi="Arial" w:cs="Arial"/>
                <w:noProof/>
                <w:webHidden/>
                <w:sz w:val="24"/>
                <w:szCs w:val="24"/>
              </w:rPr>
            </w:r>
            <w:r w:rsidR="009A635C" w:rsidRPr="009A635C">
              <w:rPr>
                <w:rFonts w:ascii="Arial" w:hAnsi="Arial" w:cs="Arial"/>
                <w:noProof/>
                <w:webHidden/>
                <w:sz w:val="24"/>
                <w:szCs w:val="24"/>
              </w:rPr>
              <w:fldChar w:fldCharType="separate"/>
            </w:r>
            <w:r w:rsidR="009A635C" w:rsidRPr="009A635C">
              <w:rPr>
                <w:rFonts w:ascii="Arial" w:hAnsi="Arial" w:cs="Arial"/>
                <w:noProof/>
                <w:webHidden/>
                <w:sz w:val="24"/>
                <w:szCs w:val="24"/>
              </w:rPr>
              <w:t>19</w:t>
            </w:r>
            <w:r w:rsidR="009A635C" w:rsidRPr="009A635C">
              <w:rPr>
                <w:rFonts w:ascii="Arial" w:hAnsi="Arial" w:cs="Arial"/>
                <w:noProof/>
                <w:webHidden/>
                <w:sz w:val="24"/>
                <w:szCs w:val="24"/>
              </w:rPr>
              <w:fldChar w:fldCharType="end"/>
            </w:r>
          </w:hyperlink>
        </w:p>
        <w:p w14:paraId="0B8E9343" w14:textId="2629F729" w:rsidR="009A635C" w:rsidRPr="009A635C" w:rsidRDefault="00A45A32" w:rsidP="009A635C">
          <w:pPr>
            <w:pStyle w:val="TOC2"/>
            <w:tabs>
              <w:tab w:val="right" w:leader="dot" w:pos="9350"/>
            </w:tabs>
            <w:spacing w:line="360" w:lineRule="auto"/>
            <w:rPr>
              <w:rFonts w:ascii="Arial" w:eastAsiaTheme="minorEastAsia" w:hAnsi="Arial" w:cs="Arial"/>
              <w:noProof/>
              <w:sz w:val="24"/>
              <w:szCs w:val="24"/>
            </w:rPr>
          </w:pPr>
          <w:hyperlink w:anchor="_Toc217260312" w:history="1">
            <w:r w:rsidR="009A635C" w:rsidRPr="009A635C">
              <w:rPr>
                <w:rStyle w:val="Hyperlink"/>
                <w:rFonts w:ascii="Arial" w:hAnsi="Arial" w:cs="Arial"/>
                <w:noProof/>
                <w:sz w:val="24"/>
                <w:szCs w:val="24"/>
              </w:rPr>
              <w:t>4.1 Project Details and Assumptions</w:t>
            </w:r>
            <w:r w:rsidR="009A635C" w:rsidRPr="009A635C">
              <w:rPr>
                <w:rFonts w:ascii="Arial" w:hAnsi="Arial" w:cs="Arial"/>
                <w:noProof/>
                <w:webHidden/>
                <w:sz w:val="24"/>
                <w:szCs w:val="24"/>
              </w:rPr>
              <w:tab/>
            </w:r>
            <w:r w:rsidR="009A635C" w:rsidRPr="009A635C">
              <w:rPr>
                <w:rFonts w:ascii="Arial" w:hAnsi="Arial" w:cs="Arial"/>
                <w:noProof/>
                <w:webHidden/>
                <w:sz w:val="24"/>
                <w:szCs w:val="24"/>
              </w:rPr>
              <w:fldChar w:fldCharType="begin"/>
            </w:r>
            <w:r w:rsidR="009A635C" w:rsidRPr="009A635C">
              <w:rPr>
                <w:rFonts w:ascii="Arial" w:hAnsi="Arial" w:cs="Arial"/>
                <w:noProof/>
                <w:webHidden/>
                <w:sz w:val="24"/>
                <w:szCs w:val="24"/>
              </w:rPr>
              <w:instrText xml:space="preserve"> PAGEREF _Toc217260312 \h </w:instrText>
            </w:r>
            <w:r w:rsidR="009A635C" w:rsidRPr="009A635C">
              <w:rPr>
                <w:rFonts w:ascii="Arial" w:hAnsi="Arial" w:cs="Arial"/>
                <w:noProof/>
                <w:webHidden/>
                <w:sz w:val="24"/>
                <w:szCs w:val="24"/>
              </w:rPr>
            </w:r>
            <w:r w:rsidR="009A635C" w:rsidRPr="009A635C">
              <w:rPr>
                <w:rFonts w:ascii="Arial" w:hAnsi="Arial" w:cs="Arial"/>
                <w:noProof/>
                <w:webHidden/>
                <w:sz w:val="24"/>
                <w:szCs w:val="24"/>
              </w:rPr>
              <w:fldChar w:fldCharType="separate"/>
            </w:r>
            <w:r w:rsidR="009A635C" w:rsidRPr="009A635C">
              <w:rPr>
                <w:rFonts w:ascii="Arial" w:hAnsi="Arial" w:cs="Arial"/>
                <w:noProof/>
                <w:webHidden/>
                <w:sz w:val="24"/>
                <w:szCs w:val="24"/>
              </w:rPr>
              <w:t>19</w:t>
            </w:r>
            <w:r w:rsidR="009A635C" w:rsidRPr="009A635C">
              <w:rPr>
                <w:rFonts w:ascii="Arial" w:hAnsi="Arial" w:cs="Arial"/>
                <w:noProof/>
                <w:webHidden/>
                <w:sz w:val="24"/>
                <w:szCs w:val="24"/>
              </w:rPr>
              <w:fldChar w:fldCharType="end"/>
            </w:r>
          </w:hyperlink>
        </w:p>
        <w:p w14:paraId="77B418AD" w14:textId="4472EE35" w:rsidR="009A635C" w:rsidRPr="009A635C" w:rsidRDefault="00A45A32" w:rsidP="009A635C">
          <w:pPr>
            <w:pStyle w:val="TOC2"/>
            <w:tabs>
              <w:tab w:val="right" w:leader="dot" w:pos="9350"/>
            </w:tabs>
            <w:spacing w:line="360" w:lineRule="auto"/>
            <w:rPr>
              <w:rFonts w:ascii="Arial" w:eastAsiaTheme="minorEastAsia" w:hAnsi="Arial" w:cs="Arial"/>
              <w:noProof/>
              <w:sz w:val="24"/>
              <w:szCs w:val="24"/>
            </w:rPr>
          </w:pPr>
          <w:hyperlink w:anchor="_Toc217260313" w:history="1">
            <w:r w:rsidR="009A635C" w:rsidRPr="009A635C">
              <w:rPr>
                <w:rStyle w:val="Hyperlink"/>
                <w:rFonts w:ascii="Arial" w:hAnsi="Arial" w:cs="Arial"/>
                <w:noProof/>
                <w:sz w:val="24"/>
                <w:szCs w:val="24"/>
              </w:rPr>
              <w:t>4.2 Payback Period (PBP)</w:t>
            </w:r>
            <w:r w:rsidR="009A635C" w:rsidRPr="009A635C">
              <w:rPr>
                <w:rFonts w:ascii="Arial" w:hAnsi="Arial" w:cs="Arial"/>
                <w:noProof/>
                <w:webHidden/>
                <w:sz w:val="24"/>
                <w:szCs w:val="24"/>
              </w:rPr>
              <w:tab/>
            </w:r>
            <w:r w:rsidR="009A635C" w:rsidRPr="009A635C">
              <w:rPr>
                <w:rFonts w:ascii="Arial" w:hAnsi="Arial" w:cs="Arial"/>
                <w:noProof/>
                <w:webHidden/>
                <w:sz w:val="24"/>
                <w:szCs w:val="24"/>
              </w:rPr>
              <w:fldChar w:fldCharType="begin"/>
            </w:r>
            <w:r w:rsidR="009A635C" w:rsidRPr="009A635C">
              <w:rPr>
                <w:rFonts w:ascii="Arial" w:hAnsi="Arial" w:cs="Arial"/>
                <w:noProof/>
                <w:webHidden/>
                <w:sz w:val="24"/>
                <w:szCs w:val="24"/>
              </w:rPr>
              <w:instrText xml:space="preserve"> PAGEREF _Toc217260313 \h </w:instrText>
            </w:r>
            <w:r w:rsidR="009A635C" w:rsidRPr="009A635C">
              <w:rPr>
                <w:rFonts w:ascii="Arial" w:hAnsi="Arial" w:cs="Arial"/>
                <w:noProof/>
                <w:webHidden/>
                <w:sz w:val="24"/>
                <w:szCs w:val="24"/>
              </w:rPr>
            </w:r>
            <w:r w:rsidR="009A635C" w:rsidRPr="009A635C">
              <w:rPr>
                <w:rFonts w:ascii="Arial" w:hAnsi="Arial" w:cs="Arial"/>
                <w:noProof/>
                <w:webHidden/>
                <w:sz w:val="24"/>
                <w:szCs w:val="24"/>
              </w:rPr>
              <w:fldChar w:fldCharType="separate"/>
            </w:r>
            <w:r w:rsidR="009A635C" w:rsidRPr="009A635C">
              <w:rPr>
                <w:rFonts w:ascii="Arial" w:hAnsi="Arial" w:cs="Arial"/>
                <w:noProof/>
                <w:webHidden/>
                <w:sz w:val="24"/>
                <w:szCs w:val="24"/>
              </w:rPr>
              <w:t>19</w:t>
            </w:r>
            <w:r w:rsidR="009A635C" w:rsidRPr="009A635C">
              <w:rPr>
                <w:rFonts w:ascii="Arial" w:hAnsi="Arial" w:cs="Arial"/>
                <w:noProof/>
                <w:webHidden/>
                <w:sz w:val="24"/>
                <w:szCs w:val="24"/>
              </w:rPr>
              <w:fldChar w:fldCharType="end"/>
            </w:r>
          </w:hyperlink>
        </w:p>
        <w:p w14:paraId="53238C8C" w14:textId="439F0A59" w:rsidR="009A635C" w:rsidRPr="009A635C" w:rsidRDefault="00A45A32" w:rsidP="009A635C">
          <w:pPr>
            <w:pStyle w:val="TOC2"/>
            <w:tabs>
              <w:tab w:val="right" w:leader="dot" w:pos="9350"/>
            </w:tabs>
            <w:spacing w:line="360" w:lineRule="auto"/>
            <w:rPr>
              <w:rFonts w:ascii="Arial" w:eastAsiaTheme="minorEastAsia" w:hAnsi="Arial" w:cs="Arial"/>
              <w:noProof/>
              <w:sz w:val="24"/>
              <w:szCs w:val="24"/>
            </w:rPr>
          </w:pPr>
          <w:hyperlink w:anchor="_Toc217260314" w:history="1">
            <w:r w:rsidR="009A635C" w:rsidRPr="009A635C">
              <w:rPr>
                <w:rStyle w:val="Hyperlink"/>
                <w:rFonts w:ascii="Arial" w:hAnsi="Arial" w:cs="Arial"/>
                <w:noProof/>
                <w:sz w:val="24"/>
                <w:szCs w:val="24"/>
              </w:rPr>
              <w:t>4.3 Accounting rate of Return (ARR)</w:t>
            </w:r>
            <w:r w:rsidR="009A635C" w:rsidRPr="009A635C">
              <w:rPr>
                <w:rFonts w:ascii="Arial" w:hAnsi="Arial" w:cs="Arial"/>
                <w:noProof/>
                <w:webHidden/>
                <w:sz w:val="24"/>
                <w:szCs w:val="24"/>
              </w:rPr>
              <w:tab/>
            </w:r>
            <w:r w:rsidR="009A635C" w:rsidRPr="009A635C">
              <w:rPr>
                <w:rFonts w:ascii="Arial" w:hAnsi="Arial" w:cs="Arial"/>
                <w:noProof/>
                <w:webHidden/>
                <w:sz w:val="24"/>
                <w:szCs w:val="24"/>
              </w:rPr>
              <w:fldChar w:fldCharType="begin"/>
            </w:r>
            <w:r w:rsidR="009A635C" w:rsidRPr="009A635C">
              <w:rPr>
                <w:rFonts w:ascii="Arial" w:hAnsi="Arial" w:cs="Arial"/>
                <w:noProof/>
                <w:webHidden/>
                <w:sz w:val="24"/>
                <w:szCs w:val="24"/>
              </w:rPr>
              <w:instrText xml:space="preserve"> PAGEREF _Toc217260314 \h </w:instrText>
            </w:r>
            <w:r w:rsidR="009A635C" w:rsidRPr="009A635C">
              <w:rPr>
                <w:rFonts w:ascii="Arial" w:hAnsi="Arial" w:cs="Arial"/>
                <w:noProof/>
                <w:webHidden/>
                <w:sz w:val="24"/>
                <w:szCs w:val="24"/>
              </w:rPr>
            </w:r>
            <w:r w:rsidR="009A635C" w:rsidRPr="009A635C">
              <w:rPr>
                <w:rFonts w:ascii="Arial" w:hAnsi="Arial" w:cs="Arial"/>
                <w:noProof/>
                <w:webHidden/>
                <w:sz w:val="24"/>
                <w:szCs w:val="24"/>
              </w:rPr>
              <w:fldChar w:fldCharType="separate"/>
            </w:r>
            <w:r w:rsidR="009A635C" w:rsidRPr="009A635C">
              <w:rPr>
                <w:rFonts w:ascii="Arial" w:hAnsi="Arial" w:cs="Arial"/>
                <w:noProof/>
                <w:webHidden/>
                <w:sz w:val="24"/>
                <w:szCs w:val="24"/>
              </w:rPr>
              <w:t>20</w:t>
            </w:r>
            <w:r w:rsidR="009A635C" w:rsidRPr="009A635C">
              <w:rPr>
                <w:rFonts w:ascii="Arial" w:hAnsi="Arial" w:cs="Arial"/>
                <w:noProof/>
                <w:webHidden/>
                <w:sz w:val="24"/>
                <w:szCs w:val="24"/>
              </w:rPr>
              <w:fldChar w:fldCharType="end"/>
            </w:r>
          </w:hyperlink>
        </w:p>
        <w:p w14:paraId="15D3BFB0" w14:textId="77D4C9B8" w:rsidR="009A635C" w:rsidRPr="009A635C" w:rsidRDefault="00A45A32" w:rsidP="009A635C">
          <w:pPr>
            <w:pStyle w:val="TOC2"/>
            <w:tabs>
              <w:tab w:val="right" w:leader="dot" w:pos="9350"/>
            </w:tabs>
            <w:spacing w:line="360" w:lineRule="auto"/>
            <w:rPr>
              <w:rFonts w:ascii="Arial" w:eastAsiaTheme="minorEastAsia" w:hAnsi="Arial" w:cs="Arial"/>
              <w:noProof/>
              <w:sz w:val="24"/>
              <w:szCs w:val="24"/>
            </w:rPr>
          </w:pPr>
          <w:hyperlink w:anchor="_Toc217260315" w:history="1">
            <w:r w:rsidR="009A635C" w:rsidRPr="009A635C">
              <w:rPr>
                <w:rStyle w:val="Hyperlink"/>
                <w:rFonts w:ascii="Arial" w:hAnsi="Arial" w:cs="Arial"/>
                <w:noProof/>
                <w:sz w:val="24"/>
                <w:szCs w:val="24"/>
              </w:rPr>
              <w:t>4.4 Net Present Value (NPV)</w:t>
            </w:r>
            <w:r w:rsidR="009A635C" w:rsidRPr="009A635C">
              <w:rPr>
                <w:rFonts w:ascii="Arial" w:hAnsi="Arial" w:cs="Arial"/>
                <w:noProof/>
                <w:webHidden/>
                <w:sz w:val="24"/>
                <w:szCs w:val="24"/>
              </w:rPr>
              <w:tab/>
            </w:r>
            <w:r w:rsidR="009A635C" w:rsidRPr="009A635C">
              <w:rPr>
                <w:rFonts w:ascii="Arial" w:hAnsi="Arial" w:cs="Arial"/>
                <w:noProof/>
                <w:webHidden/>
                <w:sz w:val="24"/>
                <w:szCs w:val="24"/>
              </w:rPr>
              <w:fldChar w:fldCharType="begin"/>
            </w:r>
            <w:r w:rsidR="009A635C" w:rsidRPr="009A635C">
              <w:rPr>
                <w:rFonts w:ascii="Arial" w:hAnsi="Arial" w:cs="Arial"/>
                <w:noProof/>
                <w:webHidden/>
                <w:sz w:val="24"/>
                <w:szCs w:val="24"/>
              </w:rPr>
              <w:instrText xml:space="preserve"> PAGEREF _Toc217260315 \h </w:instrText>
            </w:r>
            <w:r w:rsidR="009A635C" w:rsidRPr="009A635C">
              <w:rPr>
                <w:rFonts w:ascii="Arial" w:hAnsi="Arial" w:cs="Arial"/>
                <w:noProof/>
                <w:webHidden/>
                <w:sz w:val="24"/>
                <w:szCs w:val="24"/>
              </w:rPr>
            </w:r>
            <w:r w:rsidR="009A635C" w:rsidRPr="009A635C">
              <w:rPr>
                <w:rFonts w:ascii="Arial" w:hAnsi="Arial" w:cs="Arial"/>
                <w:noProof/>
                <w:webHidden/>
                <w:sz w:val="24"/>
                <w:szCs w:val="24"/>
              </w:rPr>
              <w:fldChar w:fldCharType="separate"/>
            </w:r>
            <w:r w:rsidR="009A635C" w:rsidRPr="009A635C">
              <w:rPr>
                <w:rFonts w:ascii="Arial" w:hAnsi="Arial" w:cs="Arial"/>
                <w:noProof/>
                <w:webHidden/>
                <w:sz w:val="24"/>
                <w:szCs w:val="24"/>
              </w:rPr>
              <w:t>20</w:t>
            </w:r>
            <w:r w:rsidR="009A635C" w:rsidRPr="009A635C">
              <w:rPr>
                <w:rFonts w:ascii="Arial" w:hAnsi="Arial" w:cs="Arial"/>
                <w:noProof/>
                <w:webHidden/>
                <w:sz w:val="24"/>
                <w:szCs w:val="24"/>
              </w:rPr>
              <w:fldChar w:fldCharType="end"/>
            </w:r>
          </w:hyperlink>
        </w:p>
        <w:p w14:paraId="776D7AD5" w14:textId="4B1DE1CC" w:rsidR="009A635C" w:rsidRPr="009A635C" w:rsidRDefault="00A45A32" w:rsidP="009A635C">
          <w:pPr>
            <w:pStyle w:val="TOC2"/>
            <w:tabs>
              <w:tab w:val="right" w:leader="dot" w:pos="9350"/>
            </w:tabs>
            <w:spacing w:line="360" w:lineRule="auto"/>
            <w:rPr>
              <w:rFonts w:ascii="Arial" w:eastAsiaTheme="minorEastAsia" w:hAnsi="Arial" w:cs="Arial"/>
              <w:noProof/>
              <w:sz w:val="24"/>
              <w:szCs w:val="24"/>
            </w:rPr>
          </w:pPr>
          <w:hyperlink w:anchor="_Toc217260316" w:history="1">
            <w:r w:rsidR="009A635C" w:rsidRPr="009A635C">
              <w:rPr>
                <w:rStyle w:val="Hyperlink"/>
                <w:rFonts w:ascii="Arial" w:hAnsi="Arial" w:cs="Arial"/>
                <w:noProof/>
                <w:sz w:val="24"/>
                <w:szCs w:val="24"/>
              </w:rPr>
              <w:t>4.5 Profitability Index (PI)</w:t>
            </w:r>
            <w:r w:rsidR="009A635C" w:rsidRPr="009A635C">
              <w:rPr>
                <w:rFonts w:ascii="Arial" w:hAnsi="Arial" w:cs="Arial"/>
                <w:noProof/>
                <w:webHidden/>
                <w:sz w:val="24"/>
                <w:szCs w:val="24"/>
              </w:rPr>
              <w:tab/>
            </w:r>
            <w:r w:rsidR="009A635C" w:rsidRPr="009A635C">
              <w:rPr>
                <w:rFonts w:ascii="Arial" w:hAnsi="Arial" w:cs="Arial"/>
                <w:noProof/>
                <w:webHidden/>
                <w:sz w:val="24"/>
                <w:szCs w:val="24"/>
              </w:rPr>
              <w:fldChar w:fldCharType="begin"/>
            </w:r>
            <w:r w:rsidR="009A635C" w:rsidRPr="009A635C">
              <w:rPr>
                <w:rFonts w:ascii="Arial" w:hAnsi="Arial" w:cs="Arial"/>
                <w:noProof/>
                <w:webHidden/>
                <w:sz w:val="24"/>
                <w:szCs w:val="24"/>
              </w:rPr>
              <w:instrText xml:space="preserve"> PAGEREF _Toc217260316 \h </w:instrText>
            </w:r>
            <w:r w:rsidR="009A635C" w:rsidRPr="009A635C">
              <w:rPr>
                <w:rFonts w:ascii="Arial" w:hAnsi="Arial" w:cs="Arial"/>
                <w:noProof/>
                <w:webHidden/>
                <w:sz w:val="24"/>
                <w:szCs w:val="24"/>
              </w:rPr>
            </w:r>
            <w:r w:rsidR="009A635C" w:rsidRPr="009A635C">
              <w:rPr>
                <w:rFonts w:ascii="Arial" w:hAnsi="Arial" w:cs="Arial"/>
                <w:noProof/>
                <w:webHidden/>
                <w:sz w:val="24"/>
                <w:szCs w:val="24"/>
              </w:rPr>
              <w:fldChar w:fldCharType="separate"/>
            </w:r>
            <w:r w:rsidR="009A635C" w:rsidRPr="009A635C">
              <w:rPr>
                <w:rFonts w:ascii="Arial" w:hAnsi="Arial" w:cs="Arial"/>
                <w:noProof/>
                <w:webHidden/>
                <w:sz w:val="24"/>
                <w:szCs w:val="24"/>
              </w:rPr>
              <w:t>20</w:t>
            </w:r>
            <w:r w:rsidR="009A635C" w:rsidRPr="009A635C">
              <w:rPr>
                <w:rFonts w:ascii="Arial" w:hAnsi="Arial" w:cs="Arial"/>
                <w:noProof/>
                <w:webHidden/>
                <w:sz w:val="24"/>
                <w:szCs w:val="24"/>
              </w:rPr>
              <w:fldChar w:fldCharType="end"/>
            </w:r>
          </w:hyperlink>
        </w:p>
        <w:p w14:paraId="3E0E2A8D" w14:textId="37171D5F" w:rsidR="009A635C" w:rsidRPr="009A635C" w:rsidRDefault="00A45A32" w:rsidP="009A635C">
          <w:pPr>
            <w:pStyle w:val="TOC2"/>
            <w:tabs>
              <w:tab w:val="right" w:leader="dot" w:pos="9350"/>
            </w:tabs>
            <w:spacing w:line="360" w:lineRule="auto"/>
            <w:rPr>
              <w:rFonts w:ascii="Arial" w:eastAsiaTheme="minorEastAsia" w:hAnsi="Arial" w:cs="Arial"/>
              <w:noProof/>
              <w:sz w:val="24"/>
              <w:szCs w:val="24"/>
            </w:rPr>
          </w:pPr>
          <w:hyperlink w:anchor="_Toc217260317" w:history="1">
            <w:r w:rsidR="009A635C" w:rsidRPr="009A635C">
              <w:rPr>
                <w:rStyle w:val="Hyperlink"/>
                <w:rFonts w:ascii="Arial" w:hAnsi="Arial" w:cs="Arial"/>
                <w:noProof/>
                <w:sz w:val="24"/>
                <w:szCs w:val="24"/>
              </w:rPr>
              <w:t>4.6 Internal Rate of Return (IRR)</w:t>
            </w:r>
            <w:r w:rsidR="009A635C" w:rsidRPr="009A635C">
              <w:rPr>
                <w:rFonts w:ascii="Arial" w:hAnsi="Arial" w:cs="Arial"/>
                <w:noProof/>
                <w:webHidden/>
                <w:sz w:val="24"/>
                <w:szCs w:val="24"/>
              </w:rPr>
              <w:tab/>
            </w:r>
            <w:r w:rsidR="009A635C" w:rsidRPr="009A635C">
              <w:rPr>
                <w:rFonts w:ascii="Arial" w:hAnsi="Arial" w:cs="Arial"/>
                <w:noProof/>
                <w:webHidden/>
                <w:sz w:val="24"/>
                <w:szCs w:val="24"/>
              </w:rPr>
              <w:fldChar w:fldCharType="begin"/>
            </w:r>
            <w:r w:rsidR="009A635C" w:rsidRPr="009A635C">
              <w:rPr>
                <w:rFonts w:ascii="Arial" w:hAnsi="Arial" w:cs="Arial"/>
                <w:noProof/>
                <w:webHidden/>
                <w:sz w:val="24"/>
                <w:szCs w:val="24"/>
              </w:rPr>
              <w:instrText xml:space="preserve"> PAGEREF _Toc217260317 \h </w:instrText>
            </w:r>
            <w:r w:rsidR="009A635C" w:rsidRPr="009A635C">
              <w:rPr>
                <w:rFonts w:ascii="Arial" w:hAnsi="Arial" w:cs="Arial"/>
                <w:noProof/>
                <w:webHidden/>
                <w:sz w:val="24"/>
                <w:szCs w:val="24"/>
              </w:rPr>
            </w:r>
            <w:r w:rsidR="009A635C" w:rsidRPr="009A635C">
              <w:rPr>
                <w:rFonts w:ascii="Arial" w:hAnsi="Arial" w:cs="Arial"/>
                <w:noProof/>
                <w:webHidden/>
                <w:sz w:val="24"/>
                <w:szCs w:val="24"/>
              </w:rPr>
              <w:fldChar w:fldCharType="separate"/>
            </w:r>
            <w:r w:rsidR="009A635C" w:rsidRPr="009A635C">
              <w:rPr>
                <w:rFonts w:ascii="Arial" w:hAnsi="Arial" w:cs="Arial"/>
                <w:noProof/>
                <w:webHidden/>
                <w:sz w:val="24"/>
                <w:szCs w:val="24"/>
              </w:rPr>
              <w:t>21</w:t>
            </w:r>
            <w:r w:rsidR="009A635C" w:rsidRPr="009A635C">
              <w:rPr>
                <w:rFonts w:ascii="Arial" w:hAnsi="Arial" w:cs="Arial"/>
                <w:noProof/>
                <w:webHidden/>
                <w:sz w:val="24"/>
                <w:szCs w:val="24"/>
              </w:rPr>
              <w:fldChar w:fldCharType="end"/>
            </w:r>
          </w:hyperlink>
        </w:p>
        <w:p w14:paraId="40832FBA" w14:textId="47AA9E32" w:rsidR="009A635C" w:rsidRPr="009A635C" w:rsidRDefault="00A45A32" w:rsidP="009A635C">
          <w:pPr>
            <w:pStyle w:val="TOC2"/>
            <w:tabs>
              <w:tab w:val="right" w:leader="dot" w:pos="9350"/>
            </w:tabs>
            <w:spacing w:line="360" w:lineRule="auto"/>
            <w:rPr>
              <w:rFonts w:ascii="Arial" w:eastAsiaTheme="minorEastAsia" w:hAnsi="Arial" w:cs="Arial"/>
              <w:noProof/>
              <w:sz w:val="24"/>
              <w:szCs w:val="24"/>
            </w:rPr>
          </w:pPr>
          <w:hyperlink w:anchor="_Toc217260318" w:history="1">
            <w:r w:rsidR="009A635C" w:rsidRPr="009A635C">
              <w:rPr>
                <w:rStyle w:val="Hyperlink"/>
                <w:rFonts w:ascii="Arial" w:hAnsi="Arial" w:cs="Arial"/>
                <w:noProof/>
                <w:sz w:val="24"/>
                <w:szCs w:val="24"/>
              </w:rPr>
              <w:t>4.7 Capital Rationing and Project Selection</w:t>
            </w:r>
            <w:r w:rsidR="009A635C" w:rsidRPr="009A635C">
              <w:rPr>
                <w:rFonts w:ascii="Arial" w:hAnsi="Arial" w:cs="Arial"/>
                <w:noProof/>
                <w:webHidden/>
                <w:sz w:val="24"/>
                <w:szCs w:val="24"/>
              </w:rPr>
              <w:tab/>
            </w:r>
            <w:r w:rsidR="009A635C" w:rsidRPr="009A635C">
              <w:rPr>
                <w:rFonts w:ascii="Arial" w:hAnsi="Arial" w:cs="Arial"/>
                <w:noProof/>
                <w:webHidden/>
                <w:sz w:val="24"/>
                <w:szCs w:val="24"/>
              </w:rPr>
              <w:fldChar w:fldCharType="begin"/>
            </w:r>
            <w:r w:rsidR="009A635C" w:rsidRPr="009A635C">
              <w:rPr>
                <w:rFonts w:ascii="Arial" w:hAnsi="Arial" w:cs="Arial"/>
                <w:noProof/>
                <w:webHidden/>
                <w:sz w:val="24"/>
                <w:szCs w:val="24"/>
              </w:rPr>
              <w:instrText xml:space="preserve"> PAGEREF _Toc217260318 \h </w:instrText>
            </w:r>
            <w:r w:rsidR="009A635C" w:rsidRPr="009A635C">
              <w:rPr>
                <w:rFonts w:ascii="Arial" w:hAnsi="Arial" w:cs="Arial"/>
                <w:noProof/>
                <w:webHidden/>
                <w:sz w:val="24"/>
                <w:szCs w:val="24"/>
              </w:rPr>
            </w:r>
            <w:r w:rsidR="009A635C" w:rsidRPr="009A635C">
              <w:rPr>
                <w:rFonts w:ascii="Arial" w:hAnsi="Arial" w:cs="Arial"/>
                <w:noProof/>
                <w:webHidden/>
                <w:sz w:val="24"/>
                <w:szCs w:val="24"/>
              </w:rPr>
              <w:fldChar w:fldCharType="separate"/>
            </w:r>
            <w:r w:rsidR="009A635C" w:rsidRPr="009A635C">
              <w:rPr>
                <w:rFonts w:ascii="Arial" w:hAnsi="Arial" w:cs="Arial"/>
                <w:noProof/>
                <w:webHidden/>
                <w:sz w:val="24"/>
                <w:szCs w:val="24"/>
              </w:rPr>
              <w:t>21</w:t>
            </w:r>
            <w:r w:rsidR="009A635C" w:rsidRPr="009A635C">
              <w:rPr>
                <w:rFonts w:ascii="Arial" w:hAnsi="Arial" w:cs="Arial"/>
                <w:noProof/>
                <w:webHidden/>
                <w:sz w:val="24"/>
                <w:szCs w:val="24"/>
              </w:rPr>
              <w:fldChar w:fldCharType="end"/>
            </w:r>
          </w:hyperlink>
        </w:p>
        <w:p w14:paraId="03CAB782" w14:textId="39B07680" w:rsidR="009A635C" w:rsidRPr="009A635C" w:rsidRDefault="00A45A32" w:rsidP="009A635C">
          <w:pPr>
            <w:pStyle w:val="TOC2"/>
            <w:tabs>
              <w:tab w:val="right" w:leader="dot" w:pos="9350"/>
            </w:tabs>
            <w:spacing w:line="360" w:lineRule="auto"/>
            <w:rPr>
              <w:rFonts w:ascii="Arial" w:eastAsiaTheme="minorEastAsia" w:hAnsi="Arial" w:cs="Arial"/>
              <w:noProof/>
              <w:sz w:val="24"/>
              <w:szCs w:val="24"/>
            </w:rPr>
          </w:pPr>
          <w:hyperlink w:anchor="_Toc217260319" w:history="1">
            <w:r w:rsidR="009A635C" w:rsidRPr="009A635C">
              <w:rPr>
                <w:rStyle w:val="Hyperlink"/>
                <w:rFonts w:ascii="Arial" w:hAnsi="Arial" w:cs="Arial"/>
                <w:noProof/>
                <w:sz w:val="24"/>
                <w:szCs w:val="24"/>
              </w:rPr>
              <w:t>4.8 Justification Based on Financial Performance and Project Risk Characteristics</w:t>
            </w:r>
            <w:r w:rsidR="009A635C" w:rsidRPr="009A635C">
              <w:rPr>
                <w:rFonts w:ascii="Arial" w:hAnsi="Arial" w:cs="Arial"/>
                <w:noProof/>
                <w:webHidden/>
                <w:sz w:val="24"/>
                <w:szCs w:val="24"/>
              </w:rPr>
              <w:tab/>
            </w:r>
            <w:r w:rsidR="009A635C" w:rsidRPr="009A635C">
              <w:rPr>
                <w:rFonts w:ascii="Arial" w:hAnsi="Arial" w:cs="Arial"/>
                <w:noProof/>
                <w:webHidden/>
                <w:sz w:val="24"/>
                <w:szCs w:val="24"/>
              </w:rPr>
              <w:fldChar w:fldCharType="begin"/>
            </w:r>
            <w:r w:rsidR="009A635C" w:rsidRPr="009A635C">
              <w:rPr>
                <w:rFonts w:ascii="Arial" w:hAnsi="Arial" w:cs="Arial"/>
                <w:noProof/>
                <w:webHidden/>
                <w:sz w:val="24"/>
                <w:szCs w:val="24"/>
              </w:rPr>
              <w:instrText xml:space="preserve"> PAGEREF _Toc217260319 \h </w:instrText>
            </w:r>
            <w:r w:rsidR="009A635C" w:rsidRPr="009A635C">
              <w:rPr>
                <w:rFonts w:ascii="Arial" w:hAnsi="Arial" w:cs="Arial"/>
                <w:noProof/>
                <w:webHidden/>
                <w:sz w:val="24"/>
                <w:szCs w:val="24"/>
              </w:rPr>
            </w:r>
            <w:r w:rsidR="009A635C" w:rsidRPr="009A635C">
              <w:rPr>
                <w:rFonts w:ascii="Arial" w:hAnsi="Arial" w:cs="Arial"/>
                <w:noProof/>
                <w:webHidden/>
                <w:sz w:val="24"/>
                <w:szCs w:val="24"/>
              </w:rPr>
              <w:fldChar w:fldCharType="separate"/>
            </w:r>
            <w:r w:rsidR="009A635C" w:rsidRPr="009A635C">
              <w:rPr>
                <w:rFonts w:ascii="Arial" w:hAnsi="Arial" w:cs="Arial"/>
                <w:noProof/>
                <w:webHidden/>
                <w:sz w:val="24"/>
                <w:szCs w:val="24"/>
              </w:rPr>
              <w:t>21</w:t>
            </w:r>
            <w:r w:rsidR="009A635C" w:rsidRPr="009A635C">
              <w:rPr>
                <w:rFonts w:ascii="Arial" w:hAnsi="Arial" w:cs="Arial"/>
                <w:noProof/>
                <w:webHidden/>
                <w:sz w:val="24"/>
                <w:szCs w:val="24"/>
              </w:rPr>
              <w:fldChar w:fldCharType="end"/>
            </w:r>
          </w:hyperlink>
        </w:p>
        <w:p w14:paraId="12EEADE7" w14:textId="01D23B95" w:rsidR="009A635C" w:rsidRPr="009A635C" w:rsidRDefault="00A45A32" w:rsidP="009A635C">
          <w:pPr>
            <w:pStyle w:val="TOC1"/>
            <w:tabs>
              <w:tab w:val="right" w:leader="dot" w:pos="9350"/>
            </w:tabs>
            <w:spacing w:line="360" w:lineRule="auto"/>
            <w:rPr>
              <w:rFonts w:ascii="Arial" w:eastAsiaTheme="minorEastAsia" w:hAnsi="Arial" w:cs="Arial"/>
              <w:noProof/>
              <w:sz w:val="24"/>
              <w:szCs w:val="24"/>
            </w:rPr>
          </w:pPr>
          <w:hyperlink w:anchor="_Toc217260320" w:history="1">
            <w:r w:rsidR="009A635C" w:rsidRPr="009A635C">
              <w:rPr>
                <w:rStyle w:val="Hyperlink"/>
                <w:rFonts w:ascii="Arial" w:hAnsi="Arial" w:cs="Arial"/>
                <w:noProof/>
                <w:sz w:val="24"/>
                <w:szCs w:val="24"/>
              </w:rPr>
              <w:t>5.0 Conclusion</w:t>
            </w:r>
            <w:r w:rsidR="009A635C" w:rsidRPr="009A635C">
              <w:rPr>
                <w:rFonts w:ascii="Arial" w:hAnsi="Arial" w:cs="Arial"/>
                <w:noProof/>
                <w:webHidden/>
                <w:sz w:val="24"/>
                <w:szCs w:val="24"/>
              </w:rPr>
              <w:tab/>
            </w:r>
            <w:r w:rsidR="009A635C" w:rsidRPr="009A635C">
              <w:rPr>
                <w:rFonts w:ascii="Arial" w:hAnsi="Arial" w:cs="Arial"/>
                <w:noProof/>
                <w:webHidden/>
                <w:sz w:val="24"/>
                <w:szCs w:val="24"/>
              </w:rPr>
              <w:fldChar w:fldCharType="begin"/>
            </w:r>
            <w:r w:rsidR="009A635C" w:rsidRPr="009A635C">
              <w:rPr>
                <w:rFonts w:ascii="Arial" w:hAnsi="Arial" w:cs="Arial"/>
                <w:noProof/>
                <w:webHidden/>
                <w:sz w:val="24"/>
                <w:szCs w:val="24"/>
              </w:rPr>
              <w:instrText xml:space="preserve"> PAGEREF _Toc217260320 \h </w:instrText>
            </w:r>
            <w:r w:rsidR="009A635C" w:rsidRPr="009A635C">
              <w:rPr>
                <w:rFonts w:ascii="Arial" w:hAnsi="Arial" w:cs="Arial"/>
                <w:noProof/>
                <w:webHidden/>
                <w:sz w:val="24"/>
                <w:szCs w:val="24"/>
              </w:rPr>
            </w:r>
            <w:r w:rsidR="009A635C" w:rsidRPr="009A635C">
              <w:rPr>
                <w:rFonts w:ascii="Arial" w:hAnsi="Arial" w:cs="Arial"/>
                <w:noProof/>
                <w:webHidden/>
                <w:sz w:val="24"/>
                <w:szCs w:val="24"/>
              </w:rPr>
              <w:fldChar w:fldCharType="separate"/>
            </w:r>
            <w:r w:rsidR="009A635C" w:rsidRPr="009A635C">
              <w:rPr>
                <w:rFonts w:ascii="Arial" w:hAnsi="Arial" w:cs="Arial"/>
                <w:noProof/>
                <w:webHidden/>
                <w:sz w:val="24"/>
                <w:szCs w:val="24"/>
              </w:rPr>
              <w:t>22</w:t>
            </w:r>
            <w:r w:rsidR="009A635C" w:rsidRPr="009A635C">
              <w:rPr>
                <w:rFonts w:ascii="Arial" w:hAnsi="Arial" w:cs="Arial"/>
                <w:noProof/>
                <w:webHidden/>
                <w:sz w:val="24"/>
                <w:szCs w:val="24"/>
              </w:rPr>
              <w:fldChar w:fldCharType="end"/>
            </w:r>
          </w:hyperlink>
        </w:p>
        <w:p w14:paraId="699228D1" w14:textId="7ED9A9FC" w:rsidR="009A635C" w:rsidRPr="009A635C" w:rsidRDefault="00A45A32" w:rsidP="009A635C">
          <w:pPr>
            <w:pStyle w:val="TOC1"/>
            <w:tabs>
              <w:tab w:val="right" w:leader="dot" w:pos="9350"/>
            </w:tabs>
            <w:spacing w:line="360" w:lineRule="auto"/>
            <w:rPr>
              <w:rFonts w:ascii="Arial" w:eastAsiaTheme="minorEastAsia" w:hAnsi="Arial" w:cs="Arial"/>
              <w:noProof/>
              <w:sz w:val="24"/>
              <w:szCs w:val="24"/>
            </w:rPr>
          </w:pPr>
          <w:hyperlink w:anchor="_Toc217260321" w:history="1">
            <w:r w:rsidR="009A635C" w:rsidRPr="009A635C">
              <w:rPr>
                <w:rStyle w:val="Hyperlink"/>
                <w:rFonts w:ascii="Arial" w:hAnsi="Arial" w:cs="Arial"/>
                <w:noProof/>
                <w:sz w:val="24"/>
                <w:szCs w:val="24"/>
              </w:rPr>
              <w:t>6.0 References</w:t>
            </w:r>
            <w:r w:rsidR="009A635C" w:rsidRPr="009A635C">
              <w:rPr>
                <w:rFonts w:ascii="Arial" w:hAnsi="Arial" w:cs="Arial"/>
                <w:noProof/>
                <w:webHidden/>
                <w:sz w:val="24"/>
                <w:szCs w:val="24"/>
              </w:rPr>
              <w:tab/>
            </w:r>
            <w:r w:rsidR="009A635C" w:rsidRPr="009A635C">
              <w:rPr>
                <w:rFonts w:ascii="Arial" w:hAnsi="Arial" w:cs="Arial"/>
                <w:noProof/>
                <w:webHidden/>
                <w:sz w:val="24"/>
                <w:szCs w:val="24"/>
              </w:rPr>
              <w:fldChar w:fldCharType="begin"/>
            </w:r>
            <w:r w:rsidR="009A635C" w:rsidRPr="009A635C">
              <w:rPr>
                <w:rFonts w:ascii="Arial" w:hAnsi="Arial" w:cs="Arial"/>
                <w:noProof/>
                <w:webHidden/>
                <w:sz w:val="24"/>
                <w:szCs w:val="24"/>
              </w:rPr>
              <w:instrText xml:space="preserve"> PAGEREF _Toc217260321 \h </w:instrText>
            </w:r>
            <w:r w:rsidR="009A635C" w:rsidRPr="009A635C">
              <w:rPr>
                <w:rFonts w:ascii="Arial" w:hAnsi="Arial" w:cs="Arial"/>
                <w:noProof/>
                <w:webHidden/>
                <w:sz w:val="24"/>
                <w:szCs w:val="24"/>
              </w:rPr>
            </w:r>
            <w:r w:rsidR="009A635C" w:rsidRPr="009A635C">
              <w:rPr>
                <w:rFonts w:ascii="Arial" w:hAnsi="Arial" w:cs="Arial"/>
                <w:noProof/>
                <w:webHidden/>
                <w:sz w:val="24"/>
                <w:szCs w:val="24"/>
              </w:rPr>
              <w:fldChar w:fldCharType="separate"/>
            </w:r>
            <w:r w:rsidR="009A635C" w:rsidRPr="009A635C">
              <w:rPr>
                <w:rFonts w:ascii="Arial" w:hAnsi="Arial" w:cs="Arial"/>
                <w:noProof/>
                <w:webHidden/>
                <w:sz w:val="24"/>
                <w:szCs w:val="24"/>
              </w:rPr>
              <w:t>24</w:t>
            </w:r>
            <w:r w:rsidR="009A635C" w:rsidRPr="009A635C">
              <w:rPr>
                <w:rFonts w:ascii="Arial" w:hAnsi="Arial" w:cs="Arial"/>
                <w:noProof/>
                <w:webHidden/>
                <w:sz w:val="24"/>
                <w:szCs w:val="24"/>
              </w:rPr>
              <w:fldChar w:fldCharType="end"/>
            </w:r>
          </w:hyperlink>
        </w:p>
        <w:p w14:paraId="580CD23B" w14:textId="636C06C0" w:rsidR="00892F88" w:rsidRPr="00892F88" w:rsidRDefault="00A45A32" w:rsidP="009A635C">
          <w:pPr>
            <w:pStyle w:val="TOC1"/>
            <w:tabs>
              <w:tab w:val="right" w:leader="dot" w:pos="9350"/>
            </w:tabs>
            <w:spacing w:line="360" w:lineRule="auto"/>
            <w:rPr>
              <w:rFonts w:ascii="Arial" w:eastAsiaTheme="minorEastAsia" w:hAnsi="Arial" w:cs="Arial"/>
              <w:noProof/>
              <w:sz w:val="24"/>
              <w:szCs w:val="24"/>
            </w:rPr>
          </w:pPr>
          <w:hyperlink w:anchor="_Toc217260322" w:history="1">
            <w:r w:rsidR="009A635C" w:rsidRPr="009A635C">
              <w:rPr>
                <w:rStyle w:val="Hyperlink"/>
                <w:rFonts w:ascii="Arial" w:eastAsia="Times New Roman" w:hAnsi="Arial" w:cs="Arial"/>
                <w:noProof/>
                <w:sz w:val="24"/>
                <w:szCs w:val="24"/>
              </w:rPr>
              <w:t>7.0 Appendices</w:t>
            </w:r>
            <w:r w:rsidR="009A635C" w:rsidRPr="009A635C">
              <w:rPr>
                <w:rFonts w:ascii="Arial" w:hAnsi="Arial" w:cs="Arial"/>
                <w:noProof/>
                <w:webHidden/>
                <w:sz w:val="24"/>
                <w:szCs w:val="24"/>
              </w:rPr>
              <w:tab/>
            </w:r>
            <w:r w:rsidR="009A635C" w:rsidRPr="009A635C">
              <w:rPr>
                <w:rFonts w:ascii="Arial" w:hAnsi="Arial" w:cs="Arial"/>
                <w:noProof/>
                <w:webHidden/>
                <w:sz w:val="24"/>
                <w:szCs w:val="24"/>
              </w:rPr>
              <w:fldChar w:fldCharType="begin"/>
            </w:r>
            <w:r w:rsidR="009A635C" w:rsidRPr="009A635C">
              <w:rPr>
                <w:rFonts w:ascii="Arial" w:hAnsi="Arial" w:cs="Arial"/>
                <w:noProof/>
                <w:webHidden/>
                <w:sz w:val="24"/>
                <w:szCs w:val="24"/>
              </w:rPr>
              <w:instrText xml:space="preserve"> PAGEREF _Toc217260322 \h </w:instrText>
            </w:r>
            <w:r w:rsidR="009A635C" w:rsidRPr="009A635C">
              <w:rPr>
                <w:rFonts w:ascii="Arial" w:hAnsi="Arial" w:cs="Arial"/>
                <w:noProof/>
                <w:webHidden/>
                <w:sz w:val="24"/>
                <w:szCs w:val="24"/>
              </w:rPr>
            </w:r>
            <w:r w:rsidR="009A635C" w:rsidRPr="009A635C">
              <w:rPr>
                <w:rFonts w:ascii="Arial" w:hAnsi="Arial" w:cs="Arial"/>
                <w:noProof/>
                <w:webHidden/>
                <w:sz w:val="24"/>
                <w:szCs w:val="24"/>
              </w:rPr>
              <w:fldChar w:fldCharType="separate"/>
            </w:r>
            <w:r w:rsidR="009A635C" w:rsidRPr="009A635C">
              <w:rPr>
                <w:rFonts w:ascii="Arial" w:hAnsi="Arial" w:cs="Arial"/>
                <w:noProof/>
                <w:webHidden/>
                <w:sz w:val="24"/>
                <w:szCs w:val="24"/>
              </w:rPr>
              <w:t>27</w:t>
            </w:r>
            <w:r w:rsidR="009A635C" w:rsidRPr="009A635C">
              <w:rPr>
                <w:rFonts w:ascii="Arial" w:hAnsi="Arial" w:cs="Arial"/>
                <w:noProof/>
                <w:webHidden/>
                <w:sz w:val="24"/>
                <w:szCs w:val="24"/>
              </w:rPr>
              <w:fldChar w:fldCharType="end"/>
            </w:r>
          </w:hyperlink>
          <w:r w:rsidR="00892F88" w:rsidRPr="009A635C">
            <w:rPr>
              <w:rFonts w:ascii="Arial" w:hAnsi="Arial" w:cs="Arial"/>
              <w:b/>
              <w:bCs/>
              <w:noProof/>
              <w:sz w:val="24"/>
              <w:szCs w:val="24"/>
            </w:rPr>
            <w:fldChar w:fldCharType="end"/>
          </w:r>
        </w:p>
      </w:sdtContent>
    </w:sdt>
    <w:p w14:paraId="5EAA9BAD" w14:textId="76142E71" w:rsidR="00213D6E" w:rsidRPr="00922363" w:rsidRDefault="00213D6E" w:rsidP="00922363">
      <w:pPr>
        <w:spacing w:line="360" w:lineRule="auto"/>
        <w:jc w:val="center"/>
        <w:rPr>
          <w:rFonts w:ascii="Arial" w:eastAsia="Times New Roman" w:hAnsi="Arial" w:cs="Arial"/>
          <w:b/>
          <w:bCs/>
          <w:sz w:val="36"/>
          <w:szCs w:val="36"/>
        </w:rPr>
      </w:pPr>
      <w:r w:rsidRPr="00922363">
        <w:rPr>
          <w:rFonts w:ascii="Arial" w:hAnsi="Arial" w:cs="Arial"/>
        </w:rPr>
        <w:br w:type="page"/>
      </w:r>
    </w:p>
    <w:p w14:paraId="2F0A5FC2" w14:textId="091AA7F8" w:rsidR="00871311" w:rsidRPr="00922363" w:rsidRDefault="00871311" w:rsidP="00922363">
      <w:pPr>
        <w:pStyle w:val="Heading1"/>
        <w:spacing w:line="360" w:lineRule="auto"/>
        <w:rPr>
          <w:rFonts w:cs="Arial"/>
        </w:rPr>
      </w:pPr>
      <w:bookmarkStart w:id="0" w:name="_Toc217260289"/>
      <w:r w:rsidRPr="00922363">
        <w:rPr>
          <w:rFonts w:cs="Arial"/>
        </w:rPr>
        <w:lastRenderedPageBreak/>
        <w:t>Introduction</w:t>
      </w:r>
      <w:bookmarkEnd w:id="0"/>
      <w:r w:rsidRPr="00922363">
        <w:rPr>
          <w:rFonts w:cs="Arial"/>
        </w:rPr>
        <w:t xml:space="preserve"> </w:t>
      </w:r>
    </w:p>
    <w:p w14:paraId="2B7DBE45" w14:textId="294363FA" w:rsidR="00871311" w:rsidRPr="00922363" w:rsidRDefault="00871311" w:rsidP="00922363">
      <w:pPr>
        <w:pStyle w:val="NormalWeb"/>
        <w:spacing w:line="360" w:lineRule="auto"/>
        <w:jc w:val="both"/>
        <w:rPr>
          <w:rFonts w:ascii="Arial" w:hAnsi="Arial" w:cs="Arial"/>
        </w:rPr>
      </w:pPr>
      <w:r w:rsidRPr="00922363">
        <w:rPr>
          <w:rFonts w:ascii="Arial" w:hAnsi="Arial" w:cs="Arial"/>
        </w:rPr>
        <w:t xml:space="preserve">This report evaluates the financial condition and strategic recovery prospects of </w:t>
      </w:r>
      <w:r w:rsidRPr="00922363">
        <w:rPr>
          <w:rStyle w:val="Strong"/>
          <w:rFonts w:ascii="Arial" w:hAnsi="Arial" w:cs="Arial"/>
          <w:b w:val="0"/>
          <w:bCs w:val="0"/>
        </w:rPr>
        <w:t>General Electronics</w:t>
      </w:r>
      <w:r w:rsidRPr="00922363">
        <w:rPr>
          <w:rFonts w:ascii="Arial" w:hAnsi="Arial" w:cs="Arial"/>
        </w:rPr>
        <w:t xml:space="preserve"> over the period </w:t>
      </w:r>
      <w:r w:rsidRPr="00922363">
        <w:rPr>
          <w:rStyle w:val="Strong"/>
          <w:rFonts w:ascii="Arial" w:hAnsi="Arial" w:cs="Arial"/>
          <w:b w:val="0"/>
          <w:bCs w:val="0"/>
        </w:rPr>
        <w:t>2020–2024</w:t>
      </w:r>
      <w:r w:rsidRPr="00922363">
        <w:rPr>
          <w:rFonts w:ascii="Arial" w:hAnsi="Arial" w:cs="Arial"/>
        </w:rPr>
        <w:t xml:space="preserve"> using established financial management frameworks. The primary focus is to assess the firm’s financial health through ratio analysis, cash flow evaluation, working capital management, and corporate failure prediction, before developing informed strategic and investment recommendations. Financial statement analysis remains a cornerstone of corporate decision-making, as it enables stakeholders to diagnose profitability, liquidity, efficiency, and solvency risks using systematic and comparable measures (Atrill &amp; McLaney, 2017; Berk &amp; DeMarzo, 2020).</w:t>
      </w:r>
      <w:r w:rsidR="00213D6E" w:rsidRPr="00922363">
        <w:rPr>
          <w:rFonts w:ascii="Arial" w:hAnsi="Arial" w:cs="Arial"/>
        </w:rPr>
        <w:t xml:space="preserve"> </w:t>
      </w:r>
    </w:p>
    <w:p w14:paraId="01BD867D" w14:textId="77777777" w:rsidR="00871311" w:rsidRPr="00922363" w:rsidRDefault="00871311" w:rsidP="00922363">
      <w:pPr>
        <w:pStyle w:val="Heading2"/>
        <w:spacing w:line="360" w:lineRule="auto"/>
        <w:jc w:val="both"/>
        <w:rPr>
          <w:rFonts w:cs="Arial"/>
        </w:rPr>
      </w:pPr>
    </w:p>
    <w:p w14:paraId="4B22A435" w14:textId="77777777" w:rsidR="00871311" w:rsidRPr="00922363" w:rsidRDefault="00871311" w:rsidP="00922363">
      <w:pPr>
        <w:spacing w:line="360" w:lineRule="auto"/>
        <w:rPr>
          <w:rFonts w:ascii="Arial" w:eastAsia="Times New Roman" w:hAnsi="Arial" w:cs="Arial"/>
          <w:b/>
          <w:bCs/>
          <w:sz w:val="36"/>
          <w:szCs w:val="36"/>
        </w:rPr>
      </w:pPr>
      <w:r w:rsidRPr="00922363">
        <w:rPr>
          <w:rFonts w:ascii="Arial" w:hAnsi="Arial" w:cs="Arial"/>
        </w:rPr>
        <w:br w:type="page"/>
      </w:r>
    </w:p>
    <w:p w14:paraId="0629A664" w14:textId="5EA7BA16" w:rsidR="00B8703A" w:rsidRDefault="000702A1" w:rsidP="000702A1">
      <w:pPr>
        <w:pStyle w:val="Heading1"/>
      </w:pPr>
      <w:bookmarkStart w:id="1" w:name="_Toc217260290"/>
      <w:r>
        <w:lastRenderedPageBreak/>
        <w:t xml:space="preserve">1.0 </w:t>
      </w:r>
      <w:r w:rsidR="00B8703A" w:rsidRPr="00922363">
        <w:t xml:space="preserve">Financial </w:t>
      </w:r>
      <w:r w:rsidR="00B8703A" w:rsidRPr="000702A1">
        <w:t>Health</w:t>
      </w:r>
      <w:r w:rsidR="00B8703A" w:rsidRPr="00922363">
        <w:t xml:space="preserve"> Check of General Electronics (2020–2024)</w:t>
      </w:r>
      <w:bookmarkEnd w:id="1"/>
    </w:p>
    <w:p w14:paraId="6E87A4BF" w14:textId="77777777" w:rsidR="0011391F" w:rsidRPr="0035376E" w:rsidRDefault="0011391F" w:rsidP="0011391F">
      <w:pPr>
        <w:pStyle w:val="Heading2"/>
        <w:spacing w:line="360" w:lineRule="auto"/>
      </w:pPr>
      <w:bookmarkStart w:id="2" w:name="_Toc217260291"/>
      <w:r w:rsidRPr="0035376E">
        <w:t>1.1 Financial performance trends in totality</w:t>
      </w:r>
      <w:bookmarkEnd w:id="2"/>
    </w:p>
    <w:p w14:paraId="64C835AF" w14:textId="77777777" w:rsidR="0011391F" w:rsidRPr="0035376E" w:rsidRDefault="0011391F" w:rsidP="0011391F">
      <w:pPr>
        <w:spacing w:line="360" w:lineRule="auto"/>
        <w:jc w:val="both"/>
        <w:rPr>
          <w:rFonts w:ascii="Arial" w:hAnsi="Arial" w:cs="Arial"/>
          <w:sz w:val="24"/>
          <w:szCs w:val="24"/>
        </w:rPr>
      </w:pPr>
      <w:r w:rsidRPr="0035376E">
        <w:rPr>
          <w:rFonts w:ascii="Arial" w:hAnsi="Arial" w:cs="Arial"/>
          <w:sz w:val="24"/>
          <w:szCs w:val="24"/>
        </w:rPr>
        <w:t xml:space="preserve">General Electronics has seen a prolonged shortage in turnover in 202024, where net sales have decreased by £614,680 million to £394,879 million. This was a period of decline following a larger post-pandemic slowdown in the consumer electronics sector around the world. Although the period between 2020-2021 had been favorable as a result of demand during the pandemic due to home electronics, the demand then dwindled sharply over the following years due to inflationary pressures, increased interest rates, and declining discretionary consumer spending across the world. </w:t>
      </w:r>
    </w:p>
    <w:p w14:paraId="6FC075FB" w14:textId="77777777" w:rsidR="0011391F" w:rsidRPr="0035376E" w:rsidRDefault="0011391F" w:rsidP="0011391F">
      <w:pPr>
        <w:spacing w:line="360" w:lineRule="auto"/>
        <w:jc w:val="both"/>
        <w:rPr>
          <w:rFonts w:ascii="Arial" w:hAnsi="Arial" w:cs="Arial"/>
          <w:sz w:val="24"/>
          <w:szCs w:val="24"/>
        </w:rPr>
      </w:pPr>
      <w:r w:rsidRPr="0035376E">
        <w:rPr>
          <w:rFonts w:ascii="Arial" w:hAnsi="Arial" w:cs="Arial"/>
          <w:sz w:val="24"/>
          <w:szCs w:val="24"/>
        </w:rPr>
        <w:t>As it is depicted in Appendix A and Table A1, the gross profit margins were rather stable, and they ranged between 23.2 percent and 28.9 percent. This trend aligns with the industry leaders like Apple and Samsung that preserved stable gross margins by charging high prices, having a strong brand identity, and vertical integration (Apple Inc., 2024; Samsung Electronics, 2024). Nevertheless, comparatively relative gross margin resilience, the operating and net profitability became particularly poor since 2021 in General Electronics. The operating income became negative in 2023 and negative in 2024, which pointed to the lack of flexibility in internal cost structures to absorb decreasing revenues.</w:t>
      </w:r>
    </w:p>
    <w:p w14:paraId="457AFE3E" w14:textId="77777777" w:rsidR="0011391F" w:rsidRDefault="0011391F" w:rsidP="0011391F">
      <w:pPr>
        <w:spacing w:line="360" w:lineRule="auto"/>
        <w:jc w:val="both"/>
        <w:rPr>
          <w:rFonts w:ascii="Arial" w:hAnsi="Arial" w:cs="Arial"/>
          <w:sz w:val="24"/>
          <w:szCs w:val="24"/>
        </w:rPr>
      </w:pPr>
      <w:r w:rsidRPr="0035376E">
        <w:rPr>
          <w:rFonts w:ascii="Arial" w:hAnsi="Arial" w:cs="Arial"/>
          <w:sz w:val="24"/>
          <w:szCs w:val="24"/>
        </w:rPr>
        <w:t>The difference in the stable gross margins and the crashing operating margins raises a serious weakness within its internal framework. Competitors like Apple could manage their costs to ensure that their operating margins remained high despite the external demand conditions because of the scale, service revenue and cost discipline</w:t>
      </w:r>
      <w:r>
        <w:rPr>
          <w:rFonts w:ascii="Arial" w:hAnsi="Arial" w:cs="Arial"/>
          <w:sz w:val="24"/>
          <w:szCs w:val="24"/>
        </w:rPr>
        <w:t xml:space="preserve"> (</w:t>
      </w:r>
      <w:r>
        <w:rPr>
          <w:rFonts w:ascii="Arial" w:eastAsia="Times New Roman" w:hAnsi="Arial" w:cs="Arial"/>
          <w:sz w:val="24"/>
          <w:szCs w:val="24"/>
        </w:rPr>
        <w:t>Apple Inc, 2024)</w:t>
      </w:r>
      <w:r w:rsidRPr="0035376E">
        <w:rPr>
          <w:rFonts w:ascii="Arial" w:hAnsi="Arial" w:cs="Arial"/>
          <w:sz w:val="24"/>
          <w:szCs w:val="24"/>
        </w:rPr>
        <w:t>. On the contrary, the effects of external shocks were enhanced by the cost of overheads and restructuring expenses incurred by General Electronics, which proves that its financial health was quite interdependent with the external environment.</w:t>
      </w:r>
    </w:p>
    <w:p w14:paraId="1A786545" w14:textId="77777777" w:rsidR="0011391F" w:rsidRDefault="0011391F" w:rsidP="0011391F">
      <w:pPr>
        <w:spacing w:line="360" w:lineRule="auto"/>
        <w:jc w:val="both"/>
        <w:rPr>
          <w:rFonts w:ascii="Arial" w:hAnsi="Arial" w:cs="Arial"/>
          <w:sz w:val="24"/>
          <w:szCs w:val="24"/>
        </w:rPr>
      </w:pPr>
    </w:p>
    <w:p w14:paraId="17D1CC41" w14:textId="77777777" w:rsidR="0011391F" w:rsidRPr="0035376E" w:rsidRDefault="0011391F" w:rsidP="0011391F">
      <w:pPr>
        <w:spacing w:line="360" w:lineRule="auto"/>
        <w:jc w:val="both"/>
        <w:rPr>
          <w:rFonts w:ascii="Arial" w:hAnsi="Arial" w:cs="Arial"/>
          <w:sz w:val="24"/>
          <w:szCs w:val="24"/>
        </w:rPr>
      </w:pPr>
    </w:p>
    <w:p w14:paraId="66959854" w14:textId="77777777" w:rsidR="0011391F" w:rsidRPr="0035376E" w:rsidRDefault="0011391F" w:rsidP="0011391F">
      <w:pPr>
        <w:pStyle w:val="Heading2"/>
        <w:spacing w:line="360" w:lineRule="auto"/>
      </w:pPr>
      <w:bookmarkStart w:id="3" w:name="_Toc217260292"/>
      <w:r w:rsidRPr="0035376E">
        <w:lastRenderedPageBreak/>
        <w:t xml:space="preserve">1.2 Profitability analysis and inter-ratio </w:t>
      </w:r>
      <w:r>
        <w:t>relationships</w:t>
      </w:r>
      <w:bookmarkEnd w:id="3"/>
    </w:p>
    <w:p w14:paraId="1401A9A2" w14:textId="77777777" w:rsidR="0011391F" w:rsidRPr="0035376E" w:rsidRDefault="0011391F" w:rsidP="0011391F">
      <w:pPr>
        <w:spacing w:line="360" w:lineRule="auto"/>
        <w:jc w:val="both"/>
        <w:rPr>
          <w:rFonts w:ascii="Arial" w:hAnsi="Arial" w:cs="Arial"/>
          <w:sz w:val="24"/>
          <w:szCs w:val="24"/>
        </w:rPr>
      </w:pPr>
      <w:r w:rsidRPr="0035376E">
        <w:rPr>
          <w:rFonts w:ascii="Arial" w:hAnsi="Arial" w:cs="Arial"/>
          <w:sz w:val="24"/>
          <w:szCs w:val="24"/>
        </w:rPr>
        <w:t>The profitability ratios indicate the relationship between the cost structures, asset utilisation and capital structure and their interaction during the period. As in Appendix A, Table A1, gross profit margin was strong throughout which indicates effective prices and direct costs management. Nonetheless, operating profit margin dropped significantly to negative 20.29 percent in 2023 compared to 6.06 percent during the year 2020. Such a decrease is associated with increasing operating costs in comparison to the revenue, as well as labour costs, logistics inflation, and restructuring expenses, which accelerated in the post-pandemic inflationary time (Berk and DeMarzo, 2020).</w:t>
      </w:r>
    </w:p>
    <w:p w14:paraId="1ED55A89" w14:textId="77777777" w:rsidR="0011391F" w:rsidRPr="0035376E" w:rsidRDefault="0011391F" w:rsidP="0011391F">
      <w:pPr>
        <w:spacing w:line="360" w:lineRule="auto"/>
        <w:jc w:val="both"/>
        <w:rPr>
          <w:rFonts w:ascii="Arial" w:hAnsi="Arial" w:cs="Arial"/>
          <w:sz w:val="24"/>
          <w:szCs w:val="24"/>
        </w:rPr>
      </w:pPr>
      <w:r w:rsidRPr="0035376E">
        <w:rPr>
          <w:rFonts w:ascii="Arial" w:hAnsi="Arial" w:cs="Arial"/>
          <w:sz w:val="24"/>
          <w:szCs w:val="24"/>
        </w:rPr>
        <w:t>It impacted negatively the operating margin, and that is why net profit margin dropped to negative 6.09 percent in 2024, as compared to 6.28 percent in 2020. The connection between these ratios shows how bottom-line losses were a result of operating inefficiencies. The value of the Return on assets worsened to negative values with the closing of the year 2009 at 7.56 percent showing a decreasing profitability as it lowered the productivity of assets. The return on equity has declined at a more significant rate and is negative at 15.69 percent in 2024, due to the loss and increasing leverage. This relationship proves that the deteriorating operating profitability undermined asset efficiency as well as shareholder returns (Keown et al., 2024).</w:t>
      </w:r>
    </w:p>
    <w:p w14:paraId="79FEF376" w14:textId="77777777" w:rsidR="0011391F" w:rsidRPr="0035376E" w:rsidRDefault="0011391F" w:rsidP="0011391F">
      <w:pPr>
        <w:pStyle w:val="Heading2"/>
        <w:spacing w:line="360" w:lineRule="auto"/>
      </w:pPr>
      <w:bookmarkStart w:id="4" w:name="_Toc217260293"/>
      <w:r w:rsidRPr="0035376E">
        <w:t xml:space="preserve">1.3 </w:t>
      </w:r>
      <w:r>
        <w:t>L</w:t>
      </w:r>
      <w:r w:rsidRPr="0035376E">
        <w:t xml:space="preserve">iquidity </w:t>
      </w:r>
      <w:r>
        <w:t>ratio analysis</w:t>
      </w:r>
      <w:r w:rsidRPr="0035376E">
        <w:t xml:space="preserve"> and interrelationship with profitability</w:t>
      </w:r>
      <w:bookmarkEnd w:id="4"/>
    </w:p>
    <w:p w14:paraId="44CEF0D3" w14:textId="77777777" w:rsidR="0011391F" w:rsidRPr="0035376E" w:rsidRDefault="0011391F" w:rsidP="0011391F">
      <w:pPr>
        <w:spacing w:line="360" w:lineRule="auto"/>
        <w:jc w:val="both"/>
        <w:rPr>
          <w:rFonts w:ascii="Arial" w:hAnsi="Arial" w:cs="Arial"/>
          <w:sz w:val="24"/>
          <w:szCs w:val="24"/>
        </w:rPr>
      </w:pPr>
      <w:r w:rsidRPr="0035376E">
        <w:rPr>
          <w:rFonts w:ascii="Arial" w:hAnsi="Arial" w:cs="Arial"/>
          <w:sz w:val="24"/>
          <w:szCs w:val="24"/>
        </w:rPr>
        <w:t>The liquidity ratios also explain how the decrease in profitability was converted into temporary financial stress. The current ratio went down steadily as in the case of 1.82 to 1.53 as shown in Appendix A, Table A2. This negative movement is still above the line of minimum but it shows that the flexibility of the working capital went down since the losses continued to occur.</w:t>
      </w:r>
    </w:p>
    <w:p w14:paraId="51F9AB56" w14:textId="77777777" w:rsidR="0011391F" w:rsidRPr="0035376E" w:rsidRDefault="0011391F" w:rsidP="0011391F">
      <w:pPr>
        <w:spacing w:line="360" w:lineRule="auto"/>
        <w:jc w:val="both"/>
        <w:rPr>
          <w:rFonts w:ascii="Arial" w:hAnsi="Arial" w:cs="Arial"/>
          <w:sz w:val="24"/>
          <w:szCs w:val="24"/>
        </w:rPr>
      </w:pPr>
      <w:r w:rsidRPr="0035376E">
        <w:rPr>
          <w:rFonts w:ascii="Arial" w:hAnsi="Arial" w:cs="Arial"/>
          <w:sz w:val="24"/>
          <w:szCs w:val="24"/>
        </w:rPr>
        <w:t xml:space="preserve">The quick ratio dropped to 1.15 and slightly above 1.0, which implies that more and more use will be made of inventory to satisfy short-term requirements. This is especially dangerous in the consumer electronics industry, where technology is evolving fast, and high possibilities of inventory obsolescence could occur. The companies like Xiaomi and </w:t>
      </w:r>
      <w:r w:rsidRPr="0035376E">
        <w:rPr>
          <w:rFonts w:ascii="Arial" w:hAnsi="Arial" w:cs="Arial"/>
          <w:sz w:val="24"/>
          <w:szCs w:val="24"/>
        </w:rPr>
        <w:lastRenderedPageBreak/>
        <w:t>Samsung addressed this threat with the quicker turnover of inventory and aggressive pricing approaches when the demand declined (Samsung Electronics, 2024). The cash ratio decreased to 0.17, which indicates that the deteriorating profitability limited cash flow, thus undermining short-term liquidity reserves (Atrill &amp; McLaney, 2017).</w:t>
      </w:r>
    </w:p>
    <w:p w14:paraId="722EF687" w14:textId="77777777" w:rsidR="0011391F" w:rsidRPr="0035376E" w:rsidRDefault="0011391F" w:rsidP="0011391F">
      <w:pPr>
        <w:pStyle w:val="Heading2"/>
        <w:spacing w:line="360" w:lineRule="auto"/>
      </w:pPr>
      <w:bookmarkStart w:id="5" w:name="_Toc217260294"/>
      <w:r w:rsidRPr="0035376E">
        <w:t>1.4 Efficiency and working capital analysis</w:t>
      </w:r>
      <w:bookmarkEnd w:id="5"/>
      <w:r w:rsidRPr="0035376E">
        <w:t xml:space="preserve"> </w:t>
      </w:r>
    </w:p>
    <w:p w14:paraId="0EB495A7" w14:textId="77777777" w:rsidR="0011391F" w:rsidRPr="0035376E" w:rsidRDefault="0011391F" w:rsidP="0011391F">
      <w:pPr>
        <w:spacing w:line="360" w:lineRule="auto"/>
        <w:jc w:val="both"/>
        <w:rPr>
          <w:rFonts w:ascii="Arial" w:hAnsi="Arial" w:cs="Arial"/>
          <w:sz w:val="24"/>
          <w:szCs w:val="24"/>
        </w:rPr>
      </w:pPr>
      <w:r w:rsidRPr="0035376E">
        <w:rPr>
          <w:rFonts w:ascii="Arial" w:hAnsi="Arial" w:cs="Arial"/>
          <w:sz w:val="24"/>
          <w:szCs w:val="24"/>
        </w:rPr>
        <w:t>Efficiency ratios reflect the impact of the poor demand and profitability on operations. Appendix A, Table A3 indicates that asset turnover decreased in the beginning but it recovered in the year 2024. Nonetheless, this recovery was also propelled by selling off of its assets as opposed to better sales performance, which points to a defensive reaction to the dropping revenues.</w:t>
      </w:r>
    </w:p>
    <w:p w14:paraId="40DDDDD7" w14:textId="77777777" w:rsidR="0011391F" w:rsidRPr="0035376E" w:rsidRDefault="0011391F" w:rsidP="0011391F">
      <w:pPr>
        <w:spacing w:line="360" w:lineRule="auto"/>
        <w:jc w:val="both"/>
        <w:rPr>
          <w:rFonts w:ascii="Arial" w:hAnsi="Arial" w:cs="Arial"/>
          <w:sz w:val="24"/>
          <w:szCs w:val="24"/>
        </w:rPr>
      </w:pPr>
      <w:r w:rsidRPr="0035376E">
        <w:rPr>
          <w:rFonts w:ascii="Arial" w:hAnsi="Arial" w:cs="Arial"/>
          <w:sz w:val="24"/>
          <w:szCs w:val="24"/>
        </w:rPr>
        <w:t>Turnover of receivable was growing by changing 76.86 days to more than 105 days showing that they have less control over their credit and less bargaining power with their customers. This is contrary to Apple that remained with lower receivable periods owing to high channel control and a demand that was not volatile (Apple Inc., 2024). The number of inventory days reached the highest in 2022, indicating supply-chain disruptions caused by semiconductor shortage and geopolitical tensions, such as the conflict in Russia and Ukraine. This was despite the reduction in inventory days thereafter, which was accompanied by a decline in sales volumes, implying demand-based and not efficiency-based improvement</w:t>
      </w:r>
      <w:r>
        <w:rPr>
          <w:rFonts w:ascii="Arial" w:hAnsi="Arial" w:cs="Arial"/>
          <w:sz w:val="24"/>
          <w:szCs w:val="24"/>
        </w:rPr>
        <w:t xml:space="preserve"> </w:t>
      </w:r>
      <w:r w:rsidRPr="0035376E">
        <w:rPr>
          <w:rFonts w:ascii="Arial" w:hAnsi="Arial" w:cs="Arial"/>
          <w:sz w:val="24"/>
          <w:szCs w:val="24"/>
        </w:rPr>
        <w:t>(Keown et al., 2024). These trends explain the close correlation between efficiency, liquidity and profitability ratios.</w:t>
      </w:r>
    </w:p>
    <w:p w14:paraId="1A946776" w14:textId="77777777" w:rsidR="0011391F" w:rsidRPr="0035376E" w:rsidRDefault="0011391F" w:rsidP="0011391F">
      <w:pPr>
        <w:pStyle w:val="Heading2"/>
        <w:spacing w:line="360" w:lineRule="auto"/>
      </w:pPr>
      <w:bookmarkStart w:id="6" w:name="_Toc217260295"/>
      <w:r w:rsidRPr="0035376E">
        <w:t>1.5 Gearing and leverage analysis</w:t>
      </w:r>
      <w:bookmarkEnd w:id="6"/>
    </w:p>
    <w:p w14:paraId="4A51D1FD" w14:textId="77777777" w:rsidR="0011391F" w:rsidRPr="0035376E" w:rsidRDefault="0011391F" w:rsidP="0011391F">
      <w:pPr>
        <w:spacing w:line="360" w:lineRule="auto"/>
        <w:jc w:val="both"/>
        <w:rPr>
          <w:rFonts w:ascii="Arial" w:hAnsi="Arial" w:cs="Arial"/>
          <w:sz w:val="24"/>
          <w:szCs w:val="24"/>
        </w:rPr>
      </w:pPr>
      <w:r w:rsidRPr="0035376E">
        <w:rPr>
          <w:rFonts w:ascii="Arial" w:hAnsi="Arial" w:cs="Arial"/>
          <w:sz w:val="24"/>
          <w:szCs w:val="24"/>
        </w:rPr>
        <w:t>Leverage ratios show that the continued operating losses enhanced financial risks. In Table A4 in appendix A, the interest coverage failed miserably in 2023 and 2024 as EBIT became negative. This has a direct connection between the decline in profitability and the increasing solvency risk, especially in the backdrop of increased global interest rates in the aftermath of monetary tightening by central banks (Berk and DeMarzo, 2020).</w:t>
      </w:r>
    </w:p>
    <w:p w14:paraId="3FF1B29F" w14:textId="77777777" w:rsidR="0011391F" w:rsidRPr="0035376E" w:rsidRDefault="0011391F" w:rsidP="0011391F">
      <w:pPr>
        <w:spacing w:line="360" w:lineRule="auto"/>
        <w:jc w:val="both"/>
        <w:rPr>
          <w:rFonts w:ascii="Arial" w:hAnsi="Arial" w:cs="Arial"/>
          <w:sz w:val="24"/>
          <w:szCs w:val="24"/>
        </w:rPr>
      </w:pPr>
      <w:r w:rsidRPr="0035376E">
        <w:rPr>
          <w:rFonts w:ascii="Arial" w:hAnsi="Arial" w:cs="Arial"/>
          <w:sz w:val="24"/>
          <w:szCs w:val="24"/>
        </w:rPr>
        <w:lastRenderedPageBreak/>
        <w:t>The debt-to-equity ratio rose to 1.11 as compared to 0.63 with the main culprit being equity erosion, and not over borrowing. This is unlike Apple which applied the leverage using strong cash flows. Rising equity multiplier affirms financial leverage augmentation and indicates that deteriorating profitability and diminished equity escalated shareholder risk (</w:t>
      </w:r>
      <w:r>
        <w:rPr>
          <w:rFonts w:ascii="Arial" w:eastAsia="Times New Roman" w:hAnsi="Arial" w:cs="Arial"/>
          <w:sz w:val="24"/>
          <w:szCs w:val="24"/>
        </w:rPr>
        <w:t>Apple Inc, 2024</w:t>
      </w:r>
      <w:r w:rsidRPr="0035376E">
        <w:rPr>
          <w:rFonts w:ascii="Arial" w:hAnsi="Arial" w:cs="Arial"/>
          <w:sz w:val="24"/>
          <w:szCs w:val="24"/>
        </w:rPr>
        <w:t>).</w:t>
      </w:r>
    </w:p>
    <w:p w14:paraId="365E6431" w14:textId="77777777" w:rsidR="0011391F" w:rsidRPr="0035376E" w:rsidRDefault="0011391F" w:rsidP="0011391F">
      <w:pPr>
        <w:pStyle w:val="Heading2"/>
        <w:spacing w:line="360" w:lineRule="auto"/>
      </w:pPr>
      <w:bookmarkStart w:id="7" w:name="_Toc217260296"/>
      <w:r w:rsidRPr="0035376E">
        <w:t xml:space="preserve">1.6 </w:t>
      </w:r>
      <w:r>
        <w:t>I</w:t>
      </w:r>
      <w:r w:rsidRPr="0035376E">
        <w:t xml:space="preserve">nvestment and market ratio </w:t>
      </w:r>
      <w:r>
        <w:t>analysis</w:t>
      </w:r>
      <w:bookmarkEnd w:id="7"/>
    </w:p>
    <w:p w14:paraId="5E366AE4" w14:textId="77777777" w:rsidR="0011391F" w:rsidRPr="0035376E" w:rsidRDefault="0011391F" w:rsidP="0011391F">
      <w:pPr>
        <w:spacing w:line="360" w:lineRule="auto"/>
        <w:jc w:val="both"/>
        <w:rPr>
          <w:rFonts w:ascii="Arial" w:hAnsi="Arial" w:cs="Arial"/>
          <w:sz w:val="24"/>
          <w:szCs w:val="24"/>
        </w:rPr>
      </w:pPr>
      <w:r w:rsidRPr="0035376E">
        <w:rPr>
          <w:rFonts w:ascii="Arial" w:hAnsi="Arial" w:cs="Arial"/>
          <w:sz w:val="24"/>
          <w:szCs w:val="24"/>
        </w:rPr>
        <w:t>The investment ratios indicate depreciating investor confidence and value creation. Table A5 in Appendix A indicates that the earnings per share became negative in the years 2023 and 2024 and therefore the price-earnings ratio is not meaningful. Conversely, the companies like Apple and Nvidia continued to record positive growth rates in earnings over the same period, due to robust services revenue and AI-related semiconductor demand (Nvidia Corporation, 2024).</w:t>
      </w:r>
    </w:p>
    <w:p w14:paraId="68AF846B" w14:textId="77777777" w:rsidR="0011391F" w:rsidRPr="0035376E" w:rsidRDefault="0011391F" w:rsidP="0011391F">
      <w:pPr>
        <w:spacing w:line="360" w:lineRule="auto"/>
        <w:jc w:val="both"/>
        <w:rPr>
          <w:rFonts w:ascii="Arial" w:hAnsi="Arial" w:cs="Arial"/>
          <w:sz w:val="24"/>
          <w:szCs w:val="24"/>
        </w:rPr>
      </w:pPr>
      <w:r w:rsidRPr="0035376E">
        <w:rPr>
          <w:rFonts w:ascii="Arial" w:hAnsi="Arial" w:cs="Arial"/>
          <w:sz w:val="24"/>
          <w:szCs w:val="24"/>
        </w:rPr>
        <w:t>The ROE calculated using operating income decreased, which further supports the correlation between operating losses and the decreasing value of shareholders. This drift implies that General Electronics had less access to the favourable parts of the larger technology and semiconductor ecosystem where companies like AMD and Qualcomm had seen their revenue increase because of data-centric and AI-related applications (AMD, 2024; Qualcomm, 2024).</w:t>
      </w:r>
    </w:p>
    <w:p w14:paraId="3077E3AD" w14:textId="77777777" w:rsidR="0011391F" w:rsidRPr="0035376E" w:rsidRDefault="0011391F" w:rsidP="0011391F">
      <w:pPr>
        <w:pStyle w:val="Heading2"/>
        <w:spacing w:line="360" w:lineRule="auto"/>
      </w:pPr>
      <w:bookmarkStart w:id="8" w:name="_Toc217260297"/>
      <w:r w:rsidRPr="0035376E">
        <w:t>1.7 Cash flow analysis</w:t>
      </w:r>
      <w:bookmarkEnd w:id="8"/>
    </w:p>
    <w:p w14:paraId="02661F6B" w14:textId="77777777" w:rsidR="0011391F" w:rsidRPr="0035376E" w:rsidRDefault="0011391F" w:rsidP="0011391F">
      <w:pPr>
        <w:spacing w:line="360" w:lineRule="auto"/>
        <w:jc w:val="both"/>
        <w:rPr>
          <w:rFonts w:ascii="Arial" w:hAnsi="Arial" w:cs="Arial"/>
          <w:sz w:val="24"/>
          <w:szCs w:val="24"/>
        </w:rPr>
      </w:pPr>
      <w:r w:rsidRPr="0035376E">
        <w:rPr>
          <w:rFonts w:ascii="Arial" w:hAnsi="Arial" w:cs="Arial"/>
          <w:sz w:val="24"/>
          <w:szCs w:val="24"/>
        </w:rPr>
        <w:t>The cumulative impact of the decreasing profitability, efficiency and leverage is proved by cash flow ratios. Table A6 of Appendix A indicates that the operating cash flow ratio decreased since it was 0.41 and is now at 0.09, which means that there was less ability to cover short term liabilities in-house. Despite positive operating cash flows, the cash flow to debt ratio declined significantly, which augmented the long-term solvency risk.</w:t>
      </w:r>
    </w:p>
    <w:p w14:paraId="22D00EDC" w14:textId="77777777" w:rsidR="0011391F" w:rsidRPr="0035376E" w:rsidRDefault="0011391F" w:rsidP="0011391F">
      <w:pPr>
        <w:spacing w:line="360" w:lineRule="auto"/>
        <w:jc w:val="both"/>
        <w:rPr>
          <w:rFonts w:ascii="Arial" w:hAnsi="Arial" w:cs="Arial"/>
          <w:sz w:val="24"/>
          <w:szCs w:val="24"/>
        </w:rPr>
      </w:pPr>
      <w:r w:rsidRPr="0035376E">
        <w:rPr>
          <w:rFonts w:ascii="Arial" w:hAnsi="Arial" w:cs="Arial"/>
          <w:sz w:val="24"/>
          <w:szCs w:val="24"/>
        </w:rPr>
        <w:t xml:space="preserve">The cash generation in General Electronics was limited by cyclical consumer electronics demand compared to semiconductor companies like Nvidia, whose cash flows had soared because of AI-related demand. This supports the conclusion that its financial </w:t>
      </w:r>
      <w:r w:rsidRPr="0035376E">
        <w:rPr>
          <w:rFonts w:ascii="Arial" w:hAnsi="Arial" w:cs="Arial"/>
          <w:sz w:val="24"/>
          <w:szCs w:val="24"/>
        </w:rPr>
        <w:lastRenderedPageBreak/>
        <w:t>health was closely interlinked with external industry and macroeconomic factors and not independent pathway based on inner ones.</w:t>
      </w:r>
    </w:p>
    <w:p w14:paraId="22D6D03D" w14:textId="77777777" w:rsidR="0011391F" w:rsidRPr="0035376E" w:rsidRDefault="0011391F" w:rsidP="0011391F">
      <w:pPr>
        <w:pStyle w:val="Heading2"/>
        <w:spacing w:line="360" w:lineRule="auto"/>
      </w:pPr>
      <w:bookmarkStart w:id="9" w:name="_Toc217260298"/>
      <w:r w:rsidRPr="0035376E">
        <w:t>1.8 Altman Z-Score based corporate failure prediction</w:t>
      </w:r>
      <w:bookmarkEnd w:id="9"/>
    </w:p>
    <w:p w14:paraId="25FF7520" w14:textId="77777777" w:rsidR="0011391F" w:rsidRPr="0035376E" w:rsidRDefault="0011391F" w:rsidP="0011391F">
      <w:pPr>
        <w:spacing w:line="360" w:lineRule="auto"/>
        <w:jc w:val="both"/>
        <w:rPr>
          <w:rFonts w:ascii="Arial" w:hAnsi="Arial" w:cs="Arial"/>
          <w:sz w:val="24"/>
          <w:szCs w:val="24"/>
        </w:rPr>
      </w:pPr>
      <w:r w:rsidRPr="0035376E">
        <w:rPr>
          <w:rFonts w:ascii="Arial" w:hAnsi="Arial" w:cs="Arial"/>
          <w:sz w:val="24"/>
          <w:szCs w:val="24"/>
        </w:rPr>
        <w:t>Although there has been a decline in profitability and liquidity, Appendix A, Table A7 demonstrates that the Altman Z-Scores have been consistently above the distress level during the period. This means that there is a low short-term risk of bankruptcy as stated by Altman (1968). The retained earnings and equity values of the past are, however, sources of part of the strength of the model. When operating losses continue, they can start to subtract and undermine future Z-Scores, which raise the risks of failure in the long run.</w:t>
      </w:r>
    </w:p>
    <w:p w14:paraId="543D129B" w14:textId="77777777" w:rsidR="0011391F" w:rsidRPr="0035376E" w:rsidRDefault="0011391F" w:rsidP="0011391F">
      <w:pPr>
        <w:pStyle w:val="Heading2"/>
        <w:spacing w:line="360" w:lineRule="auto"/>
      </w:pPr>
      <w:bookmarkStart w:id="10" w:name="_Toc217260299"/>
      <w:r w:rsidRPr="0035376E">
        <w:t>1.9 Strengths, weaknesses and risk outlook</w:t>
      </w:r>
      <w:bookmarkEnd w:id="10"/>
    </w:p>
    <w:p w14:paraId="2C4192D7" w14:textId="6AAAFAD3" w:rsidR="0011391F" w:rsidRPr="0011391F" w:rsidRDefault="0011391F" w:rsidP="0011391F">
      <w:pPr>
        <w:spacing w:line="360" w:lineRule="auto"/>
        <w:jc w:val="both"/>
        <w:rPr>
          <w:rFonts w:ascii="Arial" w:hAnsi="Arial" w:cs="Arial"/>
          <w:sz w:val="24"/>
          <w:szCs w:val="24"/>
        </w:rPr>
      </w:pPr>
      <w:r w:rsidRPr="0035376E">
        <w:rPr>
          <w:rFonts w:ascii="Arial" w:hAnsi="Arial" w:cs="Arial"/>
          <w:sz w:val="24"/>
          <w:szCs w:val="24"/>
        </w:rPr>
        <w:t>The analysis shows that it has major strengths such as robust gross margins, positive operating cash flows and high Altman Z-Scores. Nonetheless, they are offset by continued operating losses, decreasing efficiency, decreasing liquidity, worsening interest coverage and increasing leverage. The most important thing is that the interplay of ratios shows that declines in profitability served as the major catalyst, which spread to liquidity pressure, efficiency worsening, and increased financial risk. Peer-based comparisons verify that the external shocks were felt by the whole industry but General Electronics was not as adaptive as other market leaders in the changes in their cost structure and their capital efficiency.</w:t>
      </w:r>
    </w:p>
    <w:p w14:paraId="7A3DE8D7" w14:textId="6CBC112C" w:rsidR="00572609" w:rsidRPr="005C4783" w:rsidRDefault="00572609" w:rsidP="00922363">
      <w:pPr>
        <w:pStyle w:val="Heading1"/>
        <w:rPr>
          <w:rFonts w:eastAsia="Times New Roman"/>
        </w:rPr>
      </w:pPr>
      <w:bookmarkStart w:id="11" w:name="_Toc217260300"/>
      <w:r w:rsidRPr="005C4783">
        <w:rPr>
          <w:rFonts w:eastAsia="Times New Roman"/>
        </w:rPr>
        <w:t>2.</w:t>
      </w:r>
      <w:r w:rsidR="00922363">
        <w:rPr>
          <w:rFonts w:eastAsia="Times New Roman"/>
        </w:rPr>
        <w:t>0</w:t>
      </w:r>
      <w:r w:rsidRPr="005C4783">
        <w:rPr>
          <w:rFonts w:eastAsia="Times New Roman"/>
        </w:rPr>
        <w:t xml:space="preserve"> Working Capital Management Analysis</w:t>
      </w:r>
      <w:bookmarkEnd w:id="11"/>
    </w:p>
    <w:p w14:paraId="2883B261" w14:textId="43D0A42C" w:rsidR="00EC2C0E" w:rsidRPr="00EC2C0E" w:rsidRDefault="00EC2C0E" w:rsidP="00EC2C0E">
      <w:pPr>
        <w:pStyle w:val="Heading2"/>
      </w:pPr>
      <w:bookmarkStart w:id="12" w:name="_Toc217260301"/>
      <w:r w:rsidRPr="00EC2C0E">
        <w:t>2.</w:t>
      </w:r>
      <w:r w:rsidR="0011391F">
        <w:t>1</w:t>
      </w:r>
      <w:r w:rsidRPr="00EC2C0E">
        <w:t xml:space="preserve"> Evaluation of cash operating cycle</w:t>
      </w:r>
      <w:bookmarkEnd w:id="12"/>
    </w:p>
    <w:p w14:paraId="5F5EF27A" w14:textId="77777777" w:rsidR="00EC2C0E" w:rsidRPr="00EC2C0E" w:rsidRDefault="00EC2C0E" w:rsidP="00EC2C0E">
      <w:pPr>
        <w:spacing w:line="360" w:lineRule="auto"/>
        <w:jc w:val="both"/>
        <w:rPr>
          <w:rFonts w:ascii="Arial" w:hAnsi="Arial" w:cs="Arial"/>
          <w:sz w:val="24"/>
          <w:szCs w:val="24"/>
        </w:rPr>
      </w:pPr>
      <w:r w:rsidRPr="00EC2C0E">
        <w:rPr>
          <w:rFonts w:ascii="Arial" w:hAnsi="Arial" w:cs="Arial"/>
          <w:sz w:val="24"/>
          <w:szCs w:val="24"/>
        </w:rPr>
        <w:t>Cash operating cycle is a measurement of time required to turn around cash invested in operations to cash inflows and it is a major measurement of liquidity efficiency in the short-term. It is calculated as the receivables days combined with inventory days and subtracted by the payables days (Atrill &amp; McLaney, 2017).</w:t>
      </w:r>
    </w:p>
    <w:p w14:paraId="588917D9" w14:textId="77777777" w:rsidR="00EC2C0E" w:rsidRPr="00EC2C0E" w:rsidRDefault="00EC2C0E" w:rsidP="00EC2C0E">
      <w:pPr>
        <w:spacing w:line="360" w:lineRule="auto"/>
        <w:jc w:val="both"/>
        <w:rPr>
          <w:rFonts w:ascii="Arial" w:hAnsi="Arial" w:cs="Arial"/>
          <w:sz w:val="24"/>
          <w:szCs w:val="24"/>
        </w:rPr>
      </w:pPr>
      <w:r w:rsidRPr="00EC2C0E">
        <w:rPr>
          <w:rFonts w:ascii="Arial" w:hAnsi="Arial" w:cs="Arial"/>
          <w:sz w:val="24"/>
          <w:szCs w:val="24"/>
        </w:rPr>
        <w:lastRenderedPageBreak/>
        <w:t>Table B1 (Appendix B) shows that the receivables days have risen significantly by 76.86 days in 2020 to 105.54 days in 2024 which reflects progressively a weaker control of credit and slow collections of the customer. This tendency relates directly to the decline in the liquidity ratios that were seen in the Appendix A, Table A2, specifically, the loss of the cash ratio (0.32 to 0.17). The inventory days were fluctuating with the highest level read 131.04 in 2022 then dropping to an estimated 103 days in 2024. Although this reduction was an indicator that there was some improvement in the inventory management, it was accompanied with a decrease in the sales volumes meaning that this reduction was partly influenced by demand and not efficiency.</w:t>
      </w:r>
    </w:p>
    <w:p w14:paraId="1E64BE65" w14:textId="77777777" w:rsidR="00EC2C0E" w:rsidRPr="00EC2C0E" w:rsidRDefault="00EC2C0E" w:rsidP="00EC2C0E">
      <w:pPr>
        <w:spacing w:line="360" w:lineRule="auto"/>
        <w:jc w:val="both"/>
        <w:rPr>
          <w:rFonts w:ascii="Arial" w:hAnsi="Arial" w:cs="Arial"/>
          <w:sz w:val="24"/>
          <w:szCs w:val="24"/>
        </w:rPr>
      </w:pPr>
      <w:r w:rsidRPr="00EC2C0E">
        <w:rPr>
          <w:rFonts w:ascii="Arial" w:hAnsi="Arial" w:cs="Arial"/>
          <w:sz w:val="24"/>
          <w:szCs w:val="24"/>
        </w:rPr>
        <w:t>The trade payables days are to be calculated from trade payables disclosed in the dataset and cost of sales and were relatively constant at approximately 65 to 70 days during the period as presented in Appendix B, Table B1. This stability shows that the suppliers have not been overextended as a source of short-term financing. The mixture of these elements extended the cash operating cycle by a few days in the past because it was about 112 days in 2020 and now the company had 138 days. An extended cycle would mean that more cash was held longer in the working capital, which exerts a further strain on liquidity.</w:t>
      </w:r>
    </w:p>
    <w:p w14:paraId="19E8E503" w14:textId="78239E9B" w:rsidR="00EC2C0E" w:rsidRPr="00EC2C0E" w:rsidRDefault="00EC2C0E" w:rsidP="00EC2C0E">
      <w:pPr>
        <w:pStyle w:val="Heading2"/>
      </w:pPr>
      <w:bookmarkStart w:id="13" w:name="_Toc217260302"/>
      <w:r w:rsidRPr="00EC2C0E">
        <w:t>2.</w:t>
      </w:r>
      <w:r w:rsidR="0011391F">
        <w:t>2</w:t>
      </w:r>
      <w:r w:rsidRPr="00EC2C0E">
        <w:t xml:space="preserve"> Liquidity implications and operational risk implications.</w:t>
      </w:r>
      <w:bookmarkEnd w:id="13"/>
    </w:p>
    <w:p w14:paraId="16A66009" w14:textId="77777777" w:rsidR="00EC2C0E" w:rsidRPr="00EC2C0E" w:rsidRDefault="00EC2C0E" w:rsidP="00EC2C0E">
      <w:pPr>
        <w:spacing w:line="360" w:lineRule="auto"/>
        <w:jc w:val="both"/>
        <w:rPr>
          <w:rFonts w:ascii="Arial" w:hAnsi="Arial" w:cs="Arial"/>
          <w:sz w:val="24"/>
          <w:szCs w:val="24"/>
        </w:rPr>
      </w:pPr>
      <w:r w:rsidRPr="00EC2C0E">
        <w:rPr>
          <w:rFonts w:ascii="Arial" w:hAnsi="Arial" w:cs="Arial"/>
          <w:sz w:val="24"/>
          <w:szCs w:val="24"/>
        </w:rPr>
        <w:t>The long cash operating cycle has a number of negative connotations. First, the slow collection of receivables makes the company more sensitive to bad debts and it also increases financing requirements in times of declining revenues. Second, long inventory holding times add to the costs of storage and the risk of obsolescence, especially in the electronics industry, which has a short product life cycle (Berk &amp; DeMarzo, 2020). Third, this lack of long-term payables financing does not allow the company to cover the shortcomings in other parts of the cycle. Combined, these elements contribute to the reduction in operating cash flow ratios in Appendix A, Table A6.</w:t>
      </w:r>
    </w:p>
    <w:p w14:paraId="07BEF8BD" w14:textId="57F8C521" w:rsidR="00EC2C0E" w:rsidRPr="00EC2C0E" w:rsidRDefault="00EC2C0E" w:rsidP="00EC2C0E">
      <w:pPr>
        <w:pStyle w:val="Heading2"/>
      </w:pPr>
      <w:bookmarkStart w:id="14" w:name="_Toc217260303"/>
      <w:r w:rsidRPr="00EC2C0E">
        <w:t>2.</w:t>
      </w:r>
      <w:r w:rsidR="0011391F">
        <w:t>3</w:t>
      </w:r>
      <w:r w:rsidRPr="00EC2C0E">
        <w:t xml:space="preserve"> Recommended reform strategies of working capital.</w:t>
      </w:r>
      <w:bookmarkEnd w:id="14"/>
    </w:p>
    <w:p w14:paraId="4459185E" w14:textId="77777777" w:rsidR="00EC2C0E" w:rsidRPr="00EC2C0E" w:rsidRDefault="00EC2C0E" w:rsidP="00EC2C0E">
      <w:pPr>
        <w:spacing w:line="360" w:lineRule="auto"/>
        <w:jc w:val="both"/>
        <w:rPr>
          <w:rFonts w:ascii="Arial" w:hAnsi="Arial" w:cs="Arial"/>
          <w:sz w:val="24"/>
          <w:szCs w:val="24"/>
        </w:rPr>
      </w:pPr>
      <w:r w:rsidRPr="00EC2C0E">
        <w:rPr>
          <w:rFonts w:ascii="Arial" w:hAnsi="Arial" w:cs="Arial"/>
          <w:sz w:val="24"/>
          <w:szCs w:val="24"/>
        </w:rPr>
        <w:lastRenderedPageBreak/>
        <w:t>As a measure of enhancing liquidity, General Electronics ought to focus on reforms in its management of receivables. This involves stricter credit checking procedures, segregating customers in terms of risk and providing early payment discounts to speed up cash flows. Evidence-based research indicates that a better governance of receivables has the potential to reduce the cash conversion cycle, in a material way, without adversely affecting sales (Deloof, 2003).</w:t>
      </w:r>
    </w:p>
    <w:p w14:paraId="4AFC33C6" w14:textId="71622CD8" w:rsidR="00EC2C0E" w:rsidRPr="00EC2C0E" w:rsidRDefault="00EC2C0E" w:rsidP="00EC2C0E">
      <w:pPr>
        <w:spacing w:line="360" w:lineRule="auto"/>
        <w:jc w:val="both"/>
        <w:rPr>
          <w:rFonts w:ascii="Arial" w:hAnsi="Arial" w:cs="Arial"/>
          <w:sz w:val="24"/>
          <w:szCs w:val="24"/>
        </w:rPr>
      </w:pPr>
      <w:r w:rsidRPr="00EC2C0E">
        <w:rPr>
          <w:rFonts w:ascii="Arial" w:hAnsi="Arial" w:cs="Arial"/>
          <w:sz w:val="24"/>
          <w:szCs w:val="24"/>
        </w:rPr>
        <w:t>There should also be improved inventory management by using demand forecasting, just in time replenishment, and more data analytics to ensure that the stock level is in line with the actual sales patterns. According to studies conducted in the industry, inventory optimisation technology has the potential to save manufacturing companies 15 to 25 percent in inventory days (McKinsey &amp; Company, 2023).</w:t>
      </w:r>
      <w:r w:rsidR="002178FF">
        <w:rPr>
          <w:rFonts w:ascii="Arial" w:hAnsi="Arial" w:cs="Arial"/>
          <w:sz w:val="24"/>
          <w:szCs w:val="24"/>
        </w:rPr>
        <w:t xml:space="preserve"> </w:t>
      </w:r>
      <w:r w:rsidRPr="00EC2C0E">
        <w:rPr>
          <w:rFonts w:ascii="Arial" w:hAnsi="Arial" w:cs="Arial"/>
          <w:sz w:val="24"/>
          <w:szCs w:val="24"/>
        </w:rPr>
        <w:t xml:space="preserve">General Electronics should also renegotiate the terms with suppliers on the payables side where there is an opportunity to do so, especially with large suppliers who are financially stable. </w:t>
      </w:r>
    </w:p>
    <w:p w14:paraId="485B0AAC" w14:textId="4BED9E29" w:rsidR="00EC2C0E" w:rsidRPr="00EC2C0E" w:rsidRDefault="00EC2C0E" w:rsidP="00EC2C0E">
      <w:pPr>
        <w:pStyle w:val="Heading2"/>
      </w:pPr>
      <w:bookmarkStart w:id="15" w:name="_Toc217260304"/>
      <w:r w:rsidRPr="00EC2C0E">
        <w:t>2.</w:t>
      </w:r>
      <w:r w:rsidR="0011391F">
        <w:t>4</w:t>
      </w:r>
      <w:r w:rsidRPr="00EC2C0E">
        <w:t xml:space="preserve"> Comparison of Short term and long-term financing options</w:t>
      </w:r>
      <w:bookmarkEnd w:id="15"/>
    </w:p>
    <w:p w14:paraId="67B536DB" w14:textId="6B5E2ED8" w:rsidR="00EC2C0E" w:rsidRPr="00EC2C0E" w:rsidRDefault="00EC2C0E" w:rsidP="00EC2C0E">
      <w:pPr>
        <w:spacing w:line="360" w:lineRule="auto"/>
        <w:jc w:val="both"/>
        <w:rPr>
          <w:rFonts w:ascii="Arial" w:hAnsi="Arial" w:cs="Arial"/>
          <w:sz w:val="24"/>
          <w:szCs w:val="24"/>
        </w:rPr>
      </w:pPr>
      <w:r w:rsidRPr="00EC2C0E">
        <w:rPr>
          <w:rFonts w:ascii="Arial" w:hAnsi="Arial" w:cs="Arial"/>
          <w:sz w:val="24"/>
          <w:szCs w:val="24"/>
        </w:rPr>
        <w:t>One can fund working capital deficits through short term or long-term funding sources. Bank overdraft, revolving credit facilities, and commercial paper are some of the short-term financing options. These tools are also versatile and tend to have lower nominal costs, yet they subject the company to the refinancing risk, especially in case of weak profitability (Keown et al., 2024).</w:t>
      </w:r>
    </w:p>
    <w:p w14:paraId="2E066F9D" w14:textId="77777777" w:rsidR="00EC2C0E" w:rsidRPr="00EC2C0E" w:rsidRDefault="00EC2C0E" w:rsidP="00EC2C0E">
      <w:pPr>
        <w:spacing w:line="360" w:lineRule="auto"/>
        <w:jc w:val="both"/>
        <w:rPr>
          <w:rFonts w:ascii="Arial" w:hAnsi="Arial" w:cs="Arial"/>
          <w:sz w:val="24"/>
          <w:szCs w:val="24"/>
        </w:rPr>
      </w:pPr>
      <w:r w:rsidRPr="00EC2C0E">
        <w:rPr>
          <w:rFonts w:ascii="Arial" w:hAnsi="Arial" w:cs="Arial"/>
          <w:sz w:val="24"/>
          <w:szCs w:val="24"/>
        </w:rPr>
        <w:t>There are term loans and issuing bonds which are long term financing options. These instruments are more expensive in terms of interest but they offer stability in funding and also lower rollover risk. Since the interest cover of General Electronics is declining in 2023 and 2024, overdependence on short term debt would increase liquidity risk. There should however be a middle ground of core working capital needs being met by long-term funds whereas seasonal variations are offset by short-term facilities.</w:t>
      </w:r>
    </w:p>
    <w:p w14:paraId="39B64113" w14:textId="35D52983" w:rsidR="00EB1AD8" w:rsidRPr="00561671" w:rsidRDefault="00EB1AD8" w:rsidP="00561671">
      <w:pPr>
        <w:pStyle w:val="Heading1"/>
      </w:pPr>
      <w:bookmarkStart w:id="16" w:name="_Toc217260305"/>
      <w:r w:rsidRPr="00561671">
        <w:t>3.</w:t>
      </w:r>
      <w:r w:rsidR="00922363" w:rsidRPr="00561671">
        <w:t>0</w:t>
      </w:r>
      <w:r w:rsidRPr="00561671">
        <w:t xml:space="preserve"> Strategic Financial Restructuring Plan</w:t>
      </w:r>
      <w:bookmarkEnd w:id="16"/>
    </w:p>
    <w:p w14:paraId="222AF072" w14:textId="31B596D8" w:rsidR="007A0BBE" w:rsidRPr="00D42613" w:rsidRDefault="007A0BBE" w:rsidP="007A0BBE">
      <w:pPr>
        <w:spacing w:line="360" w:lineRule="auto"/>
        <w:jc w:val="both"/>
        <w:rPr>
          <w:rFonts w:ascii="Arial" w:hAnsi="Arial" w:cs="Arial"/>
          <w:sz w:val="24"/>
          <w:szCs w:val="24"/>
        </w:rPr>
      </w:pPr>
      <w:r w:rsidRPr="00D42613">
        <w:rPr>
          <w:rFonts w:ascii="Arial" w:hAnsi="Arial" w:cs="Arial"/>
          <w:sz w:val="24"/>
          <w:szCs w:val="24"/>
        </w:rPr>
        <w:t>This s</w:t>
      </w:r>
      <w:r>
        <w:rPr>
          <w:rFonts w:ascii="Arial" w:hAnsi="Arial" w:cs="Arial"/>
          <w:sz w:val="24"/>
          <w:szCs w:val="24"/>
        </w:rPr>
        <w:t>ection</w:t>
      </w:r>
      <w:r w:rsidRPr="00D42613">
        <w:rPr>
          <w:rFonts w:ascii="Arial" w:hAnsi="Arial" w:cs="Arial"/>
          <w:sz w:val="24"/>
          <w:szCs w:val="24"/>
        </w:rPr>
        <w:t xml:space="preserve"> suggests a strategic financial restructuring strategy to General Electronics, in regard to the declining operating performance, poor liquidity status, and to increased financial risk. The recommendations </w:t>
      </w:r>
      <w:r>
        <w:rPr>
          <w:rFonts w:ascii="Arial" w:hAnsi="Arial" w:cs="Arial"/>
          <w:sz w:val="24"/>
          <w:szCs w:val="24"/>
        </w:rPr>
        <w:t>have been provided</w:t>
      </w:r>
      <w:r w:rsidRPr="00D42613">
        <w:rPr>
          <w:rFonts w:ascii="Arial" w:hAnsi="Arial" w:cs="Arial"/>
          <w:sz w:val="24"/>
          <w:szCs w:val="24"/>
        </w:rPr>
        <w:t xml:space="preserve"> to stabilise the firm within the </w:t>
      </w:r>
      <w:r w:rsidRPr="00D42613">
        <w:rPr>
          <w:rFonts w:ascii="Arial" w:hAnsi="Arial" w:cs="Arial"/>
          <w:sz w:val="24"/>
          <w:szCs w:val="24"/>
        </w:rPr>
        <w:lastRenderedPageBreak/>
        <w:t>short term and re-establish financial sustainability and strategic flexibility within the medium term.</w:t>
      </w:r>
    </w:p>
    <w:p w14:paraId="6456FEA8" w14:textId="77777777" w:rsidR="007A0BBE" w:rsidRPr="00D42613" w:rsidRDefault="007A0BBE" w:rsidP="007A0BBE">
      <w:pPr>
        <w:pStyle w:val="Heading2"/>
      </w:pPr>
      <w:bookmarkStart w:id="17" w:name="_Toc217260306"/>
      <w:r w:rsidRPr="00D42613">
        <w:t>3.1 Objectives and constraints</w:t>
      </w:r>
      <w:bookmarkEnd w:id="17"/>
    </w:p>
    <w:p w14:paraId="78746A8A" w14:textId="49A2A91F" w:rsidR="007A0BBE" w:rsidRPr="00D42613" w:rsidRDefault="007A0BBE" w:rsidP="007A0BBE">
      <w:pPr>
        <w:spacing w:line="360" w:lineRule="auto"/>
        <w:jc w:val="both"/>
        <w:rPr>
          <w:rFonts w:ascii="Arial" w:hAnsi="Arial" w:cs="Arial"/>
          <w:sz w:val="24"/>
          <w:szCs w:val="24"/>
        </w:rPr>
      </w:pPr>
      <w:r w:rsidRPr="00D42613">
        <w:rPr>
          <w:rFonts w:ascii="Arial" w:hAnsi="Arial" w:cs="Arial"/>
          <w:sz w:val="24"/>
          <w:szCs w:val="24"/>
        </w:rPr>
        <w:t>The overall aim of the strategic financial restructuring plan is to take General Electronics back to the sustainable profitable position and stabilize liquidity and minimise the short-term refinance and rollover risk. Higgins (2012) recommends that companies with long terms operating losses should focus on stabilisation of cash flows and repairing their balance sheet before they venture into expansion. In this regard, the restructuring plan is also expected to rebalance the firm’s capital structure to tolerable levels of leverage and maintain adequate operational flexibility to help the recovery in a very competitive consumer electronics market.</w:t>
      </w:r>
    </w:p>
    <w:p w14:paraId="3D952E60" w14:textId="75D96D92" w:rsidR="0054198D" w:rsidRPr="00D42613" w:rsidRDefault="007A0BBE" w:rsidP="007A0BBE">
      <w:pPr>
        <w:spacing w:line="360" w:lineRule="auto"/>
        <w:jc w:val="both"/>
        <w:rPr>
          <w:rFonts w:ascii="Arial" w:hAnsi="Arial" w:cs="Arial"/>
          <w:sz w:val="24"/>
          <w:szCs w:val="24"/>
        </w:rPr>
      </w:pPr>
      <w:r w:rsidRPr="00D42613">
        <w:rPr>
          <w:rFonts w:ascii="Arial" w:hAnsi="Arial" w:cs="Arial"/>
          <w:sz w:val="24"/>
          <w:szCs w:val="24"/>
        </w:rPr>
        <w:t>Simultaneously, legal, ethical and practical factors limit the restructuring options. According to Sudarsanam (2003), the restructuring decisions should consider the obligations to creditors, employees, and suppliers in a contract and reputational and regulatory risks. Since the operating performance of the firm is weak and its revenues have been on the decline</w:t>
      </w:r>
      <w:r w:rsidR="0054198D">
        <w:rPr>
          <w:rFonts w:ascii="Arial" w:hAnsi="Arial" w:cs="Arial"/>
          <w:sz w:val="24"/>
          <w:szCs w:val="24"/>
        </w:rPr>
        <w:t>.</w:t>
      </w:r>
    </w:p>
    <w:p w14:paraId="103257D2" w14:textId="49C71F2B" w:rsidR="007A0BBE" w:rsidRPr="00D42613" w:rsidRDefault="007A0BBE" w:rsidP="007A0BBE">
      <w:pPr>
        <w:pStyle w:val="Heading2"/>
        <w:rPr>
          <w:rFonts w:cs="Arial"/>
          <w:sz w:val="24"/>
          <w:szCs w:val="24"/>
        </w:rPr>
      </w:pPr>
      <w:bookmarkStart w:id="18" w:name="_Toc217260307"/>
      <w:r w:rsidRPr="00D42613">
        <w:rPr>
          <w:rFonts w:cs="Arial"/>
          <w:sz w:val="24"/>
          <w:szCs w:val="24"/>
        </w:rPr>
        <w:t xml:space="preserve">3.2 </w:t>
      </w:r>
      <w:r>
        <w:t>Recommended restructuring options (prioritised)</w:t>
      </w:r>
      <w:bookmarkEnd w:id="18"/>
      <w:r>
        <w:t xml:space="preserve"> </w:t>
      </w:r>
    </w:p>
    <w:p w14:paraId="765FC3FD" w14:textId="77777777" w:rsidR="007A0BBE" w:rsidRPr="00D42613" w:rsidRDefault="007A0BBE" w:rsidP="007A0BBE">
      <w:pPr>
        <w:spacing w:line="360" w:lineRule="auto"/>
        <w:jc w:val="both"/>
        <w:rPr>
          <w:rFonts w:ascii="Arial" w:hAnsi="Arial" w:cs="Arial"/>
          <w:sz w:val="24"/>
          <w:szCs w:val="24"/>
        </w:rPr>
      </w:pPr>
      <w:r w:rsidRPr="00D42613">
        <w:rPr>
          <w:rFonts w:ascii="Arial" w:hAnsi="Arial" w:cs="Arial"/>
          <w:sz w:val="24"/>
          <w:szCs w:val="24"/>
        </w:rPr>
        <w:t>According to the financial profile of the firm, which is reflected by the decrease in sales, the negative operating income in 2023-2024, and long working capital, the complex restructuring strategy is needed instead of relying on a single intervention. As stressed by Berk and DeMarzo (2020), multi-dimensional financial distress usually requires mutually operating, financially and strategically responding. Against this, it can be suggested that three complementary restructuring initiatives should be prioritised selective divestiture, equity injection coupled with debt re-profiling and a focused strategic alliance or merger at the business-unit level.</w:t>
      </w:r>
    </w:p>
    <w:p w14:paraId="52EEC3A9" w14:textId="7D2A377E" w:rsidR="007A0BBE" w:rsidRPr="007A0BBE" w:rsidRDefault="007A0BBE" w:rsidP="007A0BBE">
      <w:pPr>
        <w:spacing w:line="360" w:lineRule="auto"/>
        <w:jc w:val="both"/>
        <w:rPr>
          <w:rFonts w:ascii="Arial" w:hAnsi="Arial" w:cs="Arial"/>
          <w:b/>
          <w:bCs/>
          <w:sz w:val="24"/>
          <w:szCs w:val="24"/>
        </w:rPr>
      </w:pPr>
      <w:r w:rsidRPr="007A0BBE">
        <w:rPr>
          <w:rFonts w:ascii="Arial" w:hAnsi="Arial" w:cs="Arial"/>
          <w:b/>
          <w:bCs/>
          <w:sz w:val="24"/>
          <w:szCs w:val="24"/>
        </w:rPr>
        <w:t xml:space="preserve">Option A: Selective divestiture of non-core assets and underperforming units </w:t>
      </w:r>
    </w:p>
    <w:p w14:paraId="3577C444" w14:textId="77777777" w:rsidR="004F2C03" w:rsidRDefault="004F2C03" w:rsidP="007A0BBE">
      <w:pPr>
        <w:spacing w:line="360" w:lineRule="auto"/>
        <w:jc w:val="both"/>
        <w:rPr>
          <w:rFonts w:ascii="Arial" w:hAnsi="Arial" w:cs="Arial"/>
          <w:sz w:val="24"/>
          <w:szCs w:val="24"/>
        </w:rPr>
      </w:pPr>
      <w:r w:rsidRPr="004F2C03">
        <w:rPr>
          <w:rFonts w:ascii="Arial" w:hAnsi="Arial" w:cs="Arial"/>
          <w:sz w:val="24"/>
          <w:szCs w:val="24"/>
        </w:rPr>
        <w:t xml:space="preserve">Selective divestiture is a short-term and internally created liquidity. Sudarsanam (2003) argues that divestitures help financially strained companies to revert to concentrating on </w:t>
      </w:r>
      <w:r w:rsidRPr="004F2C03">
        <w:rPr>
          <w:rFonts w:ascii="Arial" w:hAnsi="Arial" w:cs="Arial"/>
          <w:sz w:val="24"/>
          <w:szCs w:val="24"/>
        </w:rPr>
        <w:lastRenderedPageBreak/>
        <w:t>the core business operations and minimize cash sinks on non-performing lines of business. Since there are downward trends on property, plant, equipment and intangible assets, management would want to dispose non-core product lines, non-profitable geographical regions or excess real estate properties.</w:t>
      </w:r>
    </w:p>
    <w:p w14:paraId="02DC85CD" w14:textId="77777777" w:rsidR="007A0BBE" w:rsidRPr="00D42613" w:rsidRDefault="007A0BBE" w:rsidP="007A0BBE">
      <w:pPr>
        <w:spacing w:line="360" w:lineRule="auto"/>
        <w:jc w:val="both"/>
        <w:rPr>
          <w:rFonts w:ascii="Arial" w:hAnsi="Arial" w:cs="Arial"/>
          <w:sz w:val="24"/>
          <w:szCs w:val="24"/>
        </w:rPr>
      </w:pPr>
      <w:r w:rsidRPr="00D42613">
        <w:rPr>
          <w:rFonts w:ascii="Arial" w:hAnsi="Arial" w:cs="Arial"/>
          <w:sz w:val="24"/>
          <w:szCs w:val="24"/>
        </w:rPr>
        <w:t>This should be done by a special divestiture taskforce that would value, prepare sale documents and run a fast but competitive sale. Gaughan (2017) asserts that competitive auction procedures tend to maximise the proceeds and mitigate the execution risk. Emphasis in transactions should be put on those which yield quick cash flows, do away with operating losses, and are of limited strategic use in long-range positioning.</w:t>
      </w:r>
    </w:p>
    <w:p w14:paraId="6105B9F3" w14:textId="77777777" w:rsidR="007A0BBE" w:rsidRPr="00D42613" w:rsidRDefault="007A0BBE" w:rsidP="007A0BBE">
      <w:pPr>
        <w:spacing w:line="360" w:lineRule="auto"/>
        <w:jc w:val="both"/>
        <w:rPr>
          <w:rFonts w:ascii="Arial" w:hAnsi="Arial" w:cs="Arial"/>
          <w:sz w:val="24"/>
          <w:szCs w:val="24"/>
        </w:rPr>
      </w:pPr>
      <w:r w:rsidRPr="00D42613">
        <w:rPr>
          <w:rFonts w:ascii="Arial" w:hAnsi="Arial" w:cs="Arial"/>
          <w:sz w:val="24"/>
          <w:szCs w:val="24"/>
        </w:rPr>
        <w:t>The anticipated effect of divestiture is the direct increase in liquidity and leverage ratios since the proceeds can be utilized to decrease net debt and increase the cash flow coverage. Servaes (1991) indicates that even when the earnings fall when the unit is divested, this divestiture can be earnings-accretive since the negative margins are eliminated to make the consolidated performance better. Divestiture will decrease the extent of scale and the potential of future revenues but this is likely to be a trade-off when we have the risk of core profitability and solvency.</w:t>
      </w:r>
    </w:p>
    <w:p w14:paraId="33BB8D20" w14:textId="28D27217" w:rsidR="007A0BBE" w:rsidRPr="004F2C03" w:rsidRDefault="004F2C03" w:rsidP="007A0BBE">
      <w:pPr>
        <w:spacing w:line="360" w:lineRule="auto"/>
        <w:jc w:val="both"/>
        <w:rPr>
          <w:rFonts w:ascii="Arial" w:hAnsi="Arial" w:cs="Arial"/>
          <w:b/>
          <w:bCs/>
          <w:sz w:val="28"/>
          <w:szCs w:val="28"/>
        </w:rPr>
      </w:pPr>
      <w:r w:rsidRPr="004F2C03">
        <w:rPr>
          <w:rFonts w:ascii="Arial" w:hAnsi="Arial" w:cs="Arial"/>
          <w:b/>
          <w:bCs/>
          <w:sz w:val="28"/>
          <w:szCs w:val="28"/>
        </w:rPr>
        <w:t xml:space="preserve">Option B: Equity injection combined with debt re-profiling  </w:t>
      </w:r>
    </w:p>
    <w:p w14:paraId="3D21DA0B" w14:textId="77777777" w:rsidR="007A0BBE" w:rsidRPr="00D42613" w:rsidRDefault="007A0BBE" w:rsidP="007A0BBE">
      <w:pPr>
        <w:spacing w:line="360" w:lineRule="auto"/>
        <w:jc w:val="both"/>
        <w:rPr>
          <w:rFonts w:ascii="Arial" w:hAnsi="Arial" w:cs="Arial"/>
          <w:sz w:val="24"/>
          <w:szCs w:val="24"/>
        </w:rPr>
      </w:pPr>
      <w:r w:rsidRPr="00D42613">
        <w:rPr>
          <w:rFonts w:ascii="Arial" w:hAnsi="Arial" w:cs="Arial"/>
          <w:sz w:val="24"/>
          <w:szCs w:val="24"/>
        </w:rPr>
        <w:t>Poor return on equity, decreasing balance of equity and increasing debt to equity ratio suggest that General Electronics needs capital infusion. Modigliani and Miller (1958) say that in a frictionless market, capital structure does not matter, whereas Jensen (1986) points out that in reality in distress cost markets, over leverage can be value destroying. A strategic equity issue or rights issue is thus a requisite corrective mechanism to reinstate the balance sheet muscle and creditor confidence.</w:t>
      </w:r>
    </w:p>
    <w:p w14:paraId="56B6B488" w14:textId="4B26C43E" w:rsidR="007A0BBE" w:rsidRPr="00D42613" w:rsidRDefault="002178FF" w:rsidP="007A0BBE">
      <w:pPr>
        <w:spacing w:line="360" w:lineRule="auto"/>
        <w:jc w:val="both"/>
        <w:rPr>
          <w:rFonts w:ascii="Arial" w:hAnsi="Arial" w:cs="Arial"/>
          <w:sz w:val="24"/>
          <w:szCs w:val="24"/>
        </w:rPr>
      </w:pPr>
      <w:r>
        <w:rPr>
          <w:rFonts w:ascii="Arial" w:hAnsi="Arial" w:cs="Arial"/>
          <w:sz w:val="24"/>
          <w:szCs w:val="24"/>
        </w:rPr>
        <w:t>I</w:t>
      </w:r>
      <w:r w:rsidR="007A0BBE" w:rsidRPr="00D42613">
        <w:rPr>
          <w:rFonts w:ascii="Arial" w:hAnsi="Arial" w:cs="Arial"/>
          <w:sz w:val="24"/>
          <w:szCs w:val="24"/>
        </w:rPr>
        <w:t xml:space="preserve">mplementation is to be aimed at an equity raise that will be adequate to dilute pro-forma debt-to-capital ratios by about 10 to 15 percentage points. The rights issue to existing shareholders must come first to limit dilution and in case of the situation when there are not enough subscriptions the strategic investors must be taken into account. At the same time, the management is to renegotiate the terms of debt by extending the maturity, converting facilities on a short-term basis to term loans, and requesting temporary </w:t>
      </w:r>
      <w:r w:rsidR="007A0BBE" w:rsidRPr="00D42613">
        <w:rPr>
          <w:rFonts w:ascii="Arial" w:hAnsi="Arial" w:cs="Arial"/>
          <w:sz w:val="24"/>
          <w:szCs w:val="24"/>
        </w:rPr>
        <w:lastRenderedPageBreak/>
        <w:t xml:space="preserve">covenant forbearance based on milestones of restructuring. Appendix C shows </w:t>
      </w:r>
      <w:r w:rsidR="004F2C03" w:rsidRPr="00D42613">
        <w:rPr>
          <w:rFonts w:ascii="Arial" w:hAnsi="Arial" w:cs="Arial"/>
          <w:sz w:val="24"/>
          <w:szCs w:val="24"/>
        </w:rPr>
        <w:t>pro-forma</w:t>
      </w:r>
      <w:r w:rsidR="007A0BBE" w:rsidRPr="00D42613">
        <w:rPr>
          <w:rFonts w:ascii="Arial" w:hAnsi="Arial" w:cs="Arial"/>
          <w:sz w:val="24"/>
          <w:szCs w:val="24"/>
        </w:rPr>
        <w:t xml:space="preserve"> where a </w:t>
      </w:r>
      <w:r w:rsidR="004F2C03">
        <w:rPr>
          <w:rFonts w:ascii="Times New Roman" w:hAnsi="Times New Roman" w:cs="Times New Roman"/>
          <w:sz w:val="24"/>
          <w:szCs w:val="24"/>
        </w:rPr>
        <w:t>£</w:t>
      </w:r>
      <w:r w:rsidR="007A0BBE" w:rsidRPr="00D42613">
        <w:rPr>
          <w:rFonts w:ascii="Arial" w:hAnsi="Arial" w:cs="Arial"/>
          <w:sz w:val="24"/>
          <w:szCs w:val="24"/>
        </w:rPr>
        <w:t>22,966 million equity injection of 15 percent of the 2024 equity would significantly enhance the debt-to-equity ratios.</w:t>
      </w:r>
    </w:p>
    <w:p w14:paraId="4A4F9A71" w14:textId="77777777" w:rsidR="004F2C03" w:rsidRPr="004F2C03" w:rsidRDefault="004F2C03" w:rsidP="007A0BBE">
      <w:pPr>
        <w:spacing w:line="360" w:lineRule="auto"/>
        <w:jc w:val="both"/>
        <w:rPr>
          <w:rFonts w:ascii="Arial" w:hAnsi="Arial" w:cs="Arial"/>
          <w:b/>
          <w:bCs/>
          <w:sz w:val="24"/>
          <w:szCs w:val="24"/>
        </w:rPr>
      </w:pPr>
      <w:r w:rsidRPr="004F2C03">
        <w:rPr>
          <w:rFonts w:ascii="Arial" w:hAnsi="Arial" w:cs="Arial"/>
          <w:b/>
          <w:bCs/>
          <w:sz w:val="24"/>
          <w:szCs w:val="24"/>
        </w:rPr>
        <w:t>Option C: Strategic merger, joint venture or asset swap for scale and capability</w:t>
      </w:r>
    </w:p>
    <w:p w14:paraId="54CB2C14" w14:textId="77777777" w:rsidR="007A0BBE" w:rsidRPr="00D42613" w:rsidRDefault="007A0BBE" w:rsidP="007A0BBE">
      <w:pPr>
        <w:spacing w:line="360" w:lineRule="auto"/>
        <w:jc w:val="both"/>
        <w:rPr>
          <w:rFonts w:ascii="Arial" w:hAnsi="Arial" w:cs="Arial"/>
          <w:sz w:val="24"/>
          <w:szCs w:val="24"/>
        </w:rPr>
      </w:pPr>
      <w:r w:rsidRPr="00D42613">
        <w:rPr>
          <w:rFonts w:ascii="Arial" w:hAnsi="Arial" w:cs="Arial"/>
          <w:sz w:val="24"/>
          <w:szCs w:val="24"/>
        </w:rPr>
        <w:t>Strategic consolidation can re-establish economies of scale and competitiveness in industries where there is a high fixed cost and rapid innovation. Gaughan (2017) states that value can be generated during mergers and alliances due to cost synergies, joints in R&amp;D spending, and the increased distribution channels. In the case of General electronics, a business-unit level merger, joint venture or asset swap is a mechanism that can allow it to recreate scale without unnecessary capital expenditure.</w:t>
      </w:r>
    </w:p>
    <w:p w14:paraId="1166E1B2" w14:textId="77777777" w:rsidR="007A0BBE" w:rsidRPr="00D42613" w:rsidRDefault="007A0BBE" w:rsidP="007A0BBE">
      <w:pPr>
        <w:spacing w:line="360" w:lineRule="auto"/>
        <w:jc w:val="both"/>
        <w:rPr>
          <w:rFonts w:ascii="Arial" w:hAnsi="Arial" w:cs="Arial"/>
          <w:sz w:val="24"/>
          <w:szCs w:val="24"/>
        </w:rPr>
      </w:pPr>
      <w:r w:rsidRPr="00D42613">
        <w:rPr>
          <w:rFonts w:ascii="Arial" w:hAnsi="Arial" w:cs="Arial"/>
          <w:sz w:val="24"/>
          <w:szCs w:val="24"/>
        </w:rPr>
        <w:t>Implementation is to be on the bolt-on acquisitions or cooperative ventures with complementary regional players and not on large transformative mergers. Sudarsanam (2003) warns that high mergers in times of financial unhealth are very risky in terms of integration. Joint ventures or asset swaps that are structured ought to be prioritised in this regard with a due diligence on both synergies and integration costs being conducted.</w:t>
      </w:r>
    </w:p>
    <w:p w14:paraId="32ED28C1" w14:textId="356FF1B5" w:rsidR="007A0BBE" w:rsidRPr="00D42613" w:rsidRDefault="007A0BBE" w:rsidP="007A0BBE">
      <w:pPr>
        <w:spacing w:line="360" w:lineRule="auto"/>
        <w:jc w:val="both"/>
        <w:rPr>
          <w:rFonts w:ascii="Arial" w:hAnsi="Arial" w:cs="Arial"/>
          <w:sz w:val="24"/>
          <w:szCs w:val="24"/>
        </w:rPr>
      </w:pPr>
      <w:r w:rsidRPr="00D42613">
        <w:rPr>
          <w:rFonts w:ascii="Arial" w:hAnsi="Arial" w:cs="Arial"/>
          <w:sz w:val="24"/>
          <w:szCs w:val="24"/>
        </w:rPr>
        <w:t xml:space="preserve">Such arrangements can be used to increase future cash flows and shareholder value by accessing markets better and sharing capabilities, should they be successfully executed. </w:t>
      </w:r>
    </w:p>
    <w:p w14:paraId="4F414BB4" w14:textId="1701941D" w:rsidR="007A0BBE" w:rsidRPr="007A0BBE" w:rsidRDefault="007A0BBE" w:rsidP="007A0BBE">
      <w:pPr>
        <w:pStyle w:val="Heading2"/>
      </w:pPr>
      <w:bookmarkStart w:id="19" w:name="_Toc217260308"/>
      <w:r w:rsidRPr="007A0BBE">
        <w:t>3.3 Evaluating impact on shareholder value, debt structure and operational flexibility</w:t>
      </w:r>
      <w:bookmarkEnd w:id="19"/>
      <w:r w:rsidRPr="007A0BBE">
        <w:t xml:space="preserve"> </w:t>
      </w:r>
    </w:p>
    <w:p w14:paraId="337EA680" w14:textId="6C1EF23A" w:rsidR="007A0BBE" w:rsidRPr="007A0BBE" w:rsidRDefault="007A0BBE" w:rsidP="007A0BBE">
      <w:pPr>
        <w:spacing w:line="360" w:lineRule="auto"/>
        <w:jc w:val="both"/>
        <w:rPr>
          <w:rFonts w:ascii="Arial" w:hAnsi="Arial" w:cs="Arial"/>
          <w:sz w:val="24"/>
          <w:szCs w:val="24"/>
        </w:rPr>
      </w:pPr>
      <w:r>
        <w:rPr>
          <w:rFonts w:ascii="Arial" w:hAnsi="Arial" w:cs="Arial"/>
          <w:sz w:val="24"/>
          <w:szCs w:val="24"/>
        </w:rPr>
        <w:t>From the aspect of</w:t>
      </w:r>
      <w:r w:rsidRPr="00D42613">
        <w:rPr>
          <w:rFonts w:ascii="Arial" w:hAnsi="Arial" w:cs="Arial"/>
          <w:sz w:val="24"/>
          <w:szCs w:val="24"/>
        </w:rPr>
        <w:t xml:space="preserve"> shareholder value, </w:t>
      </w:r>
      <w:r w:rsidRPr="007A0BBE">
        <w:rPr>
          <w:rFonts w:ascii="Arial" w:hAnsi="Arial" w:cs="Arial"/>
          <w:sz w:val="24"/>
          <w:szCs w:val="24"/>
        </w:rPr>
        <w:t>divestiture and debt reduction is usually value-neutral since it reduces the risk of bankruptcy. According to Gomers et al. (2010), equity injections can be net-positive, despite the fact that they dilute ownership, as they can be used to avoid insolvency. Strategic alliances can be value-accretive where the synergies are greater than the integration costs but not always the case (Sudarsanam, 2003).</w:t>
      </w:r>
    </w:p>
    <w:p w14:paraId="7D337892" w14:textId="7912124D" w:rsidR="007A0BBE" w:rsidRPr="007A0BBE" w:rsidRDefault="007A0BBE" w:rsidP="007A0BBE">
      <w:pPr>
        <w:spacing w:line="360" w:lineRule="auto"/>
        <w:jc w:val="both"/>
        <w:rPr>
          <w:rFonts w:ascii="Arial" w:hAnsi="Arial" w:cs="Arial"/>
          <w:sz w:val="24"/>
          <w:szCs w:val="24"/>
        </w:rPr>
      </w:pPr>
      <w:r w:rsidRPr="007A0BBE">
        <w:rPr>
          <w:rFonts w:ascii="Arial" w:hAnsi="Arial" w:cs="Arial"/>
          <w:sz w:val="24"/>
          <w:szCs w:val="24"/>
        </w:rPr>
        <w:t xml:space="preserve">Regarding debt structure, divestiture proceeds and equity infusion decrease leverage, as well as, enhance interest coverage, whereas debt re-profiling reduces rollover risk and increases maturities. Berk and DeMarzo (2020) assert that maturity extension reduces </w:t>
      </w:r>
      <w:r w:rsidRPr="007A0BBE">
        <w:rPr>
          <w:rFonts w:ascii="Arial" w:hAnsi="Arial" w:cs="Arial"/>
          <w:sz w:val="24"/>
          <w:szCs w:val="24"/>
        </w:rPr>
        <w:lastRenderedPageBreak/>
        <w:t>the liquidity risk despite the same nominal debt levels. Appendix C illustrates the quantitative gains of operating within the proposed restructuring package.</w:t>
      </w:r>
    </w:p>
    <w:p w14:paraId="3484FB49" w14:textId="1C529A0D" w:rsidR="007A0BBE" w:rsidRPr="00D42613" w:rsidRDefault="007A0BBE" w:rsidP="007A0BBE">
      <w:pPr>
        <w:spacing w:line="360" w:lineRule="auto"/>
        <w:jc w:val="both"/>
        <w:rPr>
          <w:rFonts w:ascii="Arial" w:hAnsi="Arial" w:cs="Arial"/>
          <w:sz w:val="24"/>
          <w:szCs w:val="24"/>
        </w:rPr>
      </w:pPr>
      <w:r w:rsidRPr="007A0BBE">
        <w:rPr>
          <w:rFonts w:ascii="Arial" w:hAnsi="Arial" w:cs="Arial"/>
          <w:sz w:val="24"/>
          <w:szCs w:val="24"/>
        </w:rPr>
        <w:t>There is also the influence on operational flexibility. Divestitures increase the sharpness of management focus at the cost of scale, whereas the equity capital funds both working capital and investment requirements</w:t>
      </w:r>
      <w:r w:rsidR="002178FF">
        <w:rPr>
          <w:rFonts w:ascii="Arial" w:hAnsi="Arial" w:cs="Arial"/>
          <w:sz w:val="24"/>
          <w:szCs w:val="24"/>
        </w:rPr>
        <w:t xml:space="preserve"> </w:t>
      </w:r>
      <w:r w:rsidRPr="007A0BBE">
        <w:rPr>
          <w:rFonts w:ascii="Arial" w:hAnsi="Arial" w:cs="Arial"/>
          <w:sz w:val="24"/>
          <w:szCs w:val="24"/>
        </w:rPr>
        <w:t>(Kay, 2005).</w:t>
      </w:r>
    </w:p>
    <w:p w14:paraId="6CA8E1D4" w14:textId="39CD1401" w:rsidR="007A0BBE" w:rsidRPr="00D42613" w:rsidRDefault="007A0BBE" w:rsidP="007A0BBE">
      <w:pPr>
        <w:pStyle w:val="Heading2"/>
      </w:pPr>
      <w:bookmarkStart w:id="20" w:name="_Toc217260309"/>
      <w:r w:rsidRPr="00D42613">
        <w:t>3.4 International and ethical implications</w:t>
      </w:r>
      <w:bookmarkEnd w:id="20"/>
    </w:p>
    <w:p w14:paraId="60264A00" w14:textId="7CEF43AF" w:rsidR="004F2C03" w:rsidRPr="004F2C03" w:rsidRDefault="004F2C03" w:rsidP="004F2C03">
      <w:pPr>
        <w:spacing w:line="360" w:lineRule="auto"/>
        <w:jc w:val="both"/>
        <w:rPr>
          <w:rFonts w:ascii="Arial" w:hAnsi="Arial" w:cs="Arial"/>
          <w:sz w:val="24"/>
          <w:szCs w:val="24"/>
        </w:rPr>
      </w:pPr>
      <w:r w:rsidRPr="004F2C03">
        <w:rPr>
          <w:rFonts w:ascii="Arial" w:hAnsi="Arial" w:cs="Arial"/>
          <w:sz w:val="24"/>
          <w:szCs w:val="24"/>
        </w:rPr>
        <w:t>International restructuring adds more tax, currency and regulatory complexities. The OECD recommendations on Base Erosion and Profit Shifting state that when a divestiture or capital injection is made across borders, the transaction should reduce negative tax implications, but still be in line with the provisions of transfer pricing. Local legal advice and without the aggressive use of tax avoidance, advance tax ruling can decrease withholding tax exposure.</w:t>
      </w:r>
    </w:p>
    <w:p w14:paraId="4F895B3C" w14:textId="28914570" w:rsidR="004F2C03" w:rsidRPr="004F2C03" w:rsidRDefault="004F2C03" w:rsidP="004F2C03">
      <w:pPr>
        <w:spacing w:line="360" w:lineRule="auto"/>
        <w:jc w:val="both"/>
        <w:rPr>
          <w:rFonts w:ascii="Arial" w:hAnsi="Arial" w:cs="Arial"/>
          <w:sz w:val="24"/>
          <w:szCs w:val="24"/>
        </w:rPr>
      </w:pPr>
      <w:r w:rsidRPr="004F2C03">
        <w:rPr>
          <w:rFonts w:ascii="Arial" w:hAnsi="Arial" w:cs="Arial"/>
          <w:sz w:val="24"/>
          <w:szCs w:val="24"/>
        </w:rPr>
        <w:t>There are also currency risk and inflationary pressures that have to be taken care of. IMF (2022) emphasizes that the effect of exchange rate volatility can be significant on the restructuring results of the debt and cash flows that are denominated in other currencies. The inflation-linked cost stress-testing and hedging strategies should therefore be introduced.</w:t>
      </w:r>
    </w:p>
    <w:p w14:paraId="5335CD4E" w14:textId="6821969A" w:rsidR="004F2C03" w:rsidRDefault="004F2C03" w:rsidP="004F2C03">
      <w:pPr>
        <w:spacing w:line="360" w:lineRule="auto"/>
        <w:jc w:val="both"/>
        <w:rPr>
          <w:rFonts w:ascii="Arial" w:hAnsi="Arial" w:cs="Arial"/>
          <w:sz w:val="24"/>
          <w:szCs w:val="24"/>
        </w:rPr>
      </w:pPr>
      <w:r w:rsidRPr="004F2C03">
        <w:rPr>
          <w:rFonts w:ascii="Arial" w:hAnsi="Arial" w:cs="Arial"/>
          <w:sz w:val="24"/>
          <w:szCs w:val="24"/>
        </w:rPr>
        <w:t xml:space="preserve">Ethical considerations are always at the centre stage. Freeman et al. (2010) suggest that to be responsible in restructuring, the company must engage its stakeholders clearly and treat its workforce justly. In the case of asset sales where there is a manufacturing facility, the environmental and community impact would to be taken care of. </w:t>
      </w:r>
    </w:p>
    <w:p w14:paraId="2AD3BD18" w14:textId="39DD59BE" w:rsidR="007A0BBE" w:rsidRPr="00D42613" w:rsidRDefault="007A0BBE" w:rsidP="007A0BBE">
      <w:pPr>
        <w:pStyle w:val="Heading2"/>
        <w:rPr>
          <w:rFonts w:cs="Arial"/>
          <w:sz w:val="24"/>
          <w:szCs w:val="24"/>
        </w:rPr>
      </w:pPr>
      <w:bookmarkStart w:id="21" w:name="_Toc217260310"/>
      <w:r w:rsidRPr="00D42613">
        <w:rPr>
          <w:rFonts w:cs="Arial"/>
          <w:sz w:val="24"/>
          <w:szCs w:val="24"/>
        </w:rPr>
        <w:t xml:space="preserve">3.5 </w:t>
      </w:r>
      <w:r>
        <w:rPr>
          <w:rFonts w:cs="Arial"/>
          <w:sz w:val="24"/>
          <w:szCs w:val="24"/>
        </w:rPr>
        <w:t>I</w:t>
      </w:r>
      <w:r>
        <w:t>mplementation roadmap and metrics</w:t>
      </w:r>
      <w:bookmarkEnd w:id="21"/>
      <w:r>
        <w:t xml:space="preserve"> </w:t>
      </w:r>
    </w:p>
    <w:p w14:paraId="51D43B53" w14:textId="07F68D59" w:rsidR="004F2C03" w:rsidRPr="004F2C03" w:rsidRDefault="004F2C03" w:rsidP="004F2C03">
      <w:pPr>
        <w:spacing w:line="360" w:lineRule="auto"/>
        <w:jc w:val="both"/>
        <w:rPr>
          <w:rFonts w:ascii="Arial" w:hAnsi="Arial" w:cs="Arial"/>
          <w:sz w:val="24"/>
          <w:szCs w:val="24"/>
        </w:rPr>
      </w:pPr>
      <w:r w:rsidRPr="004F2C03">
        <w:rPr>
          <w:rFonts w:ascii="Arial" w:hAnsi="Arial" w:cs="Arial"/>
          <w:sz w:val="24"/>
          <w:szCs w:val="24"/>
        </w:rPr>
        <w:t xml:space="preserve">The execution of the implementation must be </w:t>
      </w:r>
      <w:r>
        <w:rPr>
          <w:rFonts w:ascii="Arial" w:hAnsi="Arial" w:cs="Arial"/>
          <w:sz w:val="24"/>
          <w:szCs w:val="24"/>
        </w:rPr>
        <w:t>done</w:t>
      </w:r>
      <w:r w:rsidRPr="004F2C03">
        <w:rPr>
          <w:rFonts w:ascii="Arial" w:hAnsi="Arial" w:cs="Arial"/>
          <w:sz w:val="24"/>
          <w:szCs w:val="24"/>
        </w:rPr>
        <w:t xml:space="preserve"> to </w:t>
      </w:r>
      <w:r>
        <w:rPr>
          <w:rFonts w:ascii="Arial" w:hAnsi="Arial" w:cs="Arial"/>
          <w:sz w:val="24"/>
          <w:szCs w:val="24"/>
        </w:rPr>
        <w:t>mantain</w:t>
      </w:r>
      <w:r w:rsidRPr="004F2C03">
        <w:rPr>
          <w:rFonts w:ascii="Arial" w:hAnsi="Arial" w:cs="Arial"/>
          <w:sz w:val="24"/>
          <w:szCs w:val="24"/>
        </w:rPr>
        <w:t xml:space="preserve"> a balance of urgency and capacity to execute. The liquidity indicators during the first stage should focus on the debt forbearance negotiations, launching of divestitures, and the preparation of an equity rights issue. As Higgins (2012) says, confidence in liquidity stabilisation is necessary at an early stage.</w:t>
      </w:r>
    </w:p>
    <w:p w14:paraId="6EAD1110" w14:textId="730FA59F" w:rsidR="004F2C03" w:rsidRDefault="004F2C03" w:rsidP="004F2C03">
      <w:pPr>
        <w:spacing w:line="360" w:lineRule="auto"/>
        <w:jc w:val="both"/>
        <w:rPr>
          <w:rFonts w:ascii="Arial" w:hAnsi="Arial" w:cs="Arial"/>
          <w:sz w:val="24"/>
          <w:szCs w:val="24"/>
        </w:rPr>
      </w:pPr>
      <w:r w:rsidRPr="004F2C03">
        <w:rPr>
          <w:rFonts w:ascii="Arial" w:hAnsi="Arial" w:cs="Arial"/>
          <w:sz w:val="24"/>
          <w:szCs w:val="24"/>
        </w:rPr>
        <w:lastRenderedPageBreak/>
        <w:t xml:space="preserve">The second step ought to be aimed at the closing of divestitures, implementation of the equity </w:t>
      </w:r>
      <w:r w:rsidR="00561671" w:rsidRPr="004F2C03">
        <w:rPr>
          <w:rFonts w:ascii="Arial" w:hAnsi="Arial" w:cs="Arial"/>
          <w:sz w:val="24"/>
          <w:szCs w:val="24"/>
        </w:rPr>
        <w:t>raises</w:t>
      </w:r>
      <w:r w:rsidRPr="004F2C03">
        <w:rPr>
          <w:rFonts w:ascii="Arial" w:hAnsi="Arial" w:cs="Arial"/>
          <w:sz w:val="24"/>
          <w:szCs w:val="24"/>
        </w:rPr>
        <w:t xml:space="preserve">, re-profiling of the debt and joint venture discussions. The focus of the last phase is integration, capital investment in main product lines, and the performance of the key indicators, </w:t>
      </w:r>
      <w:r w:rsidR="00561671">
        <w:rPr>
          <w:rFonts w:ascii="Arial" w:hAnsi="Arial" w:cs="Arial"/>
          <w:sz w:val="24"/>
          <w:szCs w:val="24"/>
        </w:rPr>
        <w:t>such as</w:t>
      </w:r>
      <w:r w:rsidRPr="004F2C03">
        <w:rPr>
          <w:rFonts w:ascii="Arial" w:hAnsi="Arial" w:cs="Arial"/>
          <w:sz w:val="24"/>
          <w:szCs w:val="24"/>
        </w:rPr>
        <w:t xml:space="preserve"> the working capital days, interest coverage, which exceeds three times and the debt to capital which is less than 50 per cent. Accountability is also guaranteed by regular reporting (Berk and DeMarzo, 2020).</w:t>
      </w:r>
    </w:p>
    <w:p w14:paraId="5C322A01" w14:textId="0C40E182" w:rsidR="00871311" w:rsidRPr="00922363" w:rsidRDefault="00871311" w:rsidP="00A463C3">
      <w:pPr>
        <w:pStyle w:val="Heading1"/>
      </w:pPr>
      <w:bookmarkStart w:id="22" w:name="_Toc217260311"/>
      <w:r w:rsidRPr="00922363">
        <w:t>4.</w:t>
      </w:r>
      <w:r w:rsidR="00922363">
        <w:t>0</w:t>
      </w:r>
      <w:r w:rsidRPr="00922363">
        <w:t xml:space="preserve"> Investment </w:t>
      </w:r>
      <w:r w:rsidRPr="00A463C3">
        <w:t>Appraisal</w:t>
      </w:r>
      <w:r w:rsidRPr="00922363">
        <w:t xml:space="preserve"> and Capital Budgeting of General Electronics</w:t>
      </w:r>
      <w:bookmarkEnd w:id="22"/>
    </w:p>
    <w:p w14:paraId="7E7726BA" w14:textId="059C3F96" w:rsidR="00A463C3" w:rsidRPr="00A463C3" w:rsidRDefault="00A463C3" w:rsidP="00A463C3">
      <w:pPr>
        <w:pStyle w:val="Heading2"/>
      </w:pPr>
      <w:bookmarkStart w:id="23" w:name="_Toc217260312"/>
      <w:r w:rsidRPr="00A463C3">
        <w:t>4.</w:t>
      </w:r>
      <w:r w:rsidR="0011391F">
        <w:t>1</w:t>
      </w:r>
      <w:r w:rsidRPr="00A463C3">
        <w:t xml:space="preserve"> Project Details and Assumptions</w:t>
      </w:r>
      <w:bookmarkEnd w:id="23"/>
    </w:p>
    <w:p w14:paraId="25795141" w14:textId="675E1103" w:rsidR="00A463C3" w:rsidRPr="00A463C3" w:rsidRDefault="00A463C3" w:rsidP="00A463C3">
      <w:pPr>
        <w:pStyle w:val="NormalWeb"/>
        <w:spacing w:line="360" w:lineRule="auto"/>
        <w:jc w:val="both"/>
        <w:rPr>
          <w:rFonts w:ascii="Arial" w:hAnsi="Arial" w:cs="Arial"/>
        </w:rPr>
      </w:pPr>
      <w:r w:rsidRPr="00A463C3">
        <w:rPr>
          <w:rFonts w:ascii="Arial" w:hAnsi="Arial" w:cs="Arial"/>
        </w:rPr>
        <w:t>There are three mutually exclusive projects considering five years life and different cash flow profiles. The discount rate will be 10 percent which is a low estimate of the cost of capital of the firm since it is highly leveraged and operating profitability is decreasing as demonstrated earlier. It is assumed that there is a linear depreciation to zero and all net cash inflows are pre-tax, which is in line with the assignment brief.</w:t>
      </w:r>
      <w:r w:rsidR="00AA622A">
        <w:rPr>
          <w:rFonts w:ascii="Arial" w:hAnsi="Arial" w:cs="Arial"/>
        </w:rPr>
        <w:t xml:space="preserve"> </w:t>
      </w:r>
      <w:r w:rsidRPr="00A463C3">
        <w:rPr>
          <w:rFonts w:ascii="Arial" w:hAnsi="Arial" w:cs="Arial"/>
        </w:rPr>
        <w:t xml:space="preserve">Capital rationing will limit total investment spending to </w:t>
      </w:r>
      <w:r w:rsidR="00AA622A">
        <w:t>£</w:t>
      </w:r>
      <w:r w:rsidRPr="00A463C3">
        <w:rPr>
          <w:rFonts w:ascii="Arial" w:hAnsi="Arial" w:cs="Arial"/>
        </w:rPr>
        <w:t>60 million, which is a reflection of the liquidity constraint situation of the firm and the inability to obtain more finance without the risk of more adverse financial impact.</w:t>
      </w:r>
    </w:p>
    <w:p w14:paraId="3A2F03A1" w14:textId="71FA75B9" w:rsidR="00A463C3" w:rsidRPr="00A463C3" w:rsidRDefault="00A463C3" w:rsidP="00A463C3">
      <w:pPr>
        <w:pStyle w:val="Heading2"/>
      </w:pPr>
      <w:bookmarkStart w:id="24" w:name="_Toc217260313"/>
      <w:r w:rsidRPr="00A463C3">
        <w:t>4.</w:t>
      </w:r>
      <w:r w:rsidR="0011391F">
        <w:t>2</w:t>
      </w:r>
      <w:r w:rsidRPr="00A463C3">
        <w:t xml:space="preserve"> Payback Period (PBP)</w:t>
      </w:r>
      <w:bookmarkEnd w:id="24"/>
    </w:p>
    <w:p w14:paraId="148E2328" w14:textId="1B23A65E" w:rsidR="00A463C3" w:rsidRPr="00A463C3" w:rsidRDefault="00A463C3" w:rsidP="00A463C3">
      <w:pPr>
        <w:pStyle w:val="NormalWeb"/>
        <w:spacing w:line="360" w:lineRule="auto"/>
        <w:jc w:val="both"/>
        <w:rPr>
          <w:rFonts w:ascii="Arial" w:hAnsi="Arial" w:cs="Arial"/>
        </w:rPr>
      </w:pPr>
      <w:r w:rsidRPr="00A463C3">
        <w:rPr>
          <w:rFonts w:ascii="Arial" w:hAnsi="Arial" w:cs="Arial"/>
        </w:rPr>
        <w:t>The Payback Period is the duration of time it takes to pay back the initial investment of the cumulative cash inflows. Despite the neglect of the time value of money and post-payback returns, PBP is applicable to the firms with liquidity constraints like General Electronics due to decreasing cash ratios and coverage of the operating cash flow during the last several years.</w:t>
      </w:r>
      <w:r w:rsidR="00AA622A">
        <w:rPr>
          <w:rFonts w:ascii="Arial" w:hAnsi="Arial" w:cs="Arial"/>
        </w:rPr>
        <w:t xml:space="preserve"> </w:t>
      </w:r>
      <w:r w:rsidRPr="00A463C3">
        <w:rPr>
          <w:rFonts w:ascii="Arial" w:hAnsi="Arial" w:cs="Arial"/>
        </w:rPr>
        <w:t>The payback period of Project A, Project C, and Project B will be around 3.4, 3.6, and five years respectively, based on the cumulative cash flow analysis (Appendix D, Table D1). Out of the liquidity point of view, Projects A and C are a better choice compared to Project B, which releases capital at a reduced rate and it is not prone to a long-term cash lock-in. Nevertheless, it will not be appropriate to rely on PBP only as it does not consider the value creation after the payback point.</w:t>
      </w:r>
    </w:p>
    <w:p w14:paraId="2BE77FA3" w14:textId="64BB79C3" w:rsidR="00A463C3" w:rsidRPr="00A463C3" w:rsidRDefault="00A463C3" w:rsidP="00A463C3">
      <w:pPr>
        <w:pStyle w:val="Heading2"/>
      </w:pPr>
      <w:bookmarkStart w:id="25" w:name="_Toc217260314"/>
      <w:r w:rsidRPr="00A463C3">
        <w:lastRenderedPageBreak/>
        <w:t>4.</w:t>
      </w:r>
      <w:r w:rsidR="0011391F">
        <w:t>3</w:t>
      </w:r>
      <w:r w:rsidRPr="00A463C3">
        <w:t xml:space="preserve"> Accounting rate of Return (ARR)</w:t>
      </w:r>
      <w:bookmarkEnd w:id="25"/>
    </w:p>
    <w:p w14:paraId="209B646D" w14:textId="2D22472F" w:rsidR="00A463C3" w:rsidRPr="00A463C3" w:rsidRDefault="00A463C3" w:rsidP="00A463C3">
      <w:pPr>
        <w:pStyle w:val="NormalWeb"/>
        <w:spacing w:line="360" w:lineRule="auto"/>
        <w:jc w:val="both"/>
        <w:rPr>
          <w:rFonts w:ascii="Arial" w:hAnsi="Arial" w:cs="Arial"/>
        </w:rPr>
      </w:pPr>
      <w:r w:rsidRPr="00A463C3">
        <w:rPr>
          <w:rFonts w:ascii="Arial" w:hAnsi="Arial" w:cs="Arial"/>
        </w:rPr>
        <w:t>ARR evaluates the annual accounting profit averaging on initial investment and gives an insight on how projects affect reported profitability. This applies to General Electronics which has registered operating losses over the past years and is under pressure to regain investor/lender confidence in its earnings.</w:t>
      </w:r>
      <w:r w:rsidR="00AA622A">
        <w:rPr>
          <w:rFonts w:ascii="Arial" w:hAnsi="Arial" w:cs="Arial"/>
        </w:rPr>
        <w:t xml:space="preserve"> </w:t>
      </w:r>
      <w:r w:rsidRPr="00A463C3">
        <w:rPr>
          <w:rFonts w:ascii="Arial" w:hAnsi="Arial" w:cs="Arial"/>
        </w:rPr>
        <w:t>Project C is the one that generates the greatest ARR of approximately 10 percent followed by Project A of about 7 percent as shown in Appendix D. Project B produces an ARR of zero, as inflows of cash annually just cover up depreciation. These findings show that Project C has the highest support of recovery of profits whereas Project B would not add anything to the recovery of profits. But the fact that ARR relies on accounting profit and ignores the timing effects makes it not useful as a primary decision tool.</w:t>
      </w:r>
    </w:p>
    <w:p w14:paraId="046875F4" w14:textId="031D5C49" w:rsidR="00A463C3" w:rsidRPr="00A463C3" w:rsidRDefault="00A463C3" w:rsidP="00A463C3">
      <w:pPr>
        <w:pStyle w:val="Heading2"/>
      </w:pPr>
      <w:bookmarkStart w:id="26" w:name="_Toc217260315"/>
      <w:r w:rsidRPr="00A463C3">
        <w:t>4.</w:t>
      </w:r>
      <w:r w:rsidR="0011391F">
        <w:t>4</w:t>
      </w:r>
      <w:r w:rsidRPr="00A463C3">
        <w:t xml:space="preserve"> Net Present Value (NPV)</w:t>
      </w:r>
      <w:bookmarkEnd w:id="26"/>
    </w:p>
    <w:p w14:paraId="3681C8A4" w14:textId="77777777" w:rsidR="00A463C3" w:rsidRPr="00A463C3" w:rsidRDefault="00A463C3" w:rsidP="00A463C3">
      <w:pPr>
        <w:pStyle w:val="NormalWeb"/>
        <w:spacing w:line="360" w:lineRule="auto"/>
        <w:jc w:val="both"/>
        <w:rPr>
          <w:rFonts w:ascii="Arial" w:hAnsi="Arial" w:cs="Arial"/>
        </w:rPr>
      </w:pPr>
      <w:r w:rsidRPr="00A463C3">
        <w:rPr>
          <w:rFonts w:ascii="Arial" w:hAnsi="Arial" w:cs="Arial"/>
        </w:rPr>
        <w:t>The most conceptually sound method in appraisal is Net Present Value because cash flows over time into the shareholder wealth are quantified with a discount provided to the level of discount needed (Berk and DeMarzo, 2020).</w:t>
      </w:r>
    </w:p>
    <w:p w14:paraId="568EE84A" w14:textId="3AA04159" w:rsidR="00A463C3" w:rsidRPr="00A463C3" w:rsidRDefault="00A463C3" w:rsidP="00A463C3">
      <w:pPr>
        <w:pStyle w:val="NormalWeb"/>
        <w:spacing w:line="360" w:lineRule="auto"/>
        <w:jc w:val="both"/>
        <w:rPr>
          <w:rFonts w:ascii="Arial" w:hAnsi="Arial" w:cs="Arial"/>
        </w:rPr>
      </w:pPr>
      <w:r w:rsidRPr="00A463C3">
        <w:rPr>
          <w:rFonts w:ascii="Arial" w:hAnsi="Arial" w:cs="Arial"/>
        </w:rPr>
        <w:t>At a discount rate of 10 percent, the discounted cash flow analysis (Appendix D, Table D2) indicates that the Project C provides a positive NPV of</w:t>
      </w:r>
      <w:r w:rsidR="00AA622A">
        <w:rPr>
          <w:rFonts w:ascii="Arial" w:hAnsi="Arial" w:cs="Arial"/>
        </w:rPr>
        <w:t xml:space="preserve"> </w:t>
      </w:r>
      <w:r w:rsidR="00AA622A">
        <w:t>£</w:t>
      </w:r>
      <w:r w:rsidRPr="00A463C3">
        <w:rPr>
          <w:rFonts w:ascii="Arial" w:hAnsi="Arial" w:cs="Arial"/>
        </w:rPr>
        <w:t>21.28 million which is significant. Project A has a positive, albeit small NPV in PS1.92 million whereas Project B has a negative (albeit slightly negative) NPV. These outcomes show that Projects A and C only generate value, but Project C does it by far.</w:t>
      </w:r>
      <w:r w:rsidR="00AA622A">
        <w:rPr>
          <w:rFonts w:ascii="Arial" w:hAnsi="Arial" w:cs="Arial"/>
        </w:rPr>
        <w:t xml:space="preserve"> </w:t>
      </w:r>
      <w:r w:rsidRPr="00A463C3">
        <w:rPr>
          <w:rFonts w:ascii="Arial" w:hAnsi="Arial" w:cs="Arial"/>
        </w:rPr>
        <w:t>Since the equity base of General Electronics is declining and the risk of distress is high, it is crucial to concentrate on the projects that have high positive NPV ranges to stabilise the value of the firm and regain financial health.</w:t>
      </w:r>
    </w:p>
    <w:p w14:paraId="43723EB7" w14:textId="38AF52E8" w:rsidR="00A463C3" w:rsidRPr="00A463C3" w:rsidRDefault="00A463C3" w:rsidP="00A463C3">
      <w:pPr>
        <w:pStyle w:val="Heading2"/>
      </w:pPr>
      <w:bookmarkStart w:id="27" w:name="_Toc217260316"/>
      <w:r w:rsidRPr="00A463C3">
        <w:t>4.</w:t>
      </w:r>
      <w:r w:rsidR="0011391F">
        <w:t>5</w:t>
      </w:r>
      <w:r w:rsidRPr="00A463C3">
        <w:t xml:space="preserve"> Profitability Index (PI)</w:t>
      </w:r>
      <w:bookmarkEnd w:id="27"/>
    </w:p>
    <w:p w14:paraId="036BC263" w14:textId="459FE12A" w:rsidR="00A463C3" w:rsidRPr="00A463C3" w:rsidRDefault="00A463C3" w:rsidP="00A463C3">
      <w:pPr>
        <w:pStyle w:val="NormalWeb"/>
        <w:spacing w:line="360" w:lineRule="auto"/>
        <w:jc w:val="both"/>
        <w:rPr>
          <w:rFonts w:ascii="Arial" w:hAnsi="Arial" w:cs="Arial"/>
        </w:rPr>
      </w:pPr>
      <w:r w:rsidRPr="00A463C3">
        <w:rPr>
          <w:rFonts w:ascii="Arial" w:hAnsi="Arial" w:cs="Arial"/>
        </w:rPr>
        <w:t xml:space="preserve">Profitability Index is an indicator of value creation per pound of the investment and is also very handy when the conditions are capital rationing (Peterson and Fabozzi, 2019). Project C has PI of 1.426 as indicated in Appendix D, which is far much better compared to the marginal PI of 1.048 of Project A. The PI of Project B is less than unity, and it proves </w:t>
      </w:r>
      <w:r w:rsidRPr="00A463C3">
        <w:rPr>
          <w:rFonts w:ascii="Arial" w:hAnsi="Arial" w:cs="Arial"/>
        </w:rPr>
        <w:lastRenderedPageBreak/>
        <w:t>that it kills value.</w:t>
      </w:r>
      <w:r w:rsidR="00AA622A">
        <w:rPr>
          <w:rFonts w:ascii="Arial" w:hAnsi="Arial" w:cs="Arial"/>
        </w:rPr>
        <w:t xml:space="preserve"> </w:t>
      </w:r>
      <w:r w:rsidRPr="00A463C3">
        <w:rPr>
          <w:rFonts w:ascii="Arial" w:hAnsi="Arial" w:cs="Arial"/>
        </w:rPr>
        <w:t>With capital constraints, it is apparent that Project C is superior because it maximises the creation of absolute and relative values. This is particularly significant to General Electronics that does not have the financial leeway to finance various projects or absorb unfavorable investment performance.</w:t>
      </w:r>
    </w:p>
    <w:p w14:paraId="580CEF6F" w14:textId="29BE990F" w:rsidR="00A463C3" w:rsidRPr="00A463C3" w:rsidRDefault="00A463C3" w:rsidP="00A463C3">
      <w:pPr>
        <w:pStyle w:val="Heading2"/>
      </w:pPr>
      <w:bookmarkStart w:id="28" w:name="_Toc217260317"/>
      <w:r w:rsidRPr="00A463C3">
        <w:t>4.</w:t>
      </w:r>
      <w:r w:rsidR="0011391F">
        <w:t>6</w:t>
      </w:r>
      <w:r w:rsidRPr="00A463C3">
        <w:t xml:space="preserve"> Internal Rate of Return (IRR)</w:t>
      </w:r>
      <w:bookmarkEnd w:id="28"/>
    </w:p>
    <w:p w14:paraId="56753CCA" w14:textId="5D527D42" w:rsidR="00A463C3" w:rsidRPr="00A463C3" w:rsidRDefault="00A463C3" w:rsidP="00A463C3">
      <w:pPr>
        <w:pStyle w:val="NormalWeb"/>
        <w:spacing w:line="360" w:lineRule="auto"/>
        <w:jc w:val="both"/>
        <w:rPr>
          <w:rFonts w:ascii="Arial" w:hAnsi="Arial" w:cs="Arial"/>
        </w:rPr>
      </w:pPr>
      <w:r w:rsidRPr="00A463C3">
        <w:rPr>
          <w:rFonts w:ascii="Arial" w:hAnsi="Arial" w:cs="Arial"/>
        </w:rPr>
        <w:t>Internal rate of return is the discount rate, which makes NPV equal to zero, and it is commonly referred to as a proxy of risk-adjusted return. The estimates of IRR (Appendix D, Table D3) indicate that Project C could give an IRR of about 28.6 percent which is way higher than the cost of capital 10 percent. Project A has a slightly higher IRR than the hurdle rate whereas in B, the IRR of the project is lower than the hurdle rate.</w:t>
      </w:r>
      <w:r w:rsidR="00AA622A">
        <w:rPr>
          <w:rFonts w:ascii="Arial" w:hAnsi="Arial" w:cs="Arial"/>
        </w:rPr>
        <w:t xml:space="preserve"> </w:t>
      </w:r>
      <w:r w:rsidRPr="00A463C3">
        <w:rPr>
          <w:rFonts w:ascii="Arial" w:hAnsi="Arial" w:cs="Arial"/>
        </w:rPr>
        <w:t>The high difference between the Project C IRR and the cost of capital gives a significant anti-forecasting error, cost overrun, or market negative spillover margin, which is relevant since General Electronics has a weak financial profile.</w:t>
      </w:r>
    </w:p>
    <w:p w14:paraId="7A4F4CBB" w14:textId="5019333F" w:rsidR="00A463C3" w:rsidRPr="00A463C3" w:rsidRDefault="00A463C3" w:rsidP="00A463C3">
      <w:pPr>
        <w:pStyle w:val="Heading2"/>
      </w:pPr>
      <w:bookmarkStart w:id="29" w:name="_Toc217260318"/>
      <w:r w:rsidRPr="00A463C3">
        <w:t>4.</w:t>
      </w:r>
      <w:r w:rsidR="0011391F">
        <w:t>7</w:t>
      </w:r>
      <w:r w:rsidRPr="00A463C3">
        <w:t xml:space="preserve"> Capital Rationing and Project Selection</w:t>
      </w:r>
      <w:bookmarkEnd w:id="29"/>
    </w:p>
    <w:p w14:paraId="197B48A0" w14:textId="41CEEE7E" w:rsidR="00A463C3" w:rsidRDefault="00A463C3" w:rsidP="00A463C3">
      <w:pPr>
        <w:pStyle w:val="NormalWeb"/>
        <w:spacing w:line="360" w:lineRule="auto"/>
        <w:jc w:val="both"/>
        <w:rPr>
          <w:rFonts w:ascii="Arial" w:hAnsi="Arial" w:cs="Arial"/>
        </w:rPr>
      </w:pPr>
      <w:r w:rsidRPr="00A463C3">
        <w:rPr>
          <w:rFonts w:ascii="Arial" w:hAnsi="Arial" w:cs="Arial"/>
        </w:rPr>
        <w:t xml:space="preserve">General Electronics is not in a position to take up more than a single project due to their maximum investment capacity of </w:t>
      </w:r>
      <w:r w:rsidR="00AA622A">
        <w:t>£</w:t>
      </w:r>
      <w:r w:rsidRPr="00A463C3">
        <w:rPr>
          <w:rFonts w:ascii="Arial" w:hAnsi="Arial" w:cs="Arial"/>
        </w:rPr>
        <w:t>60 million. A combination of any two projects is above the capital constraint. As a result, the company will have to pick the individual project that would contribute to value addition, liquidity recovery, and financial stability the most.</w:t>
      </w:r>
      <w:r w:rsidR="00AA622A">
        <w:rPr>
          <w:rFonts w:ascii="Arial" w:hAnsi="Arial" w:cs="Arial"/>
        </w:rPr>
        <w:t xml:space="preserve"> </w:t>
      </w:r>
      <w:r w:rsidRPr="00A463C3">
        <w:rPr>
          <w:rFonts w:ascii="Arial" w:hAnsi="Arial" w:cs="Arial"/>
        </w:rPr>
        <w:t xml:space="preserve">Project C a </w:t>
      </w:r>
      <w:r w:rsidR="00AA622A">
        <w:t>£</w:t>
      </w:r>
      <w:r w:rsidRPr="00A463C3">
        <w:rPr>
          <w:rFonts w:ascii="Arial" w:hAnsi="Arial" w:cs="Arial"/>
        </w:rPr>
        <w:t>50 million project is the only project that falls within the limit of the capital in addition to providing better performance in terms of NPV, PI, ARR and IRR. Projects A and B do not generate enough value or cannot produce the minimum level of returns.</w:t>
      </w:r>
      <w:r w:rsidR="00AA622A">
        <w:rPr>
          <w:rFonts w:ascii="Arial" w:hAnsi="Arial" w:cs="Arial"/>
        </w:rPr>
        <w:t xml:space="preserve"> </w:t>
      </w:r>
    </w:p>
    <w:p w14:paraId="083F53BD" w14:textId="4DB0529A" w:rsidR="00871311" w:rsidRPr="00922363" w:rsidRDefault="00871311" w:rsidP="00922363">
      <w:pPr>
        <w:pStyle w:val="Heading2"/>
      </w:pPr>
      <w:bookmarkStart w:id="30" w:name="_Toc217260319"/>
      <w:r w:rsidRPr="00922363">
        <w:t>4.</w:t>
      </w:r>
      <w:r w:rsidR="0011391F">
        <w:t>8</w:t>
      </w:r>
      <w:r w:rsidRPr="00922363">
        <w:t xml:space="preserve"> Justification Based on Financial Performance and Project Risk Characteristics</w:t>
      </w:r>
      <w:bookmarkEnd w:id="30"/>
    </w:p>
    <w:p w14:paraId="100DFBA1" w14:textId="0A3AF91F" w:rsidR="00A463C3" w:rsidRPr="00A463C3" w:rsidRDefault="00A463C3" w:rsidP="00A463C3">
      <w:pPr>
        <w:spacing w:line="360" w:lineRule="auto"/>
        <w:jc w:val="both"/>
        <w:rPr>
          <w:rFonts w:ascii="Arial" w:hAnsi="Arial" w:cs="Arial"/>
          <w:sz w:val="24"/>
          <w:szCs w:val="24"/>
        </w:rPr>
      </w:pPr>
      <w:r w:rsidRPr="00A463C3">
        <w:rPr>
          <w:rFonts w:ascii="Arial" w:hAnsi="Arial" w:cs="Arial"/>
          <w:sz w:val="24"/>
          <w:szCs w:val="24"/>
        </w:rPr>
        <w:t>The recommendation for selecting Project C is strongly justified with the financial performance of the General Electronics and the risk of the projects.</w:t>
      </w:r>
    </w:p>
    <w:p w14:paraId="037B1075" w14:textId="05A75BB5" w:rsidR="00A463C3" w:rsidRPr="00A463C3" w:rsidRDefault="00A463C3" w:rsidP="00A463C3">
      <w:pPr>
        <w:spacing w:line="360" w:lineRule="auto"/>
        <w:jc w:val="both"/>
        <w:rPr>
          <w:rFonts w:ascii="Arial" w:hAnsi="Arial" w:cs="Arial"/>
          <w:sz w:val="24"/>
          <w:szCs w:val="24"/>
        </w:rPr>
      </w:pPr>
      <w:r w:rsidRPr="00A463C3">
        <w:rPr>
          <w:rFonts w:ascii="Arial" w:hAnsi="Arial" w:cs="Arial"/>
          <w:b/>
          <w:bCs/>
          <w:sz w:val="24"/>
          <w:szCs w:val="24"/>
        </w:rPr>
        <w:t>Financial Performance Alignment:</w:t>
      </w:r>
      <w:r w:rsidRPr="00A463C3">
        <w:rPr>
          <w:rFonts w:ascii="Arial" w:hAnsi="Arial" w:cs="Arial"/>
          <w:sz w:val="24"/>
          <w:szCs w:val="24"/>
        </w:rPr>
        <w:t xml:space="preserve"> </w:t>
      </w:r>
      <w:r w:rsidR="00AA622A">
        <w:rPr>
          <w:rFonts w:ascii="Arial" w:hAnsi="Arial" w:cs="Arial"/>
          <w:sz w:val="24"/>
          <w:szCs w:val="24"/>
        </w:rPr>
        <w:t>S</w:t>
      </w:r>
      <w:r w:rsidRPr="00A463C3">
        <w:rPr>
          <w:rFonts w:ascii="Arial" w:hAnsi="Arial" w:cs="Arial"/>
          <w:sz w:val="24"/>
          <w:szCs w:val="24"/>
        </w:rPr>
        <w:t xml:space="preserve">ection 1-3 of this report indicated that profitability was on the downward trend, liquidity ratios were getting worse, interest coverage was getting worse, and the company was in the Altman Z-Score distress range. The </w:t>
      </w:r>
      <w:r w:rsidRPr="00A463C3">
        <w:rPr>
          <w:rFonts w:ascii="Arial" w:hAnsi="Arial" w:cs="Arial"/>
          <w:sz w:val="24"/>
          <w:szCs w:val="24"/>
        </w:rPr>
        <w:lastRenderedPageBreak/>
        <w:t>implication of these conditions is that General Electronics cannot do investments with low payback or high payback periods. The high NPV and IRR of project C are highly relevant to the company in terms of restoring shareholder value and enhancing the long-term level of profitability. Its high discounted returns offer better grounds to recuperate money in a financial sense despite its higher initial cost compared to Project A or B.</w:t>
      </w:r>
    </w:p>
    <w:p w14:paraId="23330F21" w14:textId="77777777" w:rsidR="00A463C3" w:rsidRPr="00A463C3" w:rsidRDefault="00A463C3" w:rsidP="00A463C3">
      <w:pPr>
        <w:spacing w:line="360" w:lineRule="auto"/>
        <w:jc w:val="both"/>
        <w:rPr>
          <w:rFonts w:ascii="Arial" w:hAnsi="Arial" w:cs="Arial"/>
          <w:sz w:val="24"/>
          <w:szCs w:val="24"/>
        </w:rPr>
      </w:pPr>
      <w:r w:rsidRPr="00A463C3">
        <w:rPr>
          <w:rFonts w:ascii="Arial" w:hAnsi="Arial" w:cs="Arial"/>
          <w:sz w:val="24"/>
          <w:szCs w:val="24"/>
        </w:rPr>
        <w:t>Liquidity-wise, Project C produces successively stronger inflows of cash since the Year 3, sustaining future cash flows on operations and minimizing the use of outside funding. Conversely, the low and flat inflows in Project B provide little assistance to liquidity restoration whereas Project A returns are not sufficiently robust to have a significant impact on the financial trend of the firm.</w:t>
      </w:r>
    </w:p>
    <w:p w14:paraId="78D8286C" w14:textId="77777777" w:rsidR="00A463C3" w:rsidRPr="00A463C3" w:rsidRDefault="00A463C3" w:rsidP="00A463C3">
      <w:pPr>
        <w:spacing w:line="360" w:lineRule="auto"/>
        <w:jc w:val="both"/>
        <w:rPr>
          <w:rFonts w:ascii="Arial" w:hAnsi="Arial" w:cs="Arial"/>
          <w:sz w:val="24"/>
          <w:szCs w:val="24"/>
        </w:rPr>
      </w:pPr>
      <w:r w:rsidRPr="00A463C3">
        <w:rPr>
          <w:rFonts w:ascii="Arial" w:hAnsi="Arial" w:cs="Arial"/>
          <w:b/>
          <w:bCs/>
          <w:sz w:val="24"/>
          <w:szCs w:val="24"/>
        </w:rPr>
        <w:t>Project Risk Characteristics:</w:t>
      </w:r>
      <w:r w:rsidRPr="00A463C3">
        <w:rPr>
          <w:rFonts w:ascii="Arial" w:hAnsi="Arial" w:cs="Arial"/>
          <w:sz w:val="24"/>
          <w:szCs w:val="24"/>
        </w:rPr>
        <w:t xml:space="preserve">  The project risk is evaluated using cash flow timing, volatility and margin of safety in the first place. Project B is not volatile and has low returns as well and hence will destroy value after taking the cost of capital into consideration. Project A is characterized by moderate volatility and marginal value generation, which leaves minimal buffer on the downside risk.</w:t>
      </w:r>
    </w:p>
    <w:p w14:paraId="0597C313" w14:textId="1793A35C" w:rsidR="00A463C3" w:rsidRPr="00A463C3" w:rsidRDefault="00A463C3" w:rsidP="00A463C3">
      <w:pPr>
        <w:spacing w:line="360" w:lineRule="auto"/>
        <w:jc w:val="both"/>
        <w:rPr>
          <w:rFonts w:ascii="Arial" w:hAnsi="Arial" w:cs="Arial"/>
          <w:sz w:val="24"/>
          <w:szCs w:val="24"/>
        </w:rPr>
      </w:pPr>
      <w:r w:rsidRPr="00A463C3">
        <w:rPr>
          <w:rFonts w:ascii="Arial" w:hAnsi="Arial" w:cs="Arial"/>
          <w:sz w:val="24"/>
          <w:szCs w:val="24"/>
        </w:rPr>
        <w:t>Project C is more volatile in the cash flows per year, but this risk is paid off with much more considerable returns as it reflects in its NPV and IRR. The large overcharge of IRR ahead of discount rate gives strength against unfavorable cash flow forecasts. Project C is the most favourable trade off in the risk-return terms, and this is very crucial especially to a firm that is already at the risk of financial distress.</w:t>
      </w:r>
    </w:p>
    <w:p w14:paraId="146BD069" w14:textId="30E2C345" w:rsidR="00871311" w:rsidRPr="00922363" w:rsidRDefault="00922363" w:rsidP="00922363">
      <w:pPr>
        <w:pStyle w:val="Heading1"/>
      </w:pPr>
      <w:bookmarkStart w:id="31" w:name="_Toc217260320"/>
      <w:r>
        <w:t xml:space="preserve">5.0 </w:t>
      </w:r>
      <w:r w:rsidR="00871311" w:rsidRPr="00922363">
        <w:t>Conclusion</w:t>
      </w:r>
      <w:bookmarkEnd w:id="31"/>
      <w:r w:rsidR="00871311" w:rsidRPr="00922363">
        <w:t xml:space="preserve"> </w:t>
      </w:r>
    </w:p>
    <w:p w14:paraId="2B022201" w14:textId="5FCDB059" w:rsidR="00AA622A" w:rsidRDefault="00AA622A" w:rsidP="00561671">
      <w:pPr>
        <w:pStyle w:val="NormalWeb"/>
        <w:spacing w:line="360" w:lineRule="auto"/>
        <w:jc w:val="both"/>
        <w:rPr>
          <w:rFonts w:ascii="Arial" w:hAnsi="Arial" w:cs="Arial"/>
        </w:rPr>
      </w:pPr>
      <w:r w:rsidRPr="00AA622A">
        <w:rPr>
          <w:rFonts w:ascii="Arial" w:hAnsi="Arial" w:cs="Arial"/>
        </w:rPr>
        <w:t xml:space="preserve">This report has presented a strategic and financial review of General Electronics in the next 2020-2024. Ratio and cash flow analysis showed a company that is facing mounting pressure, with decreasing revenues, operating losses that seem to be incurred consistently, decreasing liquidity, declining interest coverage, and increasing leverage as the firm is losing its equity. Even though the results of Altman Z-Score suggest that in the short term, the chances of bankruptcy are low, sustained losses remain a considerable threat to the long-term sustainability. Poor working capital efficiency also increased the liquidity risk in the downturn. As a reaction, a planned financial restructuring program and </w:t>
      </w:r>
      <w:r w:rsidRPr="00AA622A">
        <w:rPr>
          <w:rFonts w:ascii="Arial" w:hAnsi="Arial" w:cs="Arial"/>
        </w:rPr>
        <w:lastRenderedPageBreak/>
        <w:t xml:space="preserve">a strict capital budget review was formulated. Project C, which is one of the suggested points of investment, was the most financially viable in terms of capital rationing, having better value creation, better cash flow recovery, and better risk-return profile. </w:t>
      </w:r>
    </w:p>
    <w:p w14:paraId="70F322B7" w14:textId="77777777" w:rsidR="00AA622A" w:rsidRDefault="00AA622A" w:rsidP="00561671">
      <w:pPr>
        <w:pStyle w:val="NormalWeb"/>
        <w:spacing w:line="360" w:lineRule="auto"/>
        <w:jc w:val="both"/>
        <w:rPr>
          <w:rFonts w:ascii="Arial" w:hAnsi="Arial" w:cs="Arial"/>
        </w:rPr>
      </w:pPr>
    </w:p>
    <w:p w14:paraId="07BC718D" w14:textId="77777777" w:rsidR="002178FF" w:rsidRDefault="002178FF">
      <w:pPr>
        <w:rPr>
          <w:rFonts w:ascii="Arial" w:eastAsiaTheme="majorEastAsia" w:hAnsi="Arial" w:cstheme="majorBidi"/>
          <w:b/>
          <w:sz w:val="32"/>
          <w:szCs w:val="32"/>
        </w:rPr>
      </w:pPr>
      <w:r>
        <w:br w:type="page"/>
      </w:r>
    </w:p>
    <w:p w14:paraId="7A890EB8" w14:textId="5E5F43E4" w:rsidR="00B8703A" w:rsidRPr="00922363" w:rsidRDefault="00922363" w:rsidP="00432D56">
      <w:pPr>
        <w:pStyle w:val="Heading1"/>
      </w:pPr>
      <w:bookmarkStart w:id="32" w:name="_Toc217260321"/>
      <w:r>
        <w:lastRenderedPageBreak/>
        <w:t xml:space="preserve">6.0 </w:t>
      </w:r>
      <w:r w:rsidR="00B8703A" w:rsidRPr="00922363">
        <w:t>References</w:t>
      </w:r>
      <w:bookmarkEnd w:id="32"/>
      <w:r w:rsidR="00B8703A" w:rsidRPr="00922363">
        <w:t xml:space="preserve"> </w:t>
      </w:r>
    </w:p>
    <w:p w14:paraId="75A37A2E" w14:textId="77777777" w:rsidR="0011391F" w:rsidRPr="008D75BD" w:rsidRDefault="0011391F" w:rsidP="0011391F">
      <w:pPr>
        <w:spacing w:before="100" w:beforeAutospacing="1" w:after="100" w:afterAutospacing="1" w:line="360" w:lineRule="auto"/>
        <w:ind w:left="720" w:hanging="720"/>
        <w:rPr>
          <w:rFonts w:ascii="Arial" w:eastAsia="Times New Roman" w:hAnsi="Arial" w:cs="Arial"/>
          <w:sz w:val="24"/>
          <w:szCs w:val="24"/>
        </w:rPr>
      </w:pPr>
      <w:r w:rsidRPr="008D75BD">
        <w:rPr>
          <w:rFonts w:ascii="Arial" w:eastAsia="Times New Roman" w:hAnsi="Arial" w:cs="Arial"/>
          <w:sz w:val="24"/>
          <w:szCs w:val="24"/>
        </w:rPr>
        <w:t xml:space="preserve">Advanced Micro Devices, Inc. (2024). </w:t>
      </w:r>
      <w:r w:rsidRPr="008D75BD">
        <w:rPr>
          <w:rFonts w:ascii="Arial" w:eastAsia="Times New Roman" w:hAnsi="Arial" w:cs="Arial"/>
          <w:i/>
          <w:iCs/>
          <w:sz w:val="24"/>
          <w:szCs w:val="24"/>
        </w:rPr>
        <w:t>2023 annual report</w:t>
      </w:r>
      <w:r w:rsidRPr="008D75BD">
        <w:rPr>
          <w:rFonts w:ascii="Arial" w:eastAsia="Times New Roman" w:hAnsi="Arial" w:cs="Arial"/>
          <w:sz w:val="24"/>
          <w:szCs w:val="24"/>
        </w:rPr>
        <w:t>. https://ir.amd.com/financial-information/annual-reports</w:t>
      </w:r>
    </w:p>
    <w:p w14:paraId="1B933E69" w14:textId="77777777" w:rsidR="0011391F" w:rsidRPr="004D723F" w:rsidRDefault="0011391F" w:rsidP="004D723F">
      <w:pPr>
        <w:pStyle w:val="NormalWeb"/>
        <w:spacing w:line="360" w:lineRule="auto"/>
        <w:ind w:left="720" w:hanging="720"/>
        <w:jc w:val="both"/>
        <w:rPr>
          <w:rFonts w:ascii="Arial" w:hAnsi="Arial" w:cs="Arial"/>
        </w:rPr>
      </w:pPr>
      <w:r w:rsidRPr="004D723F">
        <w:rPr>
          <w:rFonts w:ascii="Arial" w:hAnsi="Arial" w:cs="Arial"/>
        </w:rPr>
        <w:t xml:space="preserve">Altman, E. I. (1968). Financial ratios, discriminant analysis and the prediction of corporate bankruptcy. </w:t>
      </w:r>
      <w:r w:rsidRPr="004D723F">
        <w:rPr>
          <w:rStyle w:val="Emphasis"/>
          <w:rFonts w:ascii="Arial" w:hAnsi="Arial" w:cs="Arial"/>
        </w:rPr>
        <w:t>Journal of Finance, 23</w:t>
      </w:r>
      <w:r w:rsidRPr="004D723F">
        <w:rPr>
          <w:rFonts w:ascii="Arial" w:hAnsi="Arial" w:cs="Arial"/>
        </w:rPr>
        <w:t>(4), 589–609.</w:t>
      </w:r>
    </w:p>
    <w:p w14:paraId="7ACDF3D2" w14:textId="77777777" w:rsidR="0011391F" w:rsidRPr="008D75BD" w:rsidRDefault="0011391F" w:rsidP="0011391F">
      <w:pPr>
        <w:spacing w:before="100" w:beforeAutospacing="1" w:after="100" w:afterAutospacing="1" w:line="360" w:lineRule="auto"/>
        <w:ind w:left="720" w:hanging="720"/>
        <w:rPr>
          <w:rFonts w:ascii="Arial" w:eastAsia="Times New Roman" w:hAnsi="Arial" w:cs="Arial"/>
          <w:sz w:val="24"/>
          <w:szCs w:val="24"/>
        </w:rPr>
      </w:pPr>
      <w:r w:rsidRPr="008D75BD">
        <w:rPr>
          <w:rFonts w:ascii="Arial" w:eastAsia="Times New Roman" w:hAnsi="Arial" w:cs="Arial"/>
          <w:sz w:val="24"/>
          <w:szCs w:val="24"/>
        </w:rPr>
        <w:t xml:space="preserve">Apple Inc. (2024). </w:t>
      </w:r>
      <w:r w:rsidRPr="008D75BD">
        <w:rPr>
          <w:rFonts w:ascii="Arial" w:eastAsia="Times New Roman" w:hAnsi="Arial" w:cs="Arial"/>
          <w:i/>
          <w:iCs/>
          <w:sz w:val="24"/>
          <w:szCs w:val="24"/>
        </w:rPr>
        <w:t>Form 10-K annual report 2023</w:t>
      </w:r>
      <w:r w:rsidRPr="008D75BD">
        <w:rPr>
          <w:rFonts w:ascii="Arial" w:eastAsia="Times New Roman" w:hAnsi="Arial" w:cs="Arial"/>
          <w:sz w:val="24"/>
          <w:szCs w:val="24"/>
        </w:rPr>
        <w:t>. https://investor.apple.com/financial-information/annual-reports</w:t>
      </w:r>
    </w:p>
    <w:p w14:paraId="4A0FA989" w14:textId="77777777" w:rsidR="0011391F" w:rsidRPr="004D723F" w:rsidRDefault="0011391F" w:rsidP="004D723F">
      <w:pPr>
        <w:pStyle w:val="NormalWeb"/>
        <w:spacing w:line="360" w:lineRule="auto"/>
        <w:ind w:left="720" w:hanging="720"/>
        <w:jc w:val="both"/>
        <w:rPr>
          <w:rFonts w:ascii="Arial" w:hAnsi="Arial" w:cs="Arial"/>
        </w:rPr>
      </w:pPr>
      <w:r w:rsidRPr="004D723F">
        <w:rPr>
          <w:rFonts w:ascii="Arial" w:hAnsi="Arial" w:cs="Arial"/>
        </w:rPr>
        <w:t xml:space="preserve">Atrill, P., &amp; McLaney, E. (2017). </w:t>
      </w:r>
      <w:r w:rsidRPr="004D723F">
        <w:rPr>
          <w:rStyle w:val="Emphasis"/>
          <w:rFonts w:ascii="Arial" w:hAnsi="Arial" w:cs="Arial"/>
        </w:rPr>
        <w:t>Accounting and finance for non-specialists</w:t>
      </w:r>
      <w:r w:rsidRPr="004D723F">
        <w:rPr>
          <w:rFonts w:ascii="Arial" w:hAnsi="Arial" w:cs="Arial"/>
        </w:rPr>
        <w:t xml:space="preserve"> (10th ed.). Pearson Education.</w:t>
      </w:r>
    </w:p>
    <w:p w14:paraId="55E7DC7D" w14:textId="77777777" w:rsidR="0011391F" w:rsidRPr="004D723F" w:rsidRDefault="0011391F" w:rsidP="004D723F">
      <w:pPr>
        <w:pStyle w:val="NormalWeb"/>
        <w:spacing w:line="360" w:lineRule="auto"/>
        <w:ind w:left="720" w:hanging="720"/>
        <w:jc w:val="both"/>
        <w:rPr>
          <w:rFonts w:ascii="Arial" w:hAnsi="Arial" w:cs="Arial"/>
        </w:rPr>
      </w:pPr>
      <w:r w:rsidRPr="004D723F">
        <w:rPr>
          <w:rFonts w:ascii="Arial" w:hAnsi="Arial" w:cs="Arial"/>
        </w:rPr>
        <w:t xml:space="preserve">Berk, J., &amp; DeMarzo, P. (2020). </w:t>
      </w:r>
      <w:r w:rsidRPr="004D723F">
        <w:rPr>
          <w:rStyle w:val="Emphasis"/>
          <w:rFonts w:ascii="Arial" w:hAnsi="Arial" w:cs="Arial"/>
        </w:rPr>
        <w:t>Corporate finance</w:t>
      </w:r>
      <w:r w:rsidRPr="004D723F">
        <w:rPr>
          <w:rFonts w:ascii="Arial" w:hAnsi="Arial" w:cs="Arial"/>
        </w:rPr>
        <w:t xml:space="preserve"> (5th global ed.). Pearson Education.</w:t>
      </w:r>
    </w:p>
    <w:p w14:paraId="3B027A95" w14:textId="77777777" w:rsidR="0011391F" w:rsidRPr="004D723F" w:rsidRDefault="0011391F" w:rsidP="004D723F">
      <w:pPr>
        <w:pStyle w:val="NormalWeb"/>
        <w:spacing w:line="360" w:lineRule="auto"/>
        <w:ind w:left="720" w:hanging="720"/>
        <w:jc w:val="both"/>
        <w:rPr>
          <w:rFonts w:ascii="Arial" w:hAnsi="Arial" w:cs="Arial"/>
        </w:rPr>
      </w:pPr>
      <w:r w:rsidRPr="004D723F">
        <w:rPr>
          <w:rFonts w:ascii="Arial" w:hAnsi="Arial" w:cs="Arial"/>
        </w:rPr>
        <w:t xml:space="preserve">Brander, J., &amp; Lewis, T. (1986). Oligopoly and financial structure: The limited liability effect. </w:t>
      </w:r>
      <w:r w:rsidRPr="004D723F">
        <w:rPr>
          <w:rStyle w:val="Emphasis"/>
          <w:rFonts w:ascii="Arial" w:hAnsi="Arial" w:cs="Arial"/>
        </w:rPr>
        <w:t>American Economic Review, 76</w:t>
      </w:r>
      <w:r w:rsidRPr="004D723F">
        <w:rPr>
          <w:rFonts w:ascii="Arial" w:hAnsi="Arial" w:cs="Arial"/>
        </w:rPr>
        <w:t>(5), 956–970.</w:t>
      </w:r>
    </w:p>
    <w:p w14:paraId="6925716E" w14:textId="77777777" w:rsidR="0011391F" w:rsidRPr="004D723F" w:rsidRDefault="0011391F" w:rsidP="004D723F">
      <w:pPr>
        <w:pStyle w:val="NormalWeb"/>
        <w:spacing w:line="360" w:lineRule="auto"/>
        <w:ind w:left="720" w:hanging="720"/>
        <w:jc w:val="both"/>
        <w:rPr>
          <w:rFonts w:ascii="Arial" w:hAnsi="Arial" w:cs="Arial"/>
        </w:rPr>
      </w:pPr>
      <w:r w:rsidRPr="004D723F">
        <w:rPr>
          <w:rFonts w:ascii="Arial" w:hAnsi="Arial" w:cs="Arial"/>
        </w:rPr>
        <w:t xml:space="preserve">Brealey, R. A., Myers, S. C., &amp; Allen, F. (2020). </w:t>
      </w:r>
      <w:r w:rsidRPr="004D723F">
        <w:rPr>
          <w:rStyle w:val="Emphasis"/>
          <w:rFonts w:ascii="Arial" w:hAnsi="Arial" w:cs="Arial"/>
        </w:rPr>
        <w:t>Principles of corporate finance</w:t>
      </w:r>
      <w:r w:rsidRPr="004D723F">
        <w:rPr>
          <w:rFonts w:ascii="Arial" w:hAnsi="Arial" w:cs="Arial"/>
        </w:rPr>
        <w:t xml:space="preserve"> (13th ed.). McGraw-Hill Education.</w:t>
      </w:r>
    </w:p>
    <w:p w14:paraId="5C7D77DA" w14:textId="77777777" w:rsidR="0011391F" w:rsidRPr="004D723F" w:rsidRDefault="0011391F" w:rsidP="004D723F">
      <w:pPr>
        <w:pStyle w:val="NormalWeb"/>
        <w:spacing w:line="360" w:lineRule="auto"/>
        <w:ind w:left="720" w:hanging="720"/>
        <w:jc w:val="both"/>
        <w:rPr>
          <w:rFonts w:ascii="Arial" w:hAnsi="Arial" w:cs="Arial"/>
        </w:rPr>
      </w:pPr>
      <w:r w:rsidRPr="004D723F">
        <w:rPr>
          <w:rFonts w:ascii="Arial" w:hAnsi="Arial" w:cs="Arial"/>
        </w:rPr>
        <w:t xml:space="preserve">Damodaran, A. (2021). </w:t>
      </w:r>
      <w:r w:rsidRPr="004D723F">
        <w:rPr>
          <w:rStyle w:val="Emphasis"/>
          <w:rFonts w:ascii="Arial" w:hAnsi="Arial" w:cs="Arial"/>
        </w:rPr>
        <w:t>Investment valuation: Tools and techniques for determining the value of any asset</w:t>
      </w:r>
      <w:r w:rsidRPr="004D723F">
        <w:rPr>
          <w:rFonts w:ascii="Arial" w:hAnsi="Arial" w:cs="Arial"/>
        </w:rPr>
        <w:t xml:space="preserve"> (3rd ed.). Wiley.</w:t>
      </w:r>
    </w:p>
    <w:p w14:paraId="546BDFCE" w14:textId="77777777" w:rsidR="0011391F" w:rsidRPr="004D723F" w:rsidRDefault="0011391F" w:rsidP="004D723F">
      <w:pPr>
        <w:pStyle w:val="NormalWeb"/>
        <w:spacing w:line="360" w:lineRule="auto"/>
        <w:ind w:left="720" w:hanging="720"/>
        <w:jc w:val="both"/>
        <w:rPr>
          <w:rFonts w:ascii="Arial" w:hAnsi="Arial" w:cs="Arial"/>
        </w:rPr>
      </w:pPr>
      <w:r w:rsidRPr="004D723F">
        <w:rPr>
          <w:rFonts w:ascii="Arial" w:hAnsi="Arial" w:cs="Arial"/>
        </w:rPr>
        <w:t xml:space="preserve">Deloof, M. (2003). Does working capital management affect profitability of Belgian firms. </w:t>
      </w:r>
      <w:r w:rsidRPr="004D723F">
        <w:rPr>
          <w:rStyle w:val="Emphasis"/>
          <w:rFonts w:ascii="Arial" w:hAnsi="Arial" w:cs="Arial"/>
        </w:rPr>
        <w:t>Journal of Business Finance and Accounting, 30</w:t>
      </w:r>
      <w:r w:rsidRPr="004D723F">
        <w:rPr>
          <w:rFonts w:ascii="Arial" w:hAnsi="Arial" w:cs="Arial"/>
        </w:rPr>
        <w:t>(3–4), 573–588.</w:t>
      </w:r>
    </w:p>
    <w:p w14:paraId="4975B41B" w14:textId="77777777" w:rsidR="0011391F" w:rsidRPr="004D723F" w:rsidRDefault="0011391F" w:rsidP="004D723F">
      <w:pPr>
        <w:pStyle w:val="NormalWeb"/>
        <w:spacing w:line="360" w:lineRule="auto"/>
        <w:ind w:left="720" w:hanging="720"/>
        <w:jc w:val="both"/>
        <w:rPr>
          <w:rFonts w:ascii="Arial" w:hAnsi="Arial" w:cs="Arial"/>
        </w:rPr>
      </w:pPr>
      <w:r w:rsidRPr="004D723F">
        <w:rPr>
          <w:rFonts w:ascii="Arial" w:hAnsi="Arial" w:cs="Arial"/>
        </w:rPr>
        <w:t xml:space="preserve">Freeman, R. E., Harrison, J. S., Wicks, A. C., Parmar, B. L., &amp; De Colle, S. (2010). </w:t>
      </w:r>
      <w:r w:rsidRPr="004D723F">
        <w:rPr>
          <w:rStyle w:val="Emphasis"/>
          <w:rFonts w:ascii="Arial" w:hAnsi="Arial" w:cs="Arial"/>
        </w:rPr>
        <w:t>Stakeholder theory: The state of the art</w:t>
      </w:r>
      <w:r w:rsidRPr="004D723F">
        <w:rPr>
          <w:rFonts w:ascii="Arial" w:hAnsi="Arial" w:cs="Arial"/>
        </w:rPr>
        <w:t>. Cambridge University Press.</w:t>
      </w:r>
    </w:p>
    <w:p w14:paraId="438B5A95" w14:textId="77777777" w:rsidR="0011391F" w:rsidRPr="004D723F" w:rsidRDefault="0011391F" w:rsidP="004D723F">
      <w:pPr>
        <w:pStyle w:val="NormalWeb"/>
        <w:spacing w:line="360" w:lineRule="auto"/>
        <w:ind w:left="720" w:hanging="720"/>
        <w:jc w:val="both"/>
        <w:rPr>
          <w:rFonts w:ascii="Arial" w:hAnsi="Arial" w:cs="Arial"/>
        </w:rPr>
      </w:pPr>
      <w:r w:rsidRPr="004D723F">
        <w:rPr>
          <w:rFonts w:ascii="Arial" w:hAnsi="Arial" w:cs="Arial"/>
        </w:rPr>
        <w:t xml:space="preserve">Gaughan, P. A. (2017). </w:t>
      </w:r>
      <w:r w:rsidRPr="004D723F">
        <w:rPr>
          <w:rStyle w:val="Emphasis"/>
          <w:rFonts w:ascii="Arial" w:hAnsi="Arial" w:cs="Arial"/>
        </w:rPr>
        <w:t>Mergers, acquisitions, and corporate restructurings</w:t>
      </w:r>
      <w:r w:rsidRPr="004D723F">
        <w:rPr>
          <w:rFonts w:ascii="Arial" w:hAnsi="Arial" w:cs="Arial"/>
        </w:rPr>
        <w:t xml:space="preserve"> (7th ed.). Wiley.</w:t>
      </w:r>
    </w:p>
    <w:p w14:paraId="541ED9BF" w14:textId="77777777" w:rsidR="0011391F" w:rsidRPr="004D723F" w:rsidRDefault="0011391F" w:rsidP="004D723F">
      <w:pPr>
        <w:pStyle w:val="NormalWeb"/>
        <w:spacing w:line="360" w:lineRule="auto"/>
        <w:ind w:left="720" w:hanging="720"/>
        <w:jc w:val="both"/>
        <w:rPr>
          <w:rFonts w:ascii="Arial" w:hAnsi="Arial" w:cs="Arial"/>
        </w:rPr>
      </w:pPr>
      <w:r w:rsidRPr="004D723F">
        <w:rPr>
          <w:rFonts w:ascii="Arial" w:hAnsi="Arial" w:cs="Arial"/>
        </w:rPr>
        <w:lastRenderedPageBreak/>
        <w:t xml:space="preserve">Gompers, P., Kaplan, S. N., &amp; Mukharlyamov, V. (2010). What do firms do with cash windfalls? </w:t>
      </w:r>
      <w:r w:rsidRPr="004D723F">
        <w:rPr>
          <w:rStyle w:val="Emphasis"/>
          <w:rFonts w:ascii="Arial" w:hAnsi="Arial" w:cs="Arial"/>
        </w:rPr>
        <w:t>Journal of Financial Economics, 99</w:t>
      </w:r>
      <w:r w:rsidRPr="004D723F">
        <w:rPr>
          <w:rFonts w:ascii="Arial" w:hAnsi="Arial" w:cs="Arial"/>
        </w:rPr>
        <w:t>(3), 605–622.</w:t>
      </w:r>
    </w:p>
    <w:p w14:paraId="3E946980" w14:textId="77777777" w:rsidR="0011391F" w:rsidRPr="004D723F" w:rsidRDefault="0011391F" w:rsidP="004D723F">
      <w:pPr>
        <w:pStyle w:val="NormalWeb"/>
        <w:spacing w:line="360" w:lineRule="auto"/>
        <w:ind w:left="720" w:hanging="720"/>
        <w:jc w:val="both"/>
        <w:rPr>
          <w:rFonts w:ascii="Arial" w:hAnsi="Arial" w:cs="Arial"/>
        </w:rPr>
      </w:pPr>
      <w:r w:rsidRPr="004D723F">
        <w:rPr>
          <w:rFonts w:ascii="Arial" w:hAnsi="Arial" w:cs="Arial"/>
        </w:rPr>
        <w:t xml:space="preserve">Higgins, R. C. (2012). </w:t>
      </w:r>
      <w:r w:rsidRPr="004D723F">
        <w:rPr>
          <w:rStyle w:val="Emphasis"/>
          <w:rFonts w:ascii="Arial" w:hAnsi="Arial" w:cs="Arial"/>
        </w:rPr>
        <w:t>Analysis for financial management</w:t>
      </w:r>
      <w:r w:rsidRPr="004D723F">
        <w:rPr>
          <w:rFonts w:ascii="Arial" w:hAnsi="Arial" w:cs="Arial"/>
        </w:rPr>
        <w:t xml:space="preserve"> (10th ed.). McGraw-Hill Education.</w:t>
      </w:r>
    </w:p>
    <w:p w14:paraId="5EA029AA" w14:textId="77777777" w:rsidR="0011391F" w:rsidRPr="004D723F" w:rsidRDefault="0011391F" w:rsidP="004D723F">
      <w:pPr>
        <w:pStyle w:val="NormalWeb"/>
        <w:spacing w:line="360" w:lineRule="auto"/>
        <w:ind w:left="720" w:hanging="720"/>
        <w:jc w:val="both"/>
        <w:rPr>
          <w:rFonts w:ascii="Arial" w:hAnsi="Arial" w:cs="Arial"/>
        </w:rPr>
      </w:pPr>
      <w:r w:rsidRPr="004D723F">
        <w:rPr>
          <w:rFonts w:ascii="Arial" w:hAnsi="Arial" w:cs="Arial"/>
        </w:rPr>
        <w:t xml:space="preserve">Jensen, M. C. (1986). Agency costs of free cash flow, corporate finance, and takeovers. </w:t>
      </w:r>
      <w:r w:rsidRPr="004D723F">
        <w:rPr>
          <w:rStyle w:val="Emphasis"/>
          <w:rFonts w:ascii="Arial" w:hAnsi="Arial" w:cs="Arial"/>
        </w:rPr>
        <w:t>American Economic Review, 76</w:t>
      </w:r>
      <w:r w:rsidRPr="004D723F">
        <w:rPr>
          <w:rFonts w:ascii="Arial" w:hAnsi="Arial" w:cs="Arial"/>
        </w:rPr>
        <w:t>(2), 323–329.</w:t>
      </w:r>
    </w:p>
    <w:p w14:paraId="416B5A9D" w14:textId="77777777" w:rsidR="0011391F" w:rsidRPr="004D723F" w:rsidRDefault="0011391F" w:rsidP="004D723F">
      <w:pPr>
        <w:pStyle w:val="NormalWeb"/>
        <w:spacing w:line="360" w:lineRule="auto"/>
        <w:ind w:left="720" w:hanging="720"/>
        <w:jc w:val="both"/>
        <w:rPr>
          <w:rFonts w:ascii="Arial" w:hAnsi="Arial" w:cs="Arial"/>
        </w:rPr>
      </w:pPr>
      <w:r w:rsidRPr="004D723F">
        <w:rPr>
          <w:rFonts w:ascii="Arial" w:hAnsi="Arial" w:cs="Arial"/>
        </w:rPr>
        <w:t xml:space="preserve">Kay, J. (2005). Culture and performance. </w:t>
      </w:r>
      <w:r w:rsidRPr="004D723F">
        <w:rPr>
          <w:rStyle w:val="Emphasis"/>
          <w:rFonts w:ascii="Arial" w:hAnsi="Arial" w:cs="Arial"/>
        </w:rPr>
        <w:t>Oxford Review of Economic Policy, 21</w:t>
      </w:r>
      <w:r w:rsidRPr="004D723F">
        <w:rPr>
          <w:rFonts w:ascii="Arial" w:hAnsi="Arial" w:cs="Arial"/>
        </w:rPr>
        <w:t>(2), 241–257.</w:t>
      </w:r>
    </w:p>
    <w:p w14:paraId="4E801C8A" w14:textId="77777777" w:rsidR="0011391F" w:rsidRPr="004D723F" w:rsidRDefault="0011391F" w:rsidP="004D723F">
      <w:pPr>
        <w:pStyle w:val="NormalWeb"/>
        <w:spacing w:line="360" w:lineRule="auto"/>
        <w:ind w:left="720" w:hanging="720"/>
        <w:jc w:val="both"/>
        <w:rPr>
          <w:rFonts w:ascii="Arial" w:hAnsi="Arial" w:cs="Arial"/>
        </w:rPr>
      </w:pPr>
      <w:r w:rsidRPr="004D723F">
        <w:rPr>
          <w:rFonts w:ascii="Arial" w:hAnsi="Arial" w:cs="Arial"/>
        </w:rPr>
        <w:t xml:space="preserve">Keown, A. J., Martin, J. D., &amp; Petty, J. W. (2024). </w:t>
      </w:r>
      <w:r w:rsidRPr="004D723F">
        <w:rPr>
          <w:rStyle w:val="Emphasis"/>
          <w:rFonts w:ascii="Arial" w:hAnsi="Arial" w:cs="Arial"/>
        </w:rPr>
        <w:t>Foundations of finance</w:t>
      </w:r>
      <w:r w:rsidRPr="004D723F">
        <w:rPr>
          <w:rFonts w:ascii="Arial" w:hAnsi="Arial" w:cs="Arial"/>
        </w:rPr>
        <w:t xml:space="preserve"> (10th global ed.). Pearson Education.</w:t>
      </w:r>
    </w:p>
    <w:p w14:paraId="23D3BC5E" w14:textId="77777777" w:rsidR="0011391F" w:rsidRPr="004D723F" w:rsidRDefault="0011391F" w:rsidP="004D723F">
      <w:pPr>
        <w:pStyle w:val="NormalWeb"/>
        <w:spacing w:line="360" w:lineRule="auto"/>
        <w:ind w:left="720" w:hanging="720"/>
        <w:jc w:val="both"/>
        <w:rPr>
          <w:rFonts w:ascii="Arial" w:hAnsi="Arial" w:cs="Arial"/>
        </w:rPr>
      </w:pPr>
      <w:r w:rsidRPr="004D723F">
        <w:rPr>
          <w:rFonts w:ascii="Arial" w:hAnsi="Arial" w:cs="Arial"/>
        </w:rPr>
        <w:t xml:space="preserve">KPMG. (2021). </w:t>
      </w:r>
      <w:r w:rsidRPr="004D723F">
        <w:rPr>
          <w:rStyle w:val="Emphasis"/>
          <w:rFonts w:ascii="Arial" w:hAnsi="Arial" w:cs="Arial"/>
        </w:rPr>
        <w:t>Restructuring and turnaround 2021: Lessons from the market</w:t>
      </w:r>
      <w:r w:rsidRPr="004D723F">
        <w:rPr>
          <w:rFonts w:ascii="Arial" w:hAnsi="Arial" w:cs="Arial"/>
        </w:rPr>
        <w:t>. KPMG Insights.</w:t>
      </w:r>
    </w:p>
    <w:p w14:paraId="0CEE1AA6" w14:textId="77777777" w:rsidR="0011391F" w:rsidRPr="004D723F" w:rsidRDefault="0011391F" w:rsidP="004D723F">
      <w:pPr>
        <w:pStyle w:val="NormalWeb"/>
        <w:spacing w:line="360" w:lineRule="auto"/>
        <w:ind w:left="720" w:hanging="720"/>
        <w:jc w:val="both"/>
        <w:rPr>
          <w:rFonts w:ascii="Arial" w:hAnsi="Arial" w:cs="Arial"/>
        </w:rPr>
      </w:pPr>
      <w:r w:rsidRPr="004D723F">
        <w:rPr>
          <w:rFonts w:ascii="Arial" w:hAnsi="Arial" w:cs="Arial"/>
        </w:rPr>
        <w:t xml:space="preserve">McKinsey &amp; Company. (2023). </w:t>
      </w:r>
      <w:r w:rsidRPr="004D723F">
        <w:rPr>
          <w:rStyle w:val="Emphasis"/>
          <w:rFonts w:ascii="Arial" w:hAnsi="Arial" w:cs="Arial"/>
        </w:rPr>
        <w:t>Working capital excellence in manufacturing</w:t>
      </w:r>
      <w:r w:rsidRPr="004D723F">
        <w:rPr>
          <w:rFonts w:ascii="Arial" w:hAnsi="Arial" w:cs="Arial"/>
        </w:rPr>
        <w:t>. Industry report.</w:t>
      </w:r>
    </w:p>
    <w:p w14:paraId="25810422" w14:textId="77777777" w:rsidR="0011391F" w:rsidRPr="004D723F" w:rsidRDefault="0011391F" w:rsidP="004D723F">
      <w:pPr>
        <w:pStyle w:val="NormalWeb"/>
        <w:spacing w:line="360" w:lineRule="auto"/>
        <w:ind w:left="720" w:hanging="720"/>
        <w:jc w:val="both"/>
        <w:rPr>
          <w:rFonts w:ascii="Arial" w:hAnsi="Arial" w:cs="Arial"/>
        </w:rPr>
      </w:pPr>
      <w:r w:rsidRPr="004D723F">
        <w:rPr>
          <w:rFonts w:ascii="Arial" w:hAnsi="Arial" w:cs="Arial"/>
        </w:rPr>
        <w:t xml:space="preserve">Modigliani, F., &amp; Miller, M. H. (1958). The cost of capital, corporation finance and the theory of investment. </w:t>
      </w:r>
      <w:r w:rsidRPr="004D723F">
        <w:rPr>
          <w:rStyle w:val="Emphasis"/>
          <w:rFonts w:ascii="Arial" w:hAnsi="Arial" w:cs="Arial"/>
        </w:rPr>
        <w:t>American Economic Review, 48</w:t>
      </w:r>
      <w:r w:rsidRPr="004D723F">
        <w:rPr>
          <w:rFonts w:ascii="Arial" w:hAnsi="Arial" w:cs="Arial"/>
        </w:rPr>
        <w:t>(3), 261–297.</w:t>
      </w:r>
    </w:p>
    <w:p w14:paraId="61885E2C" w14:textId="77777777" w:rsidR="0011391F" w:rsidRPr="004D723F" w:rsidRDefault="0011391F" w:rsidP="004D723F">
      <w:pPr>
        <w:pStyle w:val="NormalWeb"/>
        <w:spacing w:line="360" w:lineRule="auto"/>
        <w:ind w:left="720" w:hanging="720"/>
        <w:jc w:val="both"/>
        <w:rPr>
          <w:rFonts w:ascii="Arial" w:hAnsi="Arial" w:cs="Arial"/>
        </w:rPr>
      </w:pPr>
      <w:r w:rsidRPr="004D723F">
        <w:rPr>
          <w:rFonts w:ascii="Arial" w:hAnsi="Arial" w:cs="Arial"/>
        </w:rPr>
        <w:t xml:space="preserve">Mulherin, J. H., &amp; Boone, A. L. (2000). Comparing acquisitions and divestitures. </w:t>
      </w:r>
      <w:r w:rsidRPr="004D723F">
        <w:rPr>
          <w:rStyle w:val="Emphasis"/>
          <w:rFonts w:ascii="Arial" w:hAnsi="Arial" w:cs="Arial"/>
        </w:rPr>
        <w:t>Journal of Corporate Finance, 6</w:t>
      </w:r>
      <w:r w:rsidRPr="004D723F">
        <w:rPr>
          <w:rFonts w:ascii="Arial" w:hAnsi="Arial" w:cs="Arial"/>
        </w:rPr>
        <w:t>(2), 117–139.</w:t>
      </w:r>
    </w:p>
    <w:p w14:paraId="4791A54F" w14:textId="77777777" w:rsidR="0011391F" w:rsidRPr="008D75BD" w:rsidRDefault="0011391F" w:rsidP="0011391F">
      <w:pPr>
        <w:spacing w:before="100" w:beforeAutospacing="1" w:after="100" w:afterAutospacing="1" w:line="360" w:lineRule="auto"/>
        <w:ind w:left="720" w:hanging="720"/>
        <w:rPr>
          <w:rFonts w:ascii="Arial" w:eastAsia="Times New Roman" w:hAnsi="Arial" w:cs="Arial"/>
          <w:sz w:val="24"/>
          <w:szCs w:val="24"/>
        </w:rPr>
      </w:pPr>
      <w:r w:rsidRPr="008D75BD">
        <w:rPr>
          <w:rFonts w:ascii="Arial" w:eastAsia="Times New Roman" w:hAnsi="Arial" w:cs="Arial"/>
          <w:sz w:val="24"/>
          <w:szCs w:val="24"/>
        </w:rPr>
        <w:t xml:space="preserve">Nvidia Corporation. (2024). </w:t>
      </w:r>
      <w:r w:rsidRPr="008D75BD">
        <w:rPr>
          <w:rFonts w:ascii="Arial" w:eastAsia="Times New Roman" w:hAnsi="Arial" w:cs="Arial"/>
          <w:i/>
          <w:iCs/>
          <w:sz w:val="24"/>
          <w:szCs w:val="24"/>
        </w:rPr>
        <w:t>2023 annual report</w:t>
      </w:r>
      <w:r w:rsidRPr="008D75BD">
        <w:rPr>
          <w:rFonts w:ascii="Arial" w:eastAsia="Times New Roman" w:hAnsi="Arial" w:cs="Arial"/>
          <w:sz w:val="24"/>
          <w:szCs w:val="24"/>
        </w:rPr>
        <w:t>. https://investor.nvidia.com/financial-information/annual-reports</w:t>
      </w:r>
    </w:p>
    <w:p w14:paraId="397FB40C" w14:textId="77777777" w:rsidR="0011391F" w:rsidRPr="004D723F" w:rsidRDefault="0011391F" w:rsidP="004D723F">
      <w:pPr>
        <w:pStyle w:val="NormalWeb"/>
        <w:spacing w:line="360" w:lineRule="auto"/>
        <w:ind w:left="720" w:hanging="720"/>
        <w:jc w:val="both"/>
        <w:rPr>
          <w:rFonts w:ascii="Arial" w:hAnsi="Arial" w:cs="Arial"/>
        </w:rPr>
      </w:pPr>
      <w:r w:rsidRPr="004D723F">
        <w:rPr>
          <w:rFonts w:ascii="Arial" w:hAnsi="Arial" w:cs="Arial"/>
        </w:rPr>
        <w:t xml:space="preserve">OECD. (2020). </w:t>
      </w:r>
      <w:r w:rsidRPr="004D723F">
        <w:rPr>
          <w:rStyle w:val="Emphasis"/>
          <w:rFonts w:ascii="Arial" w:hAnsi="Arial" w:cs="Arial"/>
        </w:rPr>
        <w:t>Corporate restructuring and insolvency: Policy options and best practices</w:t>
      </w:r>
      <w:r w:rsidRPr="004D723F">
        <w:rPr>
          <w:rFonts w:ascii="Arial" w:hAnsi="Arial" w:cs="Arial"/>
        </w:rPr>
        <w:t>. OECD Publishing.</w:t>
      </w:r>
    </w:p>
    <w:p w14:paraId="732AFCDC" w14:textId="77777777" w:rsidR="0011391F" w:rsidRPr="004D723F" w:rsidRDefault="0011391F" w:rsidP="004D723F">
      <w:pPr>
        <w:pStyle w:val="NormalWeb"/>
        <w:spacing w:line="360" w:lineRule="auto"/>
        <w:ind w:left="720" w:hanging="720"/>
        <w:jc w:val="both"/>
        <w:rPr>
          <w:rFonts w:ascii="Arial" w:hAnsi="Arial" w:cs="Arial"/>
        </w:rPr>
      </w:pPr>
      <w:r w:rsidRPr="004D723F">
        <w:rPr>
          <w:rFonts w:ascii="Arial" w:hAnsi="Arial" w:cs="Arial"/>
        </w:rPr>
        <w:t xml:space="preserve">Peterson, P. P., &amp; Fabozzi, F. J. (2019). </w:t>
      </w:r>
      <w:r w:rsidRPr="004D723F">
        <w:rPr>
          <w:rStyle w:val="Emphasis"/>
          <w:rFonts w:ascii="Arial" w:hAnsi="Arial" w:cs="Arial"/>
        </w:rPr>
        <w:t>Capital budgeting: Theory and practice</w:t>
      </w:r>
      <w:r w:rsidRPr="004D723F">
        <w:rPr>
          <w:rFonts w:ascii="Arial" w:hAnsi="Arial" w:cs="Arial"/>
        </w:rPr>
        <w:t xml:space="preserve"> (6th ed.). Wiley.</w:t>
      </w:r>
    </w:p>
    <w:p w14:paraId="53336F38" w14:textId="77777777" w:rsidR="0011391F" w:rsidRPr="008D75BD" w:rsidRDefault="0011391F" w:rsidP="0011391F">
      <w:pPr>
        <w:spacing w:before="100" w:beforeAutospacing="1" w:after="100" w:afterAutospacing="1" w:line="360" w:lineRule="auto"/>
        <w:ind w:left="720" w:hanging="720"/>
        <w:rPr>
          <w:rFonts w:ascii="Arial" w:eastAsia="Times New Roman" w:hAnsi="Arial" w:cs="Arial"/>
          <w:sz w:val="24"/>
          <w:szCs w:val="24"/>
        </w:rPr>
      </w:pPr>
      <w:r w:rsidRPr="008D75BD">
        <w:rPr>
          <w:rFonts w:ascii="Arial" w:eastAsia="Times New Roman" w:hAnsi="Arial" w:cs="Arial"/>
          <w:sz w:val="24"/>
          <w:szCs w:val="24"/>
        </w:rPr>
        <w:lastRenderedPageBreak/>
        <w:t xml:space="preserve">Qualcomm Incorporated. (2024). </w:t>
      </w:r>
      <w:r w:rsidRPr="008D75BD">
        <w:rPr>
          <w:rFonts w:ascii="Arial" w:eastAsia="Times New Roman" w:hAnsi="Arial" w:cs="Arial"/>
          <w:i/>
          <w:iCs/>
          <w:sz w:val="24"/>
          <w:szCs w:val="24"/>
        </w:rPr>
        <w:t>Form 10-K annual report 2023</w:t>
      </w:r>
      <w:r w:rsidRPr="008D75BD">
        <w:rPr>
          <w:rFonts w:ascii="Arial" w:eastAsia="Times New Roman" w:hAnsi="Arial" w:cs="Arial"/>
          <w:sz w:val="24"/>
          <w:szCs w:val="24"/>
        </w:rPr>
        <w:t>. https://investor.qualcomm.com/financials/annual-reports</w:t>
      </w:r>
    </w:p>
    <w:p w14:paraId="773E9560" w14:textId="77777777" w:rsidR="0011391F" w:rsidRPr="004D723F" w:rsidRDefault="0011391F" w:rsidP="004D723F">
      <w:pPr>
        <w:pStyle w:val="NormalWeb"/>
        <w:spacing w:line="360" w:lineRule="auto"/>
        <w:ind w:left="720" w:hanging="720"/>
        <w:jc w:val="both"/>
        <w:rPr>
          <w:rFonts w:ascii="Arial" w:hAnsi="Arial" w:cs="Arial"/>
        </w:rPr>
      </w:pPr>
      <w:r w:rsidRPr="004D723F">
        <w:rPr>
          <w:rFonts w:ascii="Arial" w:hAnsi="Arial" w:cs="Arial"/>
        </w:rPr>
        <w:t xml:space="preserve">Ross, S. A., Westerfield, R., &amp; Jordan, B. D. (2022). </w:t>
      </w:r>
      <w:r w:rsidRPr="004D723F">
        <w:rPr>
          <w:rStyle w:val="Emphasis"/>
          <w:rFonts w:ascii="Arial" w:hAnsi="Arial" w:cs="Arial"/>
        </w:rPr>
        <w:t>Fundamentals of corporate finance</w:t>
      </w:r>
      <w:r w:rsidRPr="004D723F">
        <w:rPr>
          <w:rFonts w:ascii="Arial" w:hAnsi="Arial" w:cs="Arial"/>
        </w:rPr>
        <w:t xml:space="preserve"> (13th Global ed.). McGraw-Hill Education.</w:t>
      </w:r>
    </w:p>
    <w:p w14:paraId="36F58281" w14:textId="77777777" w:rsidR="0011391F" w:rsidRPr="008D75BD" w:rsidRDefault="0011391F" w:rsidP="0011391F">
      <w:pPr>
        <w:spacing w:before="100" w:beforeAutospacing="1" w:after="100" w:afterAutospacing="1" w:line="360" w:lineRule="auto"/>
        <w:ind w:left="720" w:hanging="720"/>
        <w:rPr>
          <w:rFonts w:ascii="Arial" w:eastAsia="Times New Roman" w:hAnsi="Arial" w:cs="Arial"/>
          <w:sz w:val="24"/>
          <w:szCs w:val="24"/>
        </w:rPr>
      </w:pPr>
      <w:r w:rsidRPr="008D75BD">
        <w:rPr>
          <w:rFonts w:ascii="Arial" w:eastAsia="Times New Roman" w:hAnsi="Arial" w:cs="Arial"/>
          <w:sz w:val="24"/>
          <w:szCs w:val="24"/>
        </w:rPr>
        <w:t xml:space="preserve">Samsung Electronics Co., Ltd. (2024). </w:t>
      </w:r>
      <w:r w:rsidRPr="008D75BD">
        <w:rPr>
          <w:rFonts w:ascii="Arial" w:eastAsia="Times New Roman" w:hAnsi="Arial" w:cs="Arial"/>
          <w:i/>
          <w:iCs/>
          <w:sz w:val="24"/>
          <w:szCs w:val="24"/>
        </w:rPr>
        <w:t>2023 annual report</w:t>
      </w:r>
      <w:r w:rsidRPr="008D75BD">
        <w:rPr>
          <w:rFonts w:ascii="Arial" w:eastAsia="Times New Roman" w:hAnsi="Arial" w:cs="Arial"/>
          <w:sz w:val="24"/>
          <w:szCs w:val="24"/>
        </w:rPr>
        <w:t>. https://www.samsung.com/global/ir/financialinformation/annualreports</w:t>
      </w:r>
    </w:p>
    <w:p w14:paraId="039C67CF" w14:textId="77777777" w:rsidR="0011391F" w:rsidRPr="004D723F" w:rsidRDefault="0011391F" w:rsidP="004D723F">
      <w:pPr>
        <w:pStyle w:val="NormalWeb"/>
        <w:spacing w:line="360" w:lineRule="auto"/>
        <w:ind w:left="720" w:hanging="720"/>
        <w:jc w:val="both"/>
        <w:rPr>
          <w:rFonts w:ascii="Arial" w:hAnsi="Arial" w:cs="Arial"/>
        </w:rPr>
      </w:pPr>
      <w:r w:rsidRPr="004D723F">
        <w:rPr>
          <w:rFonts w:ascii="Arial" w:hAnsi="Arial" w:cs="Arial"/>
        </w:rPr>
        <w:t xml:space="preserve">Servaes, H. (1991). Tobin’s q and the gains from takeovers. </w:t>
      </w:r>
      <w:r w:rsidRPr="004D723F">
        <w:rPr>
          <w:rStyle w:val="Emphasis"/>
          <w:rFonts w:ascii="Arial" w:hAnsi="Arial" w:cs="Arial"/>
        </w:rPr>
        <w:t>Journal of Finance, 46</w:t>
      </w:r>
      <w:r w:rsidRPr="004D723F">
        <w:rPr>
          <w:rFonts w:ascii="Arial" w:hAnsi="Arial" w:cs="Arial"/>
        </w:rPr>
        <w:t>(1), 409–419.</w:t>
      </w:r>
    </w:p>
    <w:p w14:paraId="2247149E" w14:textId="77777777" w:rsidR="0011391F" w:rsidRDefault="0011391F" w:rsidP="004D723F">
      <w:pPr>
        <w:pStyle w:val="NormalWeb"/>
        <w:spacing w:line="360" w:lineRule="auto"/>
        <w:ind w:left="720" w:hanging="720"/>
        <w:jc w:val="both"/>
        <w:rPr>
          <w:rFonts w:ascii="Arial" w:hAnsi="Arial" w:cs="Arial"/>
        </w:rPr>
      </w:pPr>
      <w:r w:rsidRPr="004D723F">
        <w:rPr>
          <w:rFonts w:ascii="Arial" w:hAnsi="Arial" w:cs="Arial"/>
        </w:rPr>
        <w:t xml:space="preserve">Sudarsanam, S. (2003). </w:t>
      </w:r>
      <w:r w:rsidRPr="004D723F">
        <w:rPr>
          <w:rStyle w:val="Emphasis"/>
          <w:rFonts w:ascii="Arial" w:hAnsi="Arial" w:cs="Arial"/>
        </w:rPr>
        <w:t>Creating value from mergers and acquisitions: The challenges</w:t>
      </w:r>
      <w:r w:rsidRPr="004D723F">
        <w:rPr>
          <w:rFonts w:ascii="Arial" w:hAnsi="Arial" w:cs="Arial"/>
        </w:rPr>
        <w:t>. FT Prentice Hall.</w:t>
      </w:r>
    </w:p>
    <w:p w14:paraId="21FAC238" w14:textId="77777777" w:rsidR="0011391F" w:rsidRPr="00922363" w:rsidRDefault="0011391F" w:rsidP="004D723F">
      <w:pPr>
        <w:pStyle w:val="NormalWeb"/>
        <w:spacing w:line="360" w:lineRule="auto"/>
        <w:ind w:left="720" w:hanging="720"/>
        <w:jc w:val="both"/>
        <w:rPr>
          <w:rFonts w:ascii="Arial" w:hAnsi="Arial" w:cs="Arial"/>
        </w:rPr>
      </w:pPr>
    </w:p>
    <w:p w14:paraId="7684F829" w14:textId="77777777" w:rsidR="009A635C" w:rsidRDefault="009A635C">
      <w:pPr>
        <w:rPr>
          <w:rFonts w:ascii="Arial" w:eastAsia="Times New Roman" w:hAnsi="Arial" w:cstheme="majorBidi"/>
          <w:b/>
          <w:sz w:val="32"/>
          <w:szCs w:val="32"/>
        </w:rPr>
      </w:pPr>
      <w:r>
        <w:rPr>
          <w:rFonts w:eastAsia="Times New Roman"/>
        </w:rPr>
        <w:br w:type="page"/>
      </w:r>
    </w:p>
    <w:p w14:paraId="370C53A6" w14:textId="0734253B" w:rsidR="00E10B4D" w:rsidRPr="00922363" w:rsidRDefault="00922363" w:rsidP="00922363">
      <w:pPr>
        <w:pStyle w:val="Heading1"/>
        <w:rPr>
          <w:rFonts w:eastAsia="Times New Roman"/>
        </w:rPr>
      </w:pPr>
      <w:bookmarkStart w:id="33" w:name="_Toc217260322"/>
      <w:r>
        <w:rPr>
          <w:rFonts w:eastAsia="Times New Roman"/>
        </w:rPr>
        <w:lastRenderedPageBreak/>
        <w:t xml:space="preserve">7.0 </w:t>
      </w:r>
      <w:r w:rsidR="00E10B4D" w:rsidRPr="00922363">
        <w:rPr>
          <w:rFonts w:eastAsia="Times New Roman"/>
        </w:rPr>
        <w:t>Appendices</w:t>
      </w:r>
      <w:bookmarkEnd w:id="33"/>
    </w:p>
    <w:p w14:paraId="7EFB8129" w14:textId="79D337B0" w:rsidR="00484D13" w:rsidRPr="00484D13" w:rsidRDefault="00484D13" w:rsidP="00922363">
      <w:pPr>
        <w:pStyle w:val="Heading2"/>
      </w:pPr>
      <w:bookmarkStart w:id="34" w:name="_Toc216755987"/>
      <w:bookmarkStart w:id="35" w:name="_Toc217181523"/>
      <w:bookmarkStart w:id="36" w:name="_Toc217260323"/>
      <w:r w:rsidRPr="00484D13">
        <w:t>Appendix A: Detailed Ratio Calculations</w:t>
      </w:r>
      <w:bookmarkEnd w:id="34"/>
      <w:bookmarkEnd w:id="35"/>
      <w:bookmarkEnd w:id="36"/>
    </w:p>
    <w:p w14:paraId="11970A1E" w14:textId="77777777" w:rsidR="00484D13" w:rsidRPr="00484D13" w:rsidRDefault="00484D13" w:rsidP="00922363">
      <w:pPr>
        <w:spacing w:before="100" w:beforeAutospacing="1" w:after="100" w:afterAutospacing="1" w:line="360" w:lineRule="auto"/>
        <w:outlineLvl w:val="2"/>
        <w:rPr>
          <w:rFonts w:ascii="Arial" w:eastAsia="Times New Roman" w:hAnsi="Arial" w:cs="Arial"/>
          <w:b/>
          <w:bCs/>
          <w:sz w:val="27"/>
          <w:szCs w:val="27"/>
        </w:rPr>
      </w:pPr>
      <w:bookmarkStart w:id="37" w:name="_Toc216755988"/>
      <w:bookmarkStart w:id="38" w:name="_Toc217181524"/>
      <w:bookmarkStart w:id="39" w:name="_Toc217260324"/>
      <w:bookmarkStart w:id="40" w:name="_Hlk216756620"/>
      <w:r w:rsidRPr="00484D13">
        <w:rPr>
          <w:rFonts w:ascii="Arial" w:eastAsia="Times New Roman" w:hAnsi="Arial" w:cs="Arial"/>
          <w:b/>
          <w:bCs/>
          <w:sz w:val="27"/>
          <w:szCs w:val="27"/>
        </w:rPr>
        <w:t>Table A1: Profitability Ratios (2020–2024)</w:t>
      </w:r>
      <w:bookmarkEnd w:id="37"/>
      <w:bookmarkEnd w:id="38"/>
      <w:bookmarkEnd w:id="39"/>
    </w:p>
    <w:p w14:paraId="6A6BDD10" w14:textId="77777777" w:rsidR="00484D13" w:rsidRPr="00484D13" w:rsidRDefault="00484D13" w:rsidP="00922363">
      <w:pPr>
        <w:spacing w:before="100" w:beforeAutospacing="1" w:after="100" w:afterAutospacing="1" w:line="360" w:lineRule="auto"/>
        <w:rPr>
          <w:rFonts w:ascii="Arial" w:eastAsia="Times New Roman" w:hAnsi="Arial" w:cs="Arial"/>
          <w:sz w:val="24"/>
          <w:szCs w:val="24"/>
        </w:rPr>
      </w:pPr>
      <w:r w:rsidRPr="00484D13">
        <w:rPr>
          <w:rFonts w:ascii="Arial" w:eastAsia="Times New Roman" w:hAnsi="Arial" w:cs="Arial"/>
          <w:sz w:val="24"/>
          <w:szCs w:val="24"/>
        </w:rPr>
        <w:t>Gross profit margin = Gross profit / Net sales</w:t>
      </w:r>
      <w:r w:rsidRPr="00484D13">
        <w:rPr>
          <w:rFonts w:ascii="Arial" w:eastAsia="Times New Roman" w:hAnsi="Arial" w:cs="Arial"/>
          <w:sz w:val="24"/>
          <w:szCs w:val="24"/>
        </w:rPr>
        <w:br/>
        <w:t>Operating profit margin = Operating income / Net sales</w:t>
      </w:r>
      <w:r w:rsidRPr="00484D13">
        <w:rPr>
          <w:rFonts w:ascii="Arial" w:eastAsia="Times New Roman" w:hAnsi="Arial" w:cs="Arial"/>
          <w:sz w:val="24"/>
          <w:szCs w:val="24"/>
        </w:rPr>
        <w:br/>
        <w:t>Net profit margin = Net income / Net sales</w:t>
      </w:r>
      <w:r w:rsidRPr="00484D13">
        <w:rPr>
          <w:rFonts w:ascii="Arial" w:eastAsia="Times New Roman" w:hAnsi="Arial" w:cs="Arial"/>
          <w:sz w:val="24"/>
          <w:szCs w:val="24"/>
        </w:rPr>
        <w:br/>
        <w:t>Return on capital employed = EBIT / (Total assets – Current liabilities)</w:t>
      </w:r>
    </w:p>
    <w:p w14:paraId="470CA98C" w14:textId="59F07C08" w:rsidR="00484D13" w:rsidRPr="00922363" w:rsidRDefault="00484D13" w:rsidP="00922363">
      <w:pPr>
        <w:spacing w:before="100" w:beforeAutospacing="1" w:after="100" w:afterAutospacing="1" w:line="360" w:lineRule="auto"/>
        <w:rPr>
          <w:rFonts w:ascii="Arial" w:eastAsia="Times New Roman" w:hAnsi="Arial" w:cs="Arial"/>
          <w:sz w:val="24"/>
          <w:szCs w:val="24"/>
        </w:rPr>
      </w:pPr>
      <w:r w:rsidRPr="00484D13">
        <w:rPr>
          <w:rFonts w:ascii="Arial" w:eastAsia="Times New Roman" w:hAnsi="Arial" w:cs="Arial"/>
          <w:sz w:val="24"/>
          <w:szCs w:val="24"/>
        </w:rPr>
        <w:t xml:space="preserve">Five-year numerical calculations presented </w:t>
      </w:r>
      <w:r w:rsidR="00E10B4D" w:rsidRPr="00922363">
        <w:rPr>
          <w:rFonts w:ascii="Arial" w:eastAsia="Times New Roman" w:hAnsi="Arial" w:cs="Arial"/>
          <w:sz w:val="24"/>
          <w:szCs w:val="24"/>
        </w:rPr>
        <w:t>below</w:t>
      </w:r>
      <w:r w:rsidRPr="00484D13">
        <w:rPr>
          <w:rFonts w:ascii="Arial" w:eastAsia="Times New Roman" w:hAnsi="Arial" w:cs="Arial"/>
          <w:sz w:val="24"/>
          <w:szCs w:val="24"/>
        </w:rPr>
        <w:t xml:space="preserve"> for each ratio</w:t>
      </w:r>
      <w:r w:rsidR="00E10B4D" w:rsidRPr="00922363">
        <w:rPr>
          <w:rFonts w:ascii="Arial" w:eastAsia="Times New Roman" w:hAnsi="Arial" w:cs="Arial"/>
          <w:sz w:val="24"/>
          <w:szCs w:val="24"/>
        </w:rPr>
        <w:t xml:space="preserve">: </w:t>
      </w:r>
    </w:p>
    <w:tbl>
      <w:tblPr>
        <w:tblStyle w:val="TableGrid"/>
        <w:tblW w:w="0" w:type="auto"/>
        <w:tblLook w:val="04A0" w:firstRow="1" w:lastRow="0" w:firstColumn="1" w:lastColumn="0" w:noHBand="0" w:noVBand="1"/>
      </w:tblPr>
      <w:tblGrid>
        <w:gridCol w:w="1665"/>
        <w:gridCol w:w="2253"/>
        <w:gridCol w:w="1030"/>
        <w:gridCol w:w="1030"/>
        <w:gridCol w:w="1030"/>
        <w:gridCol w:w="1171"/>
        <w:gridCol w:w="1171"/>
      </w:tblGrid>
      <w:tr w:rsidR="00484D13" w:rsidRPr="00484D13" w14:paraId="0B94A4B1" w14:textId="77777777" w:rsidTr="00484D13">
        <w:tc>
          <w:tcPr>
            <w:tcW w:w="0" w:type="auto"/>
            <w:hideMark/>
          </w:tcPr>
          <w:p w14:paraId="2FFDC62D" w14:textId="77777777" w:rsidR="00484D13" w:rsidRPr="00484D13" w:rsidRDefault="00484D13" w:rsidP="00922363">
            <w:pPr>
              <w:spacing w:line="360" w:lineRule="auto"/>
              <w:jc w:val="center"/>
              <w:rPr>
                <w:rFonts w:ascii="Arial" w:eastAsia="Times New Roman" w:hAnsi="Arial" w:cs="Arial"/>
                <w:b/>
                <w:bCs/>
                <w:sz w:val="24"/>
                <w:szCs w:val="24"/>
              </w:rPr>
            </w:pPr>
            <w:r w:rsidRPr="00484D13">
              <w:rPr>
                <w:rFonts w:ascii="Arial" w:eastAsia="Times New Roman" w:hAnsi="Arial" w:cs="Arial"/>
                <w:b/>
                <w:bCs/>
                <w:sz w:val="24"/>
                <w:szCs w:val="24"/>
              </w:rPr>
              <w:t>Ratio</w:t>
            </w:r>
          </w:p>
        </w:tc>
        <w:tc>
          <w:tcPr>
            <w:tcW w:w="0" w:type="auto"/>
            <w:hideMark/>
          </w:tcPr>
          <w:p w14:paraId="35A867FE" w14:textId="77777777" w:rsidR="00484D13" w:rsidRPr="00484D13" w:rsidRDefault="00484D13" w:rsidP="00922363">
            <w:pPr>
              <w:spacing w:line="360" w:lineRule="auto"/>
              <w:jc w:val="center"/>
              <w:rPr>
                <w:rFonts w:ascii="Arial" w:eastAsia="Times New Roman" w:hAnsi="Arial" w:cs="Arial"/>
                <w:b/>
                <w:bCs/>
                <w:sz w:val="24"/>
                <w:szCs w:val="24"/>
              </w:rPr>
            </w:pPr>
            <w:r w:rsidRPr="00484D13">
              <w:rPr>
                <w:rFonts w:ascii="Arial" w:eastAsia="Times New Roman" w:hAnsi="Arial" w:cs="Arial"/>
                <w:b/>
                <w:bCs/>
                <w:sz w:val="24"/>
                <w:szCs w:val="24"/>
              </w:rPr>
              <w:t>Formula</w:t>
            </w:r>
          </w:p>
        </w:tc>
        <w:tc>
          <w:tcPr>
            <w:tcW w:w="0" w:type="auto"/>
            <w:hideMark/>
          </w:tcPr>
          <w:p w14:paraId="18AA453B" w14:textId="77777777" w:rsidR="00484D13" w:rsidRPr="00484D13" w:rsidRDefault="00484D13" w:rsidP="00922363">
            <w:pPr>
              <w:spacing w:line="360" w:lineRule="auto"/>
              <w:jc w:val="center"/>
              <w:rPr>
                <w:rFonts w:ascii="Arial" w:eastAsia="Times New Roman" w:hAnsi="Arial" w:cs="Arial"/>
                <w:b/>
                <w:bCs/>
                <w:sz w:val="24"/>
                <w:szCs w:val="24"/>
              </w:rPr>
            </w:pPr>
            <w:r w:rsidRPr="00484D13">
              <w:rPr>
                <w:rFonts w:ascii="Arial" w:eastAsia="Times New Roman" w:hAnsi="Arial" w:cs="Arial"/>
                <w:b/>
                <w:bCs/>
                <w:sz w:val="24"/>
                <w:szCs w:val="24"/>
              </w:rPr>
              <w:t>2020</w:t>
            </w:r>
          </w:p>
        </w:tc>
        <w:tc>
          <w:tcPr>
            <w:tcW w:w="0" w:type="auto"/>
            <w:hideMark/>
          </w:tcPr>
          <w:p w14:paraId="572EA69F" w14:textId="77777777" w:rsidR="00484D13" w:rsidRPr="00484D13" w:rsidRDefault="00484D13" w:rsidP="00922363">
            <w:pPr>
              <w:spacing w:line="360" w:lineRule="auto"/>
              <w:jc w:val="center"/>
              <w:rPr>
                <w:rFonts w:ascii="Arial" w:eastAsia="Times New Roman" w:hAnsi="Arial" w:cs="Arial"/>
                <w:b/>
                <w:bCs/>
                <w:sz w:val="24"/>
                <w:szCs w:val="24"/>
              </w:rPr>
            </w:pPr>
            <w:r w:rsidRPr="00484D13">
              <w:rPr>
                <w:rFonts w:ascii="Arial" w:eastAsia="Times New Roman" w:hAnsi="Arial" w:cs="Arial"/>
                <w:b/>
                <w:bCs/>
                <w:sz w:val="24"/>
                <w:szCs w:val="24"/>
              </w:rPr>
              <w:t>2021</w:t>
            </w:r>
          </w:p>
        </w:tc>
        <w:tc>
          <w:tcPr>
            <w:tcW w:w="0" w:type="auto"/>
            <w:hideMark/>
          </w:tcPr>
          <w:p w14:paraId="33BB18D3" w14:textId="77777777" w:rsidR="00484D13" w:rsidRPr="00484D13" w:rsidRDefault="00484D13" w:rsidP="00922363">
            <w:pPr>
              <w:spacing w:line="360" w:lineRule="auto"/>
              <w:jc w:val="center"/>
              <w:rPr>
                <w:rFonts w:ascii="Arial" w:eastAsia="Times New Roman" w:hAnsi="Arial" w:cs="Arial"/>
                <w:b/>
                <w:bCs/>
                <w:sz w:val="24"/>
                <w:szCs w:val="24"/>
              </w:rPr>
            </w:pPr>
            <w:r w:rsidRPr="00484D13">
              <w:rPr>
                <w:rFonts w:ascii="Arial" w:eastAsia="Times New Roman" w:hAnsi="Arial" w:cs="Arial"/>
                <w:b/>
                <w:bCs/>
                <w:sz w:val="24"/>
                <w:szCs w:val="24"/>
              </w:rPr>
              <w:t>2022</w:t>
            </w:r>
          </w:p>
        </w:tc>
        <w:tc>
          <w:tcPr>
            <w:tcW w:w="0" w:type="auto"/>
            <w:hideMark/>
          </w:tcPr>
          <w:p w14:paraId="2BB4222E" w14:textId="77777777" w:rsidR="00484D13" w:rsidRPr="00484D13" w:rsidRDefault="00484D13" w:rsidP="00922363">
            <w:pPr>
              <w:spacing w:line="360" w:lineRule="auto"/>
              <w:jc w:val="center"/>
              <w:rPr>
                <w:rFonts w:ascii="Arial" w:eastAsia="Times New Roman" w:hAnsi="Arial" w:cs="Arial"/>
                <w:b/>
                <w:bCs/>
                <w:sz w:val="24"/>
                <w:szCs w:val="24"/>
              </w:rPr>
            </w:pPr>
            <w:r w:rsidRPr="00484D13">
              <w:rPr>
                <w:rFonts w:ascii="Arial" w:eastAsia="Times New Roman" w:hAnsi="Arial" w:cs="Arial"/>
                <w:b/>
                <w:bCs/>
                <w:sz w:val="24"/>
                <w:szCs w:val="24"/>
              </w:rPr>
              <w:t>2023</w:t>
            </w:r>
          </w:p>
        </w:tc>
        <w:tc>
          <w:tcPr>
            <w:tcW w:w="0" w:type="auto"/>
            <w:hideMark/>
          </w:tcPr>
          <w:p w14:paraId="38901C26" w14:textId="77777777" w:rsidR="00484D13" w:rsidRPr="00484D13" w:rsidRDefault="00484D13" w:rsidP="00922363">
            <w:pPr>
              <w:spacing w:line="360" w:lineRule="auto"/>
              <w:jc w:val="center"/>
              <w:rPr>
                <w:rFonts w:ascii="Arial" w:eastAsia="Times New Roman" w:hAnsi="Arial" w:cs="Arial"/>
                <w:b/>
                <w:bCs/>
                <w:sz w:val="24"/>
                <w:szCs w:val="24"/>
              </w:rPr>
            </w:pPr>
            <w:r w:rsidRPr="00484D13">
              <w:rPr>
                <w:rFonts w:ascii="Arial" w:eastAsia="Times New Roman" w:hAnsi="Arial" w:cs="Arial"/>
                <w:b/>
                <w:bCs/>
                <w:sz w:val="24"/>
                <w:szCs w:val="24"/>
              </w:rPr>
              <w:t>2024</w:t>
            </w:r>
          </w:p>
        </w:tc>
      </w:tr>
      <w:tr w:rsidR="00484D13" w:rsidRPr="00484D13" w14:paraId="77B71794" w14:textId="77777777" w:rsidTr="00484D13">
        <w:tc>
          <w:tcPr>
            <w:tcW w:w="0" w:type="auto"/>
            <w:hideMark/>
          </w:tcPr>
          <w:p w14:paraId="607EC755" w14:textId="77777777" w:rsidR="00484D13" w:rsidRPr="00484D13" w:rsidRDefault="00484D13" w:rsidP="00922363">
            <w:pPr>
              <w:spacing w:line="360" w:lineRule="auto"/>
              <w:rPr>
                <w:rFonts w:ascii="Arial" w:eastAsia="Times New Roman" w:hAnsi="Arial" w:cs="Arial"/>
                <w:sz w:val="24"/>
                <w:szCs w:val="24"/>
              </w:rPr>
            </w:pPr>
            <w:r w:rsidRPr="00484D13">
              <w:rPr>
                <w:rFonts w:ascii="Arial" w:eastAsia="Times New Roman" w:hAnsi="Arial" w:cs="Arial"/>
                <w:sz w:val="24"/>
                <w:szCs w:val="24"/>
              </w:rPr>
              <w:t>Gross Profit Margin</w:t>
            </w:r>
          </w:p>
        </w:tc>
        <w:tc>
          <w:tcPr>
            <w:tcW w:w="0" w:type="auto"/>
            <w:hideMark/>
          </w:tcPr>
          <w:p w14:paraId="7AB1E815" w14:textId="77777777" w:rsidR="00484D13" w:rsidRPr="00484D13" w:rsidRDefault="00484D13" w:rsidP="00922363">
            <w:pPr>
              <w:spacing w:line="360" w:lineRule="auto"/>
              <w:rPr>
                <w:rFonts w:ascii="Arial" w:eastAsia="Times New Roman" w:hAnsi="Arial" w:cs="Arial"/>
                <w:sz w:val="24"/>
                <w:szCs w:val="24"/>
              </w:rPr>
            </w:pPr>
            <w:r w:rsidRPr="00484D13">
              <w:rPr>
                <w:rFonts w:ascii="Arial" w:eastAsia="Times New Roman" w:hAnsi="Arial" w:cs="Arial"/>
                <w:sz w:val="24"/>
                <w:szCs w:val="24"/>
              </w:rPr>
              <w:t>Gross Profit / Net Sales</w:t>
            </w:r>
          </w:p>
        </w:tc>
        <w:tc>
          <w:tcPr>
            <w:tcW w:w="0" w:type="auto"/>
            <w:hideMark/>
          </w:tcPr>
          <w:p w14:paraId="16217687" w14:textId="77777777" w:rsidR="00484D13" w:rsidRPr="00484D13" w:rsidRDefault="00484D13" w:rsidP="00922363">
            <w:pPr>
              <w:spacing w:line="360" w:lineRule="auto"/>
              <w:rPr>
                <w:rFonts w:ascii="Arial" w:eastAsia="Times New Roman" w:hAnsi="Arial" w:cs="Arial"/>
                <w:sz w:val="24"/>
                <w:szCs w:val="24"/>
              </w:rPr>
            </w:pPr>
            <w:r w:rsidRPr="00484D13">
              <w:rPr>
                <w:rFonts w:ascii="Arial" w:eastAsia="Times New Roman" w:hAnsi="Arial" w:cs="Arial"/>
                <w:sz w:val="24"/>
                <w:szCs w:val="24"/>
              </w:rPr>
              <w:t>28.67%</w:t>
            </w:r>
          </w:p>
        </w:tc>
        <w:tc>
          <w:tcPr>
            <w:tcW w:w="0" w:type="auto"/>
            <w:hideMark/>
          </w:tcPr>
          <w:p w14:paraId="1CCCC720" w14:textId="77777777" w:rsidR="00484D13" w:rsidRPr="00484D13" w:rsidRDefault="00484D13" w:rsidP="00922363">
            <w:pPr>
              <w:spacing w:line="360" w:lineRule="auto"/>
              <w:rPr>
                <w:rFonts w:ascii="Arial" w:eastAsia="Times New Roman" w:hAnsi="Arial" w:cs="Arial"/>
                <w:sz w:val="24"/>
                <w:szCs w:val="24"/>
              </w:rPr>
            </w:pPr>
            <w:r w:rsidRPr="00484D13">
              <w:rPr>
                <w:rFonts w:ascii="Arial" w:eastAsia="Times New Roman" w:hAnsi="Arial" w:cs="Arial"/>
                <w:sz w:val="24"/>
                <w:szCs w:val="24"/>
              </w:rPr>
              <w:t>28.76%</w:t>
            </w:r>
          </w:p>
        </w:tc>
        <w:tc>
          <w:tcPr>
            <w:tcW w:w="0" w:type="auto"/>
            <w:hideMark/>
          </w:tcPr>
          <w:p w14:paraId="76FFE54C" w14:textId="77777777" w:rsidR="00484D13" w:rsidRPr="00484D13" w:rsidRDefault="00484D13" w:rsidP="00922363">
            <w:pPr>
              <w:spacing w:line="360" w:lineRule="auto"/>
              <w:rPr>
                <w:rFonts w:ascii="Arial" w:eastAsia="Times New Roman" w:hAnsi="Arial" w:cs="Arial"/>
                <w:sz w:val="24"/>
                <w:szCs w:val="24"/>
              </w:rPr>
            </w:pPr>
            <w:r w:rsidRPr="00484D13">
              <w:rPr>
                <w:rFonts w:ascii="Arial" w:eastAsia="Times New Roman" w:hAnsi="Arial" w:cs="Arial"/>
                <w:sz w:val="24"/>
                <w:szCs w:val="24"/>
              </w:rPr>
              <w:t>28.06%</w:t>
            </w:r>
          </w:p>
        </w:tc>
        <w:tc>
          <w:tcPr>
            <w:tcW w:w="0" w:type="auto"/>
            <w:hideMark/>
          </w:tcPr>
          <w:p w14:paraId="520C8A2C" w14:textId="77777777" w:rsidR="00484D13" w:rsidRPr="00484D13" w:rsidRDefault="00484D13" w:rsidP="00922363">
            <w:pPr>
              <w:spacing w:line="360" w:lineRule="auto"/>
              <w:rPr>
                <w:rFonts w:ascii="Arial" w:eastAsia="Times New Roman" w:hAnsi="Arial" w:cs="Arial"/>
                <w:sz w:val="24"/>
                <w:szCs w:val="24"/>
              </w:rPr>
            </w:pPr>
            <w:r w:rsidRPr="00484D13">
              <w:rPr>
                <w:rFonts w:ascii="Arial" w:eastAsia="Times New Roman" w:hAnsi="Arial" w:cs="Arial"/>
                <w:sz w:val="24"/>
                <w:szCs w:val="24"/>
              </w:rPr>
              <w:t>23.20%</w:t>
            </w:r>
          </w:p>
        </w:tc>
        <w:tc>
          <w:tcPr>
            <w:tcW w:w="0" w:type="auto"/>
            <w:hideMark/>
          </w:tcPr>
          <w:p w14:paraId="461D93AC" w14:textId="77777777" w:rsidR="00484D13" w:rsidRPr="00484D13" w:rsidRDefault="00484D13" w:rsidP="00922363">
            <w:pPr>
              <w:spacing w:line="360" w:lineRule="auto"/>
              <w:rPr>
                <w:rFonts w:ascii="Arial" w:eastAsia="Times New Roman" w:hAnsi="Arial" w:cs="Arial"/>
                <w:sz w:val="24"/>
                <w:szCs w:val="24"/>
              </w:rPr>
            </w:pPr>
            <w:r w:rsidRPr="00484D13">
              <w:rPr>
                <w:rFonts w:ascii="Arial" w:eastAsia="Times New Roman" w:hAnsi="Arial" w:cs="Arial"/>
                <w:sz w:val="24"/>
                <w:szCs w:val="24"/>
              </w:rPr>
              <w:t>28.87%</w:t>
            </w:r>
          </w:p>
        </w:tc>
      </w:tr>
      <w:tr w:rsidR="00484D13" w:rsidRPr="00484D13" w14:paraId="6102F1E8" w14:textId="77777777" w:rsidTr="00484D13">
        <w:tc>
          <w:tcPr>
            <w:tcW w:w="0" w:type="auto"/>
            <w:hideMark/>
          </w:tcPr>
          <w:p w14:paraId="461090C3" w14:textId="77777777" w:rsidR="00484D13" w:rsidRPr="00484D13" w:rsidRDefault="00484D13" w:rsidP="00922363">
            <w:pPr>
              <w:spacing w:line="360" w:lineRule="auto"/>
              <w:rPr>
                <w:rFonts w:ascii="Arial" w:eastAsia="Times New Roman" w:hAnsi="Arial" w:cs="Arial"/>
                <w:sz w:val="24"/>
                <w:szCs w:val="24"/>
              </w:rPr>
            </w:pPr>
            <w:r w:rsidRPr="00484D13">
              <w:rPr>
                <w:rFonts w:ascii="Arial" w:eastAsia="Times New Roman" w:hAnsi="Arial" w:cs="Arial"/>
                <w:sz w:val="24"/>
                <w:szCs w:val="24"/>
              </w:rPr>
              <w:t>Operating Profit Margin</w:t>
            </w:r>
          </w:p>
        </w:tc>
        <w:tc>
          <w:tcPr>
            <w:tcW w:w="0" w:type="auto"/>
            <w:hideMark/>
          </w:tcPr>
          <w:p w14:paraId="048E5665" w14:textId="77777777" w:rsidR="00484D13" w:rsidRPr="00484D13" w:rsidRDefault="00484D13" w:rsidP="00922363">
            <w:pPr>
              <w:spacing w:line="360" w:lineRule="auto"/>
              <w:rPr>
                <w:rFonts w:ascii="Arial" w:eastAsia="Times New Roman" w:hAnsi="Arial" w:cs="Arial"/>
                <w:sz w:val="24"/>
                <w:szCs w:val="24"/>
              </w:rPr>
            </w:pPr>
            <w:r w:rsidRPr="00484D13">
              <w:rPr>
                <w:rFonts w:ascii="Arial" w:eastAsia="Times New Roman" w:hAnsi="Arial" w:cs="Arial"/>
                <w:sz w:val="24"/>
                <w:szCs w:val="24"/>
              </w:rPr>
              <w:t>Operating Income / Net Sales</w:t>
            </w:r>
          </w:p>
        </w:tc>
        <w:tc>
          <w:tcPr>
            <w:tcW w:w="0" w:type="auto"/>
            <w:hideMark/>
          </w:tcPr>
          <w:p w14:paraId="63951417" w14:textId="77777777" w:rsidR="00484D13" w:rsidRPr="00484D13" w:rsidRDefault="00484D13" w:rsidP="00922363">
            <w:pPr>
              <w:spacing w:line="360" w:lineRule="auto"/>
              <w:rPr>
                <w:rFonts w:ascii="Arial" w:eastAsia="Times New Roman" w:hAnsi="Arial" w:cs="Arial"/>
                <w:sz w:val="24"/>
                <w:szCs w:val="24"/>
              </w:rPr>
            </w:pPr>
            <w:r w:rsidRPr="00484D13">
              <w:rPr>
                <w:rFonts w:ascii="Arial" w:eastAsia="Times New Roman" w:hAnsi="Arial" w:cs="Arial"/>
                <w:sz w:val="24"/>
                <w:szCs w:val="24"/>
              </w:rPr>
              <w:t>6.06%</w:t>
            </w:r>
          </w:p>
        </w:tc>
        <w:tc>
          <w:tcPr>
            <w:tcW w:w="0" w:type="auto"/>
            <w:hideMark/>
          </w:tcPr>
          <w:p w14:paraId="6930A76C" w14:textId="77777777" w:rsidR="00484D13" w:rsidRPr="00484D13" w:rsidRDefault="00484D13" w:rsidP="00922363">
            <w:pPr>
              <w:spacing w:line="360" w:lineRule="auto"/>
              <w:rPr>
                <w:rFonts w:ascii="Arial" w:eastAsia="Times New Roman" w:hAnsi="Arial" w:cs="Arial"/>
                <w:sz w:val="24"/>
                <w:szCs w:val="24"/>
              </w:rPr>
            </w:pPr>
            <w:r w:rsidRPr="00484D13">
              <w:rPr>
                <w:rFonts w:ascii="Arial" w:eastAsia="Times New Roman" w:hAnsi="Arial" w:cs="Arial"/>
                <w:sz w:val="24"/>
                <w:szCs w:val="24"/>
              </w:rPr>
              <w:t>3.87%</w:t>
            </w:r>
          </w:p>
        </w:tc>
        <w:tc>
          <w:tcPr>
            <w:tcW w:w="0" w:type="auto"/>
            <w:hideMark/>
          </w:tcPr>
          <w:p w14:paraId="0A93B7C0" w14:textId="77777777" w:rsidR="00484D13" w:rsidRPr="00484D13" w:rsidRDefault="00484D13" w:rsidP="00922363">
            <w:pPr>
              <w:spacing w:line="360" w:lineRule="auto"/>
              <w:rPr>
                <w:rFonts w:ascii="Arial" w:eastAsia="Times New Roman" w:hAnsi="Arial" w:cs="Arial"/>
                <w:sz w:val="24"/>
                <w:szCs w:val="24"/>
              </w:rPr>
            </w:pPr>
            <w:r w:rsidRPr="00484D13">
              <w:rPr>
                <w:rFonts w:ascii="Arial" w:eastAsia="Times New Roman" w:hAnsi="Arial" w:cs="Arial"/>
                <w:sz w:val="24"/>
                <w:szCs w:val="24"/>
              </w:rPr>
              <w:t>2.68%</w:t>
            </w:r>
          </w:p>
        </w:tc>
        <w:tc>
          <w:tcPr>
            <w:tcW w:w="0" w:type="auto"/>
            <w:hideMark/>
          </w:tcPr>
          <w:p w14:paraId="5FFCE83C" w14:textId="77777777" w:rsidR="00484D13" w:rsidRPr="00484D13" w:rsidRDefault="00484D13" w:rsidP="00922363">
            <w:pPr>
              <w:spacing w:line="360" w:lineRule="auto"/>
              <w:rPr>
                <w:rFonts w:ascii="Arial" w:eastAsia="Times New Roman" w:hAnsi="Arial" w:cs="Arial"/>
                <w:sz w:val="24"/>
                <w:szCs w:val="24"/>
              </w:rPr>
            </w:pPr>
            <w:r w:rsidRPr="00484D13">
              <w:rPr>
                <w:rFonts w:ascii="Arial" w:eastAsia="Times New Roman" w:hAnsi="Arial" w:cs="Arial"/>
                <w:sz w:val="24"/>
                <w:szCs w:val="24"/>
              </w:rPr>
              <w:t>−20.29%</w:t>
            </w:r>
          </w:p>
        </w:tc>
        <w:tc>
          <w:tcPr>
            <w:tcW w:w="0" w:type="auto"/>
            <w:hideMark/>
          </w:tcPr>
          <w:p w14:paraId="04663B70" w14:textId="77777777" w:rsidR="00484D13" w:rsidRPr="00484D13" w:rsidRDefault="00484D13" w:rsidP="00922363">
            <w:pPr>
              <w:spacing w:line="360" w:lineRule="auto"/>
              <w:rPr>
                <w:rFonts w:ascii="Arial" w:eastAsia="Times New Roman" w:hAnsi="Arial" w:cs="Arial"/>
                <w:sz w:val="24"/>
                <w:szCs w:val="24"/>
              </w:rPr>
            </w:pPr>
            <w:r w:rsidRPr="00484D13">
              <w:rPr>
                <w:rFonts w:ascii="Arial" w:eastAsia="Times New Roman" w:hAnsi="Arial" w:cs="Arial"/>
                <w:sz w:val="24"/>
                <w:szCs w:val="24"/>
              </w:rPr>
              <w:t>−3.87%</w:t>
            </w:r>
          </w:p>
        </w:tc>
      </w:tr>
      <w:tr w:rsidR="00484D13" w:rsidRPr="00484D13" w14:paraId="52DB33EB" w14:textId="77777777" w:rsidTr="00484D13">
        <w:tc>
          <w:tcPr>
            <w:tcW w:w="0" w:type="auto"/>
            <w:hideMark/>
          </w:tcPr>
          <w:p w14:paraId="4907304A" w14:textId="77777777" w:rsidR="00484D13" w:rsidRPr="00484D13" w:rsidRDefault="00484D13" w:rsidP="00922363">
            <w:pPr>
              <w:spacing w:line="360" w:lineRule="auto"/>
              <w:rPr>
                <w:rFonts w:ascii="Arial" w:eastAsia="Times New Roman" w:hAnsi="Arial" w:cs="Arial"/>
                <w:sz w:val="24"/>
                <w:szCs w:val="24"/>
              </w:rPr>
            </w:pPr>
            <w:r w:rsidRPr="00484D13">
              <w:rPr>
                <w:rFonts w:ascii="Arial" w:eastAsia="Times New Roman" w:hAnsi="Arial" w:cs="Arial"/>
                <w:sz w:val="24"/>
                <w:szCs w:val="24"/>
              </w:rPr>
              <w:t>Net Profit Margin</w:t>
            </w:r>
          </w:p>
        </w:tc>
        <w:tc>
          <w:tcPr>
            <w:tcW w:w="0" w:type="auto"/>
            <w:hideMark/>
          </w:tcPr>
          <w:p w14:paraId="33D46D03" w14:textId="77777777" w:rsidR="00484D13" w:rsidRPr="00484D13" w:rsidRDefault="00484D13" w:rsidP="00922363">
            <w:pPr>
              <w:spacing w:line="360" w:lineRule="auto"/>
              <w:rPr>
                <w:rFonts w:ascii="Arial" w:eastAsia="Times New Roman" w:hAnsi="Arial" w:cs="Arial"/>
                <w:sz w:val="24"/>
                <w:szCs w:val="24"/>
              </w:rPr>
            </w:pPr>
            <w:r w:rsidRPr="00484D13">
              <w:rPr>
                <w:rFonts w:ascii="Arial" w:eastAsia="Times New Roman" w:hAnsi="Arial" w:cs="Arial"/>
                <w:sz w:val="24"/>
                <w:szCs w:val="24"/>
              </w:rPr>
              <w:t>Net Income / Net Sales</w:t>
            </w:r>
          </w:p>
        </w:tc>
        <w:tc>
          <w:tcPr>
            <w:tcW w:w="0" w:type="auto"/>
            <w:hideMark/>
          </w:tcPr>
          <w:p w14:paraId="7766D5AB" w14:textId="77777777" w:rsidR="00484D13" w:rsidRPr="00484D13" w:rsidRDefault="00484D13" w:rsidP="00922363">
            <w:pPr>
              <w:spacing w:line="360" w:lineRule="auto"/>
              <w:rPr>
                <w:rFonts w:ascii="Arial" w:eastAsia="Times New Roman" w:hAnsi="Arial" w:cs="Arial"/>
                <w:sz w:val="24"/>
                <w:szCs w:val="24"/>
              </w:rPr>
            </w:pPr>
            <w:r w:rsidRPr="00484D13">
              <w:rPr>
                <w:rFonts w:ascii="Arial" w:eastAsia="Times New Roman" w:hAnsi="Arial" w:cs="Arial"/>
                <w:sz w:val="24"/>
                <w:szCs w:val="24"/>
              </w:rPr>
              <w:t>6.28%</w:t>
            </w:r>
          </w:p>
        </w:tc>
        <w:tc>
          <w:tcPr>
            <w:tcW w:w="0" w:type="auto"/>
            <w:hideMark/>
          </w:tcPr>
          <w:p w14:paraId="3F1FE932" w14:textId="77777777" w:rsidR="00484D13" w:rsidRPr="00484D13" w:rsidRDefault="00484D13" w:rsidP="00922363">
            <w:pPr>
              <w:spacing w:line="360" w:lineRule="auto"/>
              <w:rPr>
                <w:rFonts w:ascii="Arial" w:eastAsia="Times New Roman" w:hAnsi="Arial" w:cs="Arial"/>
                <w:sz w:val="24"/>
                <w:szCs w:val="24"/>
              </w:rPr>
            </w:pPr>
            <w:r w:rsidRPr="00484D13">
              <w:rPr>
                <w:rFonts w:ascii="Arial" w:eastAsia="Times New Roman" w:hAnsi="Arial" w:cs="Arial"/>
                <w:sz w:val="24"/>
                <w:szCs w:val="24"/>
              </w:rPr>
              <w:t>0.88%</w:t>
            </w:r>
          </w:p>
        </w:tc>
        <w:tc>
          <w:tcPr>
            <w:tcW w:w="0" w:type="auto"/>
            <w:hideMark/>
          </w:tcPr>
          <w:p w14:paraId="4642088B" w14:textId="77777777" w:rsidR="00484D13" w:rsidRPr="00484D13" w:rsidRDefault="00484D13" w:rsidP="00922363">
            <w:pPr>
              <w:spacing w:line="360" w:lineRule="auto"/>
              <w:rPr>
                <w:rFonts w:ascii="Arial" w:eastAsia="Times New Roman" w:hAnsi="Arial" w:cs="Arial"/>
                <w:sz w:val="24"/>
                <w:szCs w:val="24"/>
              </w:rPr>
            </w:pPr>
            <w:r w:rsidRPr="00484D13">
              <w:rPr>
                <w:rFonts w:ascii="Arial" w:eastAsia="Times New Roman" w:hAnsi="Arial" w:cs="Arial"/>
                <w:sz w:val="24"/>
                <w:szCs w:val="24"/>
              </w:rPr>
              <w:t>0.08%</w:t>
            </w:r>
          </w:p>
        </w:tc>
        <w:tc>
          <w:tcPr>
            <w:tcW w:w="0" w:type="auto"/>
            <w:hideMark/>
          </w:tcPr>
          <w:p w14:paraId="6E4E8D1E" w14:textId="77777777" w:rsidR="00484D13" w:rsidRPr="00484D13" w:rsidRDefault="00484D13" w:rsidP="00922363">
            <w:pPr>
              <w:spacing w:line="360" w:lineRule="auto"/>
              <w:rPr>
                <w:rFonts w:ascii="Arial" w:eastAsia="Times New Roman" w:hAnsi="Arial" w:cs="Arial"/>
                <w:sz w:val="24"/>
                <w:szCs w:val="24"/>
              </w:rPr>
            </w:pPr>
            <w:r w:rsidRPr="00484D13">
              <w:rPr>
                <w:rFonts w:ascii="Arial" w:eastAsia="Times New Roman" w:hAnsi="Arial" w:cs="Arial"/>
                <w:sz w:val="24"/>
                <w:szCs w:val="24"/>
              </w:rPr>
              <w:t>−23.36%</w:t>
            </w:r>
          </w:p>
        </w:tc>
        <w:tc>
          <w:tcPr>
            <w:tcW w:w="0" w:type="auto"/>
            <w:hideMark/>
          </w:tcPr>
          <w:p w14:paraId="5688A2D2" w14:textId="77777777" w:rsidR="00484D13" w:rsidRPr="00484D13" w:rsidRDefault="00484D13" w:rsidP="00922363">
            <w:pPr>
              <w:spacing w:line="360" w:lineRule="auto"/>
              <w:rPr>
                <w:rFonts w:ascii="Arial" w:eastAsia="Times New Roman" w:hAnsi="Arial" w:cs="Arial"/>
                <w:sz w:val="24"/>
                <w:szCs w:val="24"/>
              </w:rPr>
            </w:pPr>
            <w:r w:rsidRPr="00484D13">
              <w:rPr>
                <w:rFonts w:ascii="Arial" w:eastAsia="Times New Roman" w:hAnsi="Arial" w:cs="Arial"/>
                <w:sz w:val="24"/>
                <w:szCs w:val="24"/>
              </w:rPr>
              <w:t>−6.09%</w:t>
            </w:r>
          </w:p>
        </w:tc>
      </w:tr>
      <w:tr w:rsidR="00484D13" w:rsidRPr="00484D13" w14:paraId="36A0085B" w14:textId="77777777" w:rsidTr="00484D13">
        <w:tc>
          <w:tcPr>
            <w:tcW w:w="0" w:type="auto"/>
            <w:hideMark/>
          </w:tcPr>
          <w:p w14:paraId="3E63B236" w14:textId="77777777" w:rsidR="00484D13" w:rsidRPr="00484D13" w:rsidRDefault="00484D13" w:rsidP="00922363">
            <w:pPr>
              <w:spacing w:line="360" w:lineRule="auto"/>
              <w:rPr>
                <w:rFonts w:ascii="Arial" w:eastAsia="Times New Roman" w:hAnsi="Arial" w:cs="Arial"/>
                <w:sz w:val="24"/>
                <w:szCs w:val="24"/>
              </w:rPr>
            </w:pPr>
            <w:r w:rsidRPr="00484D13">
              <w:rPr>
                <w:rFonts w:ascii="Arial" w:eastAsia="Times New Roman" w:hAnsi="Arial" w:cs="Arial"/>
                <w:sz w:val="24"/>
                <w:szCs w:val="24"/>
              </w:rPr>
              <w:t>Return on Assets (ROA)</w:t>
            </w:r>
          </w:p>
        </w:tc>
        <w:tc>
          <w:tcPr>
            <w:tcW w:w="0" w:type="auto"/>
            <w:hideMark/>
          </w:tcPr>
          <w:p w14:paraId="11B8946B" w14:textId="77777777" w:rsidR="00484D13" w:rsidRPr="00484D13" w:rsidRDefault="00484D13" w:rsidP="00922363">
            <w:pPr>
              <w:spacing w:line="360" w:lineRule="auto"/>
              <w:rPr>
                <w:rFonts w:ascii="Arial" w:eastAsia="Times New Roman" w:hAnsi="Arial" w:cs="Arial"/>
                <w:sz w:val="24"/>
                <w:szCs w:val="24"/>
              </w:rPr>
            </w:pPr>
            <w:r w:rsidRPr="00484D13">
              <w:rPr>
                <w:rFonts w:ascii="Arial" w:eastAsia="Times New Roman" w:hAnsi="Arial" w:cs="Arial"/>
                <w:sz w:val="24"/>
                <w:szCs w:val="24"/>
              </w:rPr>
              <w:t>Net Income / Total Assets</w:t>
            </w:r>
          </w:p>
        </w:tc>
        <w:tc>
          <w:tcPr>
            <w:tcW w:w="0" w:type="auto"/>
            <w:hideMark/>
          </w:tcPr>
          <w:p w14:paraId="71227554" w14:textId="77777777" w:rsidR="00484D13" w:rsidRPr="00484D13" w:rsidRDefault="00484D13" w:rsidP="00922363">
            <w:pPr>
              <w:spacing w:line="360" w:lineRule="auto"/>
              <w:rPr>
                <w:rFonts w:ascii="Arial" w:eastAsia="Times New Roman" w:hAnsi="Arial" w:cs="Arial"/>
                <w:sz w:val="24"/>
                <w:szCs w:val="24"/>
              </w:rPr>
            </w:pPr>
            <w:r w:rsidRPr="00484D13">
              <w:rPr>
                <w:rFonts w:ascii="Arial" w:eastAsia="Times New Roman" w:hAnsi="Arial" w:cs="Arial"/>
                <w:sz w:val="24"/>
                <w:szCs w:val="24"/>
              </w:rPr>
              <w:t>7.56%</w:t>
            </w:r>
          </w:p>
        </w:tc>
        <w:tc>
          <w:tcPr>
            <w:tcW w:w="0" w:type="auto"/>
            <w:hideMark/>
          </w:tcPr>
          <w:p w14:paraId="51FC1B04" w14:textId="77777777" w:rsidR="00484D13" w:rsidRPr="00484D13" w:rsidRDefault="00484D13" w:rsidP="00922363">
            <w:pPr>
              <w:spacing w:line="360" w:lineRule="auto"/>
              <w:rPr>
                <w:rFonts w:ascii="Arial" w:eastAsia="Times New Roman" w:hAnsi="Arial" w:cs="Arial"/>
                <w:sz w:val="24"/>
                <w:szCs w:val="24"/>
              </w:rPr>
            </w:pPr>
            <w:r w:rsidRPr="00484D13">
              <w:rPr>
                <w:rFonts w:ascii="Arial" w:eastAsia="Times New Roman" w:hAnsi="Arial" w:cs="Arial"/>
                <w:sz w:val="24"/>
                <w:szCs w:val="24"/>
              </w:rPr>
              <w:t>1.04%</w:t>
            </w:r>
          </w:p>
        </w:tc>
        <w:tc>
          <w:tcPr>
            <w:tcW w:w="0" w:type="auto"/>
            <w:hideMark/>
          </w:tcPr>
          <w:p w14:paraId="4FA539E6" w14:textId="77777777" w:rsidR="00484D13" w:rsidRPr="00484D13" w:rsidRDefault="00484D13" w:rsidP="00922363">
            <w:pPr>
              <w:spacing w:line="360" w:lineRule="auto"/>
              <w:rPr>
                <w:rFonts w:ascii="Arial" w:eastAsia="Times New Roman" w:hAnsi="Arial" w:cs="Arial"/>
                <w:sz w:val="24"/>
                <w:szCs w:val="24"/>
              </w:rPr>
            </w:pPr>
            <w:r w:rsidRPr="00484D13">
              <w:rPr>
                <w:rFonts w:ascii="Arial" w:eastAsia="Times New Roman" w:hAnsi="Arial" w:cs="Arial"/>
                <w:sz w:val="24"/>
                <w:szCs w:val="24"/>
              </w:rPr>
              <w:t>0.08%</w:t>
            </w:r>
          </w:p>
        </w:tc>
        <w:tc>
          <w:tcPr>
            <w:tcW w:w="0" w:type="auto"/>
            <w:hideMark/>
          </w:tcPr>
          <w:p w14:paraId="10AB1768" w14:textId="77777777" w:rsidR="00484D13" w:rsidRPr="00484D13" w:rsidRDefault="00484D13" w:rsidP="00922363">
            <w:pPr>
              <w:spacing w:line="360" w:lineRule="auto"/>
              <w:rPr>
                <w:rFonts w:ascii="Arial" w:eastAsia="Times New Roman" w:hAnsi="Arial" w:cs="Arial"/>
                <w:sz w:val="24"/>
                <w:szCs w:val="24"/>
              </w:rPr>
            </w:pPr>
            <w:r w:rsidRPr="00484D13">
              <w:rPr>
                <w:rFonts w:ascii="Arial" w:eastAsia="Times New Roman" w:hAnsi="Arial" w:cs="Arial"/>
                <w:sz w:val="24"/>
                <w:szCs w:val="24"/>
              </w:rPr>
              <w:t>−27.60%</w:t>
            </w:r>
          </w:p>
        </w:tc>
        <w:tc>
          <w:tcPr>
            <w:tcW w:w="0" w:type="auto"/>
            <w:hideMark/>
          </w:tcPr>
          <w:p w14:paraId="0EADA502" w14:textId="77777777" w:rsidR="00484D13" w:rsidRPr="00484D13" w:rsidRDefault="00484D13" w:rsidP="00922363">
            <w:pPr>
              <w:spacing w:line="360" w:lineRule="auto"/>
              <w:rPr>
                <w:rFonts w:ascii="Arial" w:eastAsia="Times New Roman" w:hAnsi="Arial" w:cs="Arial"/>
                <w:sz w:val="24"/>
                <w:szCs w:val="24"/>
              </w:rPr>
            </w:pPr>
            <w:r w:rsidRPr="00484D13">
              <w:rPr>
                <w:rFonts w:ascii="Arial" w:eastAsia="Times New Roman" w:hAnsi="Arial" w:cs="Arial"/>
                <w:sz w:val="24"/>
                <w:szCs w:val="24"/>
              </w:rPr>
              <w:t>−7.43%</w:t>
            </w:r>
          </w:p>
        </w:tc>
      </w:tr>
      <w:tr w:rsidR="00484D13" w:rsidRPr="00484D13" w14:paraId="4B607566" w14:textId="77777777" w:rsidTr="00484D13">
        <w:tc>
          <w:tcPr>
            <w:tcW w:w="0" w:type="auto"/>
            <w:hideMark/>
          </w:tcPr>
          <w:p w14:paraId="346D619A" w14:textId="77777777" w:rsidR="00484D13" w:rsidRPr="00484D13" w:rsidRDefault="00484D13" w:rsidP="00922363">
            <w:pPr>
              <w:spacing w:line="360" w:lineRule="auto"/>
              <w:rPr>
                <w:rFonts w:ascii="Arial" w:eastAsia="Times New Roman" w:hAnsi="Arial" w:cs="Arial"/>
                <w:sz w:val="24"/>
                <w:szCs w:val="24"/>
              </w:rPr>
            </w:pPr>
            <w:r w:rsidRPr="00484D13">
              <w:rPr>
                <w:rFonts w:ascii="Arial" w:eastAsia="Times New Roman" w:hAnsi="Arial" w:cs="Arial"/>
                <w:sz w:val="24"/>
                <w:szCs w:val="24"/>
              </w:rPr>
              <w:t>Return on Equity (ROE)</w:t>
            </w:r>
          </w:p>
        </w:tc>
        <w:tc>
          <w:tcPr>
            <w:tcW w:w="0" w:type="auto"/>
            <w:hideMark/>
          </w:tcPr>
          <w:p w14:paraId="634622EA" w14:textId="77777777" w:rsidR="00484D13" w:rsidRPr="00484D13" w:rsidRDefault="00484D13" w:rsidP="00922363">
            <w:pPr>
              <w:spacing w:line="360" w:lineRule="auto"/>
              <w:rPr>
                <w:rFonts w:ascii="Arial" w:eastAsia="Times New Roman" w:hAnsi="Arial" w:cs="Arial"/>
                <w:sz w:val="24"/>
                <w:szCs w:val="24"/>
              </w:rPr>
            </w:pPr>
            <w:r w:rsidRPr="00484D13">
              <w:rPr>
                <w:rFonts w:ascii="Arial" w:eastAsia="Times New Roman" w:hAnsi="Arial" w:cs="Arial"/>
                <w:sz w:val="24"/>
                <w:szCs w:val="24"/>
              </w:rPr>
              <w:t>Net Income / Shareholders’ Equity</w:t>
            </w:r>
          </w:p>
        </w:tc>
        <w:tc>
          <w:tcPr>
            <w:tcW w:w="0" w:type="auto"/>
            <w:hideMark/>
          </w:tcPr>
          <w:p w14:paraId="14B66046" w14:textId="77777777" w:rsidR="00484D13" w:rsidRPr="00484D13" w:rsidRDefault="00484D13" w:rsidP="00922363">
            <w:pPr>
              <w:spacing w:line="360" w:lineRule="auto"/>
              <w:rPr>
                <w:rFonts w:ascii="Arial" w:eastAsia="Times New Roman" w:hAnsi="Arial" w:cs="Arial"/>
                <w:sz w:val="24"/>
                <w:szCs w:val="24"/>
              </w:rPr>
            </w:pPr>
            <w:r w:rsidRPr="00484D13">
              <w:rPr>
                <w:rFonts w:ascii="Arial" w:eastAsia="Times New Roman" w:hAnsi="Arial" w:cs="Arial"/>
                <w:sz w:val="24"/>
                <w:szCs w:val="24"/>
              </w:rPr>
              <w:t>12.31%</w:t>
            </w:r>
          </w:p>
        </w:tc>
        <w:tc>
          <w:tcPr>
            <w:tcW w:w="0" w:type="auto"/>
            <w:hideMark/>
          </w:tcPr>
          <w:p w14:paraId="33981B2C" w14:textId="77777777" w:rsidR="00484D13" w:rsidRPr="00484D13" w:rsidRDefault="00484D13" w:rsidP="00922363">
            <w:pPr>
              <w:spacing w:line="360" w:lineRule="auto"/>
              <w:rPr>
                <w:rFonts w:ascii="Arial" w:eastAsia="Times New Roman" w:hAnsi="Arial" w:cs="Arial"/>
                <w:sz w:val="24"/>
                <w:szCs w:val="24"/>
              </w:rPr>
            </w:pPr>
            <w:r w:rsidRPr="00484D13">
              <w:rPr>
                <w:rFonts w:ascii="Arial" w:eastAsia="Times New Roman" w:hAnsi="Arial" w:cs="Arial"/>
                <w:sz w:val="24"/>
                <w:szCs w:val="24"/>
              </w:rPr>
              <w:t>1.92%</w:t>
            </w:r>
          </w:p>
        </w:tc>
        <w:tc>
          <w:tcPr>
            <w:tcW w:w="0" w:type="auto"/>
            <w:hideMark/>
          </w:tcPr>
          <w:p w14:paraId="6D57343C" w14:textId="77777777" w:rsidR="00484D13" w:rsidRPr="00484D13" w:rsidRDefault="00484D13" w:rsidP="00922363">
            <w:pPr>
              <w:spacing w:line="360" w:lineRule="auto"/>
              <w:rPr>
                <w:rFonts w:ascii="Arial" w:eastAsia="Times New Roman" w:hAnsi="Arial" w:cs="Arial"/>
                <w:sz w:val="24"/>
                <w:szCs w:val="24"/>
              </w:rPr>
            </w:pPr>
            <w:r w:rsidRPr="00484D13">
              <w:rPr>
                <w:rFonts w:ascii="Arial" w:eastAsia="Times New Roman" w:hAnsi="Arial" w:cs="Arial"/>
                <w:sz w:val="24"/>
                <w:szCs w:val="24"/>
              </w:rPr>
              <w:t>0.15%</w:t>
            </w:r>
          </w:p>
        </w:tc>
        <w:tc>
          <w:tcPr>
            <w:tcW w:w="0" w:type="auto"/>
            <w:hideMark/>
          </w:tcPr>
          <w:p w14:paraId="457BC60D" w14:textId="77777777" w:rsidR="00484D13" w:rsidRPr="00484D13" w:rsidRDefault="00484D13" w:rsidP="00922363">
            <w:pPr>
              <w:spacing w:line="360" w:lineRule="auto"/>
              <w:rPr>
                <w:rFonts w:ascii="Arial" w:eastAsia="Times New Roman" w:hAnsi="Arial" w:cs="Arial"/>
                <w:sz w:val="24"/>
                <w:szCs w:val="24"/>
              </w:rPr>
            </w:pPr>
            <w:r w:rsidRPr="00484D13">
              <w:rPr>
                <w:rFonts w:ascii="Arial" w:eastAsia="Times New Roman" w:hAnsi="Arial" w:cs="Arial"/>
                <w:sz w:val="24"/>
                <w:szCs w:val="24"/>
              </w:rPr>
              <w:t>−54.91%</w:t>
            </w:r>
          </w:p>
        </w:tc>
        <w:tc>
          <w:tcPr>
            <w:tcW w:w="0" w:type="auto"/>
            <w:hideMark/>
          </w:tcPr>
          <w:p w14:paraId="3869BC10" w14:textId="77777777" w:rsidR="00484D13" w:rsidRPr="00484D13" w:rsidRDefault="00484D13" w:rsidP="00922363">
            <w:pPr>
              <w:spacing w:line="360" w:lineRule="auto"/>
              <w:rPr>
                <w:rFonts w:ascii="Arial" w:eastAsia="Times New Roman" w:hAnsi="Arial" w:cs="Arial"/>
                <w:sz w:val="24"/>
                <w:szCs w:val="24"/>
              </w:rPr>
            </w:pPr>
            <w:r w:rsidRPr="00484D13">
              <w:rPr>
                <w:rFonts w:ascii="Arial" w:eastAsia="Times New Roman" w:hAnsi="Arial" w:cs="Arial"/>
                <w:sz w:val="24"/>
                <w:szCs w:val="24"/>
              </w:rPr>
              <w:t>−15.69%</w:t>
            </w:r>
          </w:p>
        </w:tc>
      </w:tr>
    </w:tbl>
    <w:p w14:paraId="11AB6499" w14:textId="1A32695E" w:rsidR="008C7CCC" w:rsidRPr="008C7CCC" w:rsidRDefault="008C7CCC" w:rsidP="008C7CCC">
      <w:pPr>
        <w:spacing w:before="100" w:beforeAutospacing="1" w:after="100" w:afterAutospacing="1" w:line="360" w:lineRule="auto"/>
        <w:jc w:val="center"/>
        <w:outlineLvl w:val="2"/>
        <w:rPr>
          <w:rFonts w:ascii="Arial" w:eastAsia="Times New Roman" w:hAnsi="Arial" w:cs="Arial"/>
          <w:b/>
          <w:bCs/>
          <w:sz w:val="20"/>
          <w:szCs w:val="20"/>
        </w:rPr>
      </w:pPr>
      <w:bookmarkStart w:id="41" w:name="_Toc217181525"/>
      <w:bookmarkStart w:id="42" w:name="_Toc217260325"/>
      <w:bookmarkStart w:id="43" w:name="_Toc216755989"/>
      <w:r w:rsidRPr="008C7CCC">
        <w:rPr>
          <w:rFonts w:ascii="Arial" w:eastAsia="Times New Roman" w:hAnsi="Arial" w:cs="Arial"/>
          <w:b/>
          <w:bCs/>
          <w:sz w:val="20"/>
          <w:szCs w:val="20"/>
        </w:rPr>
        <w:t xml:space="preserve">Table </w:t>
      </w:r>
      <w:r>
        <w:rPr>
          <w:rFonts w:ascii="Arial" w:eastAsia="Times New Roman" w:hAnsi="Arial" w:cs="Arial"/>
          <w:b/>
          <w:bCs/>
          <w:sz w:val="20"/>
          <w:szCs w:val="20"/>
        </w:rPr>
        <w:t>1</w:t>
      </w:r>
      <w:r w:rsidRPr="008C7CCC">
        <w:rPr>
          <w:rFonts w:ascii="Arial" w:eastAsia="Times New Roman" w:hAnsi="Arial" w:cs="Arial"/>
          <w:b/>
          <w:bCs/>
          <w:sz w:val="20"/>
          <w:szCs w:val="20"/>
        </w:rPr>
        <w:t xml:space="preserve">: </w:t>
      </w:r>
      <w:r w:rsidRPr="00484D13">
        <w:rPr>
          <w:rFonts w:ascii="Arial" w:eastAsia="Times New Roman" w:hAnsi="Arial" w:cs="Arial"/>
          <w:b/>
          <w:bCs/>
          <w:sz w:val="20"/>
          <w:szCs w:val="20"/>
        </w:rPr>
        <w:t>Profitability Ratio</w:t>
      </w:r>
      <w:r w:rsidRPr="008C7CCC">
        <w:rPr>
          <w:rFonts w:ascii="Arial" w:eastAsia="Times New Roman" w:hAnsi="Arial" w:cs="Arial"/>
          <w:b/>
          <w:bCs/>
          <w:sz w:val="20"/>
          <w:szCs w:val="20"/>
        </w:rPr>
        <w:t xml:space="preserve"> (Self-Prepared)</w:t>
      </w:r>
      <w:bookmarkEnd w:id="41"/>
      <w:bookmarkEnd w:id="42"/>
    </w:p>
    <w:p w14:paraId="4412C038" w14:textId="3FFCB881" w:rsidR="008C7CCC" w:rsidRDefault="008C7CCC" w:rsidP="008C7CCC">
      <w:pPr>
        <w:spacing w:before="100" w:beforeAutospacing="1" w:after="100" w:afterAutospacing="1" w:line="360" w:lineRule="auto"/>
        <w:jc w:val="center"/>
        <w:outlineLvl w:val="2"/>
        <w:rPr>
          <w:rFonts w:ascii="Arial" w:eastAsia="Times New Roman" w:hAnsi="Arial" w:cs="Arial"/>
          <w:b/>
          <w:bCs/>
          <w:sz w:val="27"/>
          <w:szCs w:val="27"/>
        </w:rPr>
      </w:pPr>
      <w:bookmarkStart w:id="44" w:name="_Toc217181526"/>
      <w:bookmarkStart w:id="45" w:name="_Toc217260326"/>
      <w:r>
        <w:rPr>
          <w:noProof/>
        </w:rPr>
        <w:lastRenderedPageBreak/>
        <w:drawing>
          <wp:inline distT="0" distB="0" distL="0" distR="0" wp14:anchorId="047E163A" wp14:editId="74275C8D">
            <wp:extent cx="5248275" cy="2590800"/>
            <wp:effectExtent l="0" t="0" r="9525" b="0"/>
            <wp:docPr id="7" name="Chart 7">
              <a:extLst xmlns:a="http://schemas.openxmlformats.org/drawingml/2006/main">
                <a:ext uri="{FF2B5EF4-FFF2-40B4-BE49-F238E27FC236}">
                  <a16:creationId xmlns:a16="http://schemas.microsoft.com/office/drawing/2014/main" id="{5697AAA0-E76B-4074-8ECF-DE3864346AA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bookmarkEnd w:id="44"/>
      <w:bookmarkEnd w:id="45"/>
    </w:p>
    <w:p w14:paraId="5D3F0A4C" w14:textId="4758407E" w:rsidR="008C7CCC" w:rsidRPr="008C7CCC" w:rsidRDefault="008C7CCC" w:rsidP="008C7CCC">
      <w:pPr>
        <w:spacing w:before="100" w:beforeAutospacing="1" w:after="100" w:afterAutospacing="1" w:line="360" w:lineRule="auto"/>
        <w:jc w:val="center"/>
        <w:outlineLvl w:val="2"/>
        <w:rPr>
          <w:rFonts w:ascii="Arial" w:eastAsia="Times New Roman" w:hAnsi="Arial" w:cs="Arial"/>
          <w:b/>
          <w:bCs/>
          <w:sz w:val="20"/>
          <w:szCs w:val="20"/>
        </w:rPr>
      </w:pPr>
      <w:bookmarkStart w:id="46" w:name="_Toc217181527"/>
      <w:bookmarkStart w:id="47" w:name="_Toc217260327"/>
      <w:r w:rsidRPr="008C7CCC">
        <w:rPr>
          <w:rFonts w:ascii="Arial" w:eastAsia="Times New Roman" w:hAnsi="Arial" w:cs="Arial"/>
          <w:b/>
          <w:bCs/>
          <w:sz w:val="20"/>
          <w:szCs w:val="20"/>
        </w:rPr>
        <w:t xml:space="preserve">Figure 1: </w:t>
      </w:r>
      <w:r w:rsidRPr="00484D13">
        <w:rPr>
          <w:rFonts w:ascii="Arial" w:eastAsia="Times New Roman" w:hAnsi="Arial" w:cs="Arial"/>
          <w:b/>
          <w:bCs/>
          <w:sz w:val="20"/>
          <w:szCs w:val="20"/>
        </w:rPr>
        <w:t>Profitability Ratio</w:t>
      </w:r>
      <w:r w:rsidRPr="008C7CCC">
        <w:rPr>
          <w:rFonts w:ascii="Arial" w:eastAsia="Times New Roman" w:hAnsi="Arial" w:cs="Arial"/>
          <w:b/>
          <w:bCs/>
          <w:sz w:val="20"/>
          <w:szCs w:val="20"/>
        </w:rPr>
        <w:t xml:space="preserve"> Comparison (Self-Prepared)</w:t>
      </w:r>
      <w:bookmarkEnd w:id="46"/>
      <w:bookmarkEnd w:id="47"/>
    </w:p>
    <w:p w14:paraId="4BD12791" w14:textId="773EECE3" w:rsidR="00484D13" w:rsidRPr="00484D13" w:rsidRDefault="00484D13" w:rsidP="00922363">
      <w:pPr>
        <w:spacing w:before="100" w:beforeAutospacing="1" w:after="100" w:afterAutospacing="1" w:line="360" w:lineRule="auto"/>
        <w:outlineLvl w:val="2"/>
        <w:rPr>
          <w:rFonts w:ascii="Arial" w:eastAsia="Times New Roman" w:hAnsi="Arial" w:cs="Arial"/>
          <w:b/>
          <w:bCs/>
          <w:sz w:val="27"/>
          <w:szCs w:val="27"/>
        </w:rPr>
      </w:pPr>
      <w:bookmarkStart w:id="48" w:name="_Toc217181528"/>
      <w:bookmarkStart w:id="49" w:name="_Toc217260328"/>
      <w:r w:rsidRPr="00484D13">
        <w:rPr>
          <w:rFonts w:ascii="Arial" w:eastAsia="Times New Roman" w:hAnsi="Arial" w:cs="Arial"/>
          <w:b/>
          <w:bCs/>
          <w:sz w:val="27"/>
          <w:szCs w:val="27"/>
        </w:rPr>
        <w:t>Table A2: Liquidity Ratios (2020–2024)</w:t>
      </w:r>
      <w:bookmarkEnd w:id="43"/>
      <w:bookmarkEnd w:id="48"/>
      <w:bookmarkEnd w:id="49"/>
    </w:p>
    <w:p w14:paraId="31E7B8FF" w14:textId="77777777" w:rsidR="00484D13" w:rsidRPr="00484D13" w:rsidRDefault="00484D13" w:rsidP="00922363">
      <w:pPr>
        <w:spacing w:before="100" w:beforeAutospacing="1" w:after="100" w:afterAutospacing="1" w:line="360" w:lineRule="auto"/>
        <w:rPr>
          <w:rFonts w:ascii="Arial" w:eastAsia="Times New Roman" w:hAnsi="Arial" w:cs="Arial"/>
          <w:sz w:val="24"/>
          <w:szCs w:val="24"/>
        </w:rPr>
      </w:pPr>
      <w:r w:rsidRPr="00484D13">
        <w:rPr>
          <w:rFonts w:ascii="Arial" w:eastAsia="Times New Roman" w:hAnsi="Arial" w:cs="Arial"/>
          <w:sz w:val="24"/>
          <w:szCs w:val="24"/>
        </w:rPr>
        <w:t>Current ratio = Current assets / Current liabilities</w:t>
      </w:r>
      <w:r w:rsidRPr="00484D13">
        <w:rPr>
          <w:rFonts w:ascii="Arial" w:eastAsia="Times New Roman" w:hAnsi="Arial" w:cs="Arial"/>
          <w:sz w:val="24"/>
          <w:szCs w:val="24"/>
        </w:rPr>
        <w:br/>
        <w:t>Quick ratio = (Current assets – Inventories) / Current liabilities</w:t>
      </w:r>
      <w:r w:rsidRPr="00484D13">
        <w:rPr>
          <w:rFonts w:ascii="Arial" w:eastAsia="Times New Roman" w:hAnsi="Arial" w:cs="Arial"/>
          <w:sz w:val="24"/>
          <w:szCs w:val="24"/>
        </w:rPr>
        <w:br/>
        <w:t>Cash ratio = Cash and cash equivalents / Current liabilities</w:t>
      </w:r>
    </w:p>
    <w:p w14:paraId="21B0E7E1" w14:textId="3C26F8F9" w:rsidR="00484D13" w:rsidRPr="00922363" w:rsidRDefault="00484D13" w:rsidP="00922363">
      <w:pPr>
        <w:spacing w:before="100" w:beforeAutospacing="1" w:after="100" w:afterAutospacing="1" w:line="360" w:lineRule="auto"/>
        <w:rPr>
          <w:rFonts w:ascii="Arial" w:eastAsia="Times New Roman" w:hAnsi="Arial" w:cs="Arial"/>
          <w:sz w:val="24"/>
          <w:szCs w:val="24"/>
        </w:rPr>
      </w:pPr>
      <w:r w:rsidRPr="00484D13">
        <w:rPr>
          <w:rFonts w:ascii="Arial" w:eastAsia="Times New Roman" w:hAnsi="Arial" w:cs="Arial"/>
          <w:sz w:val="24"/>
          <w:szCs w:val="24"/>
        </w:rPr>
        <w:t xml:space="preserve">Five-year numerical calculations presented </w:t>
      </w:r>
      <w:r w:rsidRPr="00922363">
        <w:rPr>
          <w:rFonts w:ascii="Arial" w:eastAsia="Times New Roman" w:hAnsi="Arial" w:cs="Arial"/>
          <w:sz w:val="24"/>
          <w:szCs w:val="24"/>
        </w:rPr>
        <w:t xml:space="preserve">below: </w:t>
      </w:r>
    </w:p>
    <w:tbl>
      <w:tblPr>
        <w:tblStyle w:val="TableGrid"/>
        <w:tblW w:w="0" w:type="auto"/>
        <w:tblLook w:val="04A0" w:firstRow="1" w:lastRow="0" w:firstColumn="1" w:lastColumn="0" w:noHBand="0" w:noVBand="1"/>
      </w:tblPr>
      <w:tblGrid>
        <w:gridCol w:w="1458"/>
        <w:gridCol w:w="4142"/>
        <w:gridCol w:w="750"/>
        <w:gridCol w:w="750"/>
        <w:gridCol w:w="750"/>
        <w:gridCol w:w="750"/>
        <w:gridCol w:w="750"/>
      </w:tblGrid>
      <w:tr w:rsidR="00484D13" w:rsidRPr="00484D13" w14:paraId="0E0BD6DC" w14:textId="77777777" w:rsidTr="00484D13">
        <w:tc>
          <w:tcPr>
            <w:tcW w:w="0" w:type="auto"/>
            <w:hideMark/>
          </w:tcPr>
          <w:p w14:paraId="5578516B" w14:textId="77777777" w:rsidR="00484D13" w:rsidRPr="00484D13" w:rsidRDefault="00484D13" w:rsidP="00922363">
            <w:pPr>
              <w:spacing w:line="360" w:lineRule="auto"/>
              <w:jc w:val="center"/>
              <w:rPr>
                <w:rFonts w:ascii="Arial" w:eastAsia="Times New Roman" w:hAnsi="Arial" w:cs="Arial"/>
                <w:b/>
                <w:bCs/>
                <w:sz w:val="24"/>
                <w:szCs w:val="24"/>
              </w:rPr>
            </w:pPr>
            <w:r w:rsidRPr="00484D13">
              <w:rPr>
                <w:rFonts w:ascii="Arial" w:eastAsia="Times New Roman" w:hAnsi="Arial" w:cs="Arial"/>
                <w:b/>
                <w:bCs/>
                <w:sz w:val="24"/>
                <w:szCs w:val="24"/>
              </w:rPr>
              <w:t>Ratio</w:t>
            </w:r>
          </w:p>
        </w:tc>
        <w:tc>
          <w:tcPr>
            <w:tcW w:w="0" w:type="auto"/>
            <w:hideMark/>
          </w:tcPr>
          <w:p w14:paraId="03D861FF" w14:textId="77777777" w:rsidR="00484D13" w:rsidRPr="00484D13" w:rsidRDefault="00484D13" w:rsidP="00922363">
            <w:pPr>
              <w:spacing w:line="360" w:lineRule="auto"/>
              <w:jc w:val="center"/>
              <w:rPr>
                <w:rFonts w:ascii="Arial" w:eastAsia="Times New Roman" w:hAnsi="Arial" w:cs="Arial"/>
                <w:b/>
                <w:bCs/>
                <w:sz w:val="24"/>
                <w:szCs w:val="24"/>
              </w:rPr>
            </w:pPr>
            <w:r w:rsidRPr="00484D13">
              <w:rPr>
                <w:rFonts w:ascii="Arial" w:eastAsia="Times New Roman" w:hAnsi="Arial" w:cs="Arial"/>
                <w:b/>
                <w:bCs/>
                <w:sz w:val="24"/>
                <w:szCs w:val="24"/>
              </w:rPr>
              <w:t>Formula</w:t>
            </w:r>
          </w:p>
        </w:tc>
        <w:tc>
          <w:tcPr>
            <w:tcW w:w="0" w:type="auto"/>
            <w:hideMark/>
          </w:tcPr>
          <w:p w14:paraId="1F342B3C" w14:textId="77777777" w:rsidR="00484D13" w:rsidRPr="00484D13" w:rsidRDefault="00484D13" w:rsidP="00922363">
            <w:pPr>
              <w:spacing w:line="360" w:lineRule="auto"/>
              <w:jc w:val="center"/>
              <w:rPr>
                <w:rFonts w:ascii="Arial" w:eastAsia="Times New Roman" w:hAnsi="Arial" w:cs="Arial"/>
                <w:b/>
                <w:bCs/>
                <w:sz w:val="24"/>
                <w:szCs w:val="24"/>
              </w:rPr>
            </w:pPr>
            <w:r w:rsidRPr="00484D13">
              <w:rPr>
                <w:rFonts w:ascii="Arial" w:eastAsia="Times New Roman" w:hAnsi="Arial" w:cs="Arial"/>
                <w:b/>
                <w:bCs/>
                <w:sz w:val="24"/>
                <w:szCs w:val="24"/>
              </w:rPr>
              <w:t>2020</w:t>
            </w:r>
          </w:p>
        </w:tc>
        <w:tc>
          <w:tcPr>
            <w:tcW w:w="0" w:type="auto"/>
            <w:hideMark/>
          </w:tcPr>
          <w:p w14:paraId="2F6B6E18" w14:textId="77777777" w:rsidR="00484D13" w:rsidRPr="00484D13" w:rsidRDefault="00484D13" w:rsidP="00922363">
            <w:pPr>
              <w:spacing w:line="360" w:lineRule="auto"/>
              <w:jc w:val="center"/>
              <w:rPr>
                <w:rFonts w:ascii="Arial" w:eastAsia="Times New Roman" w:hAnsi="Arial" w:cs="Arial"/>
                <w:b/>
                <w:bCs/>
                <w:sz w:val="24"/>
                <w:szCs w:val="24"/>
              </w:rPr>
            </w:pPr>
            <w:r w:rsidRPr="00484D13">
              <w:rPr>
                <w:rFonts w:ascii="Arial" w:eastAsia="Times New Roman" w:hAnsi="Arial" w:cs="Arial"/>
                <w:b/>
                <w:bCs/>
                <w:sz w:val="24"/>
                <w:szCs w:val="24"/>
              </w:rPr>
              <w:t>2021</w:t>
            </w:r>
          </w:p>
        </w:tc>
        <w:tc>
          <w:tcPr>
            <w:tcW w:w="0" w:type="auto"/>
            <w:hideMark/>
          </w:tcPr>
          <w:p w14:paraId="476B6BA1" w14:textId="77777777" w:rsidR="00484D13" w:rsidRPr="00484D13" w:rsidRDefault="00484D13" w:rsidP="00922363">
            <w:pPr>
              <w:spacing w:line="360" w:lineRule="auto"/>
              <w:jc w:val="center"/>
              <w:rPr>
                <w:rFonts w:ascii="Arial" w:eastAsia="Times New Roman" w:hAnsi="Arial" w:cs="Arial"/>
                <w:b/>
                <w:bCs/>
                <w:sz w:val="24"/>
                <w:szCs w:val="24"/>
              </w:rPr>
            </w:pPr>
            <w:r w:rsidRPr="00484D13">
              <w:rPr>
                <w:rFonts w:ascii="Arial" w:eastAsia="Times New Roman" w:hAnsi="Arial" w:cs="Arial"/>
                <w:b/>
                <w:bCs/>
                <w:sz w:val="24"/>
                <w:szCs w:val="24"/>
              </w:rPr>
              <w:t>2022</w:t>
            </w:r>
          </w:p>
        </w:tc>
        <w:tc>
          <w:tcPr>
            <w:tcW w:w="0" w:type="auto"/>
            <w:hideMark/>
          </w:tcPr>
          <w:p w14:paraId="7F0CE251" w14:textId="77777777" w:rsidR="00484D13" w:rsidRPr="00484D13" w:rsidRDefault="00484D13" w:rsidP="00922363">
            <w:pPr>
              <w:spacing w:line="360" w:lineRule="auto"/>
              <w:jc w:val="center"/>
              <w:rPr>
                <w:rFonts w:ascii="Arial" w:eastAsia="Times New Roman" w:hAnsi="Arial" w:cs="Arial"/>
                <w:b/>
                <w:bCs/>
                <w:sz w:val="24"/>
                <w:szCs w:val="24"/>
              </w:rPr>
            </w:pPr>
            <w:r w:rsidRPr="00484D13">
              <w:rPr>
                <w:rFonts w:ascii="Arial" w:eastAsia="Times New Roman" w:hAnsi="Arial" w:cs="Arial"/>
                <w:b/>
                <w:bCs/>
                <w:sz w:val="24"/>
                <w:szCs w:val="24"/>
              </w:rPr>
              <w:t>2023</w:t>
            </w:r>
          </w:p>
        </w:tc>
        <w:tc>
          <w:tcPr>
            <w:tcW w:w="0" w:type="auto"/>
            <w:hideMark/>
          </w:tcPr>
          <w:p w14:paraId="2C532DAB" w14:textId="77777777" w:rsidR="00484D13" w:rsidRPr="00484D13" w:rsidRDefault="00484D13" w:rsidP="00922363">
            <w:pPr>
              <w:spacing w:line="360" w:lineRule="auto"/>
              <w:jc w:val="center"/>
              <w:rPr>
                <w:rFonts w:ascii="Arial" w:eastAsia="Times New Roman" w:hAnsi="Arial" w:cs="Arial"/>
                <w:b/>
                <w:bCs/>
                <w:sz w:val="24"/>
                <w:szCs w:val="24"/>
              </w:rPr>
            </w:pPr>
            <w:r w:rsidRPr="00484D13">
              <w:rPr>
                <w:rFonts w:ascii="Arial" w:eastAsia="Times New Roman" w:hAnsi="Arial" w:cs="Arial"/>
                <w:b/>
                <w:bCs/>
                <w:sz w:val="24"/>
                <w:szCs w:val="24"/>
              </w:rPr>
              <w:t>2024</w:t>
            </w:r>
          </w:p>
        </w:tc>
      </w:tr>
      <w:tr w:rsidR="00484D13" w:rsidRPr="00484D13" w14:paraId="1A44F188" w14:textId="77777777" w:rsidTr="00484D13">
        <w:tc>
          <w:tcPr>
            <w:tcW w:w="0" w:type="auto"/>
            <w:hideMark/>
          </w:tcPr>
          <w:p w14:paraId="773E7250" w14:textId="77777777" w:rsidR="00484D13" w:rsidRPr="00484D13" w:rsidRDefault="00484D13" w:rsidP="00922363">
            <w:pPr>
              <w:spacing w:line="360" w:lineRule="auto"/>
              <w:rPr>
                <w:rFonts w:ascii="Arial" w:eastAsia="Times New Roman" w:hAnsi="Arial" w:cs="Arial"/>
                <w:sz w:val="24"/>
                <w:szCs w:val="24"/>
              </w:rPr>
            </w:pPr>
            <w:r w:rsidRPr="00484D13">
              <w:rPr>
                <w:rFonts w:ascii="Arial" w:eastAsia="Times New Roman" w:hAnsi="Arial" w:cs="Arial"/>
                <w:sz w:val="24"/>
                <w:szCs w:val="24"/>
              </w:rPr>
              <w:t>Current Ratio</w:t>
            </w:r>
          </w:p>
        </w:tc>
        <w:tc>
          <w:tcPr>
            <w:tcW w:w="0" w:type="auto"/>
            <w:hideMark/>
          </w:tcPr>
          <w:p w14:paraId="31B45057" w14:textId="77777777" w:rsidR="00484D13" w:rsidRPr="00484D13" w:rsidRDefault="00484D13" w:rsidP="00922363">
            <w:pPr>
              <w:spacing w:line="360" w:lineRule="auto"/>
              <w:rPr>
                <w:rFonts w:ascii="Arial" w:eastAsia="Times New Roman" w:hAnsi="Arial" w:cs="Arial"/>
                <w:sz w:val="24"/>
                <w:szCs w:val="24"/>
              </w:rPr>
            </w:pPr>
            <w:r w:rsidRPr="00484D13">
              <w:rPr>
                <w:rFonts w:ascii="Arial" w:eastAsia="Times New Roman" w:hAnsi="Arial" w:cs="Arial"/>
                <w:sz w:val="24"/>
                <w:szCs w:val="24"/>
              </w:rPr>
              <w:t>Current Assets / Current Liabilities</w:t>
            </w:r>
          </w:p>
        </w:tc>
        <w:tc>
          <w:tcPr>
            <w:tcW w:w="0" w:type="auto"/>
            <w:hideMark/>
          </w:tcPr>
          <w:p w14:paraId="6D7AD505" w14:textId="77777777" w:rsidR="00484D13" w:rsidRPr="00484D13" w:rsidRDefault="00484D13" w:rsidP="00922363">
            <w:pPr>
              <w:spacing w:line="360" w:lineRule="auto"/>
              <w:rPr>
                <w:rFonts w:ascii="Arial" w:eastAsia="Times New Roman" w:hAnsi="Arial" w:cs="Arial"/>
                <w:sz w:val="24"/>
                <w:szCs w:val="24"/>
              </w:rPr>
            </w:pPr>
            <w:r w:rsidRPr="00484D13">
              <w:rPr>
                <w:rFonts w:ascii="Arial" w:eastAsia="Times New Roman" w:hAnsi="Arial" w:cs="Arial"/>
                <w:sz w:val="24"/>
                <w:szCs w:val="24"/>
              </w:rPr>
              <w:t>1.82</w:t>
            </w:r>
          </w:p>
        </w:tc>
        <w:tc>
          <w:tcPr>
            <w:tcW w:w="0" w:type="auto"/>
            <w:hideMark/>
          </w:tcPr>
          <w:p w14:paraId="1C4B2298" w14:textId="77777777" w:rsidR="00484D13" w:rsidRPr="00484D13" w:rsidRDefault="00484D13" w:rsidP="00922363">
            <w:pPr>
              <w:spacing w:line="360" w:lineRule="auto"/>
              <w:rPr>
                <w:rFonts w:ascii="Arial" w:eastAsia="Times New Roman" w:hAnsi="Arial" w:cs="Arial"/>
                <w:sz w:val="24"/>
                <w:szCs w:val="24"/>
              </w:rPr>
            </w:pPr>
            <w:r w:rsidRPr="00484D13">
              <w:rPr>
                <w:rFonts w:ascii="Arial" w:eastAsia="Times New Roman" w:hAnsi="Arial" w:cs="Arial"/>
                <w:sz w:val="24"/>
                <w:szCs w:val="24"/>
              </w:rPr>
              <w:t>1.56</w:t>
            </w:r>
          </w:p>
        </w:tc>
        <w:tc>
          <w:tcPr>
            <w:tcW w:w="0" w:type="auto"/>
            <w:hideMark/>
          </w:tcPr>
          <w:p w14:paraId="097AEBC7" w14:textId="77777777" w:rsidR="00484D13" w:rsidRPr="00484D13" w:rsidRDefault="00484D13" w:rsidP="00922363">
            <w:pPr>
              <w:spacing w:line="360" w:lineRule="auto"/>
              <w:rPr>
                <w:rFonts w:ascii="Arial" w:eastAsia="Times New Roman" w:hAnsi="Arial" w:cs="Arial"/>
                <w:sz w:val="24"/>
                <w:szCs w:val="24"/>
              </w:rPr>
            </w:pPr>
            <w:r w:rsidRPr="00484D13">
              <w:rPr>
                <w:rFonts w:ascii="Arial" w:eastAsia="Times New Roman" w:hAnsi="Arial" w:cs="Arial"/>
                <w:sz w:val="24"/>
                <w:szCs w:val="24"/>
              </w:rPr>
              <w:t>1.56</w:t>
            </w:r>
          </w:p>
        </w:tc>
        <w:tc>
          <w:tcPr>
            <w:tcW w:w="0" w:type="auto"/>
            <w:hideMark/>
          </w:tcPr>
          <w:p w14:paraId="4BB3DA81" w14:textId="77777777" w:rsidR="00484D13" w:rsidRPr="00484D13" w:rsidRDefault="00484D13" w:rsidP="00922363">
            <w:pPr>
              <w:spacing w:line="360" w:lineRule="auto"/>
              <w:rPr>
                <w:rFonts w:ascii="Arial" w:eastAsia="Times New Roman" w:hAnsi="Arial" w:cs="Arial"/>
                <w:sz w:val="24"/>
                <w:szCs w:val="24"/>
              </w:rPr>
            </w:pPr>
            <w:r w:rsidRPr="00484D13">
              <w:rPr>
                <w:rFonts w:ascii="Arial" w:eastAsia="Times New Roman" w:hAnsi="Arial" w:cs="Arial"/>
                <w:sz w:val="24"/>
                <w:szCs w:val="24"/>
              </w:rPr>
              <w:t>1.61</w:t>
            </w:r>
          </w:p>
        </w:tc>
        <w:tc>
          <w:tcPr>
            <w:tcW w:w="0" w:type="auto"/>
            <w:hideMark/>
          </w:tcPr>
          <w:p w14:paraId="4DD25CF5" w14:textId="77777777" w:rsidR="00484D13" w:rsidRPr="00484D13" w:rsidRDefault="00484D13" w:rsidP="00922363">
            <w:pPr>
              <w:spacing w:line="360" w:lineRule="auto"/>
              <w:rPr>
                <w:rFonts w:ascii="Arial" w:eastAsia="Times New Roman" w:hAnsi="Arial" w:cs="Arial"/>
                <w:sz w:val="24"/>
                <w:szCs w:val="24"/>
              </w:rPr>
            </w:pPr>
            <w:r w:rsidRPr="00484D13">
              <w:rPr>
                <w:rFonts w:ascii="Arial" w:eastAsia="Times New Roman" w:hAnsi="Arial" w:cs="Arial"/>
                <w:sz w:val="24"/>
                <w:szCs w:val="24"/>
              </w:rPr>
              <w:t>1.53</w:t>
            </w:r>
          </w:p>
        </w:tc>
      </w:tr>
      <w:tr w:rsidR="00484D13" w:rsidRPr="00484D13" w14:paraId="59107CCB" w14:textId="77777777" w:rsidTr="00484D13">
        <w:tc>
          <w:tcPr>
            <w:tcW w:w="0" w:type="auto"/>
            <w:hideMark/>
          </w:tcPr>
          <w:p w14:paraId="61F2AFAB" w14:textId="77777777" w:rsidR="00484D13" w:rsidRPr="00484D13" w:rsidRDefault="00484D13" w:rsidP="00922363">
            <w:pPr>
              <w:spacing w:line="360" w:lineRule="auto"/>
              <w:rPr>
                <w:rFonts w:ascii="Arial" w:eastAsia="Times New Roman" w:hAnsi="Arial" w:cs="Arial"/>
                <w:sz w:val="24"/>
                <w:szCs w:val="24"/>
              </w:rPr>
            </w:pPr>
            <w:r w:rsidRPr="00484D13">
              <w:rPr>
                <w:rFonts w:ascii="Arial" w:eastAsia="Times New Roman" w:hAnsi="Arial" w:cs="Arial"/>
                <w:sz w:val="24"/>
                <w:szCs w:val="24"/>
              </w:rPr>
              <w:t>Quick Ratio</w:t>
            </w:r>
          </w:p>
        </w:tc>
        <w:tc>
          <w:tcPr>
            <w:tcW w:w="0" w:type="auto"/>
            <w:hideMark/>
          </w:tcPr>
          <w:p w14:paraId="364A14FA" w14:textId="77777777" w:rsidR="00484D13" w:rsidRPr="00484D13" w:rsidRDefault="00484D13" w:rsidP="00922363">
            <w:pPr>
              <w:spacing w:line="360" w:lineRule="auto"/>
              <w:rPr>
                <w:rFonts w:ascii="Arial" w:eastAsia="Times New Roman" w:hAnsi="Arial" w:cs="Arial"/>
                <w:sz w:val="24"/>
                <w:szCs w:val="24"/>
              </w:rPr>
            </w:pPr>
            <w:r w:rsidRPr="00484D13">
              <w:rPr>
                <w:rFonts w:ascii="Arial" w:eastAsia="Times New Roman" w:hAnsi="Arial" w:cs="Arial"/>
                <w:sz w:val="24"/>
                <w:szCs w:val="24"/>
              </w:rPr>
              <w:t>(Current Assets − Inventory) / Current Liabilities</w:t>
            </w:r>
          </w:p>
        </w:tc>
        <w:tc>
          <w:tcPr>
            <w:tcW w:w="0" w:type="auto"/>
            <w:hideMark/>
          </w:tcPr>
          <w:p w14:paraId="53139D33" w14:textId="77777777" w:rsidR="00484D13" w:rsidRPr="00484D13" w:rsidRDefault="00484D13" w:rsidP="00922363">
            <w:pPr>
              <w:spacing w:line="360" w:lineRule="auto"/>
              <w:rPr>
                <w:rFonts w:ascii="Arial" w:eastAsia="Times New Roman" w:hAnsi="Arial" w:cs="Arial"/>
                <w:sz w:val="24"/>
                <w:szCs w:val="24"/>
              </w:rPr>
            </w:pPr>
            <w:r w:rsidRPr="00484D13">
              <w:rPr>
                <w:rFonts w:ascii="Arial" w:eastAsia="Times New Roman" w:hAnsi="Arial" w:cs="Arial"/>
                <w:sz w:val="24"/>
                <w:szCs w:val="24"/>
              </w:rPr>
              <w:t>1.15</w:t>
            </w:r>
          </w:p>
        </w:tc>
        <w:tc>
          <w:tcPr>
            <w:tcW w:w="0" w:type="auto"/>
            <w:hideMark/>
          </w:tcPr>
          <w:p w14:paraId="32829A53" w14:textId="77777777" w:rsidR="00484D13" w:rsidRPr="00484D13" w:rsidRDefault="00484D13" w:rsidP="00922363">
            <w:pPr>
              <w:spacing w:line="360" w:lineRule="auto"/>
              <w:rPr>
                <w:rFonts w:ascii="Arial" w:eastAsia="Times New Roman" w:hAnsi="Arial" w:cs="Arial"/>
                <w:sz w:val="24"/>
                <w:szCs w:val="24"/>
              </w:rPr>
            </w:pPr>
            <w:r w:rsidRPr="00484D13">
              <w:rPr>
                <w:rFonts w:ascii="Arial" w:eastAsia="Times New Roman" w:hAnsi="Arial" w:cs="Arial"/>
                <w:sz w:val="24"/>
                <w:szCs w:val="24"/>
              </w:rPr>
              <w:t>0.93</w:t>
            </w:r>
          </w:p>
        </w:tc>
        <w:tc>
          <w:tcPr>
            <w:tcW w:w="0" w:type="auto"/>
            <w:hideMark/>
          </w:tcPr>
          <w:p w14:paraId="5767321A" w14:textId="77777777" w:rsidR="00484D13" w:rsidRPr="00484D13" w:rsidRDefault="00484D13" w:rsidP="00922363">
            <w:pPr>
              <w:spacing w:line="360" w:lineRule="auto"/>
              <w:rPr>
                <w:rFonts w:ascii="Arial" w:eastAsia="Times New Roman" w:hAnsi="Arial" w:cs="Arial"/>
                <w:sz w:val="24"/>
                <w:szCs w:val="24"/>
              </w:rPr>
            </w:pPr>
            <w:r w:rsidRPr="00484D13">
              <w:rPr>
                <w:rFonts w:ascii="Arial" w:eastAsia="Times New Roman" w:hAnsi="Arial" w:cs="Arial"/>
                <w:sz w:val="24"/>
                <w:szCs w:val="24"/>
              </w:rPr>
              <w:t>0.91</w:t>
            </w:r>
          </w:p>
        </w:tc>
        <w:tc>
          <w:tcPr>
            <w:tcW w:w="0" w:type="auto"/>
            <w:hideMark/>
          </w:tcPr>
          <w:p w14:paraId="2CF9E205" w14:textId="77777777" w:rsidR="00484D13" w:rsidRPr="00484D13" w:rsidRDefault="00484D13" w:rsidP="00922363">
            <w:pPr>
              <w:spacing w:line="360" w:lineRule="auto"/>
              <w:rPr>
                <w:rFonts w:ascii="Arial" w:eastAsia="Times New Roman" w:hAnsi="Arial" w:cs="Arial"/>
                <w:sz w:val="24"/>
                <w:szCs w:val="24"/>
              </w:rPr>
            </w:pPr>
            <w:r w:rsidRPr="00484D13">
              <w:rPr>
                <w:rFonts w:ascii="Arial" w:eastAsia="Times New Roman" w:hAnsi="Arial" w:cs="Arial"/>
                <w:sz w:val="24"/>
                <w:szCs w:val="24"/>
              </w:rPr>
              <w:t>1.06</w:t>
            </w:r>
          </w:p>
        </w:tc>
        <w:tc>
          <w:tcPr>
            <w:tcW w:w="0" w:type="auto"/>
            <w:hideMark/>
          </w:tcPr>
          <w:p w14:paraId="096093BD" w14:textId="77777777" w:rsidR="00484D13" w:rsidRPr="00484D13" w:rsidRDefault="00484D13" w:rsidP="00922363">
            <w:pPr>
              <w:spacing w:line="360" w:lineRule="auto"/>
              <w:rPr>
                <w:rFonts w:ascii="Arial" w:eastAsia="Times New Roman" w:hAnsi="Arial" w:cs="Arial"/>
                <w:sz w:val="24"/>
                <w:szCs w:val="24"/>
              </w:rPr>
            </w:pPr>
            <w:r w:rsidRPr="00484D13">
              <w:rPr>
                <w:rFonts w:ascii="Arial" w:eastAsia="Times New Roman" w:hAnsi="Arial" w:cs="Arial"/>
                <w:sz w:val="24"/>
                <w:szCs w:val="24"/>
              </w:rPr>
              <w:t>1.03</w:t>
            </w:r>
          </w:p>
        </w:tc>
      </w:tr>
      <w:tr w:rsidR="00484D13" w:rsidRPr="00484D13" w14:paraId="5F778B2E" w14:textId="77777777" w:rsidTr="00484D13">
        <w:tc>
          <w:tcPr>
            <w:tcW w:w="0" w:type="auto"/>
            <w:hideMark/>
          </w:tcPr>
          <w:p w14:paraId="68906E5B" w14:textId="77777777" w:rsidR="00484D13" w:rsidRPr="00484D13" w:rsidRDefault="00484D13" w:rsidP="00922363">
            <w:pPr>
              <w:spacing w:line="360" w:lineRule="auto"/>
              <w:rPr>
                <w:rFonts w:ascii="Arial" w:eastAsia="Times New Roman" w:hAnsi="Arial" w:cs="Arial"/>
                <w:sz w:val="24"/>
                <w:szCs w:val="24"/>
              </w:rPr>
            </w:pPr>
            <w:r w:rsidRPr="00484D13">
              <w:rPr>
                <w:rFonts w:ascii="Arial" w:eastAsia="Times New Roman" w:hAnsi="Arial" w:cs="Arial"/>
                <w:sz w:val="24"/>
                <w:szCs w:val="24"/>
              </w:rPr>
              <w:t>Cash Ratio</w:t>
            </w:r>
          </w:p>
        </w:tc>
        <w:tc>
          <w:tcPr>
            <w:tcW w:w="0" w:type="auto"/>
            <w:hideMark/>
          </w:tcPr>
          <w:p w14:paraId="07E68782" w14:textId="77777777" w:rsidR="00484D13" w:rsidRPr="00484D13" w:rsidRDefault="00484D13" w:rsidP="00922363">
            <w:pPr>
              <w:spacing w:line="360" w:lineRule="auto"/>
              <w:rPr>
                <w:rFonts w:ascii="Arial" w:eastAsia="Times New Roman" w:hAnsi="Arial" w:cs="Arial"/>
                <w:sz w:val="24"/>
                <w:szCs w:val="24"/>
              </w:rPr>
            </w:pPr>
            <w:r w:rsidRPr="00484D13">
              <w:rPr>
                <w:rFonts w:ascii="Arial" w:eastAsia="Times New Roman" w:hAnsi="Arial" w:cs="Arial"/>
                <w:sz w:val="24"/>
                <w:szCs w:val="24"/>
              </w:rPr>
              <w:t>Cash and Cash Equivalents / Current Liabilities</w:t>
            </w:r>
          </w:p>
        </w:tc>
        <w:tc>
          <w:tcPr>
            <w:tcW w:w="0" w:type="auto"/>
            <w:hideMark/>
          </w:tcPr>
          <w:p w14:paraId="31E92FAA" w14:textId="77777777" w:rsidR="00484D13" w:rsidRPr="00484D13" w:rsidRDefault="00484D13" w:rsidP="00922363">
            <w:pPr>
              <w:spacing w:line="360" w:lineRule="auto"/>
              <w:rPr>
                <w:rFonts w:ascii="Arial" w:eastAsia="Times New Roman" w:hAnsi="Arial" w:cs="Arial"/>
                <w:sz w:val="24"/>
                <w:szCs w:val="24"/>
              </w:rPr>
            </w:pPr>
            <w:r w:rsidRPr="00484D13">
              <w:rPr>
                <w:rFonts w:ascii="Arial" w:eastAsia="Times New Roman" w:hAnsi="Arial" w:cs="Arial"/>
                <w:sz w:val="24"/>
                <w:szCs w:val="24"/>
              </w:rPr>
              <w:t>0.32</w:t>
            </w:r>
          </w:p>
        </w:tc>
        <w:tc>
          <w:tcPr>
            <w:tcW w:w="0" w:type="auto"/>
            <w:hideMark/>
          </w:tcPr>
          <w:p w14:paraId="59D65164" w14:textId="77777777" w:rsidR="00484D13" w:rsidRPr="00484D13" w:rsidRDefault="00484D13" w:rsidP="00922363">
            <w:pPr>
              <w:spacing w:line="360" w:lineRule="auto"/>
              <w:rPr>
                <w:rFonts w:ascii="Arial" w:eastAsia="Times New Roman" w:hAnsi="Arial" w:cs="Arial"/>
                <w:sz w:val="24"/>
                <w:szCs w:val="24"/>
              </w:rPr>
            </w:pPr>
            <w:r w:rsidRPr="00484D13">
              <w:rPr>
                <w:rFonts w:ascii="Arial" w:eastAsia="Times New Roman" w:hAnsi="Arial" w:cs="Arial"/>
                <w:sz w:val="24"/>
                <w:szCs w:val="24"/>
              </w:rPr>
              <w:t>0.28</w:t>
            </w:r>
          </w:p>
        </w:tc>
        <w:tc>
          <w:tcPr>
            <w:tcW w:w="0" w:type="auto"/>
            <w:hideMark/>
          </w:tcPr>
          <w:p w14:paraId="0DFD51DB" w14:textId="77777777" w:rsidR="00484D13" w:rsidRPr="00484D13" w:rsidRDefault="00484D13" w:rsidP="00922363">
            <w:pPr>
              <w:spacing w:line="360" w:lineRule="auto"/>
              <w:rPr>
                <w:rFonts w:ascii="Arial" w:eastAsia="Times New Roman" w:hAnsi="Arial" w:cs="Arial"/>
                <w:sz w:val="24"/>
                <w:szCs w:val="24"/>
              </w:rPr>
            </w:pPr>
            <w:r w:rsidRPr="00484D13">
              <w:rPr>
                <w:rFonts w:ascii="Arial" w:eastAsia="Times New Roman" w:hAnsi="Arial" w:cs="Arial"/>
                <w:sz w:val="24"/>
                <w:szCs w:val="24"/>
              </w:rPr>
              <w:t>0.31</w:t>
            </w:r>
          </w:p>
        </w:tc>
        <w:tc>
          <w:tcPr>
            <w:tcW w:w="0" w:type="auto"/>
            <w:hideMark/>
          </w:tcPr>
          <w:p w14:paraId="4A3A00F2" w14:textId="77777777" w:rsidR="00484D13" w:rsidRPr="00484D13" w:rsidRDefault="00484D13" w:rsidP="00922363">
            <w:pPr>
              <w:spacing w:line="360" w:lineRule="auto"/>
              <w:rPr>
                <w:rFonts w:ascii="Arial" w:eastAsia="Times New Roman" w:hAnsi="Arial" w:cs="Arial"/>
                <w:sz w:val="24"/>
                <w:szCs w:val="24"/>
              </w:rPr>
            </w:pPr>
            <w:r w:rsidRPr="00484D13">
              <w:rPr>
                <w:rFonts w:ascii="Arial" w:eastAsia="Times New Roman" w:hAnsi="Arial" w:cs="Arial"/>
                <w:sz w:val="24"/>
                <w:szCs w:val="24"/>
              </w:rPr>
              <w:t>0.27</w:t>
            </w:r>
          </w:p>
        </w:tc>
        <w:tc>
          <w:tcPr>
            <w:tcW w:w="0" w:type="auto"/>
            <w:hideMark/>
          </w:tcPr>
          <w:p w14:paraId="2E431B35" w14:textId="77777777" w:rsidR="00484D13" w:rsidRPr="00484D13" w:rsidRDefault="00484D13" w:rsidP="00922363">
            <w:pPr>
              <w:spacing w:line="360" w:lineRule="auto"/>
              <w:rPr>
                <w:rFonts w:ascii="Arial" w:eastAsia="Times New Roman" w:hAnsi="Arial" w:cs="Arial"/>
                <w:sz w:val="24"/>
                <w:szCs w:val="24"/>
              </w:rPr>
            </w:pPr>
            <w:r w:rsidRPr="00484D13">
              <w:rPr>
                <w:rFonts w:ascii="Arial" w:eastAsia="Times New Roman" w:hAnsi="Arial" w:cs="Arial"/>
                <w:sz w:val="24"/>
                <w:szCs w:val="24"/>
              </w:rPr>
              <w:t>0.17</w:t>
            </w:r>
          </w:p>
        </w:tc>
      </w:tr>
    </w:tbl>
    <w:p w14:paraId="16E4100F" w14:textId="18DF807A" w:rsidR="008C7CCC" w:rsidRPr="008C7CCC" w:rsidRDefault="008C7CCC" w:rsidP="008C7CCC">
      <w:pPr>
        <w:spacing w:before="100" w:beforeAutospacing="1" w:after="100" w:afterAutospacing="1" w:line="360" w:lineRule="auto"/>
        <w:jc w:val="center"/>
        <w:outlineLvl w:val="2"/>
        <w:rPr>
          <w:rFonts w:ascii="Arial" w:eastAsia="Times New Roman" w:hAnsi="Arial" w:cs="Arial"/>
          <w:b/>
          <w:bCs/>
        </w:rPr>
      </w:pPr>
      <w:bookmarkStart w:id="50" w:name="_Toc217181529"/>
      <w:bookmarkStart w:id="51" w:name="_Toc217260329"/>
      <w:bookmarkStart w:id="52" w:name="_Toc216755990"/>
      <w:r w:rsidRPr="008C7CCC">
        <w:rPr>
          <w:noProof/>
        </w:rPr>
        <w:lastRenderedPageBreak/>
        <w:drawing>
          <wp:anchor distT="0" distB="0" distL="114300" distR="114300" simplePos="0" relativeHeight="251658240" behindDoc="1" locked="0" layoutInCell="1" allowOverlap="1" wp14:anchorId="4616561F" wp14:editId="12DEC6D1">
            <wp:simplePos x="0" y="0"/>
            <wp:positionH relativeFrom="column">
              <wp:posOffset>876300</wp:posOffset>
            </wp:positionH>
            <wp:positionV relativeFrom="paragraph">
              <wp:posOffset>623570</wp:posOffset>
            </wp:positionV>
            <wp:extent cx="4191000" cy="2524125"/>
            <wp:effectExtent l="0" t="0" r="0" b="9525"/>
            <wp:wrapTight wrapText="bothSides">
              <wp:wrapPolygon edited="0">
                <wp:start x="0" y="0"/>
                <wp:lineTo x="0" y="21518"/>
                <wp:lineTo x="21502" y="21518"/>
                <wp:lineTo x="21502" y="0"/>
                <wp:lineTo x="0" y="0"/>
              </wp:wrapPolygon>
            </wp:wrapTight>
            <wp:docPr id="6" name="Chart 6">
              <a:extLst xmlns:a="http://schemas.openxmlformats.org/drawingml/2006/main">
                <a:ext uri="{FF2B5EF4-FFF2-40B4-BE49-F238E27FC236}">
                  <a16:creationId xmlns:a16="http://schemas.microsoft.com/office/drawing/2014/main" id="{10CD6EE9-F001-4383-A83A-373ED773150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V relativeFrom="margin">
              <wp14:pctHeight>0</wp14:pctHeight>
            </wp14:sizeRelV>
          </wp:anchor>
        </w:drawing>
      </w:r>
      <w:r w:rsidRPr="008C7CCC">
        <w:rPr>
          <w:rFonts w:ascii="Arial" w:eastAsia="Times New Roman" w:hAnsi="Arial" w:cs="Arial"/>
          <w:b/>
          <w:bCs/>
        </w:rPr>
        <w:t xml:space="preserve">Table 2: </w:t>
      </w:r>
      <w:r w:rsidRPr="00484D13">
        <w:rPr>
          <w:rFonts w:ascii="Arial" w:eastAsia="Times New Roman" w:hAnsi="Arial" w:cs="Arial"/>
          <w:b/>
          <w:bCs/>
        </w:rPr>
        <w:t>Liquidity Ratio</w:t>
      </w:r>
      <w:r w:rsidRPr="008C7CCC">
        <w:rPr>
          <w:rFonts w:ascii="Arial" w:eastAsia="Times New Roman" w:hAnsi="Arial" w:cs="Arial"/>
          <w:b/>
          <w:bCs/>
        </w:rPr>
        <w:t xml:space="preserve"> (Self-Prepared)</w:t>
      </w:r>
      <w:bookmarkEnd w:id="50"/>
      <w:bookmarkEnd w:id="51"/>
    </w:p>
    <w:p w14:paraId="58B076BE" w14:textId="77777777" w:rsidR="008C7CCC" w:rsidRDefault="008C7CCC" w:rsidP="008C7CCC">
      <w:pPr>
        <w:spacing w:before="100" w:beforeAutospacing="1" w:after="100" w:afterAutospacing="1" w:line="360" w:lineRule="auto"/>
        <w:jc w:val="center"/>
        <w:outlineLvl w:val="2"/>
        <w:rPr>
          <w:rFonts w:ascii="Arial" w:eastAsia="Times New Roman" w:hAnsi="Arial" w:cs="Arial"/>
          <w:b/>
          <w:bCs/>
        </w:rPr>
      </w:pPr>
    </w:p>
    <w:p w14:paraId="129F3693" w14:textId="77777777" w:rsidR="008C7CCC" w:rsidRDefault="008C7CCC" w:rsidP="008C7CCC">
      <w:pPr>
        <w:spacing w:before="100" w:beforeAutospacing="1" w:after="100" w:afterAutospacing="1" w:line="360" w:lineRule="auto"/>
        <w:jc w:val="center"/>
        <w:outlineLvl w:val="2"/>
        <w:rPr>
          <w:rFonts w:ascii="Arial" w:eastAsia="Times New Roman" w:hAnsi="Arial" w:cs="Arial"/>
          <w:b/>
          <w:bCs/>
        </w:rPr>
      </w:pPr>
    </w:p>
    <w:p w14:paraId="15CE18CE" w14:textId="77777777" w:rsidR="008C7CCC" w:rsidRDefault="008C7CCC" w:rsidP="008C7CCC">
      <w:pPr>
        <w:spacing w:before="100" w:beforeAutospacing="1" w:after="100" w:afterAutospacing="1" w:line="360" w:lineRule="auto"/>
        <w:jc w:val="center"/>
        <w:outlineLvl w:val="2"/>
        <w:rPr>
          <w:rFonts w:ascii="Arial" w:eastAsia="Times New Roman" w:hAnsi="Arial" w:cs="Arial"/>
          <w:b/>
          <w:bCs/>
        </w:rPr>
      </w:pPr>
    </w:p>
    <w:p w14:paraId="219D2B2B" w14:textId="77777777" w:rsidR="008C7CCC" w:rsidRDefault="008C7CCC" w:rsidP="008C7CCC">
      <w:pPr>
        <w:spacing w:before="100" w:beforeAutospacing="1" w:after="100" w:afterAutospacing="1" w:line="360" w:lineRule="auto"/>
        <w:jc w:val="center"/>
        <w:outlineLvl w:val="2"/>
        <w:rPr>
          <w:rFonts w:ascii="Arial" w:eastAsia="Times New Roman" w:hAnsi="Arial" w:cs="Arial"/>
          <w:b/>
          <w:bCs/>
        </w:rPr>
      </w:pPr>
    </w:p>
    <w:p w14:paraId="4BC10825" w14:textId="77777777" w:rsidR="008C7CCC" w:rsidRDefault="008C7CCC" w:rsidP="008C7CCC">
      <w:pPr>
        <w:spacing w:before="100" w:beforeAutospacing="1" w:after="100" w:afterAutospacing="1" w:line="360" w:lineRule="auto"/>
        <w:jc w:val="center"/>
        <w:outlineLvl w:val="2"/>
        <w:rPr>
          <w:rFonts w:ascii="Arial" w:eastAsia="Times New Roman" w:hAnsi="Arial" w:cs="Arial"/>
          <w:b/>
          <w:bCs/>
        </w:rPr>
      </w:pPr>
    </w:p>
    <w:p w14:paraId="215123E6" w14:textId="77777777" w:rsidR="008C7CCC" w:rsidRDefault="008C7CCC" w:rsidP="008C7CCC">
      <w:pPr>
        <w:spacing w:before="100" w:beforeAutospacing="1" w:after="100" w:afterAutospacing="1" w:line="360" w:lineRule="auto"/>
        <w:jc w:val="center"/>
        <w:outlineLvl w:val="2"/>
        <w:rPr>
          <w:rFonts w:ascii="Arial" w:eastAsia="Times New Roman" w:hAnsi="Arial" w:cs="Arial"/>
          <w:b/>
          <w:bCs/>
        </w:rPr>
      </w:pPr>
    </w:p>
    <w:p w14:paraId="293B3498" w14:textId="77777777" w:rsidR="008C7CCC" w:rsidRDefault="008C7CCC" w:rsidP="008C7CCC">
      <w:pPr>
        <w:spacing w:before="100" w:beforeAutospacing="1" w:after="100" w:afterAutospacing="1" w:line="360" w:lineRule="auto"/>
        <w:jc w:val="center"/>
        <w:outlineLvl w:val="2"/>
        <w:rPr>
          <w:rFonts w:ascii="Arial" w:eastAsia="Times New Roman" w:hAnsi="Arial" w:cs="Arial"/>
          <w:b/>
          <w:bCs/>
        </w:rPr>
      </w:pPr>
    </w:p>
    <w:p w14:paraId="1F0341F0" w14:textId="77777777" w:rsidR="008C7CCC" w:rsidRDefault="008C7CCC" w:rsidP="008C7CCC">
      <w:pPr>
        <w:spacing w:before="100" w:beforeAutospacing="1" w:after="100" w:afterAutospacing="1" w:line="360" w:lineRule="auto"/>
        <w:jc w:val="center"/>
        <w:outlineLvl w:val="2"/>
        <w:rPr>
          <w:rFonts w:ascii="Arial" w:eastAsia="Times New Roman" w:hAnsi="Arial" w:cs="Arial"/>
          <w:b/>
          <w:bCs/>
        </w:rPr>
      </w:pPr>
    </w:p>
    <w:p w14:paraId="0156232F" w14:textId="0EE05584" w:rsidR="008C7CCC" w:rsidRPr="008C7CCC" w:rsidRDefault="008C7CCC" w:rsidP="008C7CCC">
      <w:pPr>
        <w:spacing w:before="100" w:beforeAutospacing="1" w:after="100" w:afterAutospacing="1" w:line="360" w:lineRule="auto"/>
        <w:jc w:val="center"/>
        <w:outlineLvl w:val="2"/>
        <w:rPr>
          <w:rFonts w:ascii="Arial" w:eastAsia="Times New Roman" w:hAnsi="Arial" w:cs="Arial"/>
          <w:b/>
          <w:bCs/>
        </w:rPr>
      </w:pPr>
      <w:bookmarkStart w:id="53" w:name="_Toc217181530"/>
      <w:bookmarkStart w:id="54" w:name="_Toc217260330"/>
      <w:r w:rsidRPr="008C7CCC">
        <w:rPr>
          <w:rFonts w:ascii="Arial" w:eastAsia="Times New Roman" w:hAnsi="Arial" w:cs="Arial"/>
          <w:b/>
          <w:bCs/>
        </w:rPr>
        <w:t xml:space="preserve">Figure </w:t>
      </w:r>
      <w:r>
        <w:rPr>
          <w:rFonts w:ascii="Arial" w:eastAsia="Times New Roman" w:hAnsi="Arial" w:cs="Arial"/>
          <w:b/>
          <w:bCs/>
        </w:rPr>
        <w:t>2</w:t>
      </w:r>
      <w:r w:rsidRPr="008C7CCC">
        <w:rPr>
          <w:rFonts w:ascii="Arial" w:eastAsia="Times New Roman" w:hAnsi="Arial" w:cs="Arial"/>
          <w:b/>
          <w:bCs/>
        </w:rPr>
        <w:t>: Liquidity Ratio Comparison (Self-Prepared)</w:t>
      </w:r>
      <w:bookmarkEnd w:id="53"/>
      <w:bookmarkEnd w:id="54"/>
    </w:p>
    <w:p w14:paraId="1ABC6308" w14:textId="7CA31185" w:rsidR="00484D13" w:rsidRPr="00484D13" w:rsidRDefault="00484D13" w:rsidP="00922363">
      <w:pPr>
        <w:spacing w:before="100" w:beforeAutospacing="1" w:after="100" w:afterAutospacing="1" w:line="360" w:lineRule="auto"/>
        <w:outlineLvl w:val="2"/>
        <w:rPr>
          <w:rFonts w:ascii="Arial" w:eastAsia="Times New Roman" w:hAnsi="Arial" w:cs="Arial"/>
          <w:b/>
          <w:bCs/>
          <w:sz w:val="27"/>
          <w:szCs w:val="27"/>
        </w:rPr>
      </w:pPr>
      <w:bookmarkStart w:id="55" w:name="_Toc217181531"/>
      <w:bookmarkStart w:id="56" w:name="_Toc217260331"/>
      <w:r w:rsidRPr="00484D13">
        <w:rPr>
          <w:rFonts w:ascii="Arial" w:eastAsia="Times New Roman" w:hAnsi="Arial" w:cs="Arial"/>
          <w:b/>
          <w:bCs/>
          <w:sz w:val="27"/>
          <w:szCs w:val="27"/>
        </w:rPr>
        <w:t>Table A3: Efficiency Ratios (2020–2024)</w:t>
      </w:r>
      <w:bookmarkEnd w:id="52"/>
      <w:bookmarkEnd w:id="55"/>
      <w:bookmarkEnd w:id="56"/>
    </w:p>
    <w:p w14:paraId="482FD78A" w14:textId="5EF41FD1" w:rsidR="00484D13" w:rsidRPr="00484D13" w:rsidRDefault="00484D13" w:rsidP="00922363">
      <w:pPr>
        <w:spacing w:before="100" w:beforeAutospacing="1" w:after="100" w:afterAutospacing="1" w:line="360" w:lineRule="auto"/>
        <w:rPr>
          <w:rFonts w:ascii="Arial" w:eastAsia="Times New Roman" w:hAnsi="Arial" w:cs="Arial"/>
          <w:sz w:val="24"/>
          <w:szCs w:val="24"/>
        </w:rPr>
      </w:pPr>
      <w:r w:rsidRPr="00484D13">
        <w:rPr>
          <w:rFonts w:ascii="Arial" w:eastAsia="Times New Roman" w:hAnsi="Arial" w:cs="Arial"/>
          <w:sz w:val="24"/>
          <w:szCs w:val="24"/>
        </w:rPr>
        <w:t xml:space="preserve">Asset turnover = Net sales </w:t>
      </w:r>
      <w:r w:rsidR="00E10B4D" w:rsidRPr="00922363">
        <w:rPr>
          <w:rFonts w:ascii="Arial" w:eastAsia="Times New Roman" w:hAnsi="Arial" w:cs="Arial"/>
          <w:sz w:val="24"/>
          <w:szCs w:val="24"/>
        </w:rPr>
        <w:t>÷</w:t>
      </w:r>
      <w:r w:rsidRPr="00484D13">
        <w:rPr>
          <w:rFonts w:ascii="Arial" w:eastAsia="Times New Roman" w:hAnsi="Arial" w:cs="Arial"/>
          <w:sz w:val="24"/>
          <w:szCs w:val="24"/>
        </w:rPr>
        <w:t>Total assets</w:t>
      </w:r>
      <w:r w:rsidRPr="00484D13">
        <w:rPr>
          <w:rFonts w:ascii="Arial" w:eastAsia="Times New Roman" w:hAnsi="Arial" w:cs="Arial"/>
          <w:sz w:val="24"/>
          <w:szCs w:val="24"/>
        </w:rPr>
        <w:br/>
        <w:t xml:space="preserve">Fixed asset turnover = Net sales </w:t>
      </w:r>
      <w:r w:rsidR="00E10B4D" w:rsidRPr="00922363">
        <w:rPr>
          <w:rFonts w:ascii="Arial" w:eastAsia="Times New Roman" w:hAnsi="Arial" w:cs="Arial"/>
          <w:sz w:val="24"/>
          <w:szCs w:val="24"/>
        </w:rPr>
        <w:t>÷</w:t>
      </w:r>
      <w:r w:rsidRPr="00484D13">
        <w:rPr>
          <w:rFonts w:ascii="Arial" w:eastAsia="Times New Roman" w:hAnsi="Arial" w:cs="Arial"/>
          <w:sz w:val="24"/>
          <w:szCs w:val="24"/>
        </w:rPr>
        <w:t>Property, plant and equipment</w:t>
      </w:r>
      <w:r w:rsidRPr="00484D13">
        <w:rPr>
          <w:rFonts w:ascii="Arial" w:eastAsia="Times New Roman" w:hAnsi="Arial" w:cs="Arial"/>
          <w:sz w:val="24"/>
          <w:szCs w:val="24"/>
        </w:rPr>
        <w:br/>
      </w:r>
      <w:r w:rsidR="00E10B4D" w:rsidRPr="00922363">
        <w:rPr>
          <w:rFonts w:ascii="Arial" w:eastAsia="Times New Roman" w:hAnsi="Arial" w:cs="Arial"/>
          <w:sz w:val="24"/>
          <w:szCs w:val="24"/>
        </w:rPr>
        <w:t>Receivable’s</w:t>
      </w:r>
      <w:r w:rsidRPr="00484D13">
        <w:rPr>
          <w:rFonts w:ascii="Arial" w:eastAsia="Times New Roman" w:hAnsi="Arial" w:cs="Arial"/>
          <w:sz w:val="24"/>
          <w:szCs w:val="24"/>
        </w:rPr>
        <w:t xml:space="preserve"> days = (Accounts receivable </w:t>
      </w:r>
      <w:r w:rsidR="00E10B4D" w:rsidRPr="00922363">
        <w:rPr>
          <w:rFonts w:ascii="Arial" w:eastAsia="Times New Roman" w:hAnsi="Arial" w:cs="Arial"/>
          <w:sz w:val="24"/>
          <w:szCs w:val="24"/>
        </w:rPr>
        <w:t>÷</w:t>
      </w:r>
      <w:r w:rsidRPr="00484D13">
        <w:rPr>
          <w:rFonts w:ascii="Arial" w:eastAsia="Times New Roman" w:hAnsi="Arial" w:cs="Arial"/>
          <w:sz w:val="24"/>
          <w:szCs w:val="24"/>
        </w:rPr>
        <w:t>Net sales) × 365</w:t>
      </w:r>
      <w:r w:rsidRPr="00484D13">
        <w:rPr>
          <w:rFonts w:ascii="Arial" w:eastAsia="Times New Roman" w:hAnsi="Arial" w:cs="Arial"/>
          <w:sz w:val="24"/>
          <w:szCs w:val="24"/>
        </w:rPr>
        <w:br/>
        <w:t xml:space="preserve">Inventory days = (Inventories </w:t>
      </w:r>
      <w:r w:rsidR="00E10B4D" w:rsidRPr="00922363">
        <w:rPr>
          <w:rFonts w:ascii="Arial" w:eastAsia="Times New Roman" w:hAnsi="Arial" w:cs="Arial"/>
          <w:sz w:val="24"/>
          <w:szCs w:val="24"/>
        </w:rPr>
        <w:t>÷</w:t>
      </w:r>
      <w:r w:rsidRPr="00484D13">
        <w:rPr>
          <w:rFonts w:ascii="Arial" w:eastAsia="Times New Roman" w:hAnsi="Arial" w:cs="Arial"/>
          <w:sz w:val="24"/>
          <w:szCs w:val="24"/>
        </w:rPr>
        <w:t>Cost of sales) × 365</w:t>
      </w:r>
    </w:p>
    <w:p w14:paraId="6E6C945C" w14:textId="17835EBC" w:rsidR="00484D13" w:rsidRPr="00922363" w:rsidRDefault="00484D13" w:rsidP="00922363">
      <w:pPr>
        <w:spacing w:before="100" w:beforeAutospacing="1" w:after="100" w:afterAutospacing="1" w:line="360" w:lineRule="auto"/>
        <w:rPr>
          <w:rFonts w:ascii="Arial" w:eastAsia="Times New Roman" w:hAnsi="Arial" w:cs="Arial"/>
          <w:sz w:val="24"/>
          <w:szCs w:val="24"/>
        </w:rPr>
      </w:pPr>
      <w:r w:rsidRPr="00484D13">
        <w:rPr>
          <w:rFonts w:ascii="Arial" w:eastAsia="Times New Roman" w:hAnsi="Arial" w:cs="Arial"/>
          <w:sz w:val="24"/>
          <w:szCs w:val="24"/>
        </w:rPr>
        <w:t>Five-year numerical calculations presented here</w:t>
      </w:r>
      <w:r w:rsidR="00E10B4D" w:rsidRPr="00922363">
        <w:rPr>
          <w:rFonts w:ascii="Arial" w:eastAsia="Times New Roman" w:hAnsi="Arial" w:cs="Arial"/>
          <w:sz w:val="24"/>
          <w:szCs w:val="24"/>
        </w:rPr>
        <w:t xml:space="preserve"> below: </w:t>
      </w:r>
    </w:p>
    <w:tbl>
      <w:tblPr>
        <w:tblStyle w:val="TableGrid"/>
        <w:tblW w:w="0" w:type="auto"/>
        <w:tblLook w:val="04A0" w:firstRow="1" w:lastRow="0" w:firstColumn="1" w:lastColumn="0" w:noHBand="0" w:noVBand="1"/>
      </w:tblPr>
      <w:tblGrid>
        <w:gridCol w:w="1916"/>
        <w:gridCol w:w="2813"/>
        <w:gridCol w:w="951"/>
        <w:gridCol w:w="951"/>
        <w:gridCol w:w="951"/>
        <w:gridCol w:w="817"/>
        <w:gridCol w:w="951"/>
      </w:tblGrid>
      <w:tr w:rsidR="00484D13" w:rsidRPr="00484D13" w14:paraId="5B918EC2" w14:textId="77777777" w:rsidTr="00E10B4D">
        <w:tc>
          <w:tcPr>
            <w:tcW w:w="0" w:type="auto"/>
            <w:hideMark/>
          </w:tcPr>
          <w:p w14:paraId="748EF47E" w14:textId="77777777" w:rsidR="00484D13" w:rsidRPr="00484D13" w:rsidRDefault="00484D13" w:rsidP="00922363">
            <w:pPr>
              <w:spacing w:line="360" w:lineRule="auto"/>
              <w:jc w:val="center"/>
              <w:rPr>
                <w:rFonts w:ascii="Arial" w:eastAsia="Times New Roman" w:hAnsi="Arial" w:cs="Arial"/>
                <w:b/>
                <w:bCs/>
                <w:sz w:val="24"/>
                <w:szCs w:val="24"/>
              </w:rPr>
            </w:pPr>
            <w:r w:rsidRPr="00484D13">
              <w:rPr>
                <w:rFonts w:ascii="Arial" w:eastAsia="Times New Roman" w:hAnsi="Arial" w:cs="Arial"/>
                <w:b/>
                <w:bCs/>
                <w:sz w:val="24"/>
                <w:szCs w:val="24"/>
              </w:rPr>
              <w:t>Ratio</w:t>
            </w:r>
          </w:p>
        </w:tc>
        <w:tc>
          <w:tcPr>
            <w:tcW w:w="0" w:type="auto"/>
            <w:hideMark/>
          </w:tcPr>
          <w:p w14:paraId="2B466F6D" w14:textId="77777777" w:rsidR="00484D13" w:rsidRPr="00484D13" w:rsidRDefault="00484D13" w:rsidP="00922363">
            <w:pPr>
              <w:spacing w:line="360" w:lineRule="auto"/>
              <w:jc w:val="center"/>
              <w:rPr>
                <w:rFonts w:ascii="Arial" w:eastAsia="Times New Roman" w:hAnsi="Arial" w:cs="Arial"/>
                <w:b/>
                <w:bCs/>
                <w:sz w:val="24"/>
                <w:szCs w:val="24"/>
              </w:rPr>
            </w:pPr>
            <w:r w:rsidRPr="00484D13">
              <w:rPr>
                <w:rFonts w:ascii="Arial" w:eastAsia="Times New Roman" w:hAnsi="Arial" w:cs="Arial"/>
                <w:b/>
                <w:bCs/>
                <w:sz w:val="24"/>
                <w:szCs w:val="24"/>
              </w:rPr>
              <w:t>Formula</w:t>
            </w:r>
          </w:p>
        </w:tc>
        <w:tc>
          <w:tcPr>
            <w:tcW w:w="0" w:type="auto"/>
            <w:hideMark/>
          </w:tcPr>
          <w:p w14:paraId="482D6BF5" w14:textId="77777777" w:rsidR="00484D13" w:rsidRPr="00484D13" w:rsidRDefault="00484D13" w:rsidP="00922363">
            <w:pPr>
              <w:spacing w:line="360" w:lineRule="auto"/>
              <w:jc w:val="center"/>
              <w:rPr>
                <w:rFonts w:ascii="Arial" w:eastAsia="Times New Roman" w:hAnsi="Arial" w:cs="Arial"/>
                <w:b/>
                <w:bCs/>
                <w:sz w:val="24"/>
                <w:szCs w:val="24"/>
              </w:rPr>
            </w:pPr>
            <w:r w:rsidRPr="00484D13">
              <w:rPr>
                <w:rFonts w:ascii="Arial" w:eastAsia="Times New Roman" w:hAnsi="Arial" w:cs="Arial"/>
                <w:b/>
                <w:bCs/>
                <w:sz w:val="24"/>
                <w:szCs w:val="24"/>
              </w:rPr>
              <w:t>2020</w:t>
            </w:r>
          </w:p>
        </w:tc>
        <w:tc>
          <w:tcPr>
            <w:tcW w:w="0" w:type="auto"/>
            <w:hideMark/>
          </w:tcPr>
          <w:p w14:paraId="11937B29" w14:textId="77777777" w:rsidR="00484D13" w:rsidRPr="00484D13" w:rsidRDefault="00484D13" w:rsidP="00922363">
            <w:pPr>
              <w:spacing w:line="360" w:lineRule="auto"/>
              <w:jc w:val="center"/>
              <w:rPr>
                <w:rFonts w:ascii="Arial" w:eastAsia="Times New Roman" w:hAnsi="Arial" w:cs="Arial"/>
                <w:b/>
                <w:bCs/>
                <w:sz w:val="24"/>
                <w:szCs w:val="24"/>
              </w:rPr>
            </w:pPr>
            <w:r w:rsidRPr="00484D13">
              <w:rPr>
                <w:rFonts w:ascii="Arial" w:eastAsia="Times New Roman" w:hAnsi="Arial" w:cs="Arial"/>
                <w:b/>
                <w:bCs/>
                <w:sz w:val="24"/>
                <w:szCs w:val="24"/>
              </w:rPr>
              <w:t>2021</w:t>
            </w:r>
          </w:p>
        </w:tc>
        <w:tc>
          <w:tcPr>
            <w:tcW w:w="0" w:type="auto"/>
            <w:hideMark/>
          </w:tcPr>
          <w:p w14:paraId="61E88F9C" w14:textId="77777777" w:rsidR="00484D13" w:rsidRPr="00484D13" w:rsidRDefault="00484D13" w:rsidP="00922363">
            <w:pPr>
              <w:spacing w:line="360" w:lineRule="auto"/>
              <w:jc w:val="center"/>
              <w:rPr>
                <w:rFonts w:ascii="Arial" w:eastAsia="Times New Roman" w:hAnsi="Arial" w:cs="Arial"/>
                <w:b/>
                <w:bCs/>
                <w:sz w:val="24"/>
                <w:szCs w:val="24"/>
              </w:rPr>
            </w:pPr>
            <w:r w:rsidRPr="00484D13">
              <w:rPr>
                <w:rFonts w:ascii="Arial" w:eastAsia="Times New Roman" w:hAnsi="Arial" w:cs="Arial"/>
                <w:b/>
                <w:bCs/>
                <w:sz w:val="24"/>
                <w:szCs w:val="24"/>
              </w:rPr>
              <w:t>2022</w:t>
            </w:r>
          </w:p>
        </w:tc>
        <w:tc>
          <w:tcPr>
            <w:tcW w:w="0" w:type="auto"/>
            <w:hideMark/>
          </w:tcPr>
          <w:p w14:paraId="31DA4AF5" w14:textId="77777777" w:rsidR="00484D13" w:rsidRPr="00484D13" w:rsidRDefault="00484D13" w:rsidP="00922363">
            <w:pPr>
              <w:spacing w:line="360" w:lineRule="auto"/>
              <w:jc w:val="center"/>
              <w:rPr>
                <w:rFonts w:ascii="Arial" w:eastAsia="Times New Roman" w:hAnsi="Arial" w:cs="Arial"/>
                <w:b/>
                <w:bCs/>
                <w:sz w:val="24"/>
                <w:szCs w:val="24"/>
              </w:rPr>
            </w:pPr>
            <w:r w:rsidRPr="00484D13">
              <w:rPr>
                <w:rFonts w:ascii="Arial" w:eastAsia="Times New Roman" w:hAnsi="Arial" w:cs="Arial"/>
                <w:b/>
                <w:bCs/>
                <w:sz w:val="24"/>
                <w:szCs w:val="24"/>
              </w:rPr>
              <w:t>2023</w:t>
            </w:r>
          </w:p>
        </w:tc>
        <w:tc>
          <w:tcPr>
            <w:tcW w:w="0" w:type="auto"/>
            <w:hideMark/>
          </w:tcPr>
          <w:p w14:paraId="1E7A7970" w14:textId="77777777" w:rsidR="00484D13" w:rsidRPr="00484D13" w:rsidRDefault="00484D13" w:rsidP="00922363">
            <w:pPr>
              <w:spacing w:line="360" w:lineRule="auto"/>
              <w:jc w:val="center"/>
              <w:rPr>
                <w:rFonts w:ascii="Arial" w:eastAsia="Times New Roman" w:hAnsi="Arial" w:cs="Arial"/>
                <w:b/>
                <w:bCs/>
                <w:sz w:val="24"/>
                <w:szCs w:val="24"/>
              </w:rPr>
            </w:pPr>
            <w:r w:rsidRPr="00484D13">
              <w:rPr>
                <w:rFonts w:ascii="Arial" w:eastAsia="Times New Roman" w:hAnsi="Arial" w:cs="Arial"/>
                <w:b/>
                <w:bCs/>
                <w:sz w:val="24"/>
                <w:szCs w:val="24"/>
              </w:rPr>
              <w:t>2024</w:t>
            </w:r>
          </w:p>
        </w:tc>
      </w:tr>
      <w:tr w:rsidR="00484D13" w:rsidRPr="00484D13" w14:paraId="35732061" w14:textId="77777777" w:rsidTr="00E10B4D">
        <w:tc>
          <w:tcPr>
            <w:tcW w:w="0" w:type="auto"/>
            <w:hideMark/>
          </w:tcPr>
          <w:p w14:paraId="7A1E96D8" w14:textId="77777777" w:rsidR="00484D13" w:rsidRPr="00484D13" w:rsidRDefault="00484D13" w:rsidP="00922363">
            <w:pPr>
              <w:spacing w:line="360" w:lineRule="auto"/>
              <w:rPr>
                <w:rFonts w:ascii="Arial" w:eastAsia="Times New Roman" w:hAnsi="Arial" w:cs="Arial"/>
                <w:sz w:val="24"/>
                <w:szCs w:val="24"/>
              </w:rPr>
            </w:pPr>
            <w:r w:rsidRPr="00484D13">
              <w:rPr>
                <w:rFonts w:ascii="Arial" w:eastAsia="Times New Roman" w:hAnsi="Arial" w:cs="Arial"/>
                <w:sz w:val="24"/>
                <w:szCs w:val="24"/>
              </w:rPr>
              <w:t>Asset Turnover</w:t>
            </w:r>
          </w:p>
        </w:tc>
        <w:tc>
          <w:tcPr>
            <w:tcW w:w="0" w:type="auto"/>
            <w:hideMark/>
          </w:tcPr>
          <w:p w14:paraId="028DCBAB" w14:textId="77777777" w:rsidR="00484D13" w:rsidRPr="00484D13" w:rsidRDefault="00484D13" w:rsidP="00922363">
            <w:pPr>
              <w:spacing w:line="360" w:lineRule="auto"/>
              <w:rPr>
                <w:rFonts w:ascii="Arial" w:eastAsia="Times New Roman" w:hAnsi="Arial" w:cs="Arial"/>
                <w:sz w:val="24"/>
                <w:szCs w:val="24"/>
              </w:rPr>
            </w:pPr>
            <w:r w:rsidRPr="00484D13">
              <w:rPr>
                <w:rFonts w:ascii="Arial" w:eastAsia="Times New Roman" w:hAnsi="Arial" w:cs="Arial"/>
                <w:sz w:val="24"/>
                <w:szCs w:val="24"/>
              </w:rPr>
              <w:t>Net Sales / Total Assets</w:t>
            </w:r>
          </w:p>
        </w:tc>
        <w:tc>
          <w:tcPr>
            <w:tcW w:w="0" w:type="auto"/>
            <w:hideMark/>
          </w:tcPr>
          <w:p w14:paraId="14CB0184" w14:textId="77777777" w:rsidR="00484D13" w:rsidRPr="00484D13" w:rsidRDefault="00484D13" w:rsidP="00922363">
            <w:pPr>
              <w:spacing w:line="360" w:lineRule="auto"/>
              <w:rPr>
                <w:rFonts w:ascii="Arial" w:eastAsia="Times New Roman" w:hAnsi="Arial" w:cs="Arial"/>
                <w:sz w:val="24"/>
                <w:szCs w:val="24"/>
              </w:rPr>
            </w:pPr>
            <w:r w:rsidRPr="00484D13">
              <w:rPr>
                <w:rFonts w:ascii="Arial" w:eastAsia="Times New Roman" w:hAnsi="Arial" w:cs="Arial"/>
                <w:sz w:val="24"/>
                <w:szCs w:val="24"/>
              </w:rPr>
              <w:t>1.20</w:t>
            </w:r>
          </w:p>
        </w:tc>
        <w:tc>
          <w:tcPr>
            <w:tcW w:w="0" w:type="auto"/>
            <w:hideMark/>
          </w:tcPr>
          <w:p w14:paraId="4B05E6BE" w14:textId="77777777" w:rsidR="00484D13" w:rsidRPr="00484D13" w:rsidRDefault="00484D13" w:rsidP="00922363">
            <w:pPr>
              <w:spacing w:line="360" w:lineRule="auto"/>
              <w:rPr>
                <w:rFonts w:ascii="Arial" w:eastAsia="Times New Roman" w:hAnsi="Arial" w:cs="Arial"/>
                <w:sz w:val="24"/>
                <w:szCs w:val="24"/>
              </w:rPr>
            </w:pPr>
            <w:r w:rsidRPr="00484D13">
              <w:rPr>
                <w:rFonts w:ascii="Arial" w:eastAsia="Times New Roman" w:hAnsi="Arial" w:cs="Arial"/>
                <w:sz w:val="24"/>
                <w:szCs w:val="24"/>
              </w:rPr>
              <w:t>1.18</w:t>
            </w:r>
          </w:p>
        </w:tc>
        <w:tc>
          <w:tcPr>
            <w:tcW w:w="0" w:type="auto"/>
            <w:hideMark/>
          </w:tcPr>
          <w:p w14:paraId="3C71E3EF" w14:textId="77777777" w:rsidR="00484D13" w:rsidRPr="00484D13" w:rsidRDefault="00484D13" w:rsidP="00922363">
            <w:pPr>
              <w:spacing w:line="360" w:lineRule="auto"/>
              <w:rPr>
                <w:rFonts w:ascii="Arial" w:eastAsia="Times New Roman" w:hAnsi="Arial" w:cs="Arial"/>
                <w:sz w:val="24"/>
                <w:szCs w:val="24"/>
              </w:rPr>
            </w:pPr>
            <w:r w:rsidRPr="00484D13">
              <w:rPr>
                <w:rFonts w:ascii="Arial" w:eastAsia="Times New Roman" w:hAnsi="Arial" w:cs="Arial"/>
                <w:sz w:val="24"/>
                <w:szCs w:val="24"/>
              </w:rPr>
              <w:t>1.08</w:t>
            </w:r>
          </w:p>
        </w:tc>
        <w:tc>
          <w:tcPr>
            <w:tcW w:w="0" w:type="auto"/>
            <w:hideMark/>
          </w:tcPr>
          <w:p w14:paraId="78422AA7" w14:textId="77777777" w:rsidR="00484D13" w:rsidRPr="00484D13" w:rsidRDefault="00484D13" w:rsidP="00922363">
            <w:pPr>
              <w:spacing w:line="360" w:lineRule="auto"/>
              <w:rPr>
                <w:rFonts w:ascii="Arial" w:eastAsia="Times New Roman" w:hAnsi="Arial" w:cs="Arial"/>
                <w:sz w:val="24"/>
                <w:szCs w:val="24"/>
              </w:rPr>
            </w:pPr>
            <w:r w:rsidRPr="00484D13">
              <w:rPr>
                <w:rFonts w:ascii="Arial" w:eastAsia="Times New Roman" w:hAnsi="Arial" w:cs="Arial"/>
                <w:sz w:val="24"/>
                <w:szCs w:val="24"/>
              </w:rPr>
              <w:t>1.18</w:t>
            </w:r>
          </w:p>
        </w:tc>
        <w:tc>
          <w:tcPr>
            <w:tcW w:w="0" w:type="auto"/>
            <w:hideMark/>
          </w:tcPr>
          <w:p w14:paraId="1D6B38EA" w14:textId="77777777" w:rsidR="00484D13" w:rsidRPr="00484D13" w:rsidRDefault="00484D13" w:rsidP="00922363">
            <w:pPr>
              <w:spacing w:line="360" w:lineRule="auto"/>
              <w:rPr>
                <w:rFonts w:ascii="Arial" w:eastAsia="Times New Roman" w:hAnsi="Arial" w:cs="Arial"/>
                <w:sz w:val="24"/>
                <w:szCs w:val="24"/>
              </w:rPr>
            </w:pPr>
            <w:r w:rsidRPr="00484D13">
              <w:rPr>
                <w:rFonts w:ascii="Arial" w:eastAsia="Times New Roman" w:hAnsi="Arial" w:cs="Arial"/>
                <w:sz w:val="24"/>
                <w:szCs w:val="24"/>
              </w:rPr>
              <w:t>1.22</w:t>
            </w:r>
          </w:p>
        </w:tc>
      </w:tr>
      <w:tr w:rsidR="00484D13" w:rsidRPr="00484D13" w14:paraId="0975DBC5" w14:textId="77777777" w:rsidTr="00E10B4D">
        <w:tc>
          <w:tcPr>
            <w:tcW w:w="0" w:type="auto"/>
            <w:hideMark/>
          </w:tcPr>
          <w:p w14:paraId="1CAE0BFF" w14:textId="77777777" w:rsidR="00484D13" w:rsidRPr="00484D13" w:rsidRDefault="00484D13" w:rsidP="00922363">
            <w:pPr>
              <w:spacing w:line="360" w:lineRule="auto"/>
              <w:rPr>
                <w:rFonts w:ascii="Arial" w:eastAsia="Times New Roman" w:hAnsi="Arial" w:cs="Arial"/>
                <w:sz w:val="24"/>
                <w:szCs w:val="24"/>
              </w:rPr>
            </w:pPr>
            <w:r w:rsidRPr="00484D13">
              <w:rPr>
                <w:rFonts w:ascii="Arial" w:eastAsia="Times New Roman" w:hAnsi="Arial" w:cs="Arial"/>
                <w:sz w:val="24"/>
                <w:szCs w:val="24"/>
              </w:rPr>
              <w:t>Fixed Asset Turnover</w:t>
            </w:r>
          </w:p>
        </w:tc>
        <w:tc>
          <w:tcPr>
            <w:tcW w:w="0" w:type="auto"/>
            <w:hideMark/>
          </w:tcPr>
          <w:p w14:paraId="5C0EF88C" w14:textId="77777777" w:rsidR="00484D13" w:rsidRPr="00484D13" w:rsidRDefault="00484D13" w:rsidP="00922363">
            <w:pPr>
              <w:spacing w:line="360" w:lineRule="auto"/>
              <w:rPr>
                <w:rFonts w:ascii="Arial" w:eastAsia="Times New Roman" w:hAnsi="Arial" w:cs="Arial"/>
                <w:sz w:val="24"/>
                <w:szCs w:val="24"/>
              </w:rPr>
            </w:pPr>
            <w:r w:rsidRPr="00484D13">
              <w:rPr>
                <w:rFonts w:ascii="Arial" w:eastAsia="Times New Roman" w:hAnsi="Arial" w:cs="Arial"/>
                <w:sz w:val="24"/>
                <w:szCs w:val="24"/>
              </w:rPr>
              <w:t>Net Sales / Property, Plant and Equipment</w:t>
            </w:r>
          </w:p>
        </w:tc>
        <w:tc>
          <w:tcPr>
            <w:tcW w:w="0" w:type="auto"/>
            <w:hideMark/>
          </w:tcPr>
          <w:p w14:paraId="4561F491" w14:textId="77777777" w:rsidR="00484D13" w:rsidRPr="00484D13" w:rsidRDefault="00484D13" w:rsidP="00922363">
            <w:pPr>
              <w:spacing w:line="360" w:lineRule="auto"/>
              <w:rPr>
                <w:rFonts w:ascii="Arial" w:eastAsia="Times New Roman" w:hAnsi="Arial" w:cs="Arial"/>
                <w:sz w:val="24"/>
                <w:szCs w:val="24"/>
              </w:rPr>
            </w:pPr>
            <w:r w:rsidRPr="00484D13">
              <w:rPr>
                <w:rFonts w:ascii="Arial" w:eastAsia="Times New Roman" w:hAnsi="Arial" w:cs="Arial"/>
                <w:sz w:val="24"/>
                <w:szCs w:val="24"/>
              </w:rPr>
              <w:t>7.04</w:t>
            </w:r>
          </w:p>
        </w:tc>
        <w:tc>
          <w:tcPr>
            <w:tcW w:w="0" w:type="auto"/>
            <w:hideMark/>
          </w:tcPr>
          <w:p w14:paraId="59F0331E" w14:textId="77777777" w:rsidR="00484D13" w:rsidRPr="00484D13" w:rsidRDefault="00484D13" w:rsidP="00922363">
            <w:pPr>
              <w:spacing w:line="360" w:lineRule="auto"/>
              <w:rPr>
                <w:rFonts w:ascii="Arial" w:eastAsia="Times New Roman" w:hAnsi="Arial" w:cs="Arial"/>
                <w:sz w:val="24"/>
                <w:szCs w:val="24"/>
              </w:rPr>
            </w:pPr>
            <w:r w:rsidRPr="00484D13">
              <w:rPr>
                <w:rFonts w:ascii="Arial" w:eastAsia="Times New Roman" w:hAnsi="Arial" w:cs="Arial"/>
                <w:sz w:val="24"/>
                <w:szCs w:val="24"/>
              </w:rPr>
              <w:t>8.06</w:t>
            </w:r>
          </w:p>
        </w:tc>
        <w:tc>
          <w:tcPr>
            <w:tcW w:w="0" w:type="auto"/>
            <w:hideMark/>
          </w:tcPr>
          <w:p w14:paraId="6EE5FAEF" w14:textId="77777777" w:rsidR="00484D13" w:rsidRPr="00484D13" w:rsidRDefault="00484D13" w:rsidP="00922363">
            <w:pPr>
              <w:spacing w:line="360" w:lineRule="auto"/>
              <w:rPr>
                <w:rFonts w:ascii="Arial" w:eastAsia="Times New Roman" w:hAnsi="Arial" w:cs="Arial"/>
                <w:sz w:val="24"/>
                <w:szCs w:val="24"/>
              </w:rPr>
            </w:pPr>
            <w:r w:rsidRPr="00484D13">
              <w:rPr>
                <w:rFonts w:ascii="Arial" w:eastAsia="Times New Roman" w:hAnsi="Arial" w:cs="Arial"/>
                <w:sz w:val="24"/>
                <w:szCs w:val="24"/>
              </w:rPr>
              <w:t>8.64</w:t>
            </w:r>
          </w:p>
        </w:tc>
        <w:tc>
          <w:tcPr>
            <w:tcW w:w="0" w:type="auto"/>
            <w:hideMark/>
          </w:tcPr>
          <w:p w14:paraId="07D89864" w14:textId="77777777" w:rsidR="00484D13" w:rsidRPr="00484D13" w:rsidRDefault="00484D13" w:rsidP="00922363">
            <w:pPr>
              <w:spacing w:line="360" w:lineRule="auto"/>
              <w:rPr>
                <w:rFonts w:ascii="Arial" w:eastAsia="Times New Roman" w:hAnsi="Arial" w:cs="Arial"/>
                <w:sz w:val="24"/>
                <w:szCs w:val="24"/>
              </w:rPr>
            </w:pPr>
            <w:r w:rsidRPr="00484D13">
              <w:rPr>
                <w:rFonts w:ascii="Arial" w:eastAsia="Times New Roman" w:hAnsi="Arial" w:cs="Arial"/>
                <w:sz w:val="24"/>
                <w:szCs w:val="24"/>
              </w:rPr>
              <w:t>9.42</w:t>
            </w:r>
          </w:p>
        </w:tc>
        <w:tc>
          <w:tcPr>
            <w:tcW w:w="0" w:type="auto"/>
            <w:hideMark/>
          </w:tcPr>
          <w:p w14:paraId="1B5AE7A8" w14:textId="77777777" w:rsidR="00484D13" w:rsidRPr="00484D13" w:rsidRDefault="00484D13" w:rsidP="00922363">
            <w:pPr>
              <w:spacing w:line="360" w:lineRule="auto"/>
              <w:rPr>
                <w:rFonts w:ascii="Arial" w:eastAsia="Times New Roman" w:hAnsi="Arial" w:cs="Arial"/>
                <w:sz w:val="24"/>
                <w:szCs w:val="24"/>
              </w:rPr>
            </w:pPr>
            <w:r w:rsidRPr="00484D13">
              <w:rPr>
                <w:rFonts w:ascii="Arial" w:eastAsia="Times New Roman" w:hAnsi="Arial" w:cs="Arial"/>
                <w:sz w:val="24"/>
                <w:szCs w:val="24"/>
              </w:rPr>
              <w:t>11.54</w:t>
            </w:r>
          </w:p>
        </w:tc>
      </w:tr>
      <w:tr w:rsidR="00484D13" w:rsidRPr="00484D13" w14:paraId="69C63B62" w14:textId="77777777" w:rsidTr="00E10B4D">
        <w:tc>
          <w:tcPr>
            <w:tcW w:w="0" w:type="auto"/>
            <w:hideMark/>
          </w:tcPr>
          <w:p w14:paraId="097CCFD7" w14:textId="77777777" w:rsidR="00484D13" w:rsidRPr="00484D13" w:rsidRDefault="00484D13" w:rsidP="00922363">
            <w:pPr>
              <w:spacing w:line="360" w:lineRule="auto"/>
              <w:rPr>
                <w:rFonts w:ascii="Arial" w:eastAsia="Times New Roman" w:hAnsi="Arial" w:cs="Arial"/>
                <w:sz w:val="24"/>
                <w:szCs w:val="24"/>
              </w:rPr>
            </w:pPr>
            <w:r w:rsidRPr="00484D13">
              <w:rPr>
                <w:rFonts w:ascii="Arial" w:eastAsia="Times New Roman" w:hAnsi="Arial" w:cs="Arial"/>
                <w:sz w:val="24"/>
                <w:szCs w:val="24"/>
              </w:rPr>
              <w:t>Receivables Days</w:t>
            </w:r>
          </w:p>
        </w:tc>
        <w:tc>
          <w:tcPr>
            <w:tcW w:w="0" w:type="auto"/>
            <w:hideMark/>
          </w:tcPr>
          <w:p w14:paraId="143E1239" w14:textId="77777777" w:rsidR="00484D13" w:rsidRPr="00484D13" w:rsidRDefault="00484D13" w:rsidP="00922363">
            <w:pPr>
              <w:spacing w:line="360" w:lineRule="auto"/>
              <w:rPr>
                <w:rFonts w:ascii="Arial" w:eastAsia="Times New Roman" w:hAnsi="Arial" w:cs="Arial"/>
                <w:sz w:val="24"/>
                <w:szCs w:val="24"/>
              </w:rPr>
            </w:pPr>
            <w:r w:rsidRPr="00484D13">
              <w:rPr>
                <w:rFonts w:ascii="Arial" w:eastAsia="Times New Roman" w:hAnsi="Arial" w:cs="Arial"/>
                <w:sz w:val="24"/>
                <w:szCs w:val="24"/>
              </w:rPr>
              <w:t>(Trade Receivables / Net Sales) × 365</w:t>
            </w:r>
          </w:p>
        </w:tc>
        <w:tc>
          <w:tcPr>
            <w:tcW w:w="0" w:type="auto"/>
            <w:hideMark/>
          </w:tcPr>
          <w:p w14:paraId="2C4DC124" w14:textId="77777777" w:rsidR="00484D13" w:rsidRPr="00484D13" w:rsidRDefault="00484D13" w:rsidP="00922363">
            <w:pPr>
              <w:spacing w:line="360" w:lineRule="auto"/>
              <w:rPr>
                <w:rFonts w:ascii="Arial" w:eastAsia="Times New Roman" w:hAnsi="Arial" w:cs="Arial"/>
                <w:sz w:val="24"/>
                <w:szCs w:val="24"/>
              </w:rPr>
            </w:pPr>
            <w:r w:rsidRPr="00484D13">
              <w:rPr>
                <w:rFonts w:ascii="Arial" w:eastAsia="Times New Roman" w:hAnsi="Arial" w:cs="Arial"/>
                <w:sz w:val="24"/>
                <w:szCs w:val="24"/>
              </w:rPr>
              <w:t>76.86</w:t>
            </w:r>
          </w:p>
        </w:tc>
        <w:tc>
          <w:tcPr>
            <w:tcW w:w="0" w:type="auto"/>
            <w:hideMark/>
          </w:tcPr>
          <w:p w14:paraId="3DF750E7" w14:textId="77777777" w:rsidR="00484D13" w:rsidRPr="00484D13" w:rsidRDefault="00484D13" w:rsidP="00922363">
            <w:pPr>
              <w:spacing w:line="360" w:lineRule="auto"/>
              <w:rPr>
                <w:rFonts w:ascii="Arial" w:eastAsia="Times New Roman" w:hAnsi="Arial" w:cs="Arial"/>
                <w:sz w:val="24"/>
                <w:szCs w:val="24"/>
              </w:rPr>
            </w:pPr>
            <w:r w:rsidRPr="00484D13">
              <w:rPr>
                <w:rFonts w:ascii="Arial" w:eastAsia="Times New Roman" w:hAnsi="Arial" w:cs="Arial"/>
                <w:sz w:val="24"/>
                <w:szCs w:val="24"/>
              </w:rPr>
              <w:t>78.40</w:t>
            </w:r>
          </w:p>
        </w:tc>
        <w:tc>
          <w:tcPr>
            <w:tcW w:w="0" w:type="auto"/>
            <w:hideMark/>
          </w:tcPr>
          <w:p w14:paraId="53E78B0E" w14:textId="77777777" w:rsidR="00484D13" w:rsidRPr="00484D13" w:rsidRDefault="00484D13" w:rsidP="00922363">
            <w:pPr>
              <w:spacing w:line="360" w:lineRule="auto"/>
              <w:rPr>
                <w:rFonts w:ascii="Arial" w:eastAsia="Times New Roman" w:hAnsi="Arial" w:cs="Arial"/>
                <w:sz w:val="24"/>
                <w:szCs w:val="24"/>
              </w:rPr>
            </w:pPr>
            <w:r w:rsidRPr="00484D13">
              <w:rPr>
                <w:rFonts w:ascii="Arial" w:eastAsia="Times New Roman" w:hAnsi="Arial" w:cs="Arial"/>
                <w:sz w:val="24"/>
                <w:szCs w:val="24"/>
              </w:rPr>
              <w:t>75.55</w:t>
            </w:r>
          </w:p>
        </w:tc>
        <w:tc>
          <w:tcPr>
            <w:tcW w:w="0" w:type="auto"/>
            <w:hideMark/>
          </w:tcPr>
          <w:p w14:paraId="74CE6975" w14:textId="77777777" w:rsidR="00484D13" w:rsidRPr="00484D13" w:rsidRDefault="00484D13" w:rsidP="00922363">
            <w:pPr>
              <w:spacing w:line="360" w:lineRule="auto"/>
              <w:rPr>
                <w:rFonts w:ascii="Arial" w:eastAsia="Times New Roman" w:hAnsi="Arial" w:cs="Arial"/>
                <w:sz w:val="24"/>
                <w:szCs w:val="24"/>
              </w:rPr>
            </w:pPr>
            <w:r w:rsidRPr="00484D13">
              <w:rPr>
                <w:rFonts w:ascii="Arial" w:eastAsia="Times New Roman" w:hAnsi="Arial" w:cs="Arial"/>
                <w:sz w:val="24"/>
                <w:szCs w:val="24"/>
              </w:rPr>
              <w:t>97.74</w:t>
            </w:r>
          </w:p>
        </w:tc>
        <w:tc>
          <w:tcPr>
            <w:tcW w:w="0" w:type="auto"/>
            <w:hideMark/>
          </w:tcPr>
          <w:p w14:paraId="2DB09163" w14:textId="77777777" w:rsidR="00484D13" w:rsidRPr="00484D13" w:rsidRDefault="00484D13" w:rsidP="00922363">
            <w:pPr>
              <w:spacing w:line="360" w:lineRule="auto"/>
              <w:rPr>
                <w:rFonts w:ascii="Arial" w:eastAsia="Times New Roman" w:hAnsi="Arial" w:cs="Arial"/>
                <w:sz w:val="24"/>
                <w:szCs w:val="24"/>
              </w:rPr>
            </w:pPr>
            <w:r w:rsidRPr="00484D13">
              <w:rPr>
                <w:rFonts w:ascii="Arial" w:eastAsia="Times New Roman" w:hAnsi="Arial" w:cs="Arial"/>
                <w:sz w:val="24"/>
                <w:szCs w:val="24"/>
              </w:rPr>
              <w:t>105.54</w:t>
            </w:r>
          </w:p>
        </w:tc>
      </w:tr>
      <w:tr w:rsidR="00484D13" w:rsidRPr="00484D13" w14:paraId="64E5B26C" w14:textId="77777777" w:rsidTr="00E10B4D">
        <w:tc>
          <w:tcPr>
            <w:tcW w:w="0" w:type="auto"/>
            <w:hideMark/>
          </w:tcPr>
          <w:p w14:paraId="74E1162F" w14:textId="77777777" w:rsidR="00484D13" w:rsidRPr="00484D13" w:rsidRDefault="00484D13" w:rsidP="00922363">
            <w:pPr>
              <w:spacing w:line="360" w:lineRule="auto"/>
              <w:rPr>
                <w:rFonts w:ascii="Arial" w:eastAsia="Times New Roman" w:hAnsi="Arial" w:cs="Arial"/>
                <w:sz w:val="24"/>
                <w:szCs w:val="24"/>
              </w:rPr>
            </w:pPr>
            <w:r w:rsidRPr="00484D13">
              <w:rPr>
                <w:rFonts w:ascii="Arial" w:eastAsia="Times New Roman" w:hAnsi="Arial" w:cs="Arial"/>
                <w:sz w:val="24"/>
                <w:szCs w:val="24"/>
              </w:rPr>
              <w:lastRenderedPageBreak/>
              <w:t>Inventory Days</w:t>
            </w:r>
          </w:p>
        </w:tc>
        <w:tc>
          <w:tcPr>
            <w:tcW w:w="0" w:type="auto"/>
            <w:hideMark/>
          </w:tcPr>
          <w:p w14:paraId="7A1D0561" w14:textId="77777777" w:rsidR="00484D13" w:rsidRPr="00484D13" w:rsidRDefault="00484D13" w:rsidP="00922363">
            <w:pPr>
              <w:spacing w:line="360" w:lineRule="auto"/>
              <w:rPr>
                <w:rFonts w:ascii="Arial" w:eastAsia="Times New Roman" w:hAnsi="Arial" w:cs="Arial"/>
                <w:sz w:val="24"/>
                <w:szCs w:val="24"/>
              </w:rPr>
            </w:pPr>
            <w:r w:rsidRPr="00484D13">
              <w:rPr>
                <w:rFonts w:ascii="Arial" w:eastAsia="Times New Roman" w:hAnsi="Arial" w:cs="Arial"/>
                <w:sz w:val="24"/>
                <w:szCs w:val="24"/>
              </w:rPr>
              <w:t>(Inventory / Cost of Sales) × 365</w:t>
            </w:r>
          </w:p>
        </w:tc>
        <w:tc>
          <w:tcPr>
            <w:tcW w:w="0" w:type="auto"/>
            <w:hideMark/>
          </w:tcPr>
          <w:p w14:paraId="46644144" w14:textId="77777777" w:rsidR="00484D13" w:rsidRPr="00484D13" w:rsidRDefault="00484D13" w:rsidP="00922363">
            <w:pPr>
              <w:spacing w:line="360" w:lineRule="auto"/>
              <w:rPr>
                <w:rFonts w:ascii="Arial" w:eastAsia="Times New Roman" w:hAnsi="Arial" w:cs="Arial"/>
                <w:sz w:val="24"/>
                <w:szCs w:val="24"/>
              </w:rPr>
            </w:pPr>
            <w:r w:rsidRPr="00484D13">
              <w:rPr>
                <w:rFonts w:ascii="Arial" w:eastAsia="Times New Roman" w:hAnsi="Arial" w:cs="Arial"/>
                <w:sz w:val="24"/>
                <w:szCs w:val="24"/>
              </w:rPr>
              <w:t>100.26</w:t>
            </w:r>
          </w:p>
        </w:tc>
        <w:tc>
          <w:tcPr>
            <w:tcW w:w="0" w:type="auto"/>
            <w:hideMark/>
          </w:tcPr>
          <w:p w14:paraId="0F289E41" w14:textId="77777777" w:rsidR="00484D13" w:rsidRPr="00484D13" w:rsidRDefault="00484D13" w:rsidP="00922363">
            <w:pPr>
              <w:spacing w:line="360" w:lineRule="auto"/>
              <w:rPr>
                <w:rFonts w:ascii="Arial" w:eastAsia="Times New Roman" w:hAnsi="Arial" w:cs="Arial"/>
                <w:sz w:val="24"/>
                <w:szCs w:val="24"/>
              </w:rPr>
            </w:pPr>
            <w:r w:rsidRPr="00484D13">
              <w:rPr>
                <w:rFonts w:ascii="Arial" w:eastAsia="Times New Roman" w:hAnsi="Arial" w:cs="Arial"/>
                <w:sz w:val="24"/>
                <w:szCs w:val="24"/>
              </w:rPr>
              <w:t>114.52</w:t>
            </w:r>
          </w:p>
        </w:tc>
        <w:tc>
          <w:tcPr>
            <w:tcW w:w="0" w:type="auto"/>
            <w:hideMark/>
          </w:tcPr>
          <w:p w14:paraId="244BE135" w14:textId="77777777" w:rsidR="00484D13" w:rsidRPr="00484D13" w:rsidRDefault="00484D13" w:rsidP="00922363">
            <w:pPr>
              <w:spacing w:line="360" w:lineRule="auto"/>
              <w:rPr>
                <w:rFonts w:ascii="Arial" w:eastAsia="Times New Roman" w:hAnsi="Arial" w:cs="Arial"/>
                <w:sz w:val="24"/>
                <w:szCs w:val="24"/>
              </w:rPr>
            </w:pPr>
            <w:r w:rsidRPr="00484D13">
              <w:rPr>
                <w:rFonts w:ascii="Arial" w:eastAsia="Times New Roman" w:hAnsi="Arial" w:cs="Arial"/>
                <w:sz w:val="24"/>
                <w:szCs w:val="24"/>
              </w:rPr>
              <w:t>131.04</w:t>
            </w:r>
          </w:p>
        </w:tc>
        <w:tc>
          <w:tcPr>
            <w:tcW w:w="0" w:type="auto"/>
            <w:hideMark/>
          </w:tcPr>
          <w:p w14:paraId="0E0B6D92" w14:textId="77777777" w:rsidR="00484D13" w:rsidRPr="00484D13" w:rsidRDefault="00484D13" w:rsidP="00922363">
            <w:pPr>
              <w:spacing w:line="360" w:lineRule="auto"/>
              <w:rPr>
                <w:rFonts w:ascii="Arial" w:eastAsia="Times New Roman" w:hAnsi="Arial" w:cs="Arial"/>
                <w:sz w:val="24"/>
                <w:szCs w:val="24"/>
              </w:rPr>
            </w:pPr>
            <w:r w:rsidRPr="00484D13">
              <w:rPr>
                <w:rFonts w:ascii="Arial" w:eastAsia="Times New Roman" w:hAnsi="Arial" w:cs="Arial"/>
                <w:sz w:val="24"/>
                <w:szCs w:val="24"/>
              </w:rPr>
              <w:t>99.78</w:t>
            </w:r>
          </w:p>
        </w:tc>
        <w:tc>
          <w:tcPr>
            <w:tcW w:w="0" w:type="auto"/>
            <w:hideMark/>
          </w:tcPr>
          <w:p w14:paraId="6777402B" w14:textId="77777777" w:rsidR="00484D13" w:rsidRPr="00484D13" w:rsidRDefault="00484D13" w:rsidP="00922363">
            <w:pPr>
              <w:spacing w:line="360" w:lineRule="auto"/>
              <w:rPr>
                <w:rFonts w:ascii="Arial" w:eastAsia="Times New Roman" w:hAnsi="Arial" w:cs="Arial"/>
                <w:sz w:val="24"/>
                <w:szCs w:val="24"/>
              </w:rPr>
            </w:pPr>
            <w:r w:rsidRPr="00484D13">
              <w:rPr>
                <w:rFonts w:ascii="Arial" w:eastAsia="Times New Roman" w:hAnsi="Arial" w:cs="Arial"/>
                <w:sz w:val="24"/>
                <w:szCs w:val="24"/>
              </w:rPr>
              <w:t>103.12</w:t>
            </w:r>
          </w:p>
        </w:tc>
      </w:tr>
    </w:tbl>
    <w:p w14:paraId="61EC0267" w14:textId="7946BC9E" w:rsidR="008C7CCC" w:rsidRPr="008C7CCC" w:rsidRDefault="008C7CCC" w:rsidP="008C7CCC">
      <w:pPr>
        <w:spacing w:before="100" w:beforeAutospacing="1" w:after="100" w:afterAutospacing="1" w:line="360" w:lineRule="auto"/>
        <w:jc w:val="center"/>
        <w:outlineLvl w:val="2"/>
        <w:rPr>
          <w:rFonts w:ascii="Arial" w:eastAsia="Times New Roman" w:hAnsi="Arial" w:cs="Arial"/>
          <w:b/>
          <w:bCs/>
          <w:sz w:val="20"/>
          <w:szCs w:val="20"/>
        </w:rPr>
      </w:pPr>
      <w:bookmarkStart w:id="57" w:name="_Toc217181532"/>
      <w:bookmarkStart w:id="58" w:name="_Toc217260332"/>
      <w:bookmarkStart w:id="59" w:name="_Toc216755991"/>
      <w:r w:rsidRPr="008C7CCC">
        <w:rPr>
          <w:rFonts w:ascii="Arial" w:eastAsia="Times New Roman" w:hAnsi="Arial" w:cs="Arial"/>
          <w:b/>
          <w:bCs/>
          <w:sz w:val="20"/>
          <w:szCs w:val="20"/>
        </w:rPr>
        <w:t xml:space="preserve">Table 3: </w:t>
      </w:r>
      <w:r w:rsidRPr="00484D13">
        <w:rPr>
          <w:rFonts w:ascii="Arial" w:eastAsia="Times New Roman" w:hAnsi="Arial" w:cs="Arial"/>
          <w:b/>
          <w:bCs/>
          <w:sz w:val="20"/>
          <w:szCs w:val="20"/>
        </w:rPr>
        <w:t>Efficiency Ratio</w:t>
      </w:r>
      <w:r w:rsidRPr="008C7CCC">
        <w:rPr>
          <w:rFonts w:ascii="Arial" w:eastAsia="Times New Roman" w:hAnsi="Arial" w:cs="Arial"/>
          <w:b/>
          <w:bCs/>
          <w:sz w:val="20"/>
          <w:szCs w:val="20"/>
        </w:rPr>
        <w:t xml:space="preserve"> (Self-Prepared)</w:t>
      </w:r>
      <w:bookmarkEnd w:id="57"/>
      <w:bookmarkEnd w:id="58"/>
    </w:p>
    <w:p w14:paraId="2AFDB3EB" w14:textId="595D9410" w:rsidR="008C7CCC" w:rsidRDefault="008C7CCC" w:rsidP="008C7CCC">
      <w:pPr>
        <w:spacing w:before="100" w:beforeAutospacing="1" w:after="100" w:afterAutospacing="1" w:line="360" w:lineRule="auto"/>
        <w:jc w:val="center"/>
        <w:outlineLvl w:val="2"/>
        <w:rPr>
          <w:rFonts w:ascii="Arial" w:eastAsia="Times New Roman" w:hAnsi="Arial" w:cs="Arial"/>
          <w:b/>
          <w:bCs/>
          <w:sz w:val="27"/>
          <w:szCs w:val="27"/>
        </w:rPr>
      </w:pPr>
      <w:bookmarkStart w:id="60" w:name="_Toc217181533"/>
      <w:bookmarkStart w:id="61" w:name="_Toc217260333"/>
      <w:r>
        <w:rPr>
          <w:noProof/>
        </w:rPr>
        <w:drawing>
          <wp:inline distT="0" distB="0" distL="0" distR="0" wp14:anchorId="66D53475" wp14:editId="1C4A5B8D">
            <wp:extent cx="4248150" cy="3014662"/>
            <wp:effectExtent l="0" t="0" r="0" b="14605"/>
            <wp:docPr id="8" name="Chart 8">
              <a:extLst xmlns:a="http://schemas.openxmlformats.org/drawingml/2006/main">
                <a:ext uri="{FF2B5EF4-FFF2-40B4-BE49-F238E27FC236}">
                  <a16:creationId xmlns:a16="http://schemas.microsoft.com/office/drawing/2014/main" id="{4875193F-C7EA-4539-84A5-5D8872A6DD6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bookmarkEnd w:id="60"/>
      <w:bookmarkEnd w:id="61"/>
    </w:p>
    <w:p w14:paraId="760621EB" w14:textId="2A4FCB1D" w:rsidR="008C7CCC" w:rsidRPr="008C7CCC" w:rsidRDefault="008C7CCC" w:rsidP="008C7CCC">
      <w:pPr>
        <w:spacing w:before="100" w:beforeAutospacing="1" w:after="100" w:afterAutospacing="1" w:line="360" w:lineRule="auto"/>
        <w:jc w:val="center"/>
        <w:outlineLvl w:val="2"/>
        <w:rPr>
          <w:rFonts w:ascii="Arial" w:eastAsia="Times New Roman" w:hAnsi="Arial" w:cs="Arial"/>
          <w:b/>
          <w:bCs/>
        </w:rPr>
      </w:pPr>
      <w:bookmarkStart w:id="62" w:name="_Toc217181534"/>
      <w:bookmarkStart w:id="63" w:name="_Toc217260334"/>
      <w:r w:rsidRPr="008C7CCC">
        <w:rPr>
          <w:rFonts w:ascii="Arial" w:eastAsia="Times New Roman" w:hAnsi="Arial" w:cs="Arial"/>
          <w:b/>
          <w:bCs/>
        </w:rPr>
        <w:t xml:space="preserve">Figure </w:t>
      </w:r>
      <w:r>
        <w:rPr>
          <w:rFonts w:ascii="Arial" w:eastAsia="Times New Roman" w:hAnsi="Arial" w:cs="Arial"/>
          <w:b/>
          <w:bCs/>
        </w:rPr>
        <w:t>3</w:t>
      </w:r>
      <w:r w:rsidRPr="008C7CCC">
        <w:rPr>
          <w:rFonts w:ascii="Arial" w:eastAsia="Times New Roman" w:hAnsi="Arial" w:cs="Arial"/>
          <w:b/>
          <w:bCs/>
        </w:rPr>
        <w:t xml:space="preserve">: </w:t>
      </w:r>
      <w:r>
        <w:rPr>
          <w:rFonts w:ascii="Arial" w:eastAsia="Times New Roman" w:hAnsi="Arial" w:cs="Arial"/>
          <w:b/>
          <w:bCs/>
        </w:rPr>
        <w:t>Efficiency</w:t>
      </w:r>
      <w:r w:rsidRPr="008C7CCC">
        <w:rPr>
          <w:rFonts w:ascii="Arial" w:eastAsia="Times New Roman" w:hAnsi="Arial" w:cs="Arial"/>
          <w:b/>
          <w:bCs/>
        </w:rPr>
        <w:t xml:space="preserve"> Ratio Comparison (Self-Prepared)</w:t>
      </w:r>
      <w:bookmarkEnd w:id="62"/>
      <w:bookmarkEnd w:id="63"/>
    </w:p>
    <w:p w14:paraId="56847559" w14:textId="5586AF3E" w:rsidR="00484D13" w:rsidRPr="00484D13" w:rsidRDefault="00484D13" w:rsidP="00922363">
      <w:pPr>
        <w:spacing w:before="100" w:beforeAutospacing="1" w:after="100" w:afterAutospacing="1" w:line="360" w:lineRule="auto"/>
        <w:outlineLvl w:val="2"/>
        <w:rPr>
          <w:rFonts w:ascii="Arial" w:eastAsia="Times New Roman" w:hAnsi="Arial" w:cs="Arial"/>
          <w:b/>
          <w:bCs/>
          <w:sz w:val="27"/>
          <w:szCs w:val="27"/>
        </w:rPr>
      </w:pPr>
      <w:bookmarkStart w:id="64" w:name="_Toc217181535"/>
      <w:bookmarkStart w:id="65" w:name="_Toc217260335"/>
      <w:r w:rsidRPr="00484D13">
        <w:rPr>
          <w:rFonts w:ascii="Arial" w:eastAsia="Times New Roman" w:hAnsi="Arial" w:cs="Arial"/>
          <w:b/>
          <w:bCs/>
          <w:sz w:val="27"/>
          <w:szCs w:val="27"/>
        </w:rPr>
        <w:t>Table A4: Gearing Ratios (2020–2024)</w:t>
      </w:r>
      <w:bookmarkEnd w:id="59"/>
      <w:bookmarkEnd w:id="64"/>
      <w:bookmarkEnd w:id="65"/>
    </w:p>
    <w:p w14:paraId="3296AEC6" w14:textId="77777777" w:rsidR="00484D13" w:rsidRPr="00484D13" w:rsidRDefault="00484D13" w:rsidP="00922363">
      <w:pPr>
        <w:spacing w:before="100" w:beforeAutospacing="1" w:after="100" w:afterAutospacing="1" w:line="360" w:lineRule="auto"/>
        <w:rPr>
          <w:rFonts w:ascii="Arial" w:eastAsia="Times New Roman" w:hAnsi="Arial" w:cs="Arial"/>
          <w:sz w:val="24"/>
          <w:szCs w:val="24"/>
        </w:rPr>
      </w:pPr>
      <w:r w:rsidRPr="00484D13">
        <w:rPr>
          <w:rFonts w:ascii="Arial" w:eastAsia="Times New Roman" w:hAnsi="Arial" w:cs="Arial"/>
          <w:sz w:val="24"/>
          <w:szCs w:val="24"/>
        </w:rPr>
        <w:t>Interest coverage ratio = EBIT / Interest expense</w:t>
      </w:r>
      <w:r w:rsidRPr="00484D13">
        <w:rPr>
          <w:rFonts w:ascii="Arial" w:eastAsia="Times New Roman" w:hAnsi="Arial" w:cs="Arial"/>
          <w:sz w:val="24"/>
          <w:szCs w:val="24"/>
        </w:rPr>
        <w:br/>
        <w:t>Debt to equity ratio = Total liabilities / Shareholders’ equity</w:t>
      </w:r>
      <w:r w:rsidRPr="00484D13">
        <w:rPr>
          <w:rFonts w:ascii="Arial" w:eastAsia="Times New Roman" w:hAnsi="Arial" w:cs="Arial"/>
          <w:sz w:val="24"/>
          <w:szCs w:val="24"/>
        </w:rPr>
        <w:br/>
        <w:t>Debt to capital ratio = Total liabilities / (Total liabilities + Shareholders’ equity)</w:t>
      </w:r>
      <w:r w:rsidRPr="00484D13">
        <w:rPr>
          <w:rFonts w:ascii="Arial" w:eastAsia="Times New Roman" w:hAnsi="Arial" w:cs="Arial"/>
          <w:sz w:val="24"/>
          <w:szCs w:val="24"/>
        </w:rPr>
        <w:br/>
        <w:t>Equity multiplier = Total assets / Shareholders’ equity</w:t>
      </w:r>
    </w:p>
    <w:p w14:paraId="59BBBACB" w14:textId="2C74E4CF" w:rsidR="00484D13" w:rsidRPr="00922363" w:rsidRDefault="00484D13" w:rsidP="00922363">
      <w:pPr>
        <w:spacing w:before="100" w:beforeAutospacing="1" w:after="100" w:afterAutospacing="1" w:line="360" w:lineRule="auto"/>
        <w:rPr>
          <w:rFonts w:ascii="Arial" w:eastAsia="Times New Roman" w:hAnsi="Arial" w:cs="Arial"/>
          <w:sz w:val="24"/>
          <w:szCs w:val="24"/>
        </w:rPr>
      </w:pPr>
      <w:r w:rsidRPr="00484D13">
        <w:rPr>
          <w:rFonts w:ascii="Arial" w:eastAsia="Times New Roman" w:hAnsi="Arial" w:cs="Arial"/>
          <w:sz w:val="24"/>
          <w:szCs w:val="24"/>
        </w:rPr>
        <w:t xml:space="preserve">Five-year numerical calculations </w:t>
      </w:r>
      <w:r w:rsidR="00E10B4D" w:rsidRPr="00922363">
        <w:rPr>
          <w:rFonts w:ascii="Arial" w:eastAsia="Times New Roman" w:hAnsi="Arial" w:cs="Arial"/>
          <w:sz w:val="24"/>
          <w:szCs w:val="24"/>
        </w:rPr>
        <w:t xml:space="preserve">presented below: </w:t>
      </w:r>
    </w:p>
    <w:tbl>
      <w:tblPr>
        <w:tblStyle w:val="TableGrid"/>
        <w:tblW w:w="0" w:type="auto"/>
        <w:tblLook w:val="04A0" w:firstRow="1" w:lastRow="0" w:firstColumn="1" w:lastColumn="0" w:noHBand="0" w:noVBand="1"/>
      </w:tblPr>
      <w:tblGrid>
        <w:gridCol w:w="2087"/>
        <w:gridCol w:w="3098"/>
        <w:gridCol w:w="817"/>
        <w:gridCol w:w="817"/>
        <w:gridCol w:w="750"/>
        <w:gridCol w:w="957"/>
        <w:gridCol w:w="824"/>
      </w:tblGrid>
      <w:tr w:rsidR="00E10B4D" w:rsidRPr="00E10B4D" w14:paraId="6F01FD2F" w14:textId="77777777" w:rsidTr="00E10B4D">
        <w:tc>
          <w:tcPr>
            <w:tcW w:w="0" w:type="auto"/>
            <w:hideMark/>
          </w:tcPr>
          <w:p w14:paraId="6DB9C797" w14:textId="77777777" w:rsidR="00E10B4D" w:rsidRPr="00E10B4D" w:rsidRDefault="00E10B4D" w:rsidP="00922363">
            <w:pPr>
              <w:spacing w:line="360" w:lineRule="auto"/>
              <w:jc w:val="center"/>
              <w:rPr>
                <w:rFonts w:ascii="Arial" w:eastAsia="Times New Roman" w:hAnsi="Arial" w:cs="Arial"/>
                <w:b/>
                <w:bCs/>
                <w:sz w:val="24"/>
                <w:szCs w:val="24"/>
              </w:rPr>
            </w:pPr>
            <w:r w:rsidRPr="00E10B4D">
              <w:rPr>
                <w:rFonts w:ascii="Arial" w:eastAsia="Times New Roman" w:hAnsi="Arial" w:cs="Arial"/>
                <w:b/>
                <w:bCs/>
                <w:sz w:val="24"/>
                <w:szCs w:val="24"/>
              </w:rPr>
              <w:t>Ratio</w:t>
            </w:r>
          </w:p>
        </w:tc>
        <w:tc>
          <w:tcPr>
            <w:tcW w:w="0" w:type="auto"/>
            <w:hideMark/>
          </w:tcPr>
          <w:p w14:paraId="0B2AE684" w14:textId="77777777" w:rsidR="00E10B4D" w:rsidRPr="00E10B4D" w:rsidRDefault="00E10B4D" w:rsidP="00922363">
            <w:pPr>
              <w:spacing w:line="360" w:lineRule="auto"/>
              <w:jc w:val="center"/>
              <w:rPr>
                <w:rFonts w:ascii="Arial" w:eastAsia="Times New Roman" w:hAnsi="Arial" w:cs="Arial"/>
                <w:b/>
                <w:bCs/>
                <w:sz w:val="24"/>
                <w:szCs w:val="24"/>
              </w:rPr>
            </w:pPr>
            <w:r w:rsidRPr="00E10B4D">
              <w:rPr>
                <w:rFonts w:ascii="Arial" w:eastAsia="Times New Roman" w:hAnsi="Arial" w:cs="Arial"/>
                <w:b/>
                <w:bCs/>
                <w:sz w:val="24"/>
                <w:szCs w:val="24"/>
              </w:rPr>
              <w:t>Formula</w:t>
            </w:r>
          </w:p>
        </w:tc>
        <w:tc>
          <w:tcPr>
            <w:tcW w:w="0" w:type="auto"/>
            <w:hideMark/>
          </w:tcPr>
          <w:p w14:paraId="07DA16C5" w14:textId="77777777" w:rsidR="00E10B4D" w:rsidRPr="00E10B4D" w:rsidRDefault="00E10B4D" w:rsidP="00922363">
            <w:pPr>
              <w:spacing w:line="360" w:lineRule="auto"/>
              <w:jc w:val="center"/>
              <w:rPr>
                <w:rFonts w:ascii="Arial" w:eastAsia="Times New Roman" w:hAnsi="Arial" w:cs="Arial"/>
                <w:b/>
                <w:bCs/>
                <w:sz w:val="24"/>
                <w:szCs w:val="24"/>
              </w:rPr>
            </w:pPr>
            <w:r w:rsidRPr="00E10B4D">
              <w:rPr>
                <w:rFonts w:ascii="Arial" w:eastAsia="Times New Roman" w:hAnsi="Arial" w:cs="Arial"/>
                <w:b/>
                <w:bCs/>
                <w:sz w:val="24"/>
                <w:szCs w:val="24"/>
              </w:rPr>
              <w:t>2020</w:t>
            </w:r>
          </w:p>
        </w:tc>
        <w:tc>
          <w:tcPr>
            <w:tcW w:w="0" w:type="auto"/>
            <w:hideMark/>
          </w:tcPr>
          <w:p w14:paraId="54A83B9D" w14:textId="77777777" w:rsidR="00E10B4D" w:rsidRPr="00E10B4D" w:rsidRDefault="00E10B4D" w:rsidP="00922363">
            <w:pPr>
              <w:spacing w:line="360" w:lineRule="auto"/>
              <w:jc w:val="center"/>
              <w:rPr>
                <w:rFonts w:ascii="Arial" w:eastAsia="Times New Roman" w:hAnsi="Arial" w:cs="Arial"/>
                <w:b/>
                <w:bCs/>
                <w:sz w:val="24"/>
                <w:szCs w:val="24"/>
              </w:rPr>
            </w:pPr>
            <w:r w:rsidRPr="00E10B4D">
              <w:rPr>
                <w:rFonts w:ascii="Arial" w:eastAsia="Times New Roman" w:hAnsi="Arial" w:cs="Arial"/>
                <w:b/>
                <w:bCs/>
                <w:sz w:val="24"/>
                <w:szCs w:val="24"/>
              </w:rPr>
              <w:t>2021</w:t>
            </w:r>
          </w:p>
        </w:tc>
        <w:tc>
          <w:tcPr>
            <w:tcW w:w="0" w:type="auto"/>
            <w:hideMark/>
          </w:tcPr>
          <w:p w14:paraId="5503CAC7" w14:textId="77777777" w:rsidR="00E10B4D" w:rsidRPr="00E10B4D" w:rsidRDefault="00E10B4D" w:rsidP="00922363">
            <w:pPr>
              <w:spacing w:line="360" w:lineRule="auto"/>
              <w:jc w:val="center"/>
              <w:rPr>
                <w:rFonts w:ascii="Arial" w:eastAsia="Times New Roman" w:hAnsi="Arial" w:cs="Arial"/>
                <w:b/>
                <w:bCs/>
                <w:sz w:val="24"/>
                <w:szCs w:val="24"/>
              </w:rPr>
            </w:pPr>
            <w:r w:rsidRPr="00E10B4D">
              <w:rPr>
                <w:rFonts w:ascii="Arial" w:eastAsia="Times New Roman" w:hAnsi="Arial" w:cs="Arial"/>
                <w:b/>
                <w:bCs/>
                <w:sz w:val="24"/>
                <w:szCs w:val="24"/>
              </w:rPr>
              <w:t>2022</w:t>
            </w:r>
          </w:p>
        </w:tc>
        <w:tc>
          <w:tcPr>
            <w:tcW w:w="0" w:type="auto"/>
            <w:hideMark/>
          </w:tcPr>
          <w:p w14:paraId="0D871ED8" w14:textId="77777777" w:rsidR="00E10B4D" w:rsidRPr="00E10B4D" w:rsidRDefault="00E10B4D" w:rsidP="00922363">
            <w:pPr>
              <w:spacing w:line="360" w:lineRule="auto"/>
              <w:jc w:val="center"/>
              <w:rPr>
                <w:rFonts w:ascii="Arial" w:eastAsia="Times New Roman" w:hAnsi="Arial" w:cs="Arial"/>
                <w:b/>
                <w:bCs/>
                <w:sz w:val="24"/>
                <w:szCs w:val="24"/>
              </w:rPr>
            </w:pPr>
            <w:r w:rsidRPr="00E10B4D">
              <w:rPr>
                <w:rFonts w:ascii="Arial" w:eastAsia="Times New Roman" w:hAnsi="Arial" w:cs="Arial"/>
                <w:b/>
                <w:bCs/>
                <w:sz w:val="24"/>
                <w:szCs w:val="24"/>
              </w:rPr>
              <w:t>2023</w:t>
            </w:r>
          </w:p>
        </w:tc>
        <w:tc>
          <w:tcPr>
            <w:tcW w:w="0" w:type="auto"/>
            <w:hideMark/>
          </w:tcPr>
          <w:p w14:paraId="13B70330" w14:textId="77777777" w:rsidR="00E10B4D" w:rsidRPr="00E10B4D" w:rsidRDefault="00E10B4D" w:rsidP="00922363">
            <w:pPr>
              <w:spacing w:line="360" w:lineRule="auto"/>
              <w:jc w:val="center"/>
              <w:rPr>
                <w:rFonts w:ascii="Arial" w:eastAsia="Times New Roman" w:hAnsi="Arial" w:cs="Arial"/>
                <w:b/>
                <w:bCs/>
                <w:sz w:val="24"/>
                <w:szCs w:val="24"/>
              </w:rPr>
            </w:pPr>
            <w:r w:rsidRPr="00E10B4D">
              <w:rPr>
                <w:rFonts w:ascii="Arial" w:eastAsia="Times New Roman" w:hAnsi="Arial" w:cs="Arial"/>
                <w:b/>
                <w:bCs/>
                <w:sz w:val="24"/>
                <w:szCs w:val="24"/>
              </w:rPr>
              <w:t>2024</w:t>
            </w:r>
          </w:p>
        </w:tc>
      </w:tr>
      <w:tr w:rsidR="00E10B4D" w:rsidRPr="00E10B4D" w14:paraId="6E71A54E" w14:textId="77777777" w:rsidTr="00E10B4D">
        <w:tc>
          <w:tcPr>
            <w:tcW w:w="0" w:type="auto"/>
            <w:hideMark/>
          </w:tcPr>
          <w:p w14:paraId="3A5AEF7B"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Interest Coverage Ratio</w:t>
            </w:r>
          </w:p>
        </w:tc>
        <w:tc>
          <w:tcPr>
            <w:tcW w:w="0" w:type="auto"/>
            <w:hideMark/>
          </w:tcPr>
          <w:p w14:paraId="4DA221D1"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EBIT / Interest Expense</w:t>
            </w:r>
          </w:p>
        </w:tc>
        <w:tc>
          <w:tcPr>
            <w:tcW w:w="0" w:type="auto"/>
            <w:hideMark/>
          </w:tcPr>
          <w:p w14:paraId="5FF82A7D"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26.21</w:t>
            </w:r>
          </w:p>
        </w:tc>
        <w:tc>
          <w:tcPr>
            <w:tcW w:w="0" w:type="auto"/>
            <w:hideMark/>
          </w:tcPr>
          <w:p w14:paraId="4E82D5E6"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41.08</w:t>
            </w:r>
          </w:p>
        </w:tc>
        <w:tc>
          <w:tcPr>
            <w:tcW w:w="0" w:type="auto"/>
            <w:hideMark/>
          </w:tcPr>
          <w:p w14:paraId="0C54C641"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6.61</w:t>
            </w:r>
          </w:p>
        </w:tc>
        <w:tc>
          <w:tcPr>
            <w:tcW w:w="0" w:type="auto"/>
            <w:hideMark/>
          </w:tcPr>
          <w:p w14:paraId="2B465C18"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−19.70</w:t>
            </w:r>
          </w:p>
        </w:tc>
        <w:tc>
          <w:tcPr>
            <w:tcW w:w="0" w:type="auto"/>
            <w:hideMark/>
          </w:tcPr>
          <w:p w14:paraId="4547CC33"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−4.55</w:t>
            </w:r>
          </w:p>
        </w:tc>
      </w:tr>
      <w:tr w:rsidR="00E10B4D" w:rsidRPr="00E10B4D" w14:paraId="2F653807" w14:textId="77777777" w:rsidTr="00E10B4D">
        <w:tc>
          <w:tcPr>
            <w:tcW w:w="0" w:type="auto"/>
            <w:hideMark/>
          </w:tcPr>
          <w:p w14:paraId="18DF86F1"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lastRenderedPageBreak/>
              <w:t>Debt to Equity Ratio</w:t>
            </w:r>
          </w:p>
        </w:tc>
        <w:tc>
          <w:tcPr>
            <w:tcW w:w="0" w:type="auto"/>
            <w:hideMark/>
          </w:tcPr>
          <w:p w14:paraId="52488AB7"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Total Liabilities / Shareholders’ Equity</w:t>
            </w:r>
          </w:p>
        </w:tc>
        <w:tc>
          <w:tcPr>
            <w:tcW w:w="0" w:type="auto"/>
            <w:hideMark/>
          </w:tcPr>
          <w:p w14:paraId="43FE6D0A"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0.63</w:t>
            </w:r>
          </w:p>
        </w:tc>
        <w:tc>
          <w:tcPr>
            <w:tcW w:w="0" w:type="auto"/>
            <w:hideMark/>
          </w:tcPr>
          <w:p w14:paraId="12A9FB51"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0.85</w:t>
            </w:r>
          </w:p>
        </w:tc>
        <w:tc>
          <w:tcPr>
            <w:tcW w:w="0" w:type="auto"/>
            <w:hideMark/>
          </w:tcPr>
          <w:p w14:paraId="1E1B0E5F"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0.88</w:t>
            </w:r>
          </w:p>
        </w:tc>
        <w:tc>
          <w:tcPr>
            <w:tcW w:w="0" w:type="auto"/>
            <w:hideMark/>
          </w:tcPr>
          <w:p w14:paraId="0F0311FB"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0.99</w:t>
            </w:r>
          </w:p>
        </w:tc>
        <w:tc>
          <w:tcPr>
            <w:tcW w:w="0" w:type="auto"/>
            <w:hideMark/>
          </w:tcPr>
          <w:p w14:paraId="03D577E5"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1.11</w:t>
            </w:r>
          </w:p>
        </w:tc>
      </w:tr>
      <w:tr w:rsidR="00E10B4D" w:rsidRPr="00E10B4D" w14:paraId="4CE26775" w14:textId="77777777" w:rsidTr="00E10B4D">
        <w:tc>
          <w:tcPr>
            <w:tcW w:w="0" w:type="auto"/>
            <w:hideMark/>
          </w:tcPr>
          <w:p w14:paraId="592321FC"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Debt to Capital Ratio</w:t>
            </w:r>
          </w:p>
        </w:tc>
        <w:tc>
          <w:tcPr>
            <w:tcW w:w="0" w:type="auto"/>
            <w:hideMark/>
          </w:tcPr>
          <w:p w14:paraId="33DB984A"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Total Liabilities / (Debt + Equity)</w:t>
            </w:r>
          </w:p>
        </w:tc>
        <w:tc>
          <w:tcPr>
            <w:tcW w:w="0" w:type="auto"/>
            <w:hideMark/>
          </w:tcPr>
          <w:p w14:paraId="0A6E1D43"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0.39</w:t>
            </w:r>
          </w:p>
        </w:tc>
        <w:tc>
          <w:tcPr>
            <w:tcW w:w="0" w:type="auto"/>
            <w:hideMark/>
          </w:tcPr>
          <w:p w14:paraId="3D6546AB"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0.46</w:t>
            </w:r>
          </w:p>
        </w:tc>
        <w:tc>
          <w:tcPr>
            <w:tcW w:w="0" w:type="auto"/>
            <w:hideMark/>
          </w:tcPr>
          <w:p w14:paraId="7154D1DB"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0.47</w:t>
            </w:r>
          </w:p>
        </w:tc>
        <w:tc>
          <w:tcPr>
            <w:tcW w:w="0" w:type="auto"/>
            <w:hideMark/>
          </w:tcPr>
          <w:p w14:paraId="5E03A030"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0.50</w:t>
            </w:r>
          </w:p>
        </w:tc>
        <w:tc>
          <w:tcPr>
            <w:tcW w:w="0" w:type="auto"/>
            <w:hideMark/>
          </w:tcPr>
          <w:p w14:paraId="4C25455A"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0.53</w:t>
            </w:r>
          </w:p>
        </w:tc>
      </w:tr>
      <w:tr w:rsidR="00E10B4D" w:rsidRPr="00E10B4D" w14:paraId="53A63431" w14:textId="77777777" w:rsidTr="00E10B4D">
        <w:tc>
          <w:tcPr>
            <w:tcW w:w="0" w:type="auto"/>
            <w:hideMark/>
          </w:tcPr>
          <w:p w14:paraId="24A7E493"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Equity Multiplier</w:t>
            </w:r>
          </w:p>
        </w:tc>
        <w:tc>
          <w:tcPr>
            <w:tcW w:w="0" w:type="auto"/>
            <w:hideMark/>
          </w:tcPr>
          <w:p w14:paraId="57F8928C"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Total Assets / Shareholders’ Equity</w:t>
            </w:r>
          </w:p>
        </w:tc>
        <w:tc>
          <w:tcPr>
            <w:tcW w:w="0" w:type="auto"/>
            <w:hideMark/>
          </w:tcPr>
          <w:p w14:paraId="761AF912"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1.63</w:t>
            </w:r>
          </w:p>
        </w:tc>
        <w:tc>
          <w:tcPr>
            <w:tcW w:w="0" w:type="auto"/>
            <w:hideMark/>
          </w:tcPr>
          <w:p w14:paraId="03D21D2E"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1.85</w:t>
            </w:r>
          </w:p>
        </w:tc>
        <w:tc>
          <w:tcPr>
            <w:tcW w:w="0" w:type="auto"/>
            <w:hideMark/>
          </w:tcPr>
          <w:p w14:paraId="2EB62815"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1.88</w:t>
            </w:r>
          </w:p>
        </w:tc>
        <w:tc>
          <w:tcPr>
            <w:tcW w:w="0" w:type="auto"/>
            <w:hideMark/>
          </w:tcPr>
          <w:p w14:paraId="1D2C7437"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1.99</w:t>
            </w:r>
          </w:p>
        </w:tc>
        <w:tc>
          <w:tcPr>
            <w:tcW w:w="0" w:type="auto"/>
            <w:hideMark/>
          </w:tcPr>
          <w:p w14:paraId="4D731980"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2.11</w:t>
            </w:r>
          </w:p>
        </w:tc>
      </w:tr>
    </w:tbl>
    <w:p w14:paraId="4749138D" w14:textId="3CBB5BBA" w:rsidR="006C1B9C" w:rsidRPr="006C1B9C" w:rsidRDefault="006C1B9C" w:rsidP="006C1B9C">
      <w:pPr>
        <w:spacing w:before="100" w:beforeAutospacing="1" w:after="100" w:afterAutospacing="1" w:line="360" w:lineRule="auto"/>
        <w:jc w:val="center"/>
        <w:outlineLvl w:val="2"/>
        <w:rPr>
          <w:rFonts w:ascii="Arial" w:eastAsia="Times New Roman" w:hAnsi="Arial" w:cs="Arial"/>
          <w:sz w:val="20"/>
          <w:szCs w:val="20"/>
        </w:rPr>
      </w:pPr>
      <w:bookmarkStart w:id="66" w:name="_Toc217181536"/>
      <w:bookmarkStart w:id="67" w:name="_Toc217260336"/>
      <w:bookmarkStart w:id="68" w:name="_Toc216755992"/>
      <w:r w:rsidRPr="006C1B9C">
        <w:rPr>
          <w:rFonts w:ascii="Arial" w:eastAsia="Times New Roman" w:hAnsi="Arial" w:cs="Arial"/>
          <w:sz w:val="20"/>
          <w:szCs w:val="20"/>
        </w:rPr>
        <w:t xml:space="preserve">Table 4: </w:t>
      </w:r>
      <w:r w:rsidRPr="00484D13">
        <w:rPr>
          <w:rFonts w:ascii="Arial" w:eastAsia="Times New Roman" w:hAnsi="Arial" w:cs="Arial"/>
          <w:sz w:val="20"/>
          <w:szCs w:val="20"/>
        </w:rPr>
        <w:t xml:space="preserve">Gearing Ratios </w:t>
      </w:r>
      <w:r w:rsidRPr="006C1B9C">
        <w:rPr>
          <w:rFonts w:ascii="Arial" w:eastAsia="Times New Roman" w:hAnsi="Arial" w:cs="Arial"/>
          <w:sz w:val="20"/>
          <w:szCs w:val="20"/>
        </w:rPr>
        <w:t>(Self-Prepared)</w:t>
      </w:r>
      <w:bookmarkEnd w:id="66"/>
      <w:bookmarkEnd w:id="67"/>
    </w:p>
    <w:p w14:paraId="1F6A2CE5" w14:textId="7C180A96" w:rsidR="006C1B9C" w:rsidRDefault="006C1B9C" w:rsidP="006C1B9C">
      <w:pPr>
        <w:spacing w:before="100" w:beforeAutospacing="1" w:after="100" w:afterAutospacing="1" w:line="360" w:lineRule="auto"/>
        <w:jc w:val="center"/>
        <w:outlineLvl w:val="2"/>
        <w:rPr>
          <w:rFonts w:ascii="Arial" w:eastAsia="Times New Roman" w:hAnsi="Arial" w:cs="Arial"/>
          <w:b/>
          <w:bCs/>
          <w:sz w:val="27"/>
          <w:szCs w:val="27"/>
        </w:rPr>
      </w:pPr>
      <w:bookmarkStart w:id="69" w:name="_Toc217181537"/>
      <w:bookmarkStart w:id="70" w:name="_Toc217260337"/>
      <w:r>
        <w:rPr>
          <w:noProof/>
        </w:rPr>
        <w:drawing>
          <wp:inline distT="0" distB="0" distL="0" distR="0" wp14:anchorId="415B120E" wp14:editId="5DD07CC6">
            <wp:extent cx="5162550" cy="3071812"/>
            <wp:effectExtent l="0" t="0" r="0" b="14605"/>
            <wp:docPr id="9" name="Chart 9">
              <a:extLst xmlns:a="http://schemas.openxmlformats.org/drawingml/2006/main">
                <a:ext uri="{FF2B5EF4-FFF2-40B4-BE49-F238E27FC236}">
                  <a16:creationId xmlns:a16="http://schemas.microsoft.com/office/drawing/2014/main" id="{0CDE735F-C3D3-4062-B7E8-202267F8B76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bookmarkEnd w:id="69"/>
      <w:bookmarkEnd w:id="70"/>
    </w:p>
    <w:p w14:paraId="47E652AA" w14:textId="545DFD98" w:rsidR="002805BA" w:rsidRPr="002805BA" w:rsidRDefault="002805BA" w:rsidP="002805BA">
      <w:pPr>
        <w:spacing w:before="100" w:beforeAutospacing="1" w:after="100" w:afterAutospacing="1" w:line="360" w:lineRule="auto"/>
        <w:jc w:val="center"/>
        <w:outlineLvl w:val="2"/>
        <w:rPr>
          <w:rFonts w:ascii="Arial" w:eastAsia="Times New Roman" w:hAnsi="Arial" w:cs="Arial"/>
          <w:b/>
          <w:bCs/>
        </w:rPr>
      </w:pPr>
      <w:bookmarkStart w:id="71" w:name="_Toc217181538"/>
      <w:bookmarkStart w:id="72" w:name="_Toc217260338"/>
      <w:r w:rsidRPr="002805BA">
        <w:rPr>
          <w:rFonts w:ascii="Arial" w:eastAsia="Times New Roman" w:hAnsi="Arial" w:cs="Arial"/>
          <w:b/>
          <w:bCs/>
        </w:rPr>
        <w:t xml:space="preserve">Figure </w:t>
      </w:r>
      <w:r>
        <w:rPr>
          <w:rFonts w:ascii="Arial" w:eastAsia="Times New Roman" w:hAnsi="Arial" w:cs="Arial"/>
          <w:b/>
          <w:bCs/>
        </w:rPr>
        <w:t>4</w:t>
      </w:r>
      <w:r w:rsidRPr="002805BA">
        <w:rPr>
          <w:rFonts w:ascii="Arial" w:eastAsia="Times New Roman" w:hAnsi="Arial" w:cs="Arial"/>
          <w:b/>
          <w:bCs/>
        </w:rPr>
        <w:t xml:space="preserve">: </w:t>
      </w:r>
      <w:r w:rsidRPr="00484D13">
        <w:rPr>
          <w:rFonts w:ascii="Arial" w:eastAsia="Times New Roman" w:hAnsi="Arial" w:cs="Arial"/>
          <w:b/>
          <w:bCs/>
        </w:rPr>
        <w:t>Gearing Ratios</w:t>
      </w:r>
      <w:r w:rsidRPr="002805BA">
        <w:rPr>
          <w:rFonts w:ascii="Arial" w:eastAsia="Times New Roman" w:hAnsi="Arial" w:cs="Arial"/>
          <w:b/>
          <w:bCs/>
        </w:rPr>
        <w:t xml:space="preserve"> Comparison (Self-Prepared)</w:t>
      </w:r>
      <w:bookmarkEnd w:id="71"/>
      <w:bookmarkEnd w:id="72"/>
    </w:p>
    <w:p w14:paraId="11F9E7EC" w14:textId="250EE7FB" w:rsidR="00484D13" w:rsidRPr="00484D13" w:rsidRDefault="00484D13" w:rsidP="00922363">
      <w:pPr>
        <w:spacing w:before="100" w:beforeAutospacing="1" w:after="100" w:afterAutospacing="1" w:line="360" w:lineRule="auto"/>
        <w:outlineLvl w:val="2"/>
        <w:rPr>
          <w:rFonts w:ascii="Arial" w:eastAsia="Times New Roman" w:hAnsi="Arial" w:cs="Arial"/>
          <w:b/>
          <w:bCs/>
          <w:sz w:val="27"/>
          <w:szCs w:val="27"/>
        </w:rPr>
      </w:pPr>
      <w:bookmarkStart w:id="73" w:name="_Toc217181539"/>
      <w:bookmarkStart w:id="74" w:name="_Toc217260339"/>
      <w:r w:rsidRPr="00484D13">
        <w:rPr>
          <w:rFonts w:ascii="Arial" w:eastAsia="Times New Roman" w:hAnsi="Arial" w:cs="Arial"/>
          <w:b/>
          <w:bCs/>
          <w:sz w:val="27"/>
          <w:szCs w:val="27"/>
        </w:rPr>
        <w:t>Table A5: Investment Ratios (2020–2024)</w:t>
      </w:r>
      <w:bookmarkEnd w:id="68"/>
      <w:bookmarkEnd w:id="73"/>
      <w:bookmarkEnd w:id="74"/>
    </w:p>
    <w:p w14:paraId="3B430AF9" w14:textId="77777777" w:rsidR="00484D13" w:rsidRPr="00484D13" w:rsidRDefault="00484D13" w:rsidP="00922363">
      <w:pPr>
        <w:spacing w:before="100" w:beforeAutospacing="1" w:after="100" w:afterAutospacing="1" w:line="360" w:lineRule="auto"/>
        <w:rPr>
          <w:rFonts w:ascii="Arial" w:eastAsia="Times New Roman" w:hAnsi="Arial" w:cs="Arial"/>
          <w:sz w:val="24"/>
          <w:szCs w:val="24"/>
        </w:rPr>
      </w:pPr>
      <w:r w:rsidRPr="00484D13">
        <w:rPr>
          <w:rFonts w:ascii="Arial" w:eastAsia="Times New Roman" w:hAnsi="Arial" w:cs="Arial"/>
          <w:sz w:val="24"/>
          <w:szCs w:val="24"/>
        </w:rPr>
        <w:t>Earnings per share = Net income / Shares outstanding</w:t>
      </w:r>
      <w:r w:rsidRPr="00484D13">
        <w:rPr>
          <w:rFonts w:ascii="Arial" w:eastAsia="Times New Roman" w:hAnsi="Arial" w:cs="Arial"/>
          <w:sz w:val="24"/>
          <w:szCs w:val="24"/>
        </w:rPr>
        <w:br/>
        <w:t>Price to earnings ratio = Market price per share / Earnings per share</w:t>
      </w:r>
      <w:r w:rsidRPr="00484D13">
        <w:rPr>
          <w:rFonts w:ascii="Arial" w:eastAsia="Times New Roman" w:hAnsi="Arial" w:cs="Arial"/>
          <w:sz w:val="24"/>
          <w:szCs w:val="24"/>
        </w:rPr>
        <w:br/>
        <w:t>Return on equity = Net income / Shareholders’ equity</w:t>
      </w:r>
      <w:r w:rsidRPr="00484D13">
        <w:rPr>
          <w:rFonts w:ascii="Arial" w:eastAsia="Times New Roman" w:hAnsi="Arial" w:cs="Arial"/>
          <w:sz w:val="24"/>
          <w:szCs w:val="24"/>
        </w:rPr>
        <w:br/>
        <w:t>Return on assets = Net income / Total assets</w:t>
      </w:r>
    </w:p>
    <w:p w14:paraId="1608BBD1" w14:textId="60295168" w:rsidR="00484D13" w:rsidRPr="00922363" w:rsidRDefault="00484D13" w:rsidP="00922363">
      <w:pPr>
        <w:spacing w:before="100" w:beforeAutospacing="1" w:after="100" w:afterAutospacing="1" w:line="360" w:lineRule="auto"/>
        <w:rPr>
          <w:rFonts w:ascii="Arial" w:eastAsia="Times New Roman" w:hAnsi="Arial" w:cs="Arial"/>
          <w:sz w:val="24"/>
          <w:szCs w:val="24"/>
        </w:rPr>
      </w:pPr>
      <w:r w:rsidRPr="00484D13">
        <w:rPr>
          <w:rFonts w:ascii="Arial" w:eastAsia="Times New Roman" w:hAnsi="Arial" w:cs="Arial"/>
          <w:sz w:val="24"/>
          <w:szCs w:val="24"/>
        </w:rPr>
        <w:t>Assumed market price per share: £120</w:t>
      </w:r>
    </w:p>
    <w:tbl>
      <w:tblPr>
        <w:tblStyle w:val="TableGrid"/>
        <w:tblW w:w="0" w:type="auto"/>
        <w:tblLook w:val="04A0" w:firstRow="1" w:lastRow="0" w:firstColumn="1" w:lastColumn="0" w:noHBand="0" w:noVBand="1"/>
      </w:tblPr>
      <w:tblGrid>
        <w:gridCol w:w="1409"/>
        <w:gridCol w:w="1929"/>
        <w:gridCol w:w="1030"/>
        <w:gridCol w:w="951"/>
        <w:gridCol w:w="1151"/>
        <w:gridCol w:w="1440"/>
        <w:gridCol w:w="1440"/>
      </w:tblGrid>
      <w:tr w:rsidR="00E10B4D" w:rsidRPr="00E10B4D" w14:paraId="34D33A28" w14:textId="77777777" w:rsidTr="00E10B4D">
        <w:tc>
          <w:tcPr>
            <w:tcW w:w="0" w:type="auto"/>
            <w:hideMark/>
          </w:tcPr>
          <w:p w14:paraId="4EC8C508" w14:textId="77777777" w:rsidR="00E10B4D" w:rsidRPr="00E10B4D" w:rsidRDefault="00E10B4D" w:rsidP="00922363">
            <w:pPr>
              <w:spacing w:line="360" w:lineRule="auto"/>
              <w:jc w:val="center"/>
              <w:rPr>
                <w:rFonts w:ascii="Arial" w:eastAsia="Times New Roman" w:hAnsi="Arial" w:cs="Arial"/>
                <w:b/>
                <w:bCs/>
                <w:sz w:val="24"/>
                <w:szCs w:val="24"/>
              </w:rPr>
            </w:pPr>
            <w:r w:rsidRPr="00E10B4D">
              <w:rPr>
                <w:rFonts w:ascii="Arial" w:eastAsia="Times New Roman" w:hAnsi="Arial" w:cs="Arial"/>
                <w:b/>
                <w:bCs/>
                <w:sz w:val="24"/>
                <w:szCs w:val="24"/>
              </w:rPr>
              <w:lastRenderedPageBreak/>
              <w:t>Ratio</w:t>
            </w:r>
          </w:p>
        </w:tc>
        <w:tc>
          <w:tcPr>
            <w:tcW w:w="0" w:type="auto"/>
            <w:hideMark/>
          </w:tcPr>
          <w:p w14:paraId="073BAA7D" w14:textId="77777777" w:rsidR="00E10B4D" w:rsidRPr="00E10B4D" w:rsidRDefault="00E10B4D" w:rsidP="00922363">
            <w:pPr>
              <w:spacing w:line="360" w:lineRule="auto"/>
              <w:jc w:val="center"/>
              <w:rPr>
                <w:rFonts w:ascii="Arial" w:eastAsia="Times New Roman" w:hAnsi="Arial" w:cs="Arial"/>
                <w:b/>
                <w:bCs/>
                <w:sz w:val="24"/>
                <w:szCs w:val="24"/>
              </w:rPr>
            </w:pPr>
            <w:r w:rsidRPr="00E10B4D">
              <w:rPr>
                <w:rFonts w:ascii="Arial" w:eastAsia="Times New Roman" w:hAnsi="Arial" w:cs="Arial"/>
                <w:b/>
                <w:bCs/>
                <w:sz w:val="24"/>
                <w:szCs w:val="24"/>
              </w:rPr>
              <w:t>Formula</w:t>
            </w:r>
          </w:p>
        </w:tc>
        <w:tc>
          <w:tcPr>
            <w:tcW w:w="0" w:type="auto"/>
            <w:hideMark/>
          </w:tcPr>
          <w:p w14:paraId="17082413" w14:textId="77777777" w:rsidR="00E10B4D" w:rsidRPr="00E10B4D" w:rsidRDefault="00E10B4D" w:rsidP="00922363">
            <w:pPr>
              <w:spacing w:line="360" w:lineRule="auto"/>
              <w:jc w:val="center"/>
              <w:rPr>
                <w:rFonts w:ascii="Arial" w:eastAsia="Times New Roman" w:hAnsi="Arial" w:cs="Arial"/>
                <w:b/>
                <w:bCs/>
                <w:sz w:val="24"/>
                <w:szCs w:val="24"/>
              </w:rPr>
            </w:pPr>
            <w:r w:rsidRPr="00E10B4D">
              <w:rPr>
                <w:rFonts w:ascii="Arial" w:eastAsia="Times New Roman" w:hAnsi="Arial" w:cs="Arial"/>
                <w:b/>
                <w:bCs/>
                <w:sz w:val="24"/>
                <w:szCs w:val="24"/>
              </w:rPr>
              <w:t>2020</w:t>
            </w:r>
          </w:p>
        </w:tc>
        <w:tc>
          <w:tcPr>
            <w:tcW w:w="0" w:type="auto"/>
            <w:hideMark/>
          </w:tcPr>
          <w:p w14:paraId="2E5CBC41" w14:textId="77777777" w:rsidR="00E10B4D" w:rsidRPr="00E10B4D" w:rsidRDefault="00E10B4D" w:rsidP="00922363">
            <w:pPr>
              <w:spacing w:line="360" w:lineRule="auto"/>
              <w:jc w:val="center"/>
              <w:rPr>
                <w:rFonts w:ascii="Arial" w:eastAsia="Times New Roman" w:hAnsi="Arial" w:cs="Arial"/>
                <w:b/>
                <w:bCs/>
                <w:sz w:val="24"/>
                <w:szCs w:val="24"/>
              </w:rPr>
            </w:pPr>
            <w:r w:rsidRPr="00E10B4D">
              <w:rPr>
                <w:rFonts w:ascii="Arial" w:eastAsia="Times New Roman" w:hAnsi="Arial" w:cs="Arial"/>
                <w:b/>
                <w:bCs/>
                <w:sz w:val="24"/>
                <w:szCs w:val="24"/>
              </w:rPr>
              <w:t>2021</w:t>
            </w:r>
          </w:p>
        </w:tc>
        <w:tc>
          <w:tcPr>
            <w:tcW w:w="0" w:type="auto"/>
            <w:hideMark/>
          </w:tcPr>
          <w:p w14:paraId="36AECACD" w14:textId="77777777" w:rsidR="00E10B4D" w:rsidRPr="00E10B4D" w:rsidRDefault="00E10B4D" w:rsidP="00922363">
            <w:pPr>
              <w:spacing w:line="360" w:lineRule="auto"/>
              <w:jc w:val="center"/>
              <w:rPr>
                <w:rFonts w:ascii="Arial" w:eastAsia="Times New Roman" w:hAnsi="Arial" w:cs="Arial"/>
                <w:b/>
                <w:bCs/>
                <w:sz w:val="24"/>
                <w:szCs w:val="24"/>
              </w:rPr>
            </w:pPr>
            <w:r w:rsidRPr="00E10B4D">
              <w:rPr>
                <w:rFonts w:ascii="Arial" w:eastAsia="Times New Roman" w:hAnsi="Arial" w:cs="Arial"/>
                <w:b/>
                <w:bCs/>
                <w:sz w:val="24"/>
                <w:szCs w:val="24"/>
              </w:rPr>
              <w:t>2022</w:t>
            </w:r>
          </w:p>
        </w:tc>
        <w:tc>
          <w:tcPr>
            <w:tcW w:w="0" w:type="auto"/>
            <w:hideMark/>
          </w:tcPr>
          <w:p w14:paraId="6AA6F55C" w14:textId="77777777" w:rsidR="00E10B4D" w:rsidRPr="00E10B4D" w:rsidRDefault="00E10B4D" w:rsidP="00922363">
            <w:pPr>
              <w:spacing w:line="360" w:lineRule="auto"/>
              <w:jc w:val="center"/>
              <w:rPr>
                <w:rFonts w:ascii="Arial" w:eastAsia="Times New Roman" w:hAnsi="Arial" w:cs="Arial"/>
                <w:b/>
                <w:bCs/>
                <w:sz w:val="24"/>
                <w:szCs w:val="24"/>
              </w:rPr>
            </w:pPr>
            <w:r w:rsidRPr="00E10B4D">
              <w:rPr>
                <w:rFonts w:ascii="Arial" w:eastAsia="Times New Roman" w:hAnsi="Arial" w:cs="Arial"/>
                <w:b/>
                <w:bCs/>
                <w:sz w:val="24"/>
                <w:szCs w:val="24"/>
              </w:rPr>
              <w:t>2023</w:t>
            </w:r>
          </w:p>
        </w:tc>
        <w:tc>
          <w:tcPr>
            <w:tcW w:w="0" w:type="auto"/>
            <w:hideMark/>
          </w:tcPr>
          <w:p w14:paraId="221FB0ED" w14:textId="77777777" w:rsidR="00E10B4D" w:rsidRPr="00E10B4D" w:rsidRDefault="00E10B4D" w:rsidP="00922363">
            <w:pPr>
              <w:spacing w:line="360" w:lineRule="auto"/>
              <w:jc w:val="center"/>
              <w:rPr>
                <w:rFonts w:ascii="Arial" w:eastAsia="Times New Roman" w:hAnsi="Arial" w:cs="Arial"/>
                <w:b/>
                <w:bCs/>
                <w:sz w:val="24"/>
                <w:szCs w:val="24"/>
              </w:rPr>
            </w:pPr>
            <w:r w:rsidRPr="00E10B4D">
              <w:rPr>
                <w:rFonts w:ascii="Arial" w:eastAsia="Times New Roman" w:hAnsi="Arial" w:cs="Arial"/>
                <w:b/>
                <w:bCs/>
                <w:sz w:val="24"/>
                <w:szCs w:val="24"/>
              </w:rPr>
              <w:t>2024</w:t>
            </w:r>
          </w:p>
        </w:tc>
      </w:tr>
      <w:tr w:rsidR="00E10B4D" w:rsidRPr="00E10B4D" w14:paraId="79544DBB" w14:textId="77777777" w:rsidTr="00E10B4D">
        <w:tc>
          <w:tcPr>
            <w:tcW w:w="0" w:type="auto"/>
            <w:hideMark/>
          </w:tcPr>
          <w:p w14:paraId="266AE401"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Earnings per Share (EPS) (£)</w:t>
            </w:r>
          </w:p>
        </w:tc>
        <w:tc>
          <w:tcPr>
            <w:tcW w:w="0" w:type="auto"/>
            <w:hideMark/>
          </w:tcPr>
          <w:p w14:paraId="6DB9BB2C"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Net Income / Shares Outstanding</w:t>
            </w:r>
          </w:p>
        </w:tc>
        <w:tc>
          <w:tcPr>
            <w:tcW w:w="0" w:type="auto"/>
            <w:hideMark/>
          </w:tcPr>
          <w:p w14:paraId="094E8BC3"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2.78</w:t>
            </w:r>
          </w:p>
        </w:tc>
        <w:tc>
          <w:tcPr>
            <w:tcW w:w="0" w:type="auto"/>
            <w:hideMark/>
          </w:tcPr>
          <w:p w14:paraId="25546639"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0.39</w:t>
            </w:r>
          </w:p>
        </w:tc>
        <w:tc>
          <w:tcPr>
            <w:tcW w:w="0" w:type="auto"/>
            <w:hideMark/>
          </w:tcPr>
          <w:p w14:paraId="31E25CE5"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0.03</w:t>
            </w:r>
          </w:p>
        </w:tc>
        <w:tc>
          <w:tcPr>
            <w:tcW w:w="0" w:type="auto"/>
            <w:hideMark/>
          </w:tcPr>
          <w:p w14:paraId="54127BE8"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−7.64</w:t>
            </w:r>
          </w:p>
        </w:tc>
        <w:tc>
          <w:tcPr>
            <w:tcW w:w="0" w:type="auto"/>
            <w:hideMark/>
          </w:tcPr>
          <w:p w14:paraId="64284E64"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−1.85</w:t>
            </w:r>
          </w:p>
        </w:tc>
      </w:tr>
      <w:tr w:rsidR="00E10B4D" w:rsidRPr="00E10B4D" w14:paraId="69ED7934" w14:textId="77777777" w:rsidTr="00E10B4D">
        <w:tc>
          <w:tcPr>
            <w:tcW w:w="0" w:type="auto"/>
            <w:hideMark/>
          </w:tcPr>
          <w:p w14:paraId="3237055B"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Price–Earnings Ratio</w:t>
            </w:r>
          </w:p>
        </w:tc>
        <w:tc>
          <w:tcPr>
            <w:tcW w:w="0" w:type="auto"/>
            <w:hideMark/>
          </w:tcPr>
          <w:p w14:paraId="03D548CE"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Market Price per Share / EPS</w:t>
            </w:r>
          </w:p>
        </w:tc>
        <w:tc>
          <w:tcPr>
            <w:tcW w:w="0" w:type="auto"/>
            <w:hideMark/>
          </w:tcPr>
          <w:p w14:paraId="2856CB06"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43.17</w:t>
            </w:r>
          </w:p>
        </w:tc>
        <w:tc>
          <w:tcPr>
            <w:tcW w:w="0" w:type="auto"/>
            <w:hideMark/>
          </w:tcPr>
          <w:p w14:paraId="24B763E6"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304.81</w:t>
            </w:r>
          </w:p>
        </w:tc>
        <w:tc>
          <w:tcPr>
            <w:tcW w:w="0" w:type="auto"/>
            <w:hideMark/>
          </w:tcPr>
          <w:p w14:paraId="2A80234E"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3,745.36</w:t>
            </w:r>
          </w:p>
        </w:tc>
        <w:tc>
          <w:tcPr>
            <w:tcW w:w="0" w:type="auto"/>
            <w:hideMark/>
          </w:tcPr>
          <w:p w14:paraId="10D73C62"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Not meaningful</w:t>
            </w:r>
          </w:p>
        </w:tc>
        <w:tc>
          <w:tcPr>
            <w:tcW w:w="0" w:type="auto"/>
            <w:hideMark/>
          </w:tcPr>
          <w:p w14:paraId="2C34354C"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Not meaningful</w:t>
            </w:r>
          </w:p>
        </w:tc>
      </w:tr>
      <w:tr w:rsidR="00E10B4D" w:rsidRPr="00E10B4D" w14:paraId="28AC7CE7" w14:textId="77777777" w:rsidTr="00E10B4D">
        <w:tc>
          <w:tcPr>
            <w:tcW w:w="0" w:type="auto"/>
            <w:hideMark/>
          </w:tcPr>
          <w:p w14:paraId="564F9C80"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Return on Equity (ROE)</w:t>
            </w:r>
          </w:p>
        </w:tc>
        <w:tc>
          <w:tcPr>
            <w:tcW w:w="0" w:type="auto"/>
            <w:hideMark/>
          </w:tcPr>
          <w:p w14:paraId="4733C7D2"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EBIT / Shareholders’ Equity</w:t>
            </w:r>
          </w:p>
        </w:tc>
        <w:tc>
          <w:tcPr>
            <w:tcW w:w="0" w:type="auto"/>
            <w:hideMark/>
          </w:tcPr>
          <w:p w14:paraId="28859DA8"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11.89%</w:t>
            </w:r>
          </w:p>
        </w:tc>
        <w:tc>
          <w:tcPr>
            <w:tcW w:w="0" w:type="auto"/>
            <w:hideMark/>
          </w:tcPr>
          <w:p w14:paraId="28FDEBC2"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8.43%</w:t>
            </w:r>
          </w:p>
        </w:tc>
        <w:tc>
          <w:tcPr>
            <w:tcW w:w="0" w:type="auto"/>
            <w:hideMark/>
          </w:tcPr>
          <w:p w14:paraId="304A2E05"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5.42%</w:t>
            </w:r>
          </w:p>
        </w:tc>
        <w:tc>
          <w:tcPr>
            <w:tcW w:w="0" w:type="auto"/>
            <w:hideMark/>
          </w:tcPr>
          <w:p w14:paraId="28D446AA"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−47.68%</w:t>
            </w:r>
          </w:p>
        </w:tc>
        <w:tc>
          <w:tcPr>
            <w:tcW w:w="0" w:type="auto"/>
            <w:hideMark/>
          </w:tcPr>
          <w:p w14:paraId="72A7C138"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−9.99%</w:t>
            </w:r>
          </w:p>
        </w:tc>
      </w:tr>
    </w:tbl>
    <w:p w14:paraId="34D69B11" w14:textId="5209C970" w:rsidR="002805BA" w:rsidRPr="002805BA" w:rsidRDefault="002805BA" w:rsidP="002805BA">
      <w:pPr>
        <w:spacing w:before="100" w:beforeAutospacing="1" w:after="100" w:afterAutospacing="1" w:line="360" w:lineRule="auto"/>
        <w:jc w:val="center"/>
        <w:outlineLvl w:val="2"/>
        <w:rPr>
          <w:rFonts w:ascii="Arial" w:eastAsia="Times New Roman" w:hAnsi="Arial" w:cs="Arial"/>
          <w:b/>
          <w:bCs/>
          <w:sz w:val="20"/>
          <w:szCs w:val="20"/>
        </w:rPr>
      </w:pPr>
      <w:bookmarkStart w:id="75" w:name="_Toc217181540"/>
      <w:bookmarkStart w:id="76" w:name="_Toc217260340"/>
      <w:r w:rsidRPr="002805BA">
        <w:rPr>
          <w:rFonts w:ascii="Arial" w:eastAsia="Times New Roman" w:hAnsi="Arial" w:cs="Arial"/>
          <w:b/>
          <w:bCs/>
          <w:sz w:val="20"/>
          <w:szCs w:val="20"/>
        </w:rPr>
        <w:t xml:space="preserve">Table 5: </w:t>
      </w:r>
      <w:r w:rsidRPr="00484D13">
        <w:rPr>
          <w:rFonts w:ascii="Arial" w:eastAsia="Times New Roman" w:hAnsi="Arial" w:cs="Arial"/>
          <w:b/>
          <w:bCs/>
          <w:sz w:val="20"/>
          <w:szCs w:val="20"/>
        </w:rPr>
        <w:t xml:space="preserve">Investment Ratios </w:t>
      </w:r>
      <w:r w:rsidRPr="002805BA">
        <w:rPr>
          <w:rFonts w:ascii="Arial" w:eastAsia="Times New Roman" w:hAnsi="Arial" w:cs="Arial"/>
          <w:b/>
          <w:bCs/>
          <w:sz w:val="20"/>
          <w:szCs w:val="20"/>
        </w:rPr>
        <w:t>(Self-Prepared)</w:t>
      </w:r>
      <w:bookmarkEnd w:id="75"/>
      <w:bookmarkEnd w:id="76"/>
    </w:p>
    <w:p w14:paraId="1DA14457" w14:textId="04B94744" w:rsidR="00922363" w:rsidRDefault="002805BA" w:rsidP="002805BA">
      <w:pPr>
        <w:spacing w:before="100" w:beforeAutospacing="1" w:after="100" w:afterAutospacing="1" w:line="360" w:lineRule="auto"/>
        <w:jc w:val="center"/>
        <w:outlineLvl w:val="2"/>
        <w:rPr>
          <w:rFonts w:ascii="Arial" w:eastAsia="Times New Roman" w:hAnsi="Arial" w:cs="Arial"/>
          <w:b/>
          <w:bCs/>
          <w:sz w:val="27"/>
          <w:szCs w:val="27"/>
        </w:rPr>
      </w:pPr>
      <w:bookmarkStart w:id="77" w:name="_Toc217181541"/>
      <w:bookmarkStart w:id="78" w:name="_Toc217260341"/>
      <w:r>
        <w:rPr>
          <w:noProof/>
        </w:rPr>
        <w:drawing>
          <wp:inline distT="0" distB="0" distL="0" distR="0" wp14:anchorId="5267DB00" wp14:editId="75497340">
            <wp:extent cx="4476750" cy="2890837"/>
            <wp:effectExtent l="0" t="0" r="0" b="5080"/>
            <wp:docPr id="10" name="Chart 10">
              <a:extLst xmlns:a="http://schemas.openxmlformats.org/drawingml/2006/main">
                <a:ext uri="{FF2B5EF4-FFF2-40B4-BE49-F238E27FC236}">
                  <a16:creationId xmlns:a16="http://schemas.microsoft.com/office/drawing/2014/main" id="{57A9F50E-B183-4B90-8173-E8CEA212CE1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bookmarkEnd w:id="77"/>
      <w:bookmarkEnd w:id="78"/>
    </w:p>
    <w:p w14:paraId="6EF93300" w14:textId="4B2BA31B" w:rsidR="002805BA" w:rsidRPr="002805BA" w:rsidRDefault="002805BA" w:rsidP="002805BA">
      <w:pPr>
        <w:spacing w:before="100" w:beforeAutospacing="1" w:after="100" w:afterAutospacing="1" w:line="360" w:lineRule="auto"/>
        <w:jc w:val="center"/>
        <w:outlineLvl w:val="2"/>
        <w:rPr>
          <w:rFonts w:ascii="Arial" w:eastAsia="Times New Roman" w:hAnsi="Arial" w:cs="Arial"/>
          <w:b/>
          <w:bCs/>
          <w:sz w:val="20"/>
          <w:szCs w:val="20"/>
        </w:rPr>
      </w:pPr>
      <w:bookmarkStart w:id="79" w:name="_Toc217181542"/>
      <w:bookmarkStart w:id="80" w:name="_Toc217260342"/>
      <w:r w:rsidRPr="002805BA">
        <w:rPr>
          <w:rFonts w:ascii="Arial" w:eastAsia="Times New Roman" w:hAnsi="Arial" w:cs="Arial"/>
          <w:b/>
          <w:bCs/>
          <w:sz w:val="20"/>
          <w:szCs w:val="20"/>
        </w:rPr>
        <w:t xml:space="preserve">Figure 5: </w:t>
      </w:r>
      <w:r w:rsidRPr="00484D13">
        <w:rPr>
          <w:rFonts w:ascii="Arial" w:eastAsia="Times New Roman" w:hAnsi="Arial" w:cs="Arial"/>
          <w:b/>
          <w:bCs/>
          <w:sz w:val="20"/>
          <w:szCs w:val="20"/>
        </w:rPr>
        <w:t xml:space="preserve">Investment Ratios </w:t>
      </w:r>
      <w:r w:rsidRPr="002805BA">
        <w:rPr>
          <w:rFonts w:ascii="Arial" w:eastAsia="Times New Roman" w:hAnsi="Arial" w:cs="Arial"/>
          <w:b/>
          <w:bCs/>
          <w:sz w:val="20"/>
          <w:szCs w:val="20"/>
        </w:rPr>
        <w:t>Comparison (Self-Prepared)</w:t>
      </w:r>
      <w:bookmarkEnd w:id="79"/>
      <w:bookmarkEnd w:id="80"/>
    </w:p>
    <w:p w14:paraId="52EFA1B1" w14:textId="6649A5D0" w:rsidR="002805BA" w:rsidRDefault="002805BA" w:rsidP="002805BA">
      <w:pPr>
        <w:spacing w:before="100" w:beforeAutospacing="1" w:after="100" w:afterAutospacing="1" w:line="360" w:lineRule="auto"/>
        <w:jc w:val="center"/>
        <w:outlineLvl w:val="2"/>
        <w:rPr>
          <w:rFonts w:ascii="Arial" w:eastAsia="Times New Roman" w:hAnsi="Arial" w:cs="Arial"/>
          <w:b/>
          <w:bCs/>
          <w:sz w:val="27"/>
          <w:szCs w:val="27"/>
        </w:rPr>
      </w:pPr>
    </w:p>
    <w:p w14:paraId="326B1473" w14:textId="50FC4B3B" w:rsidR="00EC0BAC" w:rsidRDefault="00EC0BAC" w:rsidP="002805BA">
      <w:pPr>
        <w:spacing w:before="100" w:beforeAutospacing="1" w:after="100" w:afterAutospacing="1" w:line="360" w:lineRule="auto"/>
        <w:jc w:val="center"/>
        <w:outlineLvl w:val="2"/>
        <w:rPr>
          <w:rFonts w:ascii="Arial" w:eastAsia="Times New Roman" w:hAnsi="Arial" w:cs="Arial"/>
          <w:b/>
          <w:bCs/>
          <w:sz w:val="27"/>
          <w:szCs w:val="27"/>
        </w:rPr>
      </w:pPr>
    </w:p>
    <w:p w14:paraId="51C61001" w14:textId="2B778E9C" w:rsidR="00EC0BAC" w:rsidRDefault="00EC0BAC" w:rsidP="00EC0BAC">
      <w:pPr>
        <w:spacing w:before="100" w:beforeAutospacing="1" w:after="100" w:afterAutospacing="1" w:line="360" w:lineRule="auto"/>
        <w:outlineLvl w:val="2"/>
        <w:rPr>
          <w:rFonts w:ascii="Arial" w:eastAsia="Times New Roman" w:hAnsi="Arial" w:cs="Arial"/>
          <w:b/>
          <w:bCs/>
          <w:sz w:val="27"/>
          <w:szCs w:val="27"/>
        </w:rPr>
      </w:pPr>
    </w:p>
    <w:p w14:paraId="6819EDBB" w14:textId="2362BAB4" w:rsidR="00484D13" w:rsidRPr="00484D13" w:rsidRDefault="00484D13" w:rsidP="00922363">
      <w:pPr>
        <w:spacing w:before="100" w:beforeAutospacing="1" w:after="100" w:afterAutospacing="1" w:line="360" w:lineRule="auto"/>
        <w:outlineLvl w:val="2"/>
        <w:rPr>
          <w:rFonts w:ascii="Arial" w:eastAsia="Times New Roman" w:hAnsi="Arial" w:cs="Arial"/>
          <w:b/>
          <w:bCs/>
          <w:sz w:val="27"/>
          <w:szCs w:val="27"/>
        </w:rPr>
      </w:pPr>
      <w:bookmarkStart w:id="81" w:name="_Toc216755993"/>
      <w:bookmarkStart w:id="82" w:name="_Toc217181543"/>
      <w:bookmarkStart w:id="83" w:name="_Toc217260343"/>
      <w:r w:rsidRPr="00484D13">
        <w:rPr>
          <w:rFonts w:ascii="Arial" w:eastAsia="Times New Roman" w:hAnsi="Arial" w:cs="Arial"/>
          <w:b/>
          <w:bCs/>
          <w:sz w:val="27"/>
          <w:szCs w:val="27"/>
        </w:rPr>
        <w:lastRenderedPageBreak/>
        <w:t>Table A6: Cash Flow Ratios (2020–2024)</w:t>
      </w:r>
      <w:bookmarkEnd w:id="81"/>
      <w:bookmarkEnd w:id="82"/>
      <w:bookmarkEnd w:id="83"/>
    </w:p>
    <w:p w14:paraId="45C2109A" w14:textId="77777777" w:rsidR="00484D13" w:rsidRPr="00484D13" w:rsidRDefault="00484D13" w:rsidP="00922363">
      <w:pPr>
        <w:spacing w:before="100" w:beforeAutospacing="1" w:after="100" w:afterAutospacing="1" w:line="360" w:lineRule="auto"/>
        <w:rPr>
          <w:rFonts w:ascii="Arial" w:eastAsia="Times New Roman" w:hAnsi="Arial" w:cs="Arial"/>
          <w:sz w:val="24"/>
          <w:szCs w:val="24"/>
        </w:rPr>
      </w:pPr>
      <w:r w:rsidRPr="00484D13">
        <w:rPr>
          <w:rFonts w:ascii="Arial" w:eastAsia="Times New Roman" w:hAnsi="Arial" w:cs="Arial"/>
          <w:sz w:val="24"/>
          <w:szCs w:val="24"/>
        </w:rPr>
        <w:t>Operating cash flow ratio = Operating cash flow / Current liabilities</w:t>
      </w:r>
      <w:r w:rsidRPr="00484D13">
        <w:rPr>
          <w:rFonts w:ascii="Arial" w:eastAsia="Times New Roman" w:hAnsi="Arial" w:cs="Arial"/>
          <w:sz w:val="24"/>
          <w:szCs w:val="24"/>
        </w:rPr>
        <w:br/>
        <w:t>Cash flow to debt ratio = Operating cash flow / Total liabilities</w:t>
      </w:r>
      <w:r w:rsidRPr="00484D13">
        <w:rPr>
          <w:rFonts w:ascii="Arial" w:eastAsia="Times New Roman" w:hAnsi="Arial" w:cs="Arial"/>
          <w:sz w:val="24"/>
          <w:szCs w:val="24"/>
        </w:rPr>
        <w:br/>
        <w:t>Cash flow margin = Operating cash flow / Net sales</w:t>
      </w:r>
    </w:p>
    <w:p w14:paraId="4103AC7A" w14:textId="47A55638" w:rsidR="00484D13" w:rsidRPr="00922363" w:rsidRDefault="00484D13" w:rsidP="00922363">
      <w:pPr>
        <w:spacing w:before="100" w:beforeAutospacing="1" w:after="100" w:afterAutospacing="1" w:line="360" w:lineRule="auto"/>
        <w:rPr>
          <w:rFonts w:ascii="Arial" w:eastAsia="Times New Roman" w:hAnsi="Arial" w:cs="Arial"/>
          <w:sz w:val="24"/>
          <w:szCs w:val="24"/>
        </w:rPr>
      </w:pPr>
      <w:r w:rsidRPr="00484D13">
        <w:rPr>
          <w:rFonts w:ascii="Arial" w:eastAsia="Times New Roman" w:hAnsi="Arial" w:cs="Arial"/>
          <w:sz w:val="24"/>
          <w:szCs w:val="24"/>
        </w:rPr>
        <w:t xml:space="preserve">Five-year numerical calculations presented </w:t>
      </w:r>
      <w:r w:rsidR="00E10B4D" w:rsidRPr="00922363">
        <w:rPr>
          <w:rFonts w:ascii="Arial" w:eastAsia="Times New Roman" w:hAnsi="Arial" w:cs="Arial"/>
          <w:sz w:val="24"/>
          <w:szCs w:val="24"/>
        </w:rPr>
        <w:t xml:space="preserve">below: </w:t>
      </w:r>
    </w:p>
    <w:tbl>
      <w:tblPr>
        <w:tblStyle w:val="TableGrid"/>
        <w:tblW w:w="0" w:type="auto"/>
        <w:tblLook w:val="04A0" w:firstRow="1" w:lastRow="0" w:firstColumn="1" w:lastColumn="0" w:noHBand="0" w:noVBand="1"/>
      </w:tblPr>
      <w:tblGrid>
        <w:gridCol w:w="2058"/>
        <w:gridCol w:w="2674"/>
        <w:gridCol w:w="1030"/>
        <w:gridCol w:w="897"/>
        <w:gridCol w:w="897"/>
        <w:gridCol w:w="897"/>
        <w:gridCol w:w="897"/>
      </w:tblGrid>
      <w:tr w:rsidR="00E10B4D" w:rsidRPr="00E10B4D" w14:paraId="56F7389F" w14:textId="77777777" w:rsidTr="00E10B4D">
        <w:tc>
          <w:tcPr>
            <w:tcW w:w="0" w:type="auto"/>
            <w:hideMark/>
          </w:tcPr>
          <w:p w14:paraId="0A063326" w14:textId="77777777" w:rsidR="00E10B4D" w:rsidRPr="00E10B4D" w:rsidRDefault="00E10B4D" w:rsidP="00922363">
            <w:pPr>
              <w:spacing w:line="360" w:lineRule="auto"/>
              <w:jc w:val="center"/>
              <w:rPr>
                <w:rFonts w:ascii="Arial" w:eastAsia="Times New Roman" w:hAnsi="Arial" w:cs="Arial"/>
                <w:b/>
                <w:bCs/>
                <w:sz w:val="24"/>
                <w:szCs w:val="24"/>
              </w:rPr>
            </w:pPr>
            <w:r w:rsidRPr="00E10B4D">
              <w:rPr>
                <w:rFonts w:ascii="Arial" w:eastAsia="Times New Roman" w:hAnsi="Arial" w:cs="Arial"/>
                <w:b/>
                <w:bCs/>
                <w:sz w:val="24"/>
                <w:szCs w:val="24"/>
              </w:rPr>
              <w:t>Ratio</w:t>
            </w:r>
          </w:p>
        </w:tc>
        <w:tc>
          <w:tcPr>
            <w:tcW w:w="0" w:type="auto"/>
            <w:hideMark/>
          </w:tcPr>
          <w:p w14:paraId="2AE4FA85" w14:textId="77777777" w:rsidR="00E10B4D" w:rsidRPr="00E10B4D" w:rsidRDefault="00E10B4D" w:rsidP="00922363">
            <w:pPr>
              <w:spacing w:line="360" w:lineRule="auto"/>
              <w:jc w:val="center"/>
              <w:rPr>
                <w:rFonts w:ascii="Arial" w:eastAsia="Times New Roman" w:hAnsi="Arial" w:cs="Arial"/>
                <w:b/>
                <w:bCs/>
                <w:sz w:val="24"/>
                <w:szCs w:val="24"/>
              </w:rPr>
            </w:pPr>
            <w:r w:rsidRPr="00E10B4D">
              <w:rPr>
                <w:rFonts w:ascii="Arial" w:eastAsia="Times New Roman" w:hAnsi="Arial" w:cs="Arial"/>
                <w:b/>
                <w:bCs/>
                <w:sz w:val="24"/>
                <w:szCs w:val="24"/>
              </w:rPr>
              <w:t>Formula</w:t>
            </w:r>
          </w:p>
        </w:tc>
        <w:tc>
          <w:tcPr>
            <w:tcW w:w="0" w:type="auto"/>
            <w:hideMark/>
          </w:tcPr>
          <w:p w14:paraId="2D6B7F42" w14:textId="77777777" w:rsidR="00E10B4D" w:rsidRPr="00E10B4D" w:rsidRDefault="00E10B4D" w:rsidP="00922363">
            <w:pPr>
              <w:spacing w:line="360" w:lineRule="auto"/>
              <w:jc w:val="center"/>
              <w:rPr>
                <w:rFonts w:ascii="Arial" w:eastAsia="Times New Roman" w:hAnsi="Arial" w:cs="Arial"/>
                <w:b/>
                <w:bCs/>
                <w:sz w:val="24"/>
                <w:szCs w:val="24"/>
              </w:rPr>
            </w:pPr>
            <w:r w:rsidRPr="00E10B4D">
              <w:rPr>
                <w:rFonts w:ascii="Arial" w:eastAsia="Times New Roman" w:hAnsi="Arial" w:cs="Arial"/>
                <w:b/>
                <w:bCs/>
                <w:sz w:val="24"/>
                <w:szCs w:val="24"/>
              </w:rPr>
              <w:t>2020</w:t>
            </w:r>
          </w:p>
        </w:tc>
        <w:tc>
          <w:tcPr>
            <w:tcW w:w="0" w:type="auto"/>
            <w:hideMark/>
          </w:tcPr>
          <w:p w14:paraId="0FFDD0A2" w14:textId="77777777" w:rsidR="00E10B4D" w:rsidRPr="00E10B4D" w:rsidRDefault="00E10B4D" w:rsidP="00922363">
            <w:pPr>
              <w:spacing w:line="360" w:lineRule="auto"/>
              <w:jc w:val="center"/>
              <w:rPr>
                <w:rFonts w:ascii="Arial" w:eastAsia="Times New Roman" w:hAnsi="Arial" w:cs="Arial"/>
                <w:b/>
                <w:bCs/>
                <w:sz w:val="24"/>
                <w:szCs w:val="24"/>
              </w:rPr>
            </w:pPr>
            <w:r w:rsidRPr="00E10B4D">
              <w:rPr>
                <w:rFonts w:ascii="Arial" w:eastAsia="Times New Roman" w:hAnsi="Arial" w:cs="Arial"/>
                <w:b/>
                <w:bCs/>
                <w:sz w:val="24"/>
                <w:szCs w:val="24"/>
              </w:rPr>
              <w:t>2021</w:t>
            </w:r>
          </w:p>
        </w:tc>
        <w:tc>
          <w:tcPr>
            <w:tcW w:w="0" w:type="auto"/>
            <w:hideMark/>
          </w:tcPr>
          <w:p w14:paraId="17399F89" w14:textId="77777777" w:rsidR="00E10B4D" w:rsidRPr="00E10B4D" w:rsidRDefault="00E10B4D" w:rsidP="00922363">
            <w:pPr>
              <w:spacing w:line="360" w:lineRule="auto"/>
              <w:jc w:val="center"/>
              <w:rPr>
                <w:rFonts w:ascii="Arial" w:eastAsia="Times New Roman" w:hAnsi="Arial" w:cs="Arial"/>
                <w:b/>
                <w:bCs/>
                <w:sz w:val="24"/>
                <w:szCs w:val="24"/>
              </w:rPr>
            </w:pPr>
            <w:r w:rsidRPr="00E10B4D">
              <w:rPr>
                <w:rFonts w:ascii="Arial" w:eastAsia="Times New Roman" w:hAnsi="Arial" w:cs="Arial"/>
                <w:b/>
                <w:bCs/>
                <w:sz w:val="24"/>
                <w:szCs w:val="24"/>
              </w:rPr>
              <w:t>2022</w:t>
            </w:r>
          </w:p>
        </w:tc>
        <w:tc>
          <w:tcPr>
            <w:tcW w:w="0" w:type="auto"/>
            <w:hideMark/>
          </w:tcPr>
          <w:p w14:paraId="18AA0597" w14:textId="77777777" w:rsidR="00E10B4D" w:rsidRPr="00E10B4D" w:rsidRDefault="00E10B4D" w:rsidP="00922363">
            <w:pPr>
              <w:spacing w:line="360" w:lineRule="auto"/>
              <w:jc w:val="center"/>
              <w:rPr>
                <w:rFonts w:ascii="Arial" w:eastAsia="Times New Roman" w:hAnsi="Arial" w:cs="Arial"/>
                <w:b/>
                <w:bCs/>
                <w:sz w:val="24"/>
                <w:szCs w:val="24"/>
              </w:rPr>
            </w:pPr>
            <w:r w:rsidRPr="00E10B4D">
              <w:rPr>
                <w:rFonts w:ascii="Arial" w:eastAsia="Times New Roman" w:hAnsi="Arial" w:cs="Arial"/>
                <w:b/>
                <w:bCs/>
                <w:sz w:val="24"/>
                <w:szCs w:val="24"/>
              </w:rPr>
              <w:t>2023</w:t>
            </w:r>
          </w:p>
        </w:tc>
        <w:tc>
          <w:tcPr>
            <w:tcW w:w="0" w:type="auto"/>
            <w:hideMark/>
          </w:tcPr>
          <w:p w14:paraId="4DA53BE2" w14:textId="77777777" w:rsidR="00E10B4D" w:rsidRPr="00E10B4D" w:rsidRDefault="00E10B4D" w:rsidP="00922363">
            <w:pPr>
              <w:spacing w:line="360" w:lineRule="auto"/>
              <w:jc w:val="center"/>
              <w:rPr>
                <w:rFonts w:ascii="Arial" w:eastAsia="Times New Roman" w:hAnsi="Arial" w:cs="Arial"/>
                <w:b/>
                <w:bCs/>
                <w:sz w:val="24"/>
                <w:szCs w:val="24"/>
              </w:rPr>
            </w:pPr>
            <w:r w:rsidRPr="00E10B4D">
              <w:rPr>
                <w:rFonts w:ascii="Arial" w:eastAsia="Times New Roman" w:hAnsi="Arial" w:cs="Arial"/>
                <w:b/>
                <w:bCs/>
                <w:sz w:val="24"/>
                <w:szCs w:val="24"/>
              </w:rPr>
              <w:t>2024</w:t>
            </w:r>
          </w:p>
        </w:tc>
      </w:tr>
      <w:tr w:rsidR="00E10B4D" w:rsidRPr="00E10B4D" w14:paraId="1105F957" w14:textId="77777777" w:rsidTr="00E10B4D">
        <w:tc>
          <w:tcPr>
            <w:tcW w:w="0" w:type="auto"/>
            <w:hideMark/>
          </w:tcPr>
          <w:p w14:paraId="65441EB3"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Operating Cash Flow Ratio</w:t>
            </w:r>
          </w:p>
        </w:tc>
        <w:tc>
          <w:tcPr>
            <w:tcW w:w="0" w:type="auto"/>
            <w:hideMark/>
          </w:tcPr>
          <w:p w14:paraId="015AAB4C"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Operating Cash Flow / Current Liabilities</w:t>
            </w:r>
          </w:p>
        </w:tc>
        <w:tc>
          <w:tcPr>
            <w:tcW w:w="0" w:type="auto"/>
            <w:hideMark/>
          </w:tcPr>
          <w:p w14:paraId="0E6A362A"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0.41</w:t>
            </w:r>
          </w:p>
        </w:tc>
        <w:tc>
          <w:tcPr>
            <w:tcW w:w="0" w:type="auto"/>
            <w:hideMark/>
          </w:tcPr>
          <w:p w14:paraId="1BAC9B8A"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0.19</w:t>
            </w:r>
          </w:p>
        </w:tc>
        <w:tc>
          <w:tcPr>
            <w:tcW w:w="0" w:type="auto"/>
            <w:hideMark/>
          </w:tcPr>
          <w:p w14:paraId="47D7B78A"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0.05</w:t>
            </w:r>
          </w:p>
        </w:tc>
        <w:tc>
          <w:tcPr>
            <w:tcW w:w="0" w:type="auto"/>
            <w:hideMark/>
          </w:tcPr>
          <w:p w14:paraId="39A90662"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0.16</w:t>
            </w:r>
          </w:p>
        </w:tc>
        <w:tc>
          <w:tcPr>
            <w:tcW w:w="0" w:type="auto"/>
            <w:hideMark/>
          </w:tcPr>
          <w:p w14:paraId="2466A649"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0.09</w:t>
            </w:r>
          </w:p>
        </w:tc>
      </w:tr>
      <w:tr w:rsidR="00E10B4D" w:rsidRPr="00E10B4D" w14:paraId="007A6631" w14:textId="77777777" w:rsidTr="00E10B4D">
        <w:tc>
          <w:tcPr>
            <w:tcW w:w="0" w:type="auto"/>
            <w:hideMark/>
          </w:tcPr>
          <w:p w14:paraId="2D3B48A3"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Cash Flow to Debt Ratio</w:t>
            </w:r>
          </w:p>
        </w:tc>
        <w:tc>
          <w:tcPr>
            <w:tcW w:w="0" w:type="auto"/>
            <w:hideMark/>
          </w:tcPr>
          <w:p w14:paraId="565E5A5F"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Operating Cash Flow / Total Liabilities</w:t>
            </w:r>
          </w:p>
        </w:tc>
        <w:tc>
          <w:tcPr>
            <w:tcW w:w="0" w:type="auto"/>
            <w:hideMark/>
          </w:tcPr>
          <w:p w14:paraId="7CBDE173"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0.37</w:t>
            </w:r>
          </w:p>
        </w:tc>
        <w:tc>
          <w:tcPr>
            <w:tcW w:w="0" w:type="auto"/>
            <w:hideMark/>
          </w:tcPr>
          <w:p w14:paraId="1B7EEB0C"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0.17</w:t>
            </w:r>
          </w:p>
        </w:tc>
        <w:tc>
          <w:tcPr>
            <w:tcW w:w="0" w:type="auto"/>
            <w:hideMark/>
          </w:tcPr>
          <w:p w14:paraId="6F0BDEFC"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0.05</w:t>
            </w:r>
          </w:p>
        </w:tc>
        <w:tc>
          <w:tcPr>
            <w:tcW w:w="0" w:type="auto"/>
            <w:hideMark/>
          </w:tcPr>
          <w:p w14:paraId="35764928"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0.14</w:t>
            </w:r>
          </w:p>
        </w:tc>
        <w:tc>
          <w:tcPr>
            <w:tcW w:w="0" w:type="auto"/>
            <w:hideMark/>
          </w:tcPr>
          <w:p w14:paraId="15E154AE"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0.09</w:t>
            </w:r>
          </w:p>
        </w:tc>
      </w:tr>
      <w:tr w:rsidR="00E10B4D" w:rsidRPr="00E10B4D" w14:paraId="2BD9EC82" w14:textId="77777777" w:rsidTr="00E10B4D">
        <w:tc>
          <w:tcPr>
            <w:tcW w:w="0" w:type="auto"/>
            <w:hideMark/>
          </w:tcPr>
          <w:p w14:paraId="72AF0425"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Cash Flow Margin</w:t>
            </w:r>
          </w:p>
        </w:tc>
        <w:tc>
          <w:tcPr>
            <w:tcW w:w="0" w:type="auto"/>
            <w:hideMark/>
          </w:tcPr>
          <w:p w14:paraId="3F3EEEF0"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Operating Cash Flow / Net Sales</w:t>
            </w:r>
          </w:p>
        </w:tc>
        <w:tc>
          <w:tcPr>
            <w:tcW w:w="0" w:type="auto"/>
            <w:hideMark/>
          </w:tcPr>
          <w:p w14:paraId="6C6136FD"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11.94%</w:t>
            </w:r>
          </w:p>
        </w:tc>
        <w:tc>
          <w:tcPr>
            <w:tcW w:w="0" w:type="auto"/>
            <w:hideMark/>
          </w:tcPr>
          <w:p w14:paraId="688784E3"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6.70%</w:t>
            </w:r>
          </w:p>
        </w:tc>
        <w:tc>
          <w:tcPr>
            <w:tcW w:w="0" w:type="auto"/>
            <w:hideMark/>
          </w:tcPr>
          <w:p w14:paraId="3201F7C5"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2.01%</w:t>
            </w:r>
          </w:p>
        </w:tc>
        <w:tc>
          <w:tcPr>
            <w:tcW w:w="0" w:type="auto"/>
            <w:hideMark/>
          </w:tcPr>
          <w:p w14:paraId="108B0B59"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5.99%</w:t>
            </w:r>
          </w:p>
        </w:tc>
        <w:tc>
          <w:tcPr>
            <w:tcW w:w="0" w:type="auto"/>
            <w:hideMark/>
          </w:tcPr>
          <w:p w14:paraId="413F1373"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3.75%</w:t>
            </w:r>
          </w:p>
        </w:tc>
      </w:tr>
    </w:tbl>
    <w:p w14:paraId="6F88171C" w14:textId="0843A585" w:rsidR="00F7292C" w:rsidRPr="00F7292C" w:rsidRDefault="00F7292C" w:rsidP="00F7292C">
      <w:pPr>
        <w:spacing w:before="100" w:beforeAutospacing="1" w:after="100" w:afterAutospacing="1" w:line="360" w:lineRule="auto"/>
        <w:jc w:val="center"/>
        <w:outlineLvl w:val="2"/>
        <w:rPr>
          <w:rFonts w:ascii="Arial" w:eastAsia="Times New Roman" w:hAnsi="Arial" w:cs="Arial"/>
          <w:b/>
          <w:bCs/>
          <w:sz w:val="20"/>
          <w:szCs w:val="20"/>
        </w:rPr>
      </w:pPr>
      <w:bookmarkStart w:id="84" w:name="_Toc217181544"/>
      <w:bookmarkStart w:id="85" w:name="_Toc217260344"/>
      <w:bookmarkStart w:id="86" w:name="_Toc216755994"/>
      <w:bookmarkEnd w:id="40"/>
      <w:r w:rsidRPr="00F7292C">
        <w:rPr>
          <w:rFonts w:ascii="Arial" w:eastAsia="Times New Roman" w:hAnsi="Arial" w:cs="Arial"/>
          <w:b/>
          <w:bCs/>
          <w:sz w:val="20"/>
          <w:szCs w:val="20"/>
        </w:rPr>
        <w:t xml:space="preserve">Table 6: </w:t>
      </w:r>
      <w:r w:rsidRPr="00484D13">
        <w:rPr>
          <w:rFonts w:ascii="Arial" w:eastAsia="Times New Roman" w:hAnsi="Arial" w:cs="Arial"/>
          <w:b/>
          <w:bCs/>
          <w:sz w:val="20"/>
          <w:szCs w:val="20"/>
        </w:rPr>
        <w:t xml:space="preserve">Cash Flow Ratios </w:t>
      </w:r>
      <w:r w:rsidRPr="00F7292C">
        <w:rPr>
          <w:rFonts w:ascii="Arial" w:eastAsia="Times New Roman" w:hAnsi="Arial" w:cs="Arial"/>
          <w:b/>
          <w:bCs/>
          <w:sz w:val="20"/>
          <w:szCs w:val="20"/>
        </w:rPr>
        <w:t>(Self-Prepared)</w:t>
      </w:r>
      <w:bookmarkEnd w:id="84"/>
      <w:bookmarkEnd w:id="85"/>
    </w:p>
    <w:p w14:paraId="1AD16E7B" w14:textId="0228C1CF" w:rsidR="00F7292C" w:rsidRDefault="00F7292C" w:rsidP="00F7292C">
      <w:pPr>
        <w:spacing w:before="100" w:beforeAutospacing="1" w:after="100" w:afterAutospacing="1" w:line="360" w:lineRule="auto"/>
        <w:jc w:val="center"/>
        <w:outlineLvl w:val="2"/>
        <w:rPr>
          <w:rFonts w:ascii="Arial" w:eastAsia="Times New Roman" w:hAnsi="Arial" w:cs="Arial"/>
          <w:b/>
          <w:bCs/>
          <w:sz w:val="27"/>
          <w:szCs w:val="27"/>
        </w:rPr>
      </w:pPr>
      <w:bookmarkStart w:id="87" w:name="_Toc217181545"/>
      <w:bookmarkStart w:id="88" w:name="_Toc217260345"/>
      <w:r>
        <w:rPr>
          <w:noProof/>
        </w:rPr>
        <w:drawing>
          <wp:inline distT="0" distB="0" distL="0" distR="0" wp14:anchorId="0DE37875" wp14:editId="6A90E942">
            <wp:extent cx="4210050" cy="2967037"/>
            <wp:effectExtent l="0" t="0" r="0" b="5080"/>
            <wp:docPr id="11" name="Chart 11">
              <a:extLst xmlns:a="http://schemas.openxmlformats.org/drawingml/2006/main">
                <a:ext uri="{FF2B5EF4-FFF2-40B4-BE49-F238E27FC236}">
                  <a16:creationId xmlns:a16="http://schemas.microsoft.com/office/drawing/2014/main" id="{34CDBA1C-D9D1-4711-AED1-AD35ABF9E1C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bookmarkEnd w:id="87"/>
      <w:bookmarkEnd w:id="88"/>
    </w:p>
    <w:p w14:paraId="7EF7A1DA" w14:textId="1EF77D13" w:rsidR="00F7292C" w:rsidRPr="00F7292C" w:rsidRDefault="00F7292C" w:rsidP="00F7292C">
      <w:pPr>
        <w:spacing w:before="100" w:beforeAutospacing="1" w:after="100" w:afterAutospacing="1" w:line="360" w:lineRule="auto"/>
        <w:jc w:val="center"/>
        <w:outlineLvl w:val="2"/>
        <w:rPr>
          <w:rFonts w:ascii="Arial" w:eastAsia="Times New Roman" w:hAnsi="Arial" w:cs="Arial"/>
          <w:b/>
          <w:bCs/>
          <w:sz w:val="20"/>
          <w:szCs w:val="20"/>
        </w:rPr>
      </w:pPr>
      <w:bookmarkStart w:id="89" w:name="_Toc217181546"/>
      <w:bookmarkStart w:id="90" w:name="_Toc217260346"/>
      <w:r w:rsidRPr="00F7292C">
        <w:rPr>
          <w:rFonts w:ascii="Arial" w:eastAsia="Times New Roman" w:hAnsi="Arial" w:cs="Arial"/>
          <w:b/>
          <w:bCs/>
          <w:sz w:val="20"/>
          <w:szCs w:val="20"/>
        </w:rPr>
        <w:t xml:space="preserve">Figure 6: </w:t>
      </w:r>
      <w:r w:rsidRPr="00484D13">
        <w:rPr>
          <w:rFonts w:ascii="Arial" w:eastAsia="Times New Roman" w:hAnsi="Arial" w:cs="Arial"/>
          <w:b/>
          <w:bCs/>
          <w:sz w:val="20"/>
          <w:szCs w:val="20"/>
        </w:rPr>
        <w:t xml:space="preserve">Cash Flow Ratios </w:t>
      </w:r>
      <w:r w:rsidRPr="00F7292C">
        <w:rPr>
          <w:rFonts w:ascii="Arial" w:eastAsia="Times New Roman" w:hAnsi="Arial" w:cs="Arial"/>
          <w:b/>
          <w:bCs/>
          <w:sz w:val="20"/>
          <w:szCs w:val="20"/>
        </w:rPr>
        <w:t>Comparison (Self-Prepared)</w:t>
      </w:r>
      <w:bookmarkEnd w:id="89"/>
      <w:bookmarkEnd w:id="90"/>
    </w:p>
    <w:p w14:paraId="709FD79F" w14:textId="77777777" w:rsidR="00F7292C" w:rsidRDefault="00F7292C" w:rsidP="00F7292C">
      <w:pPr>
        <w:spacing w:before="100" w:beforeAutospacing="1" w:after="100" w:afterAutospacing="1" w:line="360" w:lineRule="auto"/>
        <w:jc w:val="center"/>
        <w:outlineLvl w:val="2"/>
        <w:rPr>
          <w:rFonts w:ascii="Arial" w:eastAsia="Times New Roman" w:hAnsi="Arial" w:cs="Arial"/>
          <w:b/>
          <w:bCs/>
          <w:sz w:val="27"/>
          <w:szCs w:val="27"/>
        </w:rPr>
      </w:pPr>
    </w:p>
    <w:p w14:paraId="44FC9791" w14:textId="04465FAF" w:rsidR="00484D13" w:rsidRPr="00484D13" w:rsidRDefault="00484D13" w:rsidP="00922363">
      <w:pPr>
        <w:spacing w:before="100" w:beforeAutospacing="1" w:after="100" w:afterAutospacing="1" w:line="360" w:lineRule="auto"/>
        <w:outlineLvl w:val="2"/>
        <w:rPr>
          <w:rFonts w:ascii="Arial" w:eastAsia="Times New Roman" w:hAnsi="Arial" w:cs="Arial"/>
          <w:b/>
          <w:bCs/>
          <w:sz w:val="27"/>
          <w:szCs w:val="27"/>
        </w:rPr>
      </w:pPr>
      <w:bookmarkStart w:id="91" w:name="_Toc217181547"/>
      <w:bookmarkStart w:id="92" w:name="_Toc217260347"/>
      <w:r w:rsidRPr="00484D13">
        <w:rPr>
          <w:rFonts w:ascii="Arial" w:eastAsia="Times New Roman" w:hAnsi="Arial" w:cs="Arial"/>
          <w:b/>
          <w:bCs/>
          <w:sz w:val="27"/>
          <w:szCs w:val="27"/>
        </w:rPr>
        <w:lastRenderedPageBreak/>
        <w:t>Table A7: Altman Z-Score Calculation (2020–2024)</w:t>
      </w:r>
      <w:bookmarkEnd w:id="86"/>
      <w:bookmarkEnd w:id="91"/>
      <w:bookmarkEnd w:id="92"/>
    </w:p>
    <w:p w14:paraId="294F67F3" w14:textId="77777777" w:rsidR="00484D13" w:rsidRPr="00484D13" w:rsidRDefault="00484D13" w:rsidP="00922363">
      <w:pPr>
        <w:spacing w:before="100" w:beforeAutospacing="1" w:after="100" w:afterAutospacing="1" w:line="360" w:lineRule="auto"/>
        <w:rPr>
          <w:rFonts w:ascii="Arial" w:eastAsia="Times New Roman" w:hAnsi="Arial" w:cs="Arial"/>
          <w:sz w:val="24"/>
          <w:szCs w:val="24"/>
        </w:rPr>
      </w:pPr>
      <w:r w:rsidRPr="00484D13">
        <w:rPr>
          <w:rFonts w:ascii="Arial" w:eastAsia="Times New Roman" w:hAnsi="Arial" w:cs="Arial"/>
          <w:sz w:val="24"/>
          <w:szCs w:val="24"/>
        </w:rPr>
        <w:t>Z = 1.2X1 + 1.4X2 + 3.3X3 + 0.6X4 + 1.0X5</w:t>
      </w:r>
    </w:p>
    <w:p w14:paraId="45CBA5E2" w14:textId="62353B93" w:rsidR="00504D72" w:rsidRPr="00484D13" w:rsidRDefault="00484D13" w:rsidP="00922363">
      <w:pPr>
        <w:spacing w:before="100" w:beforeAutospacing="1" w:after="100" w:afterAutospacing="1" w:line="360" w:lineRule="auto"/>
        <w:rPr>
          <w:rFonts w:ascii="Arial" w:eastAsia="Times New Roman" w:hAnsi="Arial" w:cs="Arial"/>
          <w:sz w:val="24"/>
          <w:szCs w:val="24"/>
        </w:rPr>
      </w:pPr>
      <w:r w:rsidRPr="00484D13">
        <w:rPr>
          <w:rFonts w:ascii="Arial" w:eastAsia="Times New Roman" w:hAnsi="Arial" w:cs="Arial"/>
          <w:sz w:val="24"/>
          <w:szCs w:val="24"/>
        </w:rPr>
        <w:t>Component values and final Z-Score for each year</w:t>
      </w:r>
      <w:r w:rsidR="00E10B4D" w:rsidRPr="00922363">
        <w:rPr>
          <w:rFonts w:ascii="Arial" w:eastAsia="Times New Roman" w:hAnsi="Arial" w:cs="Arial"/>
          <w:sz w:val="24"/>
          <w:szCs w:val="24"/>
        </w:rPr>
        <w:t xml:space="preserve"> are presented below: </w:t>
      </w:r>
    </w:p>
    <w:tbl>
      <w:tblPr>
        <w:tblStyle w:val="TableGrid"/>
        <w:tblW w:w="0" w:type="auto"/>
        <w:tblLook w:val="04A0" w:firstRow="1" w:lastRow="0" w:firstColumn="1" w:lastColumn="0" w:noHBand="0" w:noVBand="1"/>
      </w:tblPr>
      <w:tblGrid>
        <w:gridCol w:w="1792"/>
        <w:gridCol w:w="3660"/>
        <w:gridCol w:w="750"/>
        <w:gridCol w:w="750"/>
        <w:gridCol w:w="750"/>
        <w:gridCol w:w="824"/>
        <w:gridCol w:w="824"/>
      </w:tblGrid>
      <w:tr w:rsidR="00E10B4D" w:rsidRPr="00E10B4D" w14:paraId="4BE15B61" w14:textId="77777777" w:rsidTr="00E10B4D">
        <w:tc>
          <w:tcPr>
            <w:tcW w:w="0" w:type="auto"/>
            <w:hideMark/>
          </w:tcPr>
          <w:p w14:paraId="4CCFF7CF" w14:textId="77777777" w:rsidR="00E10B4D" w:rsidRPr="00E10B4D" w:rsidRDefault="00E10B4D" w:rsidP="00922363">
            <w:pPr>
              <w:spacing w:line="360" w:lineRule="auto"/>
              <w:jc w:val="center"/>
              <w:rPr>
                <w:rFonts w:ascii="Arial" w:eastAsia="Times New Roman" w:hAnsi="Arial" w:cs="Arial"/>
                <w:b/>
                <w:bCs/>
                <w:sz w:val="24"/>
                <w:szCs w:val="24"/>
              </w:rPr>
            </w:pPr>
            <w:r w:rsidRPr="00E10B4D">
              <w:rPr>
                <w:rFonts w:ascii="Arial" w:eastAsia="Times New Roman" w:hAnsi="Arial" w:cs="Arial"/>
                <w:b/>
                <w:bCs/>
                <w:sz w:val="24"/>
                <w:szCs w:val="24"/>
              </w:rPr>
              <w:t>Component</w:t>
            </w:r>
          </w:p>
        </w:tc>
        <w:tc>
          <w:tcPr>
            <w:tcW w:w="0" w:type="auto"/>
            <w:hideMark/>
          </w:tcPr>
          <w:p w14:paraId="6162AD85" w14:textId="77777777" w:rsidR="00E10B4D" w:rsidRPr="00E10B4D" w:rsidRDefault="00E10B4D" w:rsidP="00922363">
            <w:pPr>
              <w:spacing w:line="360" w:lineRule="auto"/>
              <w:jc w:val="center"/>
              <w:rPr>
                <w:rFonts w:ascii="Arial" w:eastAsia="Times New Roman" w:hAnsi="Arial" w:cs="Arial"/>
                <w:b/>
                <w:bCs/>
                <w:sz w:val="24"/>
                <w:szCs w:val="24"/>
              </w:rPr>
            </w:pPr>
            <w:r w:rsidRPr="00E10B4D">
              <w:rPr>
                <w:rFonts w:ascii="Arial" w:eastAsia="Times New Roman" w:hAnsi="Arial" w:cs="Arial"/>
                <w:b/>
                <w:bCs/>
                <w:sz w:val="24"/>
                <w:szCs w:val="24"/>
              </w:rPr>
              <w:t>Formula</w:t>
            </w:r>
          </w:p>
        </w:tc>
        <w:tc>
          <w:tcPr>
            <w:tcW w:w="0" w:type="auto"/>
            <w:hideMark/>
          </w:tcPr>
          <w:p w14:paraId="21A7A1AF" w14:textId="77777777" w:rsidR="00E10B4D" w:rsidRPr="00E10B4D" w:rsidRDefault="00E10B4D" w:rsidP="00922363">
            <w:pPr>
              <w:spacing w:line="360" w:lineRule="auto"/>
              <w:jc w:val="center"/>
              <w:rPr>
                <w:rFonts w:ascii="Arial" w:eastAsia="Times New Roman" w:hAnsi="Arial" w:cs="Arial"/>
                <w:b/>
                <w:bCs/>
                <w:sz w:val="24"/>
                <w:szCs w:val="24"/>
              </w:rPr>
            </w:pPr>
            <w:r w:rsidRPr="00E10B4D">
              <w:rPr>
                <w:rFonts w:ascii="Arial" w:eastAsia="Times New Roman" w:hAnsi="Arial" w:cs="Arial"/>
                <w:b/>
                <w:bCs/>
                <w:sz w:val="24"/>
                <w:szCs w:val="24"/>
              </w:rPr>
              <w:t>2020</w:t>
            </w:r>
          </w:p>
        </w:tc>
        <w:tc>
          <w:tcPr>
            <w:tcW w:w="0" w:type="auto"/>
            <w:hideMark/>
          </w:tcPr>
          <w:p w14:paraId="36F26C4C" w14:textId="77777777" w:rsidR="00E10B4D" w:rsidRPr="00E10B4D" w:rsidRDefault="00E10B4D" w:rsidP="00922363">
            <w:pPr>
              <w:spacing w:line="360" w:lineRule="auto"/>
              <w:jc w:val="center"/>
              <w:rPr>
                <w:rFonts w:ascii="Arial" w:eastAsia="Times New Roman" w:hAnsi="Arial" w:cs="Arial"/>
                <w:b/>
                <w:bCs/>
                <w:sz w:val="24"/>
                <w:szCs w:val="24"/>
              </w:rPr>
            </w:pPr>
            <w:r w:rsidRPr="00E10B4D">
              <w:rPr>
                <w:rFonts w:ascii="Arial" w:eastAsia="Times New Roman" w:hAnsi="Arial" w:cs="Arial"/>
                <w:b/>
                <w:bCs/>
                <w:sz w:val="24"/>
                <w:szCs w:val="24"/>
              </w:rPr>
              <w:t>2021</w:t>
            </w:r>
          </w:p>
        </w:tc>
        <w:tc>
          <w:tcPr>
            <w:tcW w:w="0" w:type="auto"/>
            <w:hideMark/>
          </w:tcPr>
          <w:p w14:paraId="0D318285" w14:textId="77777777" w:rsidR="00E10B4D" w:rsidRPr="00E10B4D" w:rsidRDefault="00E10B4D" w:rsidP="00922363">
            <w:pPr>
              <w:spacing w:line="360" w:lineRule="auto"/>
              <w:jc w:val="center"/>
              <w:rPr>
                <w:rFonts w:ascii="Arial" w:eastAsia="Times New Roman" w:hAnsi="Arial" w:cs="Arial"/>
                <w:b/>
                <w:bCs/>
                <w:sz w:val="24"/>
                <w:szCs w:val="24"/>
              </w:rPr>
            </w:pPr>
            <w:r w:rsidRPr="00E10B4D">
              <w:rPr>
                <w:rFonts w:ascii="Arial" w:eastAsia="Times New Roman" w:hAnsi="Arial" w:cs="Arial"/>
                <w:b/>
                <w:bCs/>
                <w:sz w:val="24"/>
                <w:szCs w:val="24"/>
              </w:rPr>
              <w:t>2022</w:t>
            </w:r>
          </w:p>
        </w:tc>
        <w:tc>
          <w:tcPr>
            <w:tcW w:w="0" w:type="auto"/>
            <w:hideMark/>
          </w:tcPr>
          <w:p w14:paraId="3F68D2CD" w14:textId="77777777" w:rsidR="00E10B4D" w:rsidRPr="00E10B4D" w:rsidRDefault="00E10B4D" w:rsidP="00922363">
            <w:pPr>
              <w:spacing w:line="360" w:lineRule="auto"/>
              <w:jc w:val="center"/>
              <w:rPr>
                <w:rFonts w:ascii="Arial" w:eastAsia="Times New Roman" w:hAnsi="Arial" w:cs="Arial"/>
                <w:b/>
                <w:bCs/>
                <w:sz w:val="24"/>
                <w:szCs w:val="24"/>
              </w:rPr>
            </w:pPr>
            <w:r w:rsidRPr="00E10B4D">
              <w:rPr>
                <w:rFonts w:ascii="Arial" w:eastAsia="Times New Roman" w:hAnsi="Arial" w:cs="Arial"/>
                <w:b/>
                <w:bCs/>
                <w:sz w:val="24"/>
                <w:szCs w:val="24"/>
              </w:rPr>
              <w:t>2023</w:t>
            </w:r>
          </w:p>
        </w:tc>
        <w:tc>
          <w:tcPr>
            <w:tcW w:w="0" w:type="auto"/>
            <w:hideMark/>
          </w:tcPr>
          <w:p w14:paraId="336BDBF0" w14:textId="77777777" w:rsidR="00E10B4D" w:rsidRPr="00E10B4D" w:rsidRDefault="00E10B4D" w:rsidP="00922363">
            <w:pPr>
              <w:spacing w:line="360" w:lineRule="auto"/>
              <w:jc w:val="center"/>
              <w:rPr>
                <w:rFonts w:ascii="Arial" w:eastAsia="Times New Roman" w:hAnsi="Arial" w:cs="Arial"/>
                <w:b/>
                <w:bCs/>
                <w:sz w:val="24"/>
                <w:szCs w:val="24"/>
              </w:rPr>
            </w:pPr>
            <w:r w:rsidRPr="00E10B4D">
              <w:rPr>
                <w:rFonts w:ascii="Arial" w:eastAsia="Times New Roman" w:hAnsi="Arial" w:cs="Arial"/>
                <w:b/>
                <w:bCs/>
                <w:sz w:val="24"/>
                <w:szCs w:val="24"/>
              </w:rPr>
              <w:t>2024</w:t>
            </w:r>
          </w:p>
        </w:tc>
      </w:tr>
      <w:tr w:rsidR="00E10B4D" w:rsidRPr="00E10B4D" w14:paraId="24BD695D" w14:textId="77777777" w:rsidTr="00E10B4D">
        <w:tc>
          <w:tcPr>
            <w:tcW w:w="0" w:type="auto"/>
            <w:hideMark/>
          </w:tcPr>
          <w:p w14:paraId="1F7B863C"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X1</w:t>
            </w:r>
          </w:p>
        </w:tc>
        <w:tc>
          <w:tcPr>
            <w:tcW w:w="0" w:type="auto"/>
            <w:hideMark/>
          </w:tcPr>
          <w:p w14:paraId="60D97826"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(Current Assets − Current Liabilities) / Total Assets</w:t>
            </w:r>
          </w:p>
        </w:tc>
        <w:tc>
          <w:tcPr>
            <w:tcW w:w="0" w:type="auto"/>
            <w:hideMark/>
          </w:tcPr>
          <w:p w14:paraId="11E3272B"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0.29</w:t>
            </w:r>
          </w:p>
        </w:tc>
        <w:tc>
          <w:tcPr>
            <w:tcW w:w="0" w:type="auto"/>
            <w:hideMark/>
          </w:tcPr>
          <w:p w14:paraId="52625C89"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0.24</w:t>
            </w:r>
          </w:p>
        </w:tc>
        <w:tc>
          <w:tcPr>
            <w:tcW w:w="0" w:type="auto"/>
            <w:hideMark/>
          </w:tcPr>
          <w:p w14:paraId="2284CB4A"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0.24</w:t>
            </w:r>
          </w:p>
        </w:tc>
        <w:tc>
          <w:tcPr>
            <w:tcW w:w="0" w:type="auto"/>
            <w:hideMark/>
          </w:tcPr>
          <w:p w14:paraId="5B778F5A"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0.27</w:t>
            </w:r>
          </w:p>
        </w:tc>
        <w:tc>
          <w:tcPr>
            <w:tcW w:w="0" w:type="auto"/>
            <w:hideMark/>
          </w:tcPr>
          <w:p w14:paraId="14C355C0"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0.26</w:t>
            </w:r>
          </w:p>
        </w:tc>
      </w:tr>
      <w:tr w:rsidR="00E10B4D" w:rsidRPr="00E10B4D" w14:paraId="77FA74CC" w14:textId="77777777" w:rsidTr="00E10B4D">
        <w:tc>
          <w:tcPr>
            <w:tcW w:w="0" w:type="auto"/>
            <w:hideMark/>
          </w:tcPr>
          <w:p w14:paraId="117FDA9F"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X2</w:t>
            </w:r>
          </w:p>
        </w:tc>
        <w:tc>
          <w:tcPr>
            <w:tcW w:w="0" w:type="auto"/>
            <w:hideMark/>
          </w:tcPr>
          <w:p w14:paraId="70F2C453"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Retained Earnings / Total Assets</w:t>
            </w:r>
          </w:p>
        </w:tc>
        <w:tc>
          <w:tcPr>
            <w:tcW w:w="0" w:type="auto"/>
            <w:hideMark/>
          </w:tcPr>
          <w:p w14:paraId="2C6297B1"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0.64</w:t>
            </w:r>
          </w:p>
        </w:tc>
        <w:tc>
          <w:tcPr>
            <w:tcW w:w="0" w:type="auto"/>
            <w:hideMark/>
          </w:tcPr>
          <w:p w14:paraId="5D623EBC"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0.65</w:t>
            </w:r>
          </w:p>
        </w:tc>
        <w:tc>
          <w:tcPr>
            <w:tcW w:w="0" w:type="auto"/>
            <w:hideMark/>
          </w:tcPr>
          <w:p w14:paraId="1D0D9F8B"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0.66</w:t>
            </w:r>
          </w:p>
        </w:tc>
        <w:tc>
          <w:tcPr>
            <w:tcW w:w="0" w:type="auto"/>
            <w:hideMark/>
          </w:tcPr>
          <w:p w14:paraId="2EAE6AE5"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0.65</w:t>
            </w:r>
          </w:p>
        </w:tc>
        <w:tc>
          <w:tcPr>
            <w:tcW w:w="0" w:type="auto"/>
            <w:hideMark/>
          </w:tcPr>
          <w:p w14:paraId="74478D08"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0.64</w:t>
            </w:r>
          </w:p>
        </w:tc>
      </w:tr>
      <w:tr w:rsidR="00E10B4D" w:rsidRPr="00E10B4D" w14:paraId="77B8EFA8" w14:textId="77777777" w:rsidTr="00E10B4D">
        <w:tc>
          <w:tcPr>
            <w:tcW w:w="0" w:type="auto"/>
            <w:hideMark/>
          </w:tcPr>
          <w:p w14:paraId="5E5FB0EA"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X3</w:t>
            </w:r>
          </w:p>
        </w:tc>
        <w:tc>
          <w:tcPr>
            <w:tcW w:w="0" w:type="auto"/>
            <w:hideMark/>
          </w:tcPr>
          <w:p w14:paraId="1812F620"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EBIT / Total Assets</w:t>
            </w:r>
          </w:p>
        </w:tc>
        <w:tc>
          <w:tcPr>
            <w:tcW w:w="0" w:type="auto"/>
            <w:hideMark/>
          </w:tcPr>
          <w:p w14:paraId="2A78D96E"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0.07</w:t>
            </w:r>
          </w:p>
        </w:tc>
        <w:tc>
          <w:tcPr>
            <w:tcW w:w="0" w:type="auto"/>
            <w:hideMark/>
          </w:tcPr>
          <w:p w14:paraId="793A2673"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0.05</w:t>
            </w:r>
          </w:p>
        </w:tc>
        <w:tc>
          <w:tcPr>
            <w:tcW w:w="0" w:type="auto"/>
            <w:hideMark/>
          </w:tcPr>
          <w:p w14:paraId="46E213A5"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0.03</w:t>
            </w:r>
          </w:p>
        </w:tc>
        <w:tc>
          <w:tcPr>
            <w:tcW w:w="0" w:type="auto"/>
            <w:hideMark/>
          </w:tcPr>
          <w:p w14:paraId="6A18832C"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−0.24</w:t>
            </w:r>
          </w:p>
        </w:tc>
        <w:tc>
          <w:tcPr>
            <w:tcW w:w="0" w:type="auto"/>
            <w:hideMark/>
          </w:tcPr>
          <w:p w14:paraId="496D0DD8"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−0.05</w:t>
            </w:r>
          </w:p>
        </w:tc>
      </w:tr>
      <w:tr w:rsidR="00E10B4D" w:rsidRPr="00E10B4D" w14:paraId="2144D864" w14:textId="77777777" w:rsidTr="00E10B4D">
        <w:tc>
          <w:tcPr>
            <w:tcW w:w="0" w:type="auto"/>
            <w:hideMark/>
          </w:tcPr>
          <w:p w14:paraId="0CCEF838"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X4</w:t>
            </w:r>
          </w:p>
        </w:tc>
        <w:tc>
          <w:tcPr>
            <w:tcW w:w="0" w:type="auto"/>
            <w:hideMark/>
          </w:tcPr>
          <w:p w14:paraId="7B153D4E"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Market Value of Equity / Total Liabilities</w:t>
            </w:r>
          </w:p>
        </w:tc>
        <w:tc>
          <w:tcPr>
            <w:tcW w:w="0" w:type="auto"/>
            <w:hideMark/>
          </w:tcPr>
          <w:p w14:paraId="78DDC5AE"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8.46</w:t>
            </w:r>
          </w:p>
        </w:tc>
        <w:tc>
          <w:tcPr>
            <w:tcW w:w="0" w:type="auto"/>
            <w:hideMark/>
          </w:tcPr>
          <w:p w14:paraId="6EF59739"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6.89</w:t>
            </w:r>
          </w:p>
        </w:tc>
        <w:tc>
          <w:tcPr>
            <w:tcW w:w="0" w:type="auto"/>
            <w:hideMark/>
          </w:tcPr>
          <w:p w14:paraId="5EB75F04"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6.47</w:t>
            </w:r>
          </w:p>
        </w:tc>
        <w:tc>
          <w:tcPr>
            <w:tcW w:w="0" w:type="auto"/>
            <w:hideMark/>
          </w:tcPr>
          <w:p w14:paraId="3BC4F94A"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8.72</w:t>
            </w:r>
          </w:p>
        </w:tc>
        <w:tc>
          <w:tcPr>
            <w:tcW w:w="0" w:type="auto"/>
            <w:hideMark/>
          </w:tcPr>
          <w:p w14:paraId="0E9C67C0"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9.13</w:t>
            </w:r>
          </w:p>
        </w:tc>
      </w:tr>
      <w:tr w:rsidR="00E10B4D" w:rsidRPr="00E10B4D" w14:paraId="4FC648B7" w14:textId="77777777" w:rsidTr="00E10B4D">
        <w:tc>
          <w:tcPr>
            <w:tcW w:w="0" w:type="auto"/>
            <w:hideMark/>
          </w:tcPr>
          <w:p w14:paraId="692E2B2C"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X5</w:t>
            </w:r>
          </w:p>
        </w:tc>
        <w:tc>
          <w:tcPr>
            <w:tcW w:w="0" w:type="auto"/>
            <w:hideMark/>
          </w:tcPr>
          <w:p w14:paraId="2B3B35B1"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Net Sales / Total Assets</w:t>
            </w:r>
          </w:p>
        </w:tc>
        <w:tc>
          <w:tcPr>
            <w:tcW w:w="0" w:type="auto"/>
            <w:hideMark/>
          </w:tcPr>
          <w:p w14:paraId="198780B3"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1.20</w:t>
            </w:r>
          </w:p>
        </w:tc>
        <w:tc>
          <w:tcPr>
            <w:tcW w:w="0" w:type="auto"/>
            <w:hideMark/>
          </w:tcPr>
          <w:p w14:paraId="7E610BBF"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1.18</w:t>
            </w:r>
          </w:p>
        </w:tc>
        <w:tc>
          <w:tcPr>
            <w:tcW w:w="0" w:type="auto"/>
            <w:hideMark/>
          </w:tcPr>
          <w:p w14:paraId="6C0C8B7B"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1.08</w:t>
            </w:r>
          </w:p>
        </w:tc>
        <w:tc>
          <w:tcPr>
            <w:tcW w:w="0" w:type="auto"/>
            <w:hideMark/>
          </w:tcPr>
          <w:p w14:paraId="384FD982"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1.18</w:t>
            </w:r>
          </w:p>
        </w:tc>
        <w:tc>
          <w:tcPr>
            <w:tcW w:w="0" w:type="auto"/>
            <w:hideMark/>
          </w:tcPr>
          <w:p w14:paraId="6A581263"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1.22</w:t>
            </w:r>
          </w:p>
        </w:tc>
      </w:tr>
      <w:tr w:rsidR="00E10B4D" w:rsidRPr="00E10B4D" w14:paraId="554F90BF" w14:textId="77777777" w:rsidTr="00E10B4D">
        <w:tc>
          <w:tcPr>
            <w:tcW w:w="0" w:type="auto"/>
            <w:hideMark/>
          </w:tcPr>
          <w:p w14:paraId="04E06BC7"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b/>
                <w:bCs/>
                <w:sz w:val="24"/>
                <w:szCs w:val="24"/>
              </w:rPr>
              <w:t>Altman Z-Score</w:t>
            </w:r>
          </w:p>
        </w:tc>
        <w:tc>
          <w:tcPr>
            <w:tcW w:w="0" w:type="auto"/>
            <w:hideMark/>
          </w:tcPr>
          <w:p w14:paraId="309355DC"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sz w:val="24"/>
                <w:szCs w:val="24"/>
              </w:rPr>
              <w:t>Weighted Sum</w:t>
            </w:r>
          </w:p>
        </w:tc>
        <w:tc>
          <w:tcPr>
            <w:tcW w:w="0" w:type="auto"/>
            <w:hideMark/>
          </w:tcPr>
          <w:p w14:paraId="1F51A4FA"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b/>
                <w:bCs/>
                <w:sz w:val="24"/>
                <w:szCs w:val="24"/>
              </w:rPr>
              <w:t>7.76</w:t>
            </w:r>
          </w:p>
        </w:tc>
        <w:tc>
          <w:tcPr>
            <w:tcW w:w="0" w:type="auto"/>
            <w:hideMark/>
          </w:tcPr>
          <w:p w14:paraId="1A32CC4F"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b/>
                <w:bCs/>
                <w:sz w:val="24"/>
                <w:szCs w:val="24"/>
              </w:rPr>
              <w:t>6.65</w:t>
            </w:r>
          </w:p>
        </w:tc>
        <w:tc>
          <w:tcPr>
            <w:tcW w:w="0" w:type="auto"/>
            <w:hideMark/>
          </w:tcPr>
          <w:p w14:paraId="29D4C319"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b/>
                <w:bCs/>
                <w:sz w:val="24"/>
                <w:szCs w:val="24"/>
              </w:rPr>
              <w:t>6.26</w:t>
            </w:r>
          </w:p>
        </w:tc>
        <w:tc>
          <w:tcPr>
            <w:tcW w:w="0" w:type="auto"/>
            <w:hideMark/>
          </w:tcPr>
          <w:p w14:paraId="624D6C19"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b/>
                <w:bCs/>
                <w:sz w:val="24"/>
                <w:szCs w:val="24"/>
              </w:rPr>
              <w:t>6.87</w:t>
            </w:r>
          </w:p>
        </w:tc>
        <w:tc>
          <w:tcPr>
            <w:tcW w:w="0" w:type="auto"/>
            <w:hideMark/>
          </w:tcPr>
          <w:p w14:paraId="4F38E900" w14:textId="77777777" w:rsidR="00E10B4D" w:rsidRPr="00E10B4D" w:rsidRDefault="00E10B4D" w:rsidP="00922363">
            <w:pPr>
              <w:spacing w:line="360" w:lineRule="auto"/>
              <w:rPr>
                <w:rFonts w:ascii="Arial" w:eastAsia="Times New Roman" w:hAnsi="Arial" w:cs="Arial"/>
                <w:sz w:val="24"/>
                <w:szCs w:val="24"/>
              </w:rPr>
            </w:pPr>
            <w:r w:rsidRPr="00E10B4D">
              <w:rPr>
                <w:rFonts w:ascii="Arial" w:eastAsia="Times New Roman" w:hAnsi="Arial" w:cs="Arial"/>
                <w:b/>
                <w:bCs/>
                <w:sz w:val="24"/>
                <w:szCs w:val="24"/>
              </w:rPr>
              <w:t>7.76</w:t>
            </w:r>
          </w:p>
        </w:tc>
      </w:tr>
    </w:tbl>
    <w:p w14:paraId="6C71D57B" w14:textId="77777777" w:rsidR="00572609" w:rsidRPr="005C4783" w:rsidRDefault="00572609" w:rsidP="00922363">
      <w:pPr>
        <w:pStyle w:val="Heading2"/>
      </w:pPr>
      <w:bookmarkStart w:id="93" w:name="_Toc216755995"/>
      <w:bookmarkStart w:id="94" w:name="_Toc217181548"/>
      <w:bookmarkStart w:id="95" w:name="_Toc217260348"/>
      <w:r w:rsidRPr="005C4783">
        <w:t>Appendix B: Working Capital Calculations</w:t>
      </w:r>
      <w:bookmarkEnd w:id="93"/>
      <w:bookmarkEnd w:id="94"/>
      <w:bookmarkEnd w:id="95"/>
    </w:p>
    <w:p w14:paraId="6617C41F" w14:textId="77777777" w:rsidR="00572609" w:rsidRPr="005C4783" w:rsidRDefault="00572609" w:rsidP="00922363">
      <w:pPr>
        <w:spacing w:before="100" w:beforeAutospacing="1" w:after="100" w:afterAutospacing="1" w:line="360" w:lineRule="auto"/>
        <w:outlineLvl w:val="2"/>
        <w:rPr>
          <w:rFonts w:ascii="Arial" w:eastAsia="Times New Roman" w:hAnsi="Arial" w:cs="Arial"/>
          <w:b/>
          <w:bCs/>
          <w:sz w:val="27"/>
          <w:szCs w:val="27"/>
        </w:rPr>
      </w:pPr>
      <w:bookmarkStart w:id="96" w:name="_Toc216755996"/>
      <w:bookmarkStart w:id="97" w:name="_Toc217181549"/>
      <w:bookmarkStart w:id="98" w:name="_Toc217260349"/>
      <w:r w:rsidRPr="005C4783">
        <w:rPr>
          <w:rFonts w:ascii="Arial" w:eastAsia="Times New Roman" w:hAnsi="Arial" w:cs="Arial"/>
          <w:b/>
          <w:bCs/>
          <w:sz w:val="27"/>
          <w:szCs w:val="27"/>
        </w:rPr>
        <w:t>Table B1: Cash Operating Cycle Components (Days)</w:t>
      </w:r>
      <w:bookmarkEnd w:id="96"/>
      <w:bookmarkEnd w:id="97"/>
      <w:bookmarkEnd w:id="98"/>
    </w:p>
    <w:p w14:paraId="7BED1244" w14:textId="77777777" w:rsidR="00572609" w:rsidRPr="00922363" w:rsidRDefault="00572609" w:rsidP="00922363">
      <w:pPr>
        <w:spacing w:before="100" w:beforeAutospacing="1" w:after="100" w:afterAutospacing="1" w:line="360" w:lineRule="auto"/>
        <w:rPr>
          <w:rFonts w:ascii="Arial" w:eastAsia="Times New Roman" w:hAnsi="Arial" w:cs="Arial"/>
          <w:sz w:val="24"/>
          <w:szCs w:val="24"/>
        </w:rPr>
      </w:pPr>
      <w:r w:rsidRPr="005C4783">
        <w:rPr>
          <w:rFonts w:ascii="Arial" w:eastAsia="Times New Roman" w:hAnsi="Arial" w:cs="Arial"/>
          <w:sz w:val="24"/>
          <w:szCs w:val="24"/>
        </w:rPr>
        <w:t xml:space="preserve">Receivables days = (Trade receivables / Net sales) × 365 </w:t>
      </w:r>
    </w:p>
    <w:p w14:paraId="26095DF1" w14:textId="77777777" w:rsidR="00572609" w:rsidRPr="00922363" w:rsidRDefault="00572609" w:rsidP="00922363">
      <w:pPr>
        <w:spacing w:before="100" w:beforeAutospacing="1" w:after="100" w:afterAutospacing="1" w:line="360" w:lineRule="auto"/>
        <w:rPr>
          <w:rFonts w:ascii="Arial" w:eastAsia="Times New Roman" w:hAnsi="Arial" w:cs="Arial"/>
          <w:sz w:val="24"/>
          <w:szCs w:val="24"/>
        </w:rPr>
      </w:pPr>
      <w:r w:rsidRPr="005C4783">
        <w:rPr>
          <w:rFonts w:ascii="Arial" w:eastAsia="Times New Roman" w:hAnsi="Arial" w:cs="Arial"/>
          <w:sz w:val="24"/>
          <w:szCs w:val="24"/>
        </w:rPr>
        <w:t xml:space="preserve">Inventory days = (Inventory / Cost of sales) × 365 </w:t>
      </w:r>
    </w:p>
    <w:p w14:paraId="695EFBD6" w14:textId="77777777" w:rsidR="00572609" w:rsidRPr="00922363" w:rsidRDefault="00572609" w:rsidP="00922363">
      <w:pPr>
        <w:spacing w:before="100" w:beforeAutospacing="1" w:after="100" w:afterAutospacing="1" w:line="360" w:lineRule="auto"/>
        <w:rPr>
          <w:rFonts w:ascii="Arial" w:eastAsia="Times New Roman" w:hAnsi="Arial" w:cs="Arial"/>
          <w:sz w:val="24"/>
          <w:szCs w:val="24"/>
        </w:rPr>
      </w:pPr>
      <w:r w:rsidRPr="005C4783">
        <w:rPr>
          <w:rFonts w:ascii="Arial" w:eastAsia="Times New Roman" w:hAnsi="Arial" w:cs="Arial"/>
          <w:sz w:val="24"/>
          <w:szCs w:val="24"/>
        </w:rPr>
        <w:t xml:space="preserve">Payables days = (Trade payables / Cost of sales) × 365 </w:t>
      </w:r>
    </w:p>
    <w:p w14:paraId="38CBBD97" w14:textId="5065B85F" w:rsidR="00572609" w:rsidRPr="005C4783" w:rsidRDefault="00572609" w:rsidP="00922363">
      <w:pPr>
        <w:spacing w:before="100" w:beforeAutospacing="1" w:after="100" w:afterAutospacing="1" w:line="360" w:lineRule="auto"/>
        <w:rPr>
          <w:rFonts w:ascii="Arial" w:eastAsia="Times New Roman" w:hAnsi="Arial" w:cs="Arial"/>
          <w:sz w:val="24"/>
          <w:szCs w:val="24"/>
        </w:rPr>
      </w:pPr>
      <w:r w:rsidRPr="005C4783">
        <w:rPr>
          <w:rFonts w:ascii="Arial" w:eastAsia="Times New Roman" w:hAnsi="Arial" w:cs="Arial"/>
          <w:sz w:val="24"/>
          <w:szCs w:val="24"/>
        </w:rPr>
        <w:t>Cash operating cycle = Receivables days + Inventory days − Payables days</w:t>
      </w:r>
    </w:p>
    <w:tbl>
      <w:tblPr>
        <w:tblStyle w:val="TableGrid"/>
        <w:tblW w:w="0" w:type="auto"/>
        <w:tblLook w:val="04A0" w:firstRow="1" w:lastRow="0" w:firstColumn="1" w:lastColumn="0" w:noHBand="0" w:noVBand="1"/>
      </w:tblPr>
      <w:tblGrid>
        <w:gridCol w:w="750"/>
        <w:gridCol w:w="2207"/>
        <w:gridCol w:w="1900"/>
        <w:gridCol w:w="1861"/>
        <w:gridCol w:w="2632"/>
      </w:tblGrid>
      <w:tr w:rsidR="00572609" w:rsidRPr="005C4783" w14:paraId="50640BB0" w14:textId="77777777" w:rsidTr="00572609">
        <w:tc>
          <w:tcPr>
            <w:tcW w:w="0" w:type="auto"/>
            <w:hideMark/>
          </w:tcPr>
          <w:p w14:paraId="7B352C02" w14:textId="77777777" w:rsidR="00572609" w:rsidRPr="005C4783" w:rsidRDefault="00572609" w:rsidP="00922363">
            <w:pPr>
              <w:spacing w:line="360" w:lineRule="auto"/>
              <w:jc w:val="center"/>
              <w:rPr>
                <w:rFonts w:ascii="Arial" w:eastAsia="Times New Roman" w:hAnsi="Arial" w:cs="Arial"/>
                <w:b/>
                <w:bCs/>
                <w:sz w:val="24"/>
                <w:szCs w:val="24"/>
              </w:rPr>
            </w:pPr>
            <w:r w:rsidRPr="005C4783">
              <w:rPr>
                <w:rFonts w:ascii="Arial" w:eastAsia="Times New Roman" w:hAnsi="Arial" w:cs="Arial"/>
                <w:b/>
                <w:bCs/>
                <w:sz w:val="24"/>
                <w:szCs w:val="24"/>
              </w:rPr>
              <w:t>Year</w:t>
            </w:r>
          </w:p>
        </w:tc>
        <w:tc>
          <w:tcPr>
            <w:tcW w:w="0" w:type="auto"/>
            <w:hideMark/>
          </w:tcPr>
          <w:p w14:paraId="41E646FB" w14:textId="77777777" w:rsidR="00572609" w:rsidRPr="005C4783" w:rsidRDefault="00572609" w:rsidP="00922363">
            <w:pPr>
              <w:spacing w:line="360" w:lineRule="auto"/>
              <w:jc w:val="center"/>
              <w:rPr>
                <w:rFonts w:ascii="Arial" w:eastAsia="Times New Roman" w:hAnsi="Arial" w:cs="Arial"/>
                <w:b/>
                <w:bCs/>
                <w:sz w:val="24"/>
                <w:szCs w:val="24"/>
              </w:rPr>
            </w:pPr>
            <w:r w:rsidRPr="005C4783">
              <w:rPr>
                <w:rFonts w:ascii="Arial" w:eastAsia="Times New Roman" w:hAnsi="Arial" w:cs="Arial"/>
                <w:b/>
                <w:bCs/>
                <w:sz w:val="24"/>
                <w:szCs w:val="24"/>
              </w:rPr>
              <w:t>Receivables Days</w:t>
            </w:r>
          </w:p>
        </w:tc>
        <w:tc>
          <w:tcPr>
            <w:tcW w:w="0" w:type="auto"/>
            <w:hideMark/>
          </w:tcPr>
          <w:p w14:paraId="3A3DE792" w14:textId="77777777" w:rsidR="00572609" w:rsidRPr="005C4783" w:rsidRDefault="00572609" w:rsidP="00922363">
            <w:pPr>
              <w:spacing w:line="360" w:lineRule="auto"/>
              <w:jc w:val="center"/>
              <w:rPr>
                <w:rFonts w:ascii="Arial" w:eastAsia="Times New Roman" w:hAnsi="Arial" w:cs="Arial"/>
                <w:b/>
                <w:bCs/>
                <w:sz w:val="24"/>
                <w:szCs w:val="24"/>
              </w:rPr>
            </w:pPr>
            <w:r w:rsidRPr="005C4783">
              <w:rPr>
                <w:rFonts w:ascii="Arial" w:eastAsia="Times New Roman" w:hAnsi="Arial" w:cs="Arial"/>
                <w:b/>
                <w:bCs/>
                <w:sz w:val="24"/>
                <w:szCs w:val="24"/>
              </w:rPr>
              <w:t>Inventory Days</w:t>
            </w:r>
          </w:p>
        </w:tc>
        <w:tc>
          <w:tcPr>
            <w:tcW w:w="0" w:type="auto"/>
            <w:hideMark/>
          </w:tcPr>
          <w:p w14:paraId="73E9A474" w14:textId="77777777" w:rsidR="00572609" w:rsidRPr="005C4783" w:rsidRDefault="00572609" w:rsidP="00922363">
            <w:pPr>
              <w:spacing w:line="360" w:lineRule="auto"/>
              <w:jc w:val="center"/>
              <w:rPr>
                <w:rFonts w:ascii="Arial" w:eastAsia="Times New Roman" w:hAnsi="Arial" w:cs="Arial"/>
                <w:b/>
                <w:bCs/>
                <w:sz w:val="24"/>
                <w:szCs w:val="24"/>
              </w:rPr>
            </w:pPr>
            <w:r w:rsidRPr="005C4783">
              <w:rPr>
                <w:rFonts w:ascii="Arial" w:eastAsia="Times New Roman" w:hAnsi="Arial" w:cs="Arial"/>
                <w:b/>
                <w:bCs/>
                <w:sz w:val="24"/>
                <w:szCs w:val="24"/>
              </w:rPr>
              <w:t>Payables Days</w:t>
            </w:r>
          </w:p>
        </w:tc>
        <w:tc>
          <w:tcPr>
            <w:tcW w:w="0" w:type="auto"/>
            <w:hideMark/>
          </w:tcPr>
          <w:p w14:paraId="6556DCDE" w14:textId="77777777" w:rsidR="00572609" w:rsidRPr="005C4783" w:rsidRDefault="00572609" w:rsidP="00922363">
            <w:pPr>
              <w:spacing w:line="360" w:lineRule="auto"/>
              <w:jc w:val="center"/>
              <w:rPr>
                <w:rFonts w:ascii="Arial" w:eastAsia="Times New Roman" w:hAnsi="Arial" w:cs="Arial"/>
                <w:b/>
                <w:bCs/>
                <w:sz w:val="24"/>
                <w:szCs w:val="24"/>
              </w:rPr>
            </w:pPr>
            <w:r w:rsidRPr="005C4783">
              <w:rPr>
                <w:rFonts w:ascii="Arial" w:eastAsia="Times New Roman" w:hAnsi="Arial" w:cs="Arial"/>
                <w:b/>
                <w:bCs/>
                <w:sz w:val="24"/>
                <w:szCs w:val="24"/>
              </w:rPr>
              <w:t>Cash Operating Cycle</w:t>
            </w:r>
          </w:p>
        </w:tc>
      </w:tr>
      <w:tr w:rsidR="00572609" w:rsidRPr="005C4783" w14:paraId="0E5AA0ED" w14:textId="77777777" w:rsidTr="00572609">
        <w:tc>
          <w:tcPr>
            <w:tcW w:w="0" w:type="auto"/>
            <w:hideMark/>
          </w:tcPr>
          <w:p w14:paraId="29212D04" w14:textId="77777777" w:rsidR="00572609" w:rsidRPr="005C4783" w:rsidRDefault="00572609" w:rsidP="00922363">
            <w:pPr>
              <w:spacing w:line="360" w:lineRule="auto"/>
              <w:rPr>
                <w:rFonts w:ascii="Arial" w:eastAsia="Times New Roman" w:hAnsi="Arial" w:cs="Arial"/>
                <w:sz w:val="24"/>
                <w:szCs w:val="24"/>
              </w:rPr>
            </w:pPr>
            <w:r w:rsidRPr="005C4783">
              <w:rPr>
                <w:rFonts w:ascii="Arial" w:eastAsia="Times New Roman" w:hAnsi="Arial" w:cs="Arial"/>
                <w:sz w:val="24"/>
                <w:szCs w:val="24"/>
              </w:rPr>
              <w:t>2020</w:t>
            </w:r>
          </w:p>
        </w:tc>
        <w:tc>
          <w:tcPr>
            <w:tcW w:w="0" w:type="auto"/>
            <w:hideMark/>
          </w:tcPr>
          <w:p w14:paraId="78C8B044" w14:textId="77777777" w:rsidR="00572609" w:rsidRPr="005C4783" w:rsidRDefault="00572609" w:rsidP="00922363">
            <w:pPr>
              <w:spacing w:line="360" w:lineRule="auto"/>
              <w:rPr>
                <w:rFonts w:ascii="Arial" w:eastAsia="Times New Roman" w:hAnsi="Arial" w:cs="Arial"/>
                <w:sz w:val="24"/>
                <w:szCs w:val="24"/>
              </w:rPr>
            </w:pPr>
            <w:r w:rsidRPr="005C4783">
              <w:rPr>
                <w:rFonts w:ascii="Arial" w:eastAsia="Times New Roman" w:hAnsi="Arial" w:cs="Arial"/>
                <w:sz w:val="24"/>
                <w:szCs w:val="24"/>
              </w:rPr>
              <w:t>76.86</w:t>
            </w:r>
          </w:p>
        </w:tc>
        <w:tc>
          <w:tcPr>
            <w:tcW w:w="0" w:type="auto"/>
            <w:hideMark/>
          </w:tcPr>
          <w:p w14:paraId="461F1B49" w14:textId="77777777" w:rsidR="00572609" w:rsidRPr="005C4783" w:rsidRDefault="00572609" w:rsidP="00922363">
            <w:pPr>
              <w:spacing w:line="360" w:lineRule="auto"/>
              <w:rPr>
                <w:rFonts w:ascii="Arial" w:eastAsia="Times New Roman" w:hAnsi="Arial" w:cs="Arial"/>
                <w:sz w:val="24"/>
                <w:szCs w:val="24"/>
              </w:rPr>
            </w:pPr>
            <w:r w:rsidRPr="005C4783">
              <w:rPr>
                <w:rFonts w:ascii="Arial" w:eastAsia="Times New Roman" w:hAnsi="Arial" w:cs="Arial"/>
                <w:sz w:val="24"/>
                <w:szCs w:val="24"/>
              </w:rPr>
              <w:t>100.26</w:t>
            </w:r>
          </w:p>
        </w:tc>
        <w:tc>
          <w:tcPr>
            <w:tcW w:w="0" w:type="auto"/>
            <w:hideMark/>
          </w:tcPr>
          <w:p w14:paraId="32669FA7" w14:textId="77777777" w:rsidR="00572609" w:rsidRPr="005C4783" w:rsidRDefault="00572609" w:rsidP="00922363">
            <w:pPr>
              <w:spacing w:line="360" w:lineRule="auto"/>
              <w:rPr>
                <w:rFonts w:ascii="Arial" w:eastAsia="Times New Roman" w:hAnsi="Arial" w:cs="Arial"/>
                <w:sz w:val="24"/>
                <w:szCs w:val="24"/>
              </w:rPr>
            </w:pPr>
            <w:r w:rsidRPr="005C4783">
              <w:rPr>
                <w:rFonts w:ascii="Arial" w:eastAsia="Times New Roman" w:hAnsi="Arial" w:cs="Arial"/>
                <w:sz w:val="24"/>
                <w:szCs w:val="24"/>
              </w:rPr>
              <w:t>65.00</w:t>
            </w:r>
          </w:p>
        </w:tc>
        <w:tc>
          <w:tcPr>
            <w:tcW w:w="0" w:type="auto"/>
            <w:hideMark/>
          </w:tcPr>
          <w:p w14:paraId="2607A53B" w14:textId="77777777" w:rsidR="00572609" w:rsidRPr="005C4783" w:rsidRDefault="00572609" w:rsidP="00922363">
            <w:pPr>
              <w:spacing w:line="360" w:lineRule="auto"/>
              <w:rPr>
                <w:rFonts w:ascii="Arial" w:eastAsia="Times New Roman" w:hAnsi="Arial" w:cs="Arial"/>
                <w:sz w:val="24"/>
                <w:szCs w:val="24"/>
              </w:rPr>
            </w:pPr>
            <w:r w:rsidRPr="005C4783">
              <w:rPr>
                <w:rFonts w:ascii="Arial" w:eastAsia="Times New Roman" w:hAnsi="Arial" w:cs="Arial"/>
                <w:sz w:val="24"/>
                <w:szCs w:val="24"/>
              </w:rPr>
              <w:t>112.12</w:t>
            </w:r>
          </w:p>
        </w:tc>
      </w:tr>
      <w:tr w:rsidR="00572609" w:rsidRPr="005C4783" w14:paraId="256E3E4E" w14:textId="77777777" w:rsidTr="00572609">
        <w:tc>
          <w:tcPr>
            <w:tcW w:w="0" w:type="auto"/>
            <w:hideMark/>
          </w:tcPr>
          <w:p w14:paraId="45DC6B6E" w14:textId="77777777" w:rsidR="00572609" w:rsidRPr="005C4783" w:rsidRDefault="00572609" w:rsidP="00922363">
            <w:pPr>
              <w:spacing w:line="360" w:lineRule="auto"/>
              <w:rPr>
                <w:rFonts w:ascii="Arial" w:eastAsia="Times New Roman" w:hAnsi="Arial" w:cs="Arial"/>
                <w:sz w:val="24"/>
                <w:szCs w:val="24"/>
              </w:rPr>
            </w:pPr>
            <w:r w:rsidRPr="005C4783">
              <w:rPr>
                <w:rFonts w:ascii="Arial" w:eastAsia="Times New Roman" w:hAnsi="Arial" w:cs="Arial"/>
                <w:sz w:val="24"/>
                <w:szCs w:val="24"/>
              </w:rPr>
              <w:t>2021</w:t>
            </w:r>
          </w:p>
        </w:tc>
        <w:tc>
          <w:tcPr>
            <w:tcW w:w="0" w:type="auto"/>
            <w:hideMark/>
          </w:tcPr>
          <w:p w14:paraId="341231CE" w14:textId="77777777" w:rsidR="00572609" w:rsidRPr="005C4783" w:rsidRDefault="00572609" w:rsidP="00922363">
            <w:pPr>
              <w:spacing w:line="360" w:lineRule="auto"/>
              <w:rPr>
                <w:rFonts w:ascii="Arial" w:eastAsia="Times New Roman" w:hAnsi="Arial" w:cs="Arial"/>
                <w:sz w:val="24"/>
                <w:szCs w:val="24"/>
              </w:rPr>
            </w:pPr>
            <w:r w:rsidRPr="005C4783">
              <w:rPr>
                <w:rFonts w:ascii="Arial" w:eastAsia="Times New Roman" w:hAnsi="Arial" w:cs="Arial"/>
                <w:sz w:val="24"/>
                <w:szCs w:val="24"/>
              </w:rPr>
              <w:t>78.40</w:t>
            </w:r>
          </w:p>
        </w:tc>
        <w:tc>
          <w:tcPr>
            <w:tcW w:w="0" w:type="auto"/>
            <w:hideMark/>
          </w:tcPr>
          <w:p w14:paraId="390D7351" w14:textId="77777777" w:rsidR="00572609" w:rsidRPr="005C4783" w:rsidRDefault="00572609" w:rsidP="00922363">
            <w:pPr>
              <w:spacing w:line="360" w:lineRule="auto"/>
              <w:rPr>
                <w:rFonts w:ascii="Arial" w:eastAsia="Times New Roman" w:hAnsi="Arial" w:cs="Arial"/>
                <w:sz w:val="24"/>
                <w:szCs w:val="24"/>
              </w:rPr>
            </w:pPr>
            <w:r w:rsidRPr="005C4783">
              <w:rPr>
                <w:rFonts w:ascii="Arial" w:eastAsia="Times New Roman" w:hAnsi="Arial" w:cs="Arial"/>
                <w:sz w:val="24"/>
                <w:szCs w:val="24"/>
              </w:rPr>
              <w:t>114.52</w:t>
            </w:r>
          </w:p>
        </w:tc>
        <w:tc>
          <w:tcPr>
            <w:tcW w:w="0" w:type="auto"/>
            <w:hideMark/>
          </w:tcPr>
          <w:p w14:paraId="540DCF34" w14:textId="77777777" w:rsidR="00572609" w:rsidRPr="005C4783" w:rsidRDefault="00572609" w:rsidP="00922363">
            <w:pPr>
              <w:spacing w:line="360" w:lineRule="auto"/>
              <w:rPr>
                <w:rFonts w:ascii="Arial" w:eastAsia="Times New Roman" w:hAnsi="Arial" w:cs="Arial"/>
                <w:sz w:val="24"/>
                <w:szCs w:val="24"/>
              </w:rPr>
            </w:pPr>
            <w:r w:rsidRPr="005C4783">
              <w:rPr>
                <w:rFonts w:ascii="Arial" w:eastAsia="Times New Roman" w:hAnsi="Arial" w:cs="Arial"/>
                <w:sz w:val="24"/>
                <w:szCs w:val="24"/>
              </w:rPr>
              <w:t>66.00</w:t>
            </w:r>
          </w:p>
        </w:tc>
        <w:tc>
          <w:tcPr>
            <w:tcW w:w="0" w:type="auto"/>
            <w:hideMark/>
          </w:tcPr>
          <w:p w14:paraId="30D2E37F" w14:textId="77777777" w:rsidR="00572609" w:rsidRPr="005C4783" w:rsidRDefault="00572609" w:rsidP="00922363">
            <w:pPr>
              <w:spacing w:line="360" w:lineRule="auto"/>
              <w:rPr>
                <w:rFonts w:ascii="Arial" w:eastAsia="Times New Roman" w:hAnsi="Arial" w:cs="Arial"/>
                <w:sz w:val="24"/>
                <w:szCs w:val="24"/>
              </w:rPr>
            </w:pPr>
            <w:r w:rsidRPr="005C4783">
              <w:rPr>
                <w:rFonts w:ascii="Arial" w:eastAsia="Times New Roman" w:hAnsi="Arial" w:cs="Arial"/>
                <w:sz w:val="24"/>
                <w:szCs w:val="24"/>
              </w:rPr>
              <w:t>126.92</w:t>
            </w:r>
          </w:p>
        </w:tc>
      </w:tr>
      <w:tr w:rsidR="00572609" w:rsidRPr="005C4783" w14:paraId="44EBA1AC" w14:textId="77777777" w:rsidTr="00572609">
        <w:tc>
          <w:tcPr>
            <w:tcW w:w="0" w:type="auto"/>
            <w:hideMark/>
          </w:tcPr>
          <w:p w14:paraId="1158EE89" w14:textId="77777777" w:rsidR="00572609" w:rsidRPr="005C4783" w:rsidRDefault="00572609" w:rsidP="00922363">
            <w:pPr>
              <w:spacing w:line="360" w:lineRule="auto"/>
              <w:rPr>
                <w:rFonts w:ascii="Arial" w:eastAsia="Times New Roman" w:hAnsi="Arial" w:cs="Arial"/>
                <w:sz w:val="24"/>
                <w:szCs w:val="24"/>
              </w:rPr>
            </w:pPr>
            <w:r w:rsidRPr="005C4783">
              <w:rPr>
                <w:rFonts w:ascii="Arial" w:eastAsia="Times New Roman" w:hAnsi="Arial" w:cs="Arial"/>
                <w:sz w:val="24"/>
                <w:szCs w:val="24"/>
              </w:rPr>
              <w:lastRenderedPageBreak/>
              <w:t>2022</w:t>
            </w:r>
          </w:p>
        </w:tc>
        <w:tc>
          <w:tcPr>
            <w:tcW w:w="0" w:type="auto"/>
            <w:hideMark/>
          </w:tcPr>
          <w:p w14:paraId="1BC3BA17" w14:textId="77777777" w:rsidR="00572609" w:rsidRPr="005C4783" w:rsidRDefault="00572609" w:rsidP="00922363">
            <w:pPr>
              <w:spacing w:line="360" w:lineRule="auto"/>
              <w:rPr>
                <w:rFonts w:ascii="Arial" w:eastAsia="Times New Roman" w:hAnsi="Arial" w:cs="Arial"/>
                <w:sz w:val="24"/>
                <w:szCs w:val="24"/>
              </w:rPr>
            </w:pPr>
            <w:r w:rsidRPr="005C4783">
              <w:rPr>
                <w:rFonts w:ascii="Arial" w:eastAsia="Times New Roman" w:hAnsi="Arial" w:cs="Arial"/>
                <w:sz w:val="24"/>
                <w:szCs w:val="24"/>
              </w:rPr>
              <w:t>75.55</w:t>
            </w:r>
          </w:p>
        </w:tc>
        <w:tc>
          <w:tcPr>
            <w:tcW w:w="0" w:type="auto"/>
            <w:hideMark/>
          </w:tcPr>
          <w:p w14:paraId="3EC6C04C" w14:textId="77777777" w:rsidR="00572609" w:rsidRPr="005C4783" w:rsidRDefault="00572609" w:rsidP="00922363">
            <w:pPr>
              <w:spacing w:line="360" w:lineRule="auto"/>
              <w:rPr>
                <w:rFonts w:ascii="Arial" w:eastAsia="Times New Roman" w:hAnsi="Arial" w:cs="Arial"/>
                <w:sz w:val="24"/>
                <w:szCs w:val="24"/>
              </w:rPr>
            </w:pPr>
            <w:r w:rsidRPr="005C4783">
              <w:rPr>
                <w:rFonts w:ascii="Arial" w:eastAsia="Times New Roman" w:hAnsi="Arial" w:cs="Arial"/>
                <w:sz w:val="24"/>
                <w:szCs w:val="24"/>
              </w:rPr>
              <w:t>131.04</w:t>
            </w:r>
          </w:p>
        </w:tc>
        <w:tc>
          <w:tcPr>
            <w:tcW w:w="0" w:type="auto"/>
            <w:hideMark/>
          </w:tcPr>
          <w:p w14:paraId="69CC096F" w14:textId="77777777" w:rsidR="00572609" w:rsidRPr="005C4783" w:rsidRDefault="00572609" w:rsidP="00922363">
            <w:pPr>
              <w:spacing w:line="360" w:lineRule="auto"/>
              <w:rPr>
                <w:rFonts w:ascii="Arial" w:eastAsia="Times New Roman" w:hAnsi="Arial" w:cs="Arial"/>
                <w:sz w:val="24"/>
                <w:szCs w:val="24"/>
              </w:rPr>
            </w:pPr>
            <w:r w:rsidRPr="005C4783">
              <w:rPr>
                <w:rFonts w:ascii="Arial" w:eastAsia="Times New Roman" w:hAnsi="Arial" w:cs="Arial"/>
                <w:sz w:val="24"/>
                <w:szCs w:val="24"/>
              </w:rPr>
              <w:t>68.00</w:t>
            </w:r>
          </w:p>
        </w:tc>
        <w:tc>
          <w:tcPr>
            <w:tcW w:w="0" w:type="auto"/>
            <w:hideMark/>
          </w:tcPr>
          <w:p w14:paraId="5392E1C2" w14:textId="77777777" w:rsidR="00572609" w:rsidRPr="005C4783" w:rsidRDefault="00572609" w:rsidP="00922363">
            <w:pPr>
              <w:spacing w:line="360" w:lineRule="auto"/>
              <w:rPr>
                <w:rFonts w:ascii="Arial" w:eastAsia="Times New Roman" w:hAnsi="Arial" w:cs="Arial"/>
                <w:sz w:val="24"/>
                <w:szCs w:val="24"/>
              </w:rPr>
            </w:pPr>
            <w:r w:rsidRPr="005C4783">
              <w:rPr>
                <w:rFonts w:ascii="Arial" w:eastAsia="Times New Roman" w:hAnsi="Arial" w:cs="Arial"/>
                <w:sz w:val="24"/>
                <w:szCs w:val="24"/>
              </w:rPr>
              <w:t>138.59</w:t>
            </w:r>
          </w:p>
        </w:tc>
      </w:tr>
      <w:tr w:rsidR="00572609" w:rsidRPr="005C4783" w14:paraId="5938D166" w14:textId="77777777" w:rsidTr="00572609">
        <w:tc>
          <w:tcPr>
            <w:tcW w:w="0" w:type="auto"/>
            <w:hideMark/>
          </w:tcPr>
          <w:p w14:paraId="1EA6274B" w14:textId="77777777" w:rsidR="00572609" w:rsidRPr="005C4783" w:rsidRDefault="00572609" w:rsidP="00922363">
            <w:pPr>
              <w:spacing w:line="360" w:lineRule="auto"/>
              <w:rPr>
                <w:rFonts w:ascii="Arial" w:eastAsia="Times New Roman" w:hAnsi="Arial" w:cs="Arial"/>
                <w:sz w:val="24"/>
                <w:szCs w:val="24"/>
              </w:rPr>
            </w:pPr>
            <w:r w:rsidRPr="005C4783">
              <w:rPr>
                <w:rFonts w:ascii="Arial" w:eastAsia="Times New Roman" w:hAnsi="Arial" w:cs="Arial"/>
                <w:sz w:val="24"/>
                <w:szCs w:val="24"/>
              </w:rPr>
              <w:t>2023</w:t>
            </w:r>
          </w:p>
        </w:tc>
        <w:tc>
          <w:tcPr>
            <w:tcW w:w="0" w:type="auto"/>
            <w:hideMark/>
          </w:tcPr>
          <w:p w14:paraId="673E199F" w14:textId="77777777" w:rsidR="00572609" w:rsidRPr="005C4783" w:rsidRDefault="00572609" w:rsidP="00922363">
            <w:pPr>
              <w:spacing w:line="360" w:lineRule="auto"/>
              <w:rPr>
                <w:rFonts w:ascii="Arial" w:eastAsia="Times New Roman" w:hAnsi="Arial" w:cs="Arial"/>
                <w:sz w:val="24"/>
                <w:szCs w:val="24"/>
              </w:rPr>
            </w:pPr>
            <w:r w:rsidRPr="005C4783">
              <w:rPr>
                <w:rFonts w:ascii="Arial" w:eastAsia="Times New Roman" w:hAnsi="Arial" w:cs="Arial"/>
                <w:sz w:val="24"/>
                <w:szCs w:val="24"/>
              </w:rPr>
              <w:t>97.74</w:t>
            </w:r>
          </w:p>
        </w:tc>
        <w:tc>
          <w:tcPr>
            <w:tcW w:w="0" w:type="auto"/>
            <w:hideMark/>
          </w:tcPr>
          <w:p w14:paraId="5469DD80" w14:textId="77777777" w:rsidR="00572609" w:rsidRPr="005C4783" w:rsidRDefault="00572609" w:rsidP="00922363">
            <w:pPr>
              <w:spacing w:line="360" w:lineRule="auto"/>
              <w:rPr>
                <w:rFonts w:ascii="Arial" w:eastAsia="Times New Roman" w:hAnsi="Arial" w:cs="Arial"/>
                <w:sz w:val="24"/>
                <w:szCs w:val="24"/>
              </w:rPr>
            </w:pPr>
            <w:r w:rsidRPr="005C4783">
              <w:rPr>
                <w:rFonts w:ascii="Arial" w:eastAsia="Times New Roman" w:hAnsi="Arial" w:cs="Arial"/>
                <w:sz w:val="24"/>
                <w:szCs w:val="24"/>
              </w:rPr>
              <w:t>99.78</w:t>
            </w:r>
          </w:p>
        </w:tc>
        <w:tc>
          <w:tcPr>
            <w:tcW w:w="0" w:type="auto"/>
            <w:hideMark/>
          </w:tcPr>
          <w:p w14:paraId="7C635130" w14:textId="77777777" w:rsidR="00572609" w:rsidRPr="005C4783" w:rsidRDefault="00572609" w:rsidP="00922363">
            <w:pPr>
              <w:spacing w:line="360" w:lineRule="auto"/>
              <w:rPr>
                <w:rFonts w:ascii="Arial" w:eastAsia="Times New Roman" w:hAnsi="Arial" w:cs="Arial"/>
                <w:sz w:val="24"/>
                <w:szCs w:val="24"/>
              </w:rPr>
            </w:pPr>
            <w:r w:rsidRPr="005C4783">
              <w:rPr>
                <w:rFonts w:ascii="Arial" w:eastAsia="Times New Roman" w:hAnsi="Arial" w:cs="Arial"/>
                <w:sz w:val="24"/>
                <w:szCs w:val="24"/>
              </w:rPr>
              <w:t>69.00</w:t>
            </w:r>
          </w:p>
        </w:tc>
        <w:tc>
          <w:tcPr>
            <w:tcW w:w="0" w:type="auto"/>
            <w:hideMark/>
          </w:tcPr>
          <w:p w14:paraId="092E888A" w14:textId="77777777" w:rsidR="00572609" w:rsidRPr="005C4783" w:rsidRDefault="00572609" w:rsidP="00922363">
            <w:pPr>
              <w:spacing w:line="360" w:lineRule="auto"/>
              <w:rPr>
                <w:rFonts w:ascii="Arial" w:eastAsia="Times New Roman" w:hAnsi="Arial" w:cs="Arial"/>
                <w:sz w:val="24"/>
                <w:szCs w:val="24"/>
              </w:rPr>
            </w:pPr>
            <w:r w:rsidRPr="005C4783">
              <w:rPr>
                <w:rFonts w:ascii="Arial" w:eastAsia="Times New Roman" w:hAnsi="Arial" w:cs="Arial"/>
                <w:sz w:val="24"/>
                <w:szCs w:val="24"/>
              </w:rPr>
              <w:t>128.52</w:t>
            </w:r>
          </w:p>
        </w:tc>
      </w:tr>
      <w:tr w:rsidR="00572609" w:rsidRPr="005C4783" w14:paraId="17F3D8C0" w14:textId="77777777" w:rsidTr="00572609">
        <w:tc>
          <w:tcPr>
            <w:tcW w:w="0" w:type="auto"/>
            <w:hideMark/>
          </w:tcPr>
          <w:p w14:paraId="73C629E4" w14:textId="77777777" w:rsidR="00572609" w:rsidRPr="005C4783" w:rsidRDefault="00572609" w:rsidP="00922363">
            <w:pPr>
              <w:spacing w:line="360" w:lineRule="auto"/>
              <w:rPr>
                <w:rFonts w:ascii="Arial" w:eastAsia="Times New Roman" w:hAnsi="Arial" w:cs="Arial"/>
                <w:sz w:val="24"/>
                <w:szCs w:val="24"/>
              </w:rPr>
            </w:pPr>
            <w:r w:rsidRPr="005C4783">
              <w:rPr>
                <w:rFonts w:ascii="Arial" w:eastAsia="Times New Roman" w:hAnsi="Arial" w:cs="Arial"/>
                <w:sz w:val="24"/>
                <w:szCs w:val="24"/>
              </w:rPr>
              <w:t>2024</w:t>
            </w:r>
          </w:p>
        </w:tc>
        <w:tc>
          <w:tcPr>
            <w:tcW w:w="0" w:type="auto"/>
            <w:hideMark/>
          </w:tcPr>
          <w:p w14:paraId="144208FD" w14:textId="77777777" w:rsidR="00572609" w:rsidRPr="005C4783" w:rsidRDefault="00572609" w:rsidP="00922363">
            <w:pPr>
              <w:spacing w:line="360" w:lineRule="auto"/>
              <w:rPr>
                <w:rFonts w:ascii="Arial" w:eastAsia="Times New Roman" w:hAnsi="Arial" w:cs="Arial"/>
                <w:sz w:val="24"/>
                <w:szCs w:val="24"/>
              </w:rPr>
            </w:pPr>
            <w:r w:rsidRPr="005C4783">
              <w:rPr>
                <w:rFonts w:ascii="Arial" w:eastAsia="Times New Roman" w:hAnsi="Arial" w:cs="Arial"/>
                <w:sz w:val="24"/>
                <w:szCs w:val="24"/>
              </w:rPr>
              <w:t>105.54</w:t>
            </w:r>
          </w:p>
        </w:tc>
        <w:tc>
          <w:tcPr>
            <w:tcW w:w="0" w:type="auto"/>
            <w:hideMark/>
          </w:tcPr>
          <w:p w14:paraId="445FA0CF" w14:textId="77777777" w:rsidR="00572609" w:rsidRPr="005C4783" w:rsidRDefault="00572609" w:rsidP="00922363">
            <w:pPr>
              <w:spacing w:line="360" w:lineRule="auto"/>
              <w:rPr>
                <w:rFonts w:ascii="Arial" w:eastAsia="Times New Roman" w:hAnsi="Arial" w:cs="Arial"/>
                <w:sz w:val="24"/>
                <w:szCs w:val="24"/>
              </w:rPr>
            </w:pPr>
            <w:r w:rsidRPr="005C4783">
              <w:rPr>
                <w:rFonts w:ascii="Arial" w:eastAsia="Times New Roman" w:hAnsi="Arial" w:cs="Arial"/>
                <w:sz w:val="24"/>
                <w:szCs w:val="24"/>
              </w:rPr>
              <w:t>103.12</w:t>
            </w:r>
          </w:p>
        </w:tc>
        <w:tc>
          <w:tcPr>
            <w:tcW w:w="0" w:type="auto"/>
            <w:hideMark/>
          </w:tcPr>
          <w:p w14:paraId="23A9094E" w14:textId="77777777" w:rsidR="00572609" w:rsidRPr="005C4783" w:rsidRDefault="00572609" w:rsidP="00922363">
            <w:pPr>
              <w:spacing w:line="360" w:lineRule="auto"/>
              <w:rPr>
                <w:rFonts w:ascii="Arial" w:eastAsia="Times New Roman" w:hAnsi="Arial" w:cs="Arial"/>
                <w:sz w:val="24"/>
                <w:szCs w:val="24"/>
              </w:rPr>
            </w:pPr>
            <w:r w:rsidRPr="005C4783">
              <w:rPr>
                <w:rFonts w:ascii="Arial" w:eastAsia="Times New Roman" w:hAnsi="Arial" w:cs="Arial"/>
                <w:sz w:val="24"/>
                <w:szCs w:val="24"/>
              </w:rPr>
              <w:t>70.00</w:t>
            </w:r>
          </w:p>
        </w:tc>
        <w:tc>
          <w:tcPr>
            <w:tcW w:w="0" w:type="auto"/>
            <w:hideMark/>
          </w:tcPr>
          <w:p w14:paraId="26D6C297" w14:textId="77777777" w:rsidR="00572609" w:rsidRPr="005C4783" w:rsidRDefault="00572609" w:rsidP="00922363">
            <w:pPr>
              <w:spacing w:line="360" w:lineRule="auto"/>
              <w:rPr>
                <w:rFonts w:ascii="Arial" w:eastAsia="Times New Roman" w:hAnsi="Arial" w:cs="Arial"/>
                <w:sz w:val="24"/>
                <w:szCs w:val="24"/>
              </w:rPr>
            </w:pPr>
            <w:r w:rsidRPr="005C4783">
              <w:rPr>
                <w:rFonts w:ascii="Arial" w:eastAsia="Times New Roman" w:hAnsi="Arial" w:cs="Arial"/>
                <w:sz w:val="24"/>
                <w:szCs w:val="24"/>
              </w:rPr>
              <w:t>138.66</w:t>
            </w:r>
          </w:p>
        </w:tc>
      </w:tr>
    </w:tbl>
    <w:p w14:paraId="00CEF294" w14:textId="0875FA35" w:rsidR="00572609" w:rsidRPr="00922363" w:rsidRDefault="00572609" w:rsidP="00922363">
      <w:pPr>
        <w:spacing w:before="100" w:beforeAutospacing="1" w:after="100" w:afterAutospacing="1" w:line="360" w:lineRule="auto"/>
        <w:rPr>
          <w:rFonts w:ascii="Arial" w:eastAsia="Times New Roman" w:hAnsi="Arial" w:cs="Arial"/>
          <w:sz w:val="24"/>
          <w:szCs w:val="24"/>
        </w:rPr>
      </w:pPr>
      <w:r w:rsidRPr="005C4783">
        <w:rPr>
          <w:rFonts w:ascii="Arial" w:eastAsia="Times New Roman" w:hAnsi="Arial" w:cs="Arial"/>
          <w:sz w:val="24"/>
          <w:szCs w:val="24"/>
        </w:rPr>
        <w:t xml:space="preserve">Note: </w:t>
      </w:r>
      <w:r w:rsidRPr="00922363">
        <w:rPr>
          <w:rFonts w:ascii="Arial" w:eastAsia="Times New Roman" w:hAnsi="Arial" w:cs="Arial"/>
          <w:sz w:val="24"/>
          <w:szCs w:val="24"/>
        </w:rPr>
        <w:t>Payable’s</w:t>
      </w:r>
      <w:r w:rsidRPr="005C4783">
        <w:rPr>
          <w:rFonts w:ascii="Arial" w:eastAsia="Times New Roman" w:hAnsi="Arial" w:cs="Arial"/>
          <w:sz w:val="24"/>
          <w:szCs w:val="24"/>
        </w:rPr>
        <w:t xml:space="preserve"> days are calculated using trade payables reported in the dataset and cost of sales. Values are rounded to two decimal places.</w:t>
      </w:r>
    </w:p>
    <w:p w14:paraId="1A0B553C" w14:textId="77777777" w:rsidR="00572609" w:rsidRPr="00922363" w:rsidRDefault="00572609" w:rsidP="00922363">
      <w:pPr>
        <w:pStyle w:val="Heading2"/>
      </w:pPr>
      <w:bookmarkStart w:id="99" w:name="_Toc216755997"/>
      <w:bookmarkStart w:id="100" w:name="_Toc217181550"/>
      <w:bookmarkStart w:id="101" w:name="_Toc217260350"/>
      <w:r w:rsidRPr="00922363">
        <w:t>Appendix C: Pro</w:t>
      </w:r>
      <w:r w:rsidRPr="00922363">
        <w:noBreakHyphen/>
        <w:t>Forma Financial Restructuring Workings</w:t>
      </w:r>
      <w:bookmarkEnd w:id="99"/>
      <w:bookmarkEnd w:id="100"/>
      <w:bookmarkEnd w:id="101"/>
    </w:p>
    <w:p w14:paraId="3FD1A18F" w14:textId="77777777" w:rsidR="00572609" w:rsidRPr="00922363" w:rsidRDefault="00572609" w:rsidP="00922363">
      <w:pPr>
        <w:pStyle w:val="NormalWeb"/>
        <w:spacing w:line="360" w:lineRule="auto"/>
        <w:rPr>
          <w:rFonts w:ascii="Arial" w:hAnsi="Arial" w:cs="Arial"/>
        </w:rPr>
      </w:pPr>
      <w:r w:rsidRPr="00922363">
        <w:rPr>
          <w:rFonts w:ascii="Arial" w:hAnsi="Arial" w:cs="Arial"/>
        </w:rPr>
        <w:t>Appendix C presents detailed Excel</w:t>
      </w:r>
      <w:r w:rsidRPr="00922363">
        <w:rPr>
          <w:rFonts w:ascii="Arial" w:hAnsi="Arial" w:cs="Arial"/>
        </w:rPr>
        <w:noBreakHyphen/>
        <w:t>style workings to support the Strategic Financial Restructuring Plan. The calculations build directly on the 2024 financial position of General Electronics and apply the restructuring assumptions outlined in Section 3.</w:t>
      </w:r>
    </w:p>
    <w:p w14:paraId="682FBEB8" w14:textId="77777777" w:rsidR="00572609" w:rsidRPr="00922363" w:rsidRDefault="00572609" w:rsidP="00922363">
      <w:pPr>
        <w:pStyle w:val="Heading3"/>
        <w:spacing w:line="360" w:lineRule="auto"/>
        <w:rPr>
          <w:rFonts w:ascii="Arial" w:hAnsi="Arial" w:cs="Arial"/>
        </w:rPr>
      </w:pPr>
      <w:bookmarkStart w:id="102" w:name="_Toc216755998"/>
      <w:bookmarkStart w:id="103" w:name="_Toc217181551"/>
      <w:bookmarkStart w:id="104" w:name="_Toc217260351"/>
      <w:r w:rsidRPr="00922363">
        <w:rPr>
          <w:rFonts w:ascii="Arial" w:hAnsi="Arial" w:cs="Arial"/>
        </w:rPr>
        <w:t>Key restructuring assumptions</w:t>
      </w:r>
      <w:bookmarkEnd w:id="102"/>
      <w:bookmarkEnd w:id="103"/>
      <w:bookmarkEnd w:id="104"/>
    </w:p>
    <w:p w14:paraId="27225500" w14:textId="461FBDA2" w:rsidR="00EB1AD8" w:rsidRPr="00922363" w:rsidRDefault="00572609" w:rsidP="00922363">
      <w:pPr>
        <w:pStyle w:val="NormalWeb"/>
        <w:numPr>
          <w:ilvl w:val="0"/>
          <w:numId w:val="2"/>
        </w:numPr>
        <w:spacing w:line="360" w:lineRule="auto"/>
        <w:rPr>
          <w:rFonts w:ascii="Arial" w:hAnsi="Arial" w:cs="Arial"/>
        </w:rPr>
      </w:pPr>
      <w:r w:rsidRPr="00922363">
        <w:rPr>
          <w:rFonts w:ascii="Arial" w:hAnsi="Arial" w:cs="Arial"/>
        </w:rPr>
        <w:t xml:space="preserve">Equity injection through rights issue: £22,966 million (approximately 15 percent of 2024 shareholders’ equity). </w:t>
      </w:r>
    </w:p>
    <w:p w14:paraId="4FAD765C" w14:textId="7AB01EC8" w:rsidR="00EB1AD8" w:rsidRPr="00922363" w:rsidRDefault="00572609" w:rsidP="00922363">
      <w:pPr>
        <w:pStyle w:val="NormalWeb"/>
        <w:numPr>
          <w:ilvl w:val="0"/>
          <w:numId w:val="2"/>
        </w:numPr>
        <w:spacing w:line="360" w:lineRule="auto"/>
        <w:rPr>
          <w:rFonts w:ascii="Arial" w:hAnsi="Arial" w:cs="Arial"/>
        </w:rPr>
      </w:pPr>
      <w:r w:rsidRPr="00922363">
        <w:rPr>
          <w:rFonts w:ascii="Arial" w:hAnsi="Arial" w:cs="Arial"/>
        </w:rPr>
        <w:t xml:space="preserve">Selective divestiture proceeds: £10,000 million, applied fully to debt reduction. </w:t>
      </w:r>
    </w:p>
    <w:p w14:paraId="1505CDD2" w14:textId="141C114C" w:rsidR="00EB1AD8" w:rsidRPr="00922363" w:rsidRDefault="00572609" w:rsidP="00922363">
      <w:pPr>
        <w:pStyle w:val="NormalWeb"/>
        <w:numPr>
          <w:ilvl w:val="0"/>
          <w:numId w:val="2"/>
        </w:numPr>
        <w:spacing w:line="360" w:lineRule="auto"/>
        <w:rPr>
          <w:rFonts w:ascii="Arial" w:hAnsi="Arial" w:cs="Arial"/>
        </w:rPr>
      </w:pPr>
      <w:r w:rsidRPr="00922363">
        <w:rPr>
          <w:rFonts w:ascii="Arial" w:hAnsi="Arial" w:cs="Arial"/>
        </w:rPr>
        <w:t>No immediate change in operating income in the base pro</w:t>
      </w:r>
      <w:r w:rsidRPr="00922363">
        <w:rPr>
          <w:rFonts w:ascii="Arial" w:hAnsi="Arial" w:cs="Arial"/>
        </w:rPr>
        <w:noBreakHyphen/>
        <w:t xml:space="preserve">forma, ensuring conservative estimation. </w:t>
      </w:r>
    </w:p>
    <w:p w14:paraId="0AB47589" w14:textId="38636B12" w:rsidR="00572609" w:rsidRPr="00922363" w:rsidRDefault="00572609" w:rsidP="00922363">
      <w:pPr>
        <w:pStyle w:val="NormalWeb"/>
        <w:numPr>
          <w:ilvl w:val="0"/>
          <w:numId w:val="2"/>
        </w:numPr>
        <w:spacing w:line="360" w:lineRule="auto"/>
        <w:rPr>
          <w:rFonts w:ascii="Arial" w:hAnsi="Arial" w:cs="Arial"/>
        </w:rPr>
      </w:pPr>
      <w:r w:rsidRPr="00922363">
        <w:rPr>
          <w:rFonts w:ascii="Arial" w:hAnsi="Arial" w:cs="Arial"/>
        </w:rPr>
        <w:t>Interest expense assumed to decline proportionally with debt reduction.</w:t>
      </w:r>
    </w:p>
    <w:p w14:paraId="480DB055" w14:textId="77777777" w:rsidR="00572609" w:rsidRPr="00922363" w:rsidRDefault="00572609" w:rsidP="00922363">
      <w:pPr>
        <w:pStyle w:val="Heading3"/>
        <w:spacing w:line="360" w:lineRule="auto"/>
        <w:rPr>
          <w:rFonts w:ascii="Arial" w:hAnsi="Arial" w:cs="Arial"/>
        </w:rPr>
      </w:pPr>
      <w:bookmarkStart w:id="105" w:name="_Toc216755999"/>
      <w:bookmarkStart w:id="106" w:name="_Toc217181552"/>
      <w:bookmarkStart w:id="107" w:name="_Toc217260352"/>
      <w:r w:rsidRPr="00922363">
        <w:rPr>
          <w:rFonts w:ascii="Arial" w:hAnsi="Arial" w:cs="Arial"/>
        </w:rPr>
        <w:t>Table C1: Pro</w:t>
      </w:r>
      <w:r w:rsidRPr="00922363">
        <w:rPr>
          <w:rFonts w:ascii="Arial" w:hAnsi="Arial" w:cs="Arial"/>
        </w:rPr>
        <w:noBreakHyphen/>
        <w:t>Forma Statement of Financial Position Impact (2024)</w:t>
      </w:r>
      <w:bookmarkEnd w:id="105"/>
      <w:bookmarkEnd w:id="106"/>
      <w:bookmarkEnd w:id="107"/>
    </w:p>
    <w:tbl>
      <w:tblPr>
        <w:tblStyle w:val="TableGrid"/>
        <w:tblW w:w="0" w:type="auto"/>
        <w:tblLook w:val="04A0" w:firstRow="1" w:lastRow="0" w:firstColumn="1" w:lastColumn="0" w:noHBand="0" w:noVBand="1"/>
      </w:tblPr>
      <w:tblGrid>
        <w:gridCol w:w="2208"/>
        <w:gridCol w:w="1414"/>
        <w:gridCol w:w="2848"/>
        <w:gridCol w:w="2880"/>
      </w:tblGrid>
      <w:tr w:rsidR="00572609" w:rsidRPr="00922363" w14:paraId="229FF135" w14:textId="77777777" w:rsidTr="00EB1AD8">
        <w:tc>
          <w:tcPr>
            <w:tcW w:w="0" w:type="auto"/>
            <w:hideMark/>
          </w:tcPr>
          <w:p w14:paraId="5032831F" w14:textId="77777777" w:rsidR="00572609" w:rsidRPr="00922363" w:rsidRDefault="00572609" w:rsidP="00922363">
            <w:pPr>
              <w:spacing w:line="360" w:lineRule="auto"/>
              <w:jc w:val="center"/>
              <w:rPr>
                <w:rFonts w:ascii="Arial" w:hAnsi="Arial" w:cs="Arial"/>
                <w:b/>
                <w:bCs/>
              </w:rPr>
            </w:pPr>
            <w:r w:rsidRPr="00922363">
              <w:rPr>
                <w:rFonts w:ascii="Arial" w:hAnsi="Arial" w:cs="Arial"/>
                <w:b/>
                <w:bCs/>
              </w:rPr>
              <w:t>Item (£ million)</w:t>
            </w:r>
          </w:p>
        </w:tc>
        <w:tc>
          <w:tcPr>
            <w:tcW w:w="0" w:type="auto"/>
            <w:hideMark/>
          </w:tcPr>
          <w:p w14:paraId="3CDD18B9" w14:textId="77777777" w:rsidR="00572609" w:rsidRPr="00922363" w:rsidRDefault="00572609" w:rsidP="00922363">
            <w:pPr>
              <w:spacing w:line="360" w:lineRule="auto"/>
              <w:jc w:val="center"/>
              <w:rPr>
                <w:rFonts w:ascii="Arial" w:hAnsi="Arial" w:cs="Arial"/>
                <w:b/>
                <w:bCs/>
              </w:rPr>
            </w:pPr>
            <w:r w:rsidRPr="00922363">
              <w:rPr>
                <w:rFonts w:ascii="Arial" w:hAnsi="Arial" w:cs="Arial"/>
                <w:b/>
                <w:bCs/>
              </w:rPr>
              <w:t>Actual 2024</w:t>
            </w:r>
          </w:p>
        </w:tc>
        <w:tc>
          <w:tcPr>
            <w:tcW w:w="2848" w:type="dxa"/>
            <w:hideMark/>
          </w:tcPr>
          <w:p w14:paraId="090A5098" w14:textId="77777777" w:rsidR="00572609" w:rsidRPr="00922363" w:rsidRDefault="00572609" w:rsidP="00922363">
            <w:pPr>
              <w:spacing w:line="360" w:lineRule="auto"/>
              <w:jc w:val="center"/>
              <w:rPr>
                <w:rFonts w:ascii="Arial" w:hAnsi="Arial" w:cs="Arial"/>
                <w:b/>
                <w:bCs/>
              </w:rPr>
            </w:pPr>
            <w:r w:rsidRPr="00922363">
              <w:rPr>
                <w:rFonts w:ascii="Arial" w:hAnsi="Arial" w:cs="Arial"/>
                <w:b/>
                <w:bCs/>
              </w:rPr>
              <w:t>Adjustment</w:t>
            </w:r>
          </w:p>
        </w:tc>
        <w:tc>
          <w:tcPr>
            <w:tcW w:w="2880" w:type="dxa"/>
            <w:hideMark/>
          </w:tcPr>
          <w:p w14:paraId="6BC29375" w14:textId="77777777" w:rsidR="00572609" w:rsidRPr="00922363" w:rsidRDefault="00572609" w:rsidP="00922363">
            <w:pPr>
              <w:spacing w:line="360" w:lineRule="auto"/>
              <w:jc w:val="center"/>
              <w:rPr>
                <w:rFonts w:ascii="Arial" w:hAnsi="Arial" w:cs="Arial"/>
                <w:b/>
                <w:bCs/>
              </w:rPr>
            </w:pPr>
            <w:r w:rsidRPr="00922363">
              <w:rPr>
                <w:rFonts w:ascii="Arial" w:hAnsi="Arial" w:cs="Arial"/>
                <w:b/>
                <w:bCs/>
              </w:rPr>
              <w:t>Pro</w:t>
            </w:r>
            <w:r w:rsidRPr="00922363">
              <w:rPr>
                <w:rFonts w:ascii="Arial" w:hAnsi="Arial" w:cs="Arial"/>
                <w:b/>
                <w:bCs/>
              </w:rPr>
              <w:noBreakHyphen/>
              <w:t>Forma 2024</w:t>
            </w:r>
          </w:p>
        </w:tc>
      </w:tr>
      <w:tr w:rsidR="00572609" w:rsidRPr="00922363" w14:paraId="4CA6B0DA" w14:textId="77777777" w:rsidTr="00EB1AD8">
        <w:tc>
          <w:tcPr>
            <w:tcW w:w="0" w:type="auto"/>
            <w:hideMark/>
          </w:tcPr>
          <w:p w14:paraId="6CF541E9" w14:textId="77777777" w:rsidR="00572609" w:rsidRPr="00922363" w:rsidRDefault="00572609" w:rsidP="00922363">
            <w:pPr>
              <w:spacing w:line="360" w:lineRule="auto"/>
              <w:jc w:val="center"/>
              <w:rPr>
                <w:rFonts w:ascii="Arial" w:hAnsi="Arial" w:cs="Arial"/>
              </w:rPr>
            </w:pPr>
            <w:r w:rsidRPr="00922363">
              <w:rPr>
                <w:rFonts w:ascii="Arial" w:hAnsi="Arial" w:cs="Arial"/>
              </w:rPr>
              <w:t>Total Assets</w:t>
            </w:r>
          </w:p>
        </w:tc>
        <w:tc>
          <w:tcPr>
            <w:tcW w:w="0" w:type="auto"/>
            <w:hideMark/>
          </w:tcPr>
          <w:p w14:paraId="17EE88AD" w14:textId="77777777" w:rsidR="00572609" w:rsidRPr="00922363" w:rsidRDefault="00572609" w:rsidP="00922363">
            <w:pPr>
              <w:spacing w:line="360" w:lineRule="auto"/>
              <w:jc w:val="center"/>
              <w:rPr>
                <w:rFonts w:ascii="Arial" w:hAnsi="Arial" w:cs="Arial"/>
              </w:rPr>
            </w:pPr>
            <w:r w:rsidRPr="00922363">
              <w:rPr>
                <w:rFonts w:ascii="Arial" w:hAnsi="Arial" w:cs="Arial"/>
              </w:rPr>
              <w:t>323,354</w:t>
            </w:r>
          </w:p>
        </w:tc>
        <w:tc>
          <w:tcPr>
            <w:tcW w:w="2848" w:type="dxa"/>
            <w:hideMark/>
          </w:tcPr>
          <w:p w14:paraId="34FE003B" w14:textId="77777777" w:rsidR="00572609" w:rsidRPr="00922363" w:rsidRDefault="00572609" w:rsidP="00922363">
            <w:pPr>
              <w:spacing w:line="360" w:lineRule="auto"/>
              <w:jc w:val="center"/>
              <w:rPr>
                <w:rFonts w:ascii="Arial" w:hAnsi="Arial" w:cs="Arial"/>
              </w:rPr>
            </w:pPr>
            <w:r w:rsidRPr="00922363">
              <w:rPr>
                <w:rFonts w:ascii="Arial" w:hAnsi="Arial" w:cs="Arial"/>
              </w:rPr>
              <w:t>+12,966</w:t>
            </w:r>
          </w:p>
        </w:tc>
        <w:tc>
          <w:tcPr>
            <w:tcW w:w="2880" w:type="dxa"/>
            <w:hideMark/>
          </w:tcPr>
          <w:p w14:paraId="0F5BB7CB" w14:textId="77777777" w:rsidR="00572609" w:rsidRPr="00922363" w:rsidRDefault="00572609" w:rsidP="00922363">
            <w:pPr>
              <w:spacing w:line="360" w:lineRule="auto"/>
              <w:jc w:val="center"/>
              <w:rPr>
                <w:rFonts w:ascii="Arial" w:hAnsi="Arial" w:cs="Arial"/>
              </w:rPr>
            </w:pPr>
            <w:r w:rsidRPr="00922363">
              <w:rPr>
                <w:rFonts w:ascii="Arial" w:hAnsi="Arial" w:cs="Arial"/>
              </w:rPr>
              <w:t>336,320</w:t>
            </w:r>
          </w:p>
        </w:tc>
      </w:tr>
      <w:tr w:rsidR="00572609" w:rsidRPr="00922363" w14:paraId="613B8584" w14:textId="77777777" w:rsidTr="00EB1AD8">
        <w:tc>
          <w:tcPr>
            <w:tcW w:w="0" w:type="auto"/>
            <w:hideMark/>
          </w:tcPr>
          <w:p w14:paraId="31DB6753" w14:textId="77777777" w:rsidR="00572609" w:rsidRPr="00922363" w:rsidRDefault="00572609" w:rsidP="00922363">
            <w:pPr>
              <w:spacing w:line="360" w:lineRule="auto"/>
              <w:jc w:val="center"/>
              <w:rPr>
                <w:rFonts w:ascii="Arial" w:hAnsi="Arial" w:cs="Arial"/>
              </w:rPr>
            </w:pPr>
            <w:r w:rsidRPr="00922363">
              <w:rPr>
                <w:rFonts w:ascii="Arial" w:hAnsi="Arial" w:cs="Arial"/>
              </w:rPr>
              <w:t>Total Liabilities</w:t>
            </w:r>
          </w:p>
        </w:tc>
        <w:tc>
          <w:tcPr>
            <w:tcW w:w="0" w:type="auto"/>
            <w:hideMark/>
          </w:tcPr>
          <w:p w14:paraId="4917A39C" w14:textId="77777777" w:rsidR="00572609" w:rsidRPr="00922363" w:rsidRDefault="00572609" w:rsidP="00922363">
            <w:pPr>
              <w:spacing w:line="360" w:lineRule="auto"/>
              <w:jc w:val="center"/>
              <w:rPr>
                <w:rFonts w:ascii="Arial" w:hAnsi="Arial" w:cs="Arial"/>
              </w:rPr>
            </w:pPr>
            <w:r w:rsidRPr="00922363">
              <w:rPr>
                <w:rFonts w:ascii="Arial" w:hAnsi="Arial" w:cs="Arial"/>
              </w:rPr>
              <w:t>170,249</w:t>
            </w:r>
          </w:p>
        </w:tc>
        <w:tc>
          <w:tcPr>
            <w:tcW w:w="2848" w:type="dxa"/>
            <w:hideMark/>
          </w:tcPr>
          <w:p w14:paraId="2AEC63F3" w14:textId="77777777" w:rsidR="00572609" w:rsidRPr="00922363" w:rsidRDefault="00572609" w:rsidP="00922363">
            <w:pPr>
              <w:spacing w:line="360" w:lineRule="auto"/>
              <w:jc w:val="center"/>
              <w:rPr>
                <w:rFonts w:ascii="Arial" w:hAnsi="Arial" w:cs="Arial"/>
              </w:rPr>
            </w:pPr>
            <w:r w:rsidRPr="00922363">
              <w:rPr>
                <w:rFonts w:ascii="Arial" w:hAnsi="Arial" w:cs="Arial"/>
              </w:rPr>
              <w:t>−10,000</w:t>
            </w:r>
          </w:p>
        </w:tc>
        <w:tc>
          <w:tcPr>
            <w:tcW w:w="2880" w:type="dxa"/>
            <w:hideMark/>
          </w:tcPr>
          <w:p w14:paraId="49C337AB" w14:textId="77777777" w:rsidR="00572609" w:rsidRPr="00922363" w:rsidRDefault="00572609" w:rsidP="00922363">
            <w:pPr>
              <w:spacing w:line="360" w:lineRule="auto"/>
              <w:jc w:val="center"/>
              <w:rPr>
                <w:rFonts w:ascii="Arial" w:hAnsi="Arial" w:cs="Arial"/>
              </w:rPr>
            </w:pPr>
            <w:r w:rsidRPr="00922363">
              <w:rPr>
                <w:rFonts w:ascii="Arial" w:hAnsi="Arial" w:cs="Arial"/>
              </w:rPr>
              <w:t>160,249</w:t>
            </w:r>
          </w:p>
        </w:tc>
      </w:tr>
      <w:tr w:rsidR="00572609" w:rsidRPr="00922363" w14:paraId="00C7A713" w14:textId="77777777" w:rsidTr="00EB1AD8">
        <w:tc>
          <w:tcPr>
            <w:tcW w:w="0" w:type="auto"/>
            <w:hideMark/>
          </w:tcPr>
          <w:p w14:paraId="437E1675" w14:textId="77777777" w:rsidR="00572609" w:rsidRPr="00922363" w:rsidRDefault="00572609" w:rsidP="00922363">
            <w:pPr>
              <w:spacing w:line="360" w:lineRule="auto"/>
              <w:jc w:val="center"/>
              <w:rPr>
                <w:rFonts w:ascii="Arial" w:hAnsi="Arial" w:cs="Arial"/>
              </w:rPr>
            </w:pPr>
            <w:r w:rsidRPr="00922363">
              <w:rPr>
                <w:rFonts w:ascii="Arial" w:hAnsi="Arial" w:cs="Arial"/>
              </w:rPr>
              <w:t>Shareholders’ Equity</w:t>
            </w:r>
          </w:p>
        </w:tc>
        <w:tc>
          <w:tcPr>
            <w:tcW w:w="0" w:type="auto"/>
            <w:hideMark/>
          </w:tcPr>
          <w:p w14:paraId="573069DC" w14:textId="77777777" w:rsidR="00572609" w:rsidRPr="00922363" w:rsidRDefault="00572609" w:rsidP="00922363">
            <w:pPr>
              <w:spacing w:line="360" w:lineRule="auto"/>
              <w:jc w:val="center"/>
              <w:rPr>
                <w:rFonts w:ascii="Arial" w:hAnsi="Arial" w:cs="Arial"/>
              </w:rPr>
            </w:pPr>
            <w:r w:rsidRPr="00922363">
              <w:rPr>
                <w:rFonts w:ascii="Arial" w:hAnsi="Arial" w:cs="Arial"/>
              </w:rPr>
              <w:t>153,105</w:t>
            </w:r>
          </w:p>
        </w:tc>
        <w:tc>
          <w:tcPr>
            <w:tcW w:w="2848" w:type="dxa"/>
            <w:hideMark/>
          </w:tcPr>
          <w:p w14:paraId="7759F137" w14:textId="77777777" w:rsidR="00572609" w:rsidRPr="00922363" w:rsidRDefault="00572609" w:rsidP="00922363">
            <w:pPr>
              <w:spacing w:line="360" w:lineRule="auto"/>
              <w:jc w:val="center"/>
              <w:rPr>
                <w:rFonts w:ascii="Arial" w:hAnsi="Arial" w:cs="Arial"/>
              </w:rPr>
            </w:pPr>
            <w:r w:rsidRPr="00922363">
              <w:rPr>
                <w:rFonts w:ascii="Arial" w:hAnsi="Arial" w:cs="Arial"/>
              </w:rPr>
              <w:t>+22,966</w:t>
            </w:r>
          </w:p>
        </w:tc>
        <w:tc>
          <w:tcPr>
            <w:tcW w:w="2880" w:type="dxa"/>
            <w:hideMark/>
          </w:tcPr>
          <w:p w14:paraId="5087B215" w14:textId="77777777" w:rsidR="00572609" w:rsidRPr="00922363" w:rsidRDefault="00572609" w:rsidP="00922363">
            <w:pPr>
              <w:spacing w:line="360" w:lineRule="auto"/>
              <w:jc w:val="center"/>
              <w:rPr>
                <w:rFonts w:ascii="Arial" w:hAnsi="Arial" w:cs="Arial"/>
              </w:rPr>
            </w:pPr>
            <w:r w:rsidRPr="00922363">
              <w:rPr>
                <w:rFonts w:ascii="Arial" w:hAnsi="Arial" w:cs="Arial"/>
              </w:rPr>
              <w:t>176,071</w:t>
            </w:r>
          </w:p>
        </w:tc>
      </w:tr>
    </w:tbl>
    <w:p w14:paraId="06613668" w14:textId="77777777" w:rsidR="00572609" w:rsidRPr="00922363" w:rsidRDefault="00572609" w:rsidP="00922363">
      <w:pPr>
        <w:pStyle w:val="NormalWeb"/>
        <w:spacing w:line="360" w:lineRule="auto"/>
        <w:rPr>
          <w:rFonts w:ascii="Arial" w:hAnsi="Arial" w:cs="Arial"/>
        </w:rPr>
      </w:pPr>
      <w:r w:rsidRPr="00922363">
        <w:rPr>
          <w:rFonts w:ascii="Arial" w:hAnsi="Arial" w:cs="Arial"/>
        </w:rPr>
        <w:t>Note: Net asset increase reflects equity injection net of asset divestment.</w:t>
      </w:r>
    </w:p>
    <w:p w14:paraId="5A70F797" w14:textId="77777777" w:rsidR="00572609" w:rsidRPr="00922363" w:rsidRDefault="00572609" w:rsidP="00922363">
      <w:pPr>
        <w:pStyle w:val="Heading3"/>
        <w:spacing w:line="360" w:lineRule="auto"/>
        <w:rPr>
          <w:rFonts w:ascii="Arial" w:hAnsi="Arial" w:cs="Arial"/>
        </w:rPr>
      </w:pPr>
      <w:bookmarkStart w:id="108" w:name="_Toc216756000"/>
      <w:bookmarkStart w:id="109" w:name="_Toc217181553"/>
      <w:bookmarkStart w:id="110" w:name="_Toc217260353"/>
      <w:r w:rsidRPr="00922363">
        <w:rPr>
          <w:rFonts w:ascii="Arial" w:hAnsi="Arial" w:cs="Arial"/>
        </w:rPr>
        <w:t>Table C2: Pro</w:t>
      </w:r>
      <w:r w:rsidRPr="00922363">
        <w:rPr>
          <w:rFonts w:ascii="Arial" w:hAnsi="Arial" w:cs="Arial"/>
        </w:rPr>
        <w:noBreakHyphen/>
        <w:t>Forma Capital Structure Ratios</w:t>
      </w:r>
      <w:bookmarkEnd w:id="108"/>
      <w:bookmarkEnd w:id="109"/>
      <w:bookmarkEnd w:id="110"/>
    </w:p>
    <w:tbl>
      <w:tblPr>
        <w:tblStyle w:val="TableGrid"/>
        <w:tblW w:w="0" w:type="auto"/>
        <w:tblLook w:val="04A0" w:firstRow="1" w:lastRow="0" w:firstColumn="1" w:lastColumn="0" w:noHBand="0" w:noVBand="1"/>
      </w:tblPr>
      <w:tblGrid>
        <w:gridCol w:w="1738"/>
        <w:gridCol w:w="3123"/>
        <w:gridCol w:w="2059"/>
        <w:gridCol w:w="2430"/>
      </w:tblGrid>
      <w:tr w:rsidR="00572609" w:rsidRPr="00922363" w14:paraId="6BB66D74" w14:textId="77777777" w:rsidTr="00EB1AD8">
        <w:tc>
          <w:tcPr>
            <w:tcW w:w="0" w:type="auto"/>
            <w:hideMark/>
          </w:tcPr>
          <w:p w14:paraId="3AD74FF4" w14:textId="77777777" w:rsidR="00572609" w:rsidRPr="00922363" w:rsidRDefault="00572609" w:rsidP="00922363">
            <w:pPr>
              <w:spacing w:line="360" w:lineRule="auto"/>
              <w:jc w:val="center"/>
              <w:rPr>
                <w:rFonts w:ascii="Arial" w:hAnsi="Arial" w:cs="Arial"/>
              </w:rPr>
            </w:pPr>
            <w:r w:rsidRPr="00922363">
              <w:rPr>
                <w:rFonts w:ascii="Arial" w:hAnsi="Arial" w:cs="Arial"/>
              </w:rPr>
              <w:lastRenderedPageBreak/>
              <w:t>Ratio</w:t>
            </w:r>
          </w:p>
        </w:tc>
        <w:tc>
          <w:tcPr>
            <w:tcW w:w="0" w:type="auto"/>
            <w:hideMark/>
          </w:tcPr>
          <w:p w14:paraId="71231409" w14:textId="77777777" w:rsidR="00572609" w:rsidRPr="00922363" w:rsidRDefault="00572609" w:rsidP="00922363">
            <w:pPr>
              <w:spacing w:line="360" w:lineRule="auto"/>
              <w:jc w:val="center"/>
              <w:rPr>
                <w:rFonts w:ascii="Arial" w:hAnsi="Arial" w:cs="Arial"/>
              </w:rPr>
            </w:pPr>
            <w:r w:rsidRPr="00922363">
              <w:rPr>
                <w:rFonts w:ascii="Arial" w:hAnsi="Arial" w:cs="Arial"/>
              </w:rPr>
              <w:t>Formula</w:t>
            </w:r>
          </w:p>
        </w:tc>
        <w:tc>
          <w:tcPr>
            <w:tcW w:w="2059" w:type="dxa"/>
            <w:hideMark/>
          </w:tcPr>
          <w:p w14:paraId="69C499A6" w14:textId="77777777" w:rsidR="00572609" w:rsidRPr="00922363" w:rsidRDefault="00572609" w:rsidP="00922363">
            <w:pPr>
              <w:spacing w:line="360" w:lineRule="auto"/>
              <w:jc w:val="center"/>
              <w:rPr>
                <w:rFonts w:ascii="Arial" w:hAnsi="Arial" w:cs="Arial"/>
              </w:rPr>
            </w:pPr>
            <w:r w:rsidRPr="00922363">
              <w:rPr>
                <w:rFonts w:ascii="Arial" w:hAnsi="Arial" w:cs="Arial"/>
              </w:rPr>
              <w:t>Actual 2024</w:t>
            </w:r>
          </w:p>
        </w:tc>
        <w:tc>
          <w:tcPr>
            <w:tcW w:w="2430" w:type="dxa"/>
            <w:hideMark/>
          </w:tcPr>
          <w:p w14:paraId="3647633A" w14:textId="77777777" w:rsidR="00572609" w:rsidRPr="00922363" w:rsidRDefault="00572609" w:rsidP="00922363">
            <w:pPr>
              <w:spacing w:line="360" w:lineRule="auto"/>
              <w:jc w:val="center"/>
              <w:rPr>
                <w:rFonts w:ascii="Arial" w:hAnsi="Arial" w:cs="Arial"/>
              </w:rPr>
            </w:pPr>
            <w:r w:rsidRPr="00922363">
              <w:rPr>
                <w:rFonts w:ascii="Arial" w:hAnsi="Arial" w:cs="Arial"/>
              </w:rPr>
              <w:t>Pro</w:t>
            </w:r>
            <w:r w:rsidRPr="00922363">
              <w:rPr>
                <w:rFonts w:ascii="Arial" w:hAnsi="Arial" w:cs="Arial"/>
              </w:rPr>
              <w:noBreakHyphen/>
              <w:t>Forma 2024</w:t>
            </w:r>
          </w:p>
        </w:tc>
      </w:tr>
      <w:tr w:rsidR="00572609" w:rsidRPr="00922363" w14:paraId="60564C75" w14:textId="77777777" w:rsidTr="00EB1AD8">
        <w:tc>
          <w:tcPr>
            <w:tcW w:w="0" w:type="auto"/>
            <w:hideMark/>
          </w:tcPr>
          <w:p w14:paraId="5091DC9F" w14:textId="77777777" w:rsidR="00572609" w:rsidRPr="00922363" w:rsidRDefault="00572609" w:rsidP="00922363">
            <w:pPr>
              <w:spacing w:line="360" w:lineRule="auto"/>
              <w:jc w:val="center"/>
              <w:rPr>
                <w:rFonts w:ascii="Arial" w:hAnsi="Arial" w:cs="Arial"/>
              </w:rPr>
            </w:pPr>
            <w:r w:rsidRPr="00922363">
              <w:rPr>
                <w:rFonts w:ascii="Arial" w:hAnsi="Arial" w:cs="Arial"/>
              </w:rPr>
              <w:t>Debt to Equity</w:t>
            </w:r>
          </w:p>
        </w:tc>
        <w:tc>
          <w:tcPr>
            <w:tcW w:w="0" w:type="auto"/>
            <w:hideMark/>
          </w:tcPr>
          <w:p w14:paraId="06C9A5BE" w14:textId="77777777" w:rsidR="00572609" w:rsidRPr="00922363" w:rsidRDefault="00572609" w:rsidP="00922363">
            <w:pPr>
              <w:spacing w:line="360" w:lineRule="auto"/>
              <w:jc w:val="center"/>
              <w:rPr>
                <w:rFonts w:ascii="Arial" w:hAnsi="Arial" w:cs="Arial"/>
              </w:rPr>
            </w:pPr>
            <w:r w:rsidRPr="00922363">
              <w:rPr>
                <w:rFonts w:ascii="Arial" w:hAnsi="Arial" w:cs="Arial"/>
              </w:rPr>
              <w:t>Total Liabilities / Equity</w:t>
            </w:r>
          </w:p>
        </w:tc>
        <w:tc>
          <w:tcPr>
            <w:tcW w:w="2059" w:type="dxa"/>
            <w:hideMark/>
          </w:tcPr>
          <w:p w14:paraId="00E825AC" w14:textId="77777777" w:rsidR="00572609" w:rsidRPr="00922363" w:rsidRDefault="00572609" w:rsidP="00922363">
            <w:pPr>
              <w:spacing w:line="360" w:lineRule="auto"/>
              <w:jc w:val="center"/>
              <w:rPr>
                <w:rFonts w:ascii="Arial" w:hAnsi="Arial" w:cs="Arial"/>
              </w:rPr>
            </w:pPr>
            <w:r w:rsidRPr="00922363">
              <w:rPr>
                <w:rFonts w:ascii="Arial" w:hAnsi="Arial" w:cs="Arial"/>
              </w:rPr>
              <w:t>1.11</w:t>
            </w:r>
          </w:p>
        </w:tc>
        <w:tc>
          <w:tcPr>
            <w:tcW w:w="2430" w:type="dxa"/>
            <w:hideMark/>
          </w:tcPr>
          <w:p w14:paraId="64F9DB13" w14:textId="77777777" w:rsidR="00572609" w:rsidRPr="00922363" w:rsidRDefault="00572609" w:rsidP="00922363">
            <w:pPr>
              <w:spacing w:line="360" w:lineRule="auto"/>
              <w:jc w:val="center"/>
              <w:rPr>
                <w:rFonts w:ascii="Arial" w:hAnsi="Arial" w:cs="Arial"/>
              </w:rPr>
            </w:pPr>
            <w:r w:rsidRPr="00922363">
              <w:rPr>
                <w:rFonts w:ascii="Arial" w:hAnsi="Arial" w:cs="Arial"/>
              </w:rPr>
              <w:t>0.91</w:t>
            </w:r>
          </w:p>
        </w:tc>
      </w:tr>
      <w:tr w:rsidR="00572609" w:rsidRPr="00922363" w14:paraId="39E2710E" w14:textId="77777777" w:rsidTr="00EB1AD8">
        <w:tc>
          <w:tcPr>
            <w:tcW w:w="0" w:type="auto"/>
            <w:hideMark/>
          </w:tcPr>
          <w:p w14:paraId="69C000AA" w14:textId="77777777" w:rsidR="00572609" w:rsidRPr="00922363" w:rsidRDefault="00572609" w:rsidP="00922363">
            <w:pPr>
              <w:spacing w:line="360" w:lineRule="auto"/>
              <w:jc w:val="center"/>
              <w:rPr>
                <w:rFonts w:ascii="Arial" w:hAnsi="Arial" w:cs="Arial"/>
              </w:rPr>
            </w:pPr>
            <w:r w:rsidRPr="00922363">
              <w:rPr>
                <w:rFonts w:ascii="Arial" w:hAnsi="Arial" w:cs="Arial"/>
              </w:rPr>
              <w:t>Debt to Capital</w:t>
            </w:r>
          </w:p>
        </w:tc>
        <w:tc>
          <w:tcPr>
            <w:tcW w:w="0" w:type="auto"/>
            <w:hideMark/>
          </w:tcPr>
          <w:p w14:paraId="05E663A3" w14:textId="77777777" w:rsidR="00572609" w:rsidRPr="00922363" w:rsidRDefault="00572609" w:rsidP="00922363">
            <w:pPr>
              <w:spacing w:line="360" w:lineRule="auto"/>
              <w:jc w:val="center"/>
              <w:rPr>
                <w:rFonts w:ascii="Arial" w:hAnsi="Arial" w:cs="Arial"/>
              </w:rPr>
            </w:pPr>
            <w:r w:rsidRPr="00922363">
              <w:rPr>
                <w:rFonts w:ascii="Arial" w:hAnsi="Arial" w:cs="Arial"/>
              </w:rPr>
              <w:t>Liabilities / (Liabilities + Equity)</w:t>
            </w:r>
          </w:p>
        </w:tc>
        <w:tc>
          <w:tcPr>
            <w:tcW w:w="2059" w:type="dxa"/>
            <w:hideMark/>
          </w:tcPr>
          <w:p w14:paraId="72890A93" w14:textId="77777777" w:rsidR="00572609" w:rsidRPr="00922363" w:rsidRDefault="00572609" w:rsidP="00922363">
            <w:pPr>
              <w:spacing w:line="360" w:lineRule="auto"/>
              <w:jc w:val="center"/>
              <w:rPr>
                <w:rFonts w:ascii="Arial" w:hAnsi="Arial" w:cs="Arial"/>
              </w:rPr>
            </w:pPr>
            <w:r w:rsidRPr="00922363">
              <w:rPr>
                <w:rFonts w:ascii="Arial" w:hAnsi="Arial" w:cs="Arial"/>
              </w:rPr>
              <w:t>0.53</w:t>
            </w:r>
          </w:p>
        </w:tc>
        <w:tc>
          <w:tcPr>
            <w:tcW w:w="2430" w:type="dxa"/>
            <w:hideMark/>
          </w:tcPr>
          <w:p w14:paraId="0E67A99C" w14:textId="77777777" w:rsidR="00572609" w:rsidRPr="00922363" w:rsidRDefault="00572609" w:rsidP="00922363">
            <w:pPr>
              <w:spacing w:line="360" w:lineRule="auto"/>
              <w:jc w:val="center"/>
              <w:rPr>
                <w:rFonts w:ascii="Arial" w:hAnsi="Arial" w:cs="Arial"/>
              </w:rPr>
            </w:pPr>
            <w:r w:rsidRPr="00922363">
              <w:rPr>
                <w:rFonts w:ascii="Arial" w:hAnsi="Arial" w:cs="Arial"/>
              </w:rPr>
              <w:t>0.48</w:t>
            </w:r>
          </w:p>
        </w:tc>
      </w:tr>
      <w:tr w:rsidR="00572609" w:rsidRPr="00922363" w14:paraId="37ADCB4A" w14:textId="77777777" w:rsidTr="00EB1AD8">
        <w:tc>
          <w:tcPr>
            <w:tcW w:w="0" w:type="auto"/>
            <w:hideMark/>
          </w:tcPr>
          <w:p w14:paraId="3F180672" w14:textId="77777777" w:rsidR="00572609" w:rsidRPr="00922363" w:rsidRDefault="00572609" w:rsidP="00922363">
            <w:pPr>
              <w:spacing w:line="360" w:lineRule="auto"/>
              <w:jc w:val="center"/>
              <w:rPr>
                <w:rFonts w:ascii="Arial" w:hAnsi="Arial" w:cs="Arial"/>
              </w:rPr>
            </w:pPr>
            <w:r w:rsidRPr="00922363">
              <w:rPr>
                <w:rFonts w:ascii="Arial" w:hAnsi="Arial" w:cs="Arial"/>
              </w:rPr>
              <w:t>Equity Multiplier</w:t>
            </w:r>
          </w:p>
        </w:tc>
        <w:tc>
          <w:tcPr>
            <w:tcW w:w="0" w:type="auto"/>
            <w:hideMark/>
          </w:tcPr>
          <w:p w14:paraId="17BC0D85" w14:textId="77777777" w:rsidR="00572609" w:rsidRPr="00922363" w:rsidRDefault="00572609" w:rsidP="00922363">
            <w:pPr>
              <w:spacing w:line="360" w:lineRule="auto"/>
              <w:jc w:val="center"/>
              <w:rPr>
                <w:rFonts w:ascii="Arial" w:hAnsi="Arial" w:cs="Arial"/>
              </w:rPr>
            </w:pPr>
            <w:r w:rsidRPr="00922363">
              <w:rPr>
                <w:rFonts w:ascii="Arial" w:hAnsi="Arial" w:cs="Arial"/>
              </w:rPr>
              <w:t>Total Assets / Equity</w:t>
            </w:r>
          </w:p>
        </w:tc>
        <w:tc>
          <w:tcPr>
            <w:tcW w:w="2059" w:type="dxa"/>
            <w:hideMark/>
          </w:tcPr>
          <w:p w14:paraId="245F7372" w14:textId="77777777" w:rsidR="00572609" w:rsidRPr="00922363" w:rsidRDefault="00572609" w:rsidP="00922363">
            <w:pPr>
              <w:spacing w:line="360" w:lineRule="auto"/>
              <w:jc w:val="center"/>
              <w:rPr>
                <w:rFonts w:ascii="Arial" w:hAnsi="Arial" w:cs="Arial"/>
              </w:rPr>
            </w:pPr>
            <w:r w:rsidRPr="00922363">
              <w:rPr>
                <w:rFonts w:ascii="Arial" w:hAnsi="Arial" w:cs="Arial"/>
              </w:rPr>
              <w:t>2.11</w:t>
            </w:r>
          </w:p>
        </w:tc>
        <w:tc>
          <w:tcPr>
            <w:tcW w:w="2430" w:type="dxa"/>
            <w:hideMark/>
          </w:tcPr>
          <w:p w14:paraId="7CDCA4DE" w14:textId="77777777" w:rsidR="00572609" w:rsidRPr="00922363" w:rsidRDefault="00572609" w:rsidP="00922363">
            <w:pPr>
              <w:spacing w:line="360" w:lineRule="auto"/>
              <w:jc w:val="center"/>
              <w:rPr>
                <w:rFonts w:ascii="Arial" w:hAnsi="Arial" w:cs="Arial"/>
              </w:rPr>
            </w:pPr>
            <w:r w:rsidRPr="00922363">
              <w:rPr>
                <w:rFonts w:ascii="Arial" w:hAnsi="Arial" w:cs="Arial"/>
              </w:rPr>
              <w:t>1.91</w:t>
            </w:r>
          </w:p>
        </w:tc>
      </w:tr>
    </w:tbl>
    <w:p w14:paraId="215CAC6D" w14:textId="77777777" w:rsidR="00572609" w:rsidRPr="00922363" w:rsidRDefault="00572609" w:rsidP="00922363">
      <w:pPr>
        <w:pStyle w:val="NormalWeb"/>
        <w:spacing w:line="360" w:lineRule="auto"/>
        <w:rPr>
          <w:rFonts w:ascii="Arial" w:hAnsi="Arial" w:cs="Arial"/>
        </w:rPr>
      </w:pPr>
      <w:r w:rsidRPr="00922363">
        <w:rPr>
          <w:rFonts w:ascii="Arial" w:hAnsi="Arial" w:cs="Arial"/>
        </w:rPr>
        <w:t>The pro</w:t>
      </w:r>
      <w:r w:rsidRPr="00922363">
        <w:rPr>
          <w:rFonts w:ascii="Arial" w:hAnsi="Arial" w:cs="Arial"/>
        </w:rPr>
        <w:noBreakHyphen/>
        <w:t>forma results demonstrate a material reduction in leverage and improved balance</w:t>
      </w:r>
      <w:r w:rsidRPr="00922363">
        <w:rPr>
          <w:rFonts w:ascii="Arial" w:hAnsi="Arial" w:cs="Arial"/>
        </w:rPr>
        <w:noBreakHyphen/>
        <w:t>sheet resilience.</w:t>
      </w:r>
    </w:p>
    <w:p w14:paraId="7B4FA391" w14:textId="77777777" w:rsidR="00572609" w:rsidRPr="00922363" w:rsidRDefault="00572609" w:rsidP="00922363">
      <w:pPr>
        <w:pStyle w:val="Heading3"/>
        <w:spacing w:line="360" w:lineRule="auto"/>
        <w:rPr>
          <w:rFonts w:ascii="Arial" w:hAnsi="Arial" w:cs="Arial"/>
        </w:rPr>
      </w:pPr>
      <w:bookmarkStart w:id="111" w:name="_Toc216756001"/>
      <w:bookmarkStart w:id="112" w:name="_Toc217181554"/>
      <w:bookmarkStart w:id="113" w:name="_Toc217260354"/>
      <w:r w:rsidRPr="00922363">
        <w:rPr>
          <w:rFonts w:ascii="Arial" w:hAnsi="Arial" w:cs="Arial"/>
        </w:rPr>
        <w:t>Table C3: Interest Coverage Sensitivity</w:t>
      </w:r>
      <w:bookmarkEnd w:id="111"/>
      <w:bookmarkEnd w:id="112"/>
      <w:bookmarkEnd w:id="113"/>
    </w:p>
    <w:tbl>
      <w:tblPr>
        <w:tblStyle w:val="TableGrid"/>
        <w:tblW w:w="0" w:type="auto"/>
        <w:tblLook w:val="04A0" w:firstRow="1" w:lastRow="0" w:firstColumn="1" w:lastColumn="0" w:noHBand="0" w:noVBand="1"/>
      </w:tblPr>
      <w:tblGrid>
        <w:gridCol w:w="3346"/>
        <w:gridCol w:w="3034"/>
        <w:gridCol w:w="2970"/>
      </w:tblGrid>
      <w:tr w:rsidR="00572609" w:rsidRPr="00922363" w14:paraId="36A76948" w14:textId="77777777" w:rsidTr="00EB1AD8">
        <w:tc>
          <w:tcPr>
            <w:tcW w:w="0" w:type="auto"/>
            <w:hideMark/>
          </w:tcPr>
          <w:p w14:paraId="3942E6F0" w14:textId="77777777" w:rsidR="00572609" w:rsidRPr="00922363" w:rsidRDefault="00572609" w:rsidP="00922363">
            <w:pPr>
              <w:spacing w:line="360" w:lineRule="auto"/>
              <w:jc w:val="center"/>
              <w:rPr>
                <w:rFonts w:ascii="Arial" w:hAnsi="Arial" w:cs="Arial"/>
              </w:rPr>
            </w:pPr>
            <w:r w:rsidRPr="00922363">
              <w:rPr>
                <w:rFonts w:ascii="Arial" w:hAnsi="Arial" w:cs="Arial"/>
              </w:rPr>
              <w:t>Item</w:t>
            </w:r>
          </w:p>
        </w:tc>
        <w:tc>
          <w:tcPr>
            <w:tcW w:w="3034" w:type="dxa"/>
            <w:hideMark/>
          </w:tcPr>
          <w:p w14:paraId="56A2695E" w14:textId="77777777" w:rsidR="00572609" w:rsidRPr="00922363" w:rsidRDefault="00572609" w:rsidP="00922363">
            <w:pPr>
              <w:spacing w:line="360" w:lineRule="auto"/>
              <w:jc w:val="center"/>
              <w:rPr>
                <w:rFonts w:ascii="Arial" w:hAnsi="Arial" w:cs="Arial"/>
              </w:rPr>
            </w:pPr>
            <w:r w:rsidRPr="00922363">
              <w:rPr>
                <w:rFonts w:ascii="Arial" w:hAnsi="Arial" w:cs="Arial"/>
              </w:rPr>
              <w:t>Actual 2024</w:t>
            </w:r>
          </w:p>
        </w:tc>
        <w:tc>
          <w:tcPr>
            <w:tcW w:w="2970" w:type="dxa"/>
            <w:hideMark/>
          </w:tcPr>
          <w:p w14:paraId="2FB10F5F" w14:textId="77777777" w:rsidR="00572609" w:rsidRPr="00922363" w:rsidRDefault="00572609" w:rsidP="00922363">
            <w:pPr>
              <w:spacing w:line="360" w:lineRule="auto"/>
              <w:jc w:val="center"/>
              <w:rPr>
                <w:rFonts w:ascii="Arial" w:hAnsi="Arial" w:cs="Arial"/>
              </w:rPr>
            </w:pPr>
            <w:r w:rsidRPr="00922363">
              <w:rPr>
                <w:rFonts w:ascii="Arial" w:hAnsi="Arial" w:cs="Arial"/>
              </w:rPr>
              <w:t>Pro</w:t>
            </w:r>
            <w:r w:rsidRPr="00922363">
              <w:rPr>
                <w:rFonts w:ascii="Arial" w:hAnsi="Arial" w:cs="Arial"/>
              </w:rPr>
              <w:noBreakHyphen/>
              <w:t>Forma 2024</w:t>
            </w:r>
          </w:p>
        </w:tc>
      </w:tr>
      <w:tr w:rsidR="00572609" w:rsidRPr="00922363" w14:paraId="5AB6953E" w14:textId="77777777" w:rsidTr="00EB1AD8">
        <w:tc>
          <w:tcPr>
            <w:tcW w:w="0" w:type="auto"/>
            <w:hideMark/>
          </w:tcPr>
          <w:p w14:paraId="4F7ECAB8" w14:textId="77777777" w:rsidR="00572609" w:rsidRPr="00922363" w:rsidRDefault="00572609" w:rsidP="00922363">
            <w:pPr>
              <w:spacing w:line="360" w:lineRule="auto"/>
              <w:jc w:val="center"/>
              <w:rPr>
                <w:rFonts w:ascii="Arial" w:hAnsi="Arial" w:cs="Arial"/>
              </w:rPr>
            </w:pPr>
            <w:r w:rsidRPr="00922363">
              <w:rPr>
                <w:rFonts w:ascii="Arial" w:hAnsi="Arial" w:cs="Arial"/>
              </w:rPr>
              <w:t>EBIT (£ million)</w:t>
            </w:r>
          </w:p>
        </w:tc>
        <w:tc>
          <w:tcPr>
            <w:tcW w:w="3034" w:type="dxa"/>
            <w:hideMark/>
          </w:tcPr>
          <w:p w14:paraId="4E33CD55" w14:textId="77777777" w:rsidR="00572609" w:rsidRPr="00922363" w:rsidRDefault="00572609" w:rsidP="00922363">
            <w:pPr>
              <w:spacing w:line="360" w:lineRule="auto"/>
              <w:jc w:val="center"/>
              <w:rPr>
                <w:rFonts w:ascii="Arial" w:hAnsi="Arial" w:cs="Arial"/>
              </w:rPr>
            </w:pPr>
            <w:r w:rsidRPr="00922363">
              <w:rPr>
                <w:rFonts w:ascii="Arial" w:hAnsi="Arial" w:cs="Arial"/>
              </w:rPr>
              <w:t>−15,297</w:t>
            </w:r>
          </w:p>
        </w:tc>
        <w:tc>
          <w:tcPr>
            <w:tcW w:w="2970" w:type="dxa"/>
            <w:hideMark/>
          </w:tcPr>
          <w:p w14:paraId="34592393" w14:textId="77777777" w:rsidR="00572609" w:rsidRPr="00922363" w:rsidRDefault="00572609" w:rsidP="00922363">
            <w:pPr>
              <w:spacing w:line="360" w:lineRule="auto"/>
              <w:jc w:val="center"/>
              <w:rPr>
                <w:rFonts w:ascii="Arial" w:hAnsi="Arial" w:cs="Arial"/>
              </w:rPr>
            </w:pPr>
            <w:r w:rsidRPr="00922363">
              <w:rPr>
                <w:rFonts w:ascii="Arial" w:hAnsi="Arial" w:cs="Arial"/>
              </w:rPr>
              <w:t>−15,297</w:t>
            </w:r>
          </w:p>
        </w:tc>
      </w:tr>
      <w:tr w:rsidR="00572609" w:rsidRPr="00922363" w14:paraId="1445E48F" w14:textId="77777777" w:rsidTr="00EB1AD8">
        <w:tc>
          <w:tcPr>
            <w:tcW w:w="0" w:type="auto"/>
            <w:hideMark/>
          </w:tcPr>
          <w:p w14:paraId="2988595F" w14:textId="77777777" w:rsidR="00572609" w:rsidRPr="00922363" w:rsidRDefault="00572609" w:rsidP="00922363">
            <w:pPr>
              <w:spacing w:line="360" w:lineRule="auto"/>
              <w:jc w:val="center"/>
              <w:rPr>
                <w:rFonts w:ascii="Arial" w:hAnsi="Arial" w:cs="Arial"/>
              </w:rPr>
            </w:pPr>
            <w:r w:rsidRPr="00922363">
              <w:rPr>
                <w:rFonts w:ascii="Arial" w:hAnsi="Arial" w:cs="Arial"/>
              </w:rPr>
              <w:t>Interest Expense (£ million)</w:t>
            </w:r>
          </w:p>
        </w:tc>
        <w:tc>
          <w:tcPr>
            <w:tcW w:w="3034" w:type="dxa"/>
            <w:hideMark/>
          </w:tcPr>
          <w:p w14:paraId="6ED94FED" w14:textId="77777777" w:rsidR="00572609" w:rsidRPr="00922363" w:rsidRDefault="00572609" w:rsidP="00922363">
            <w:pPr>
              <w:spacing w:line="360" w:lineRule="auto"/>
              <w:jc w:val="center"/>
              <w:rPr>
                <w:rFonts w:ascii="Arial" w:hAnsi="Arial" w:cs="Arial"/>
              </w:rPr>
            </w:pPr>
            <w:r w:rsidRPr="00922363">
              <w:rPr>
                <w:rFonts w:ascii="Arial" w:hAnsi="Arial" w:cs="Arial"/>
              </w:rPr>
              <w:t>3,361</w:t>
            </w:r>
          </w:p>
        </w:tc>
        <w:tc>
          <w:tcPr>
            <w:tcW w:w="2970" w:type="dxa"/>
            <w:hideMark/>
          </w:tcPr>
          <w:p w14:paraId="21DC1CB4" w14:textId="77777777" w:rsidR="00572609" w:rsidRPr="00922363" w:rsidRDefault="00572609" w:rsidP="00922363">
            <w:pPr>
              <w:spacing w:line="360" w:lineRule="auto"/>
              <w:jc w:val="center"/>
              <w:rPr>
                <w:rFonts w:ascii="Arial" w:hAnsi="Arial" w:cs="Arial"/>
              </w:rPr>
            </w:pPr>
            <w:r w:rsidRPr="00922363">
              <w:rPr>
                <w:rFonts w:ascii="Arial" w:hAnsi="Arial" w:cs="Arial"/>
              </w:rPr>
              <w:t>2,857</w:t>
            </w:r>
          </w:p>
        </w:tc>
      </w:tr>
      <w:tr w:rsidR="00572609" w:rsidRPr="00922363" w14:paraId="2C5EEB81" w14:textId="77777777" w:rsidTr="00EB1AD8">
        <w:tc>
          <w:tcPr>
            <w:tcW w:w="0" w:type="auto"/>
            <w:hideMark/>
          </w:tcPr>
          <w:p w14:paraId="585DFA25" w14:textId="77777777" w:rsidR="00572609" w:rsidRPr="00922363" w:rsidRDefault="00572609" w:rsidP="00922363">
            <w:pPr>
              <w:spacing w:line="360" w:lineRule="auto"/>
              <w:jc w:val="center"/>
              <w:rPr>
                <w:rFonts w:ascii="Arial" w:hAnsi="Arial" w:cs="Arial"/>
              </w:rPr>
            </w:pPr>
            <w:r w:rsidRPr="00922363">
              <w:rPr>
                <w:rFonts w:ascii="Arial" w:hAnsi="Arial" w:cs="Arial"/>
              </w:rPr>
              <w:t>Interest Coverage (EBIT / Interest)</w:t>
            </w:r>
          </w:p>
        </w:tc>
        <w:tc>
          <w:tcPr>
            <w:tcW w:w="3034" w:type="dxa"/>
            <w:hideMark/>
          </w:tcPr>
          <w:p w14:paraId="28524020" w14:textId="77777777" w:rsidR="00572609" w:rsidRPr="00922363" w:rsidRDefault="00572609" w:rsidP="00922363">
            <w:pPr>
              <w:spacing w:line="360" w:lineRule="auto"/>
              <w:jc w:val="center"/>
              <w:rPr>
                <w:rFonts w:ascii="Arial" w:hAnsi="Arial" w:cs="Arial"/>
              </w:rPr>
            </w:pPr>
            <w:r w:rsidRPr="00922363">
              <w:rPr>
                <w:rFonts w:ascii="Arial" w:hAnsi="Arial" w:cs="Arial"/>
              </w:rPr>
              <w:t>−4.55</w:t>
            </w:r>
          </w:p>
        </w:tc>
        <w:tc>
          <w:tcPr>
            <w:tcW w:w="2970" w:type="dxa"/>
            <w:hideMark/>
          </w:tcPr>
          <w:p w14:paraId="7672C791" w14:textId="77777777" w:rsidR="00572609" w:rsidRPr="00922363" w:rsidRDefault="00572609" w:rsidP="00922363">
            <w:pPr>
              <w:spacing w:line="360" w:lineRule="auto"/>
              <w:jc w:val="center"/>
              <w:rPr>
                <w:rFonts w:ascii="Arial" w:hAnsi="Arial" w:cs="Arial"/>
              </w:rPr>
            </w:pPr>
            <w:r w:rsidRPr="00922363">
              <w:rPr>
                <w:rFonts w:ascii="Arial" w:hAnsi="Arial" w:cs="Arial"/>
              </w:rPr>
              <w:t>−3.36</w:t>
            </w:r>
          </w:p>
        </w:tc>
      </w:tr>
    </w:tbl>
    <w:p w14:paraId="507D8802" w14:textId="77777777" w:rsidR="00572609" w:rsidRPr="00922363" w:rsidRDefault="00572609" w:rsidP="00922363">
      <w:pPr>
        <w:pStyle w:val="NormalWeb"/>
        <w:spacing w:line="360" w:lineRule="auto"/>
        <w:rPr>
          <w:rFonts w:ascii="Arial" w:hAnsi="Arial" w:cs="Arial"/>
        </w:rPr>
      </w:pPr>
      <w:r w:rsidRPr="00922363">
        <w:rPr>
          <w:rFonts w:ascii="Arial" w:hAnsi="Arial" w:cs="Arial"/>
        </w:rPr>
        <w:t>Note: Interest expense is reduced proportionally to the £10,000 million debt repayment.</w:t>
      </w:r>
    </w:p>
    <w:p w14:paraId="7AD78DE3" w14:textId="77777777" w:rsidR="00572609" w:rsidRPr="00922363" w:rsidRDefault="00572609" w:rsidP="00922363">
      <w:pPr>
        <w:pStyle w:val="Heading3"/>
        <w:spacing w:line="360" w:lineRule="auto"/>
        <w:rPr>
          <w:rFonts w:ascii="Arial" w:hAnsi="Arial" w:cs="Arial"/>
        </w:rPr>
      </w:pPr>
      <w:bookmarkStart w:id="114" w:name="_Toc216756002"/>
      <w:bookmarkStart w:id="115" w:name="_Toc217181555"/>
      <w:bookmarkStart w:id="116" w:name="_Toc217260355"/>
      <w:r w:rsidRPr="00922363">
        <w:rPr>
          <w:rFonts w:ascii="Arial" w:hAnsi="Arial" w:cs="Arial"/>
        </w:rPr>
        <w:t>Table C4: Equity Dilution and EPS Impact</w:t>
      </w:r>
      <w:bookmarkEnd w:id="114"/>
      <w:bookmarkEnd w:id="115"/>
      <w:bookmarkEnd w:id="116"/>
    </w:p>
    <w:tbl>
      <w:tblPr>
        <w:tblStyle w:val="TableGrid"/>
        <w:tblW w:w="0" w:type="auto"/>
        <w:tblLook w:val="04A0" w:firstRow="1" w:lastRow="0" w:firstColumn="1" w:lastColumn="0" w:noHBand="0" w:noVBand="1"/>
      </w:tblPr>
      <w:tblGrid>
        <w:gridCol w:w="2839"/>
        <w:gridCol w:w="3361"/>
        <w:gridCol w:w="3150"/>
      </w:tblGrid>
      <w:tr w:rsidR="00572609" w:rsidRPr="00922363" w14:paraId="09EAE1A6" w14:textId="77777777" w:rsidTr="00EB1AD8">
        <w:tc>
          <w:tcPr>
            <w:tcW w:w="0" w:type="auto"/>
            <w:hideMark/>
          </w:tcPr>
          <w:p w14:paraId="3A6B4383" w14:textId="77777777" w:rsidR="00572609" w:rsidRPr="00922363" w:rsidRDefault="00572609" w:rsidP="00922363">
            <w:pPr>
              <w:spacing w:line="360" w:lineRule="auto"/>
              <w:jc w:val="center"/>
              <w:rPr>
                <w:rFonts w:ascii="Arial" w:hAnsi="Arial" w:cs="Arial"/>
              </w:rPr>
            </w:pPr>
            <w:r w:rsidRPr="00922363">
              <w:rPr>
                <w:rFonts w:ascii="Arial" w:hAnsi="Arial" w:cs="Arial"/>
              </w:rPr>
              <w:t>Item</w:t>
            </w:r>
          </w:p>
        </w:tc>
        <w:tc>
          <w:tcPr>
            <w:tcW w:w="3361" w:type="dxa"/>
            <w:hideMark/>
          </w:tcPr>
          <w:p w14:paraId="4009D0C8" w14:textId="77777777" w:rsidR="00572609" w:rsidRPr="00922363" w:rsidRDefault="00572609" w:rsidP="00922363">
            <w:pPr>
              <w:spacing w:line="360" w:lineRule="auto"/>
              <w:jc w:val="center"/>
              <w:rPr>
                <w:rFonts w:ascii="Arial" w:hAnsi="Arial" w:cs="Arial"/>
              </w:rPr>
            </w:pPr>
            <w:r w:rsidRPr="00922363">
              <w:rPr>
                <w:rFonts w:ascii="Arial" w:hAnsi="Arial" w:cs="Arial"/>
              </w:rPr>
              <w:t>Actual 2024</w:t>
            </w:r>
          </w:p>
        </w:tc>
        <w:tc>
          <w:tcPr>
            <w:tcW w:w="3150" w:type="dxa"/>
            <w:hideMark/>
          </w:tcPr>
          <w:p w14:paraId="539B5A7A" w14:textId="77777777" w:rsidR="00572609" w:rsidRPr="00922363" w:rsidRDefault="00572609" w:rsidP="00922363">
            <w:pPr>
              <w:spacing w:line="360" w:lineRule="auto"/>
              <w:jc w:val="center"/>
              <w:rPr>
                <w:rFonts w:ascii="Arial" w:hAnsi="Arial" w:cs="Arial"/>
              </w:rPr>
            </w:pPr>
            <w:r w:rsidRPr="00922363">
              <w:rPr>
                <w:rFonts w:ascii="Arial" w:hAnsi="Arial" w:cs="Arial"/>
              </w:rPr>
              <w:t>Pro</w:t>
            </w:r>
            <w:r w:rsidRPr="00922363">
              <w:rPr>
                <w:rFonts w:ascii="Arial" w:hAnsi="Arial" w:cs="Arial"/>
              </w:rPr>
              <w:noBreakHyphen/>
              <w:t>Forma 2024</w:t>
            </w:r>
          </w:p>
        </w:tc>
      </w:tr>
      <w:tr w:rsidR="00572609" w:rsidRPr="00922363" w14:paraId="4F1F7197" w14:textId="77777777" w:rsidTr="00EB1AD8">
        <w:tc>
          <w:tcPr>
            <w:tcW w:w="0" w:type="auto"/>
            <w:hideMark/>
          </w:tcPr>
          <w:p w14:paraId="12DF634A" w14:textId="77777777" w:rsidR="00572609" w:rsidRPr="00922363" w:rsidRDefault="00572609" w:rsidP="00922363">
            <w:pPr>
              <w:spacing w:line="360" w:lineRule="auto"/>
              <w:jc w:val="center"/>
              <w:rPr>
                <w:rFonts w:ascii="Arial" w:hAnsi="Arial" w:cs="Arial"/>
              </w:rPr>
            </w:pPr>
            <w:r w:rsidRPr="00922363">
              <w:rPr>
                <w:rFonts w:ascii="Arial" w:hAnsi="Arial" w:cs="Arial"/>
              </w:rPr>
              <w:t>Shares Outstanding (million)</w:t>
            </w:r>
          </w:p>
        </w:tc>
        <w:tc>
          <w:tcPr>
            <w:tcW w:w="3361" w:type="dxa"/>
            <w:hideMark/>
          </w:tcPr>
          <w:p w14:paraId="1EF0DA63" w14:textId="77777777" w:rsidR="00572609" w:rsidRPr="00922363" w:rsidRDefault="00572609" w:rsidP="00922363">
            <w:pPr>
              <w:spacing w:line="360" w:lineRule="auto"/>
              <w:jc w:val="center"/>
              <w:rPr>
                <w:rFonts w:ascii="Arial" w:hAnsi="Arial" w:cs="Arial"/>
              </w:rPr>
            </w:pPr>
            <w:r w:rsidRPr="00922363">
              <w:rPr>
                <w:rFonts w:ascii="Arial" w:hAnsi="Arial" w:cs="Arial"/>
              </w:rPr>
              <w:t>12,959</w:t>
            </w:r>
          </w:p>
        </w:tc>
        <w:tc>
          <w:tcPr>
            <w:tcW w:w="3150" w:type="dxa"/>
            <w:hideMark/>
          </w:tcPr>
          <w:p w14:paraId="18F6CCE7" w14:textId="77777777" w:rsidR="00572609" w:rsidRPr="00922363" w:rsidRDefault="00572609" w:rsidP="00922363">
            <w:pPr>
              <w:spacing w:line="360" w:lineRule="auto"/>
              <w:jc w:val="center"/>
              <w:rPr>
                <w:rFonts w:ascii="Arial" w:hAnsi="Arial" w:cs="Arial"/>
              </w:rPr>
            </w:pPr>
            <w:r w:rsidRPr="00922363">
              <w:rPr>
                <w:rFonts w:ascii="Arial" w:hAnsi="Arial" w:cs="Arial"/>
              </w:rPr>
              <w:t>14,903</w:t>
            </w:r>
          </w:p>
        </w:tc>
      </w:tr>
      <w:tr w:rsidR="00572609" w:rsidRPr="00922363" w14:paraId="284F5DD2" w14:textId="77777777" w:rsidTr="00EB1AD8">
        <w:tc>
          <w:tcPr>
            <w:tcW w:w="0" w:type="auto"/>
            <w:hideMark/>
          </w:tcPr>
          <w:p w14:paraId="04558620" w14:textId="77777777" w:rsidR="00572609" w:rsidRPr="00922363" w:rsidRDefault="00572609" w:rsidP="00922363">
            <w:pPr>
              <w:spacing w:line="360" w:lineRule="auto"/>
              <w:jc w:val="center"/>
              <w:rPr>
                <w:rFonts w:ascii="Arial" w:hAnsi="Arial" w:cs="Arial"/>
              </w:rPr>
            </w:pPr>
            <w:r w:rsidRPr="00922363">
              <w:rPr>
                <w:rFonts w:ascii="Arial" w:hAnsi="Arial" w:cs="Arial"/>
              </w:rPr>
              <w:t>Net Income (£ million)</w:t>
            </w:r>
          </w:p>
        </w:tc>
        <w:tc>
          <w:tcPr>
            <w:tcW w:w="3361" w:type="dxa"/>
            <w:hideMark/>
          </w:tcPr>
          <w:p w14:paraId="60072C0D" w14:textId="77777777" w:rsidR="00572609" w:rsidRPr="00922363" w:rsidRDefault="00572609" w:rsidP="00922363">
            <w:pPr>
              <w:spacing w:line="360" w:lineRule="auto"/>
              <w:jc w:val="center"/>
              <w:rPr>
                <w:rFonts w:ascii="Arial" w:hAnsi="Arial" w:cs="Arial"/>
              </w:rPr>
            </w:pPr>
            <w:r w:rsidRPr="00922363">
              <w:rPr>
                <w:rFonts w:ascii="Arial" w:hAnsi="Arial" w:cs="Arial"/>
              </w:rPr>
              <w:t>−24,029</w:t>
            </w:r>
          </w:p>
        </w:tc>
        <w:tc>
          <w:tcPr>
            <w:tcW w:w="3150" w:type="dxa"/>
            <w:hideMark/>
          </w:tcPr>
          <w:p w14:paraId="0E31D1EE" w14:textId="77777777" w:rsidR="00572609" w:rsidRPr="00922363" w:rsidRDefault="00572609" w:rsidP="00922363">
            <w:pPr>
              <w:spacing w:line="360" w:lineRule="auto"/>
              <w:jc w:val="center"/>
              <w:rPr>
                <w:rFonts w:ascii="Arial" w:hAnsi="Arial" w:cs="Arial"/>
              </w:rPr>
            </w:pPr>
            <w:r w:rsidRPr="00922363">
              <w:rPr>
                <w:rFonts w:ascii="Arial" w:hAnsi="Arial" w:cs="Arial"/>
              </w:rPr>
              <w:t>−24,029</w:t>
            </w:r>
          </w:p>
        </w:tc>
      </w:tr>
      <w:tr w:rsidR="00572609" w:rsidRPr="00922363" w14:paraId="4C8B0D9F" w14:textId="77777777" w:rsidTr="00EB1AD8">
        <w:tc>
          <w:tcPr>
            <w:tcW w:w="0" w:type="auto"/>
            <w:hideMark/>
          </w:tcPr>
          <w:p w14:paraId="07CF0A46" w14:textId="77777777" w:rsidR="00572609" w:rsidRPr="00922363" w:rsidRDefault="00572609" w:rsidP="00922363">
            <w:pPr>
              <w:spacing w:line="360" w:lineRule="auto"/>
              <w:jc w:val="center"/>
              <w:rPr>
                <w:rFonts w:ascii="Arial" w:hAnsi="Arial" w:cs="Arial"/>
              </w:rPr>
            </w:pPr>
            <w:r w:rsidRPr="00922363">
              <w:rPr>
                <w:rFonts w:ascii="Arial" w:hAnsi="Arial" w:cs="Arial"/>
              </w:rPr>
              <w:t>Earnings per Share (£)</w:t>
            </w:r>
          </w:p>
        </w:tc>
        <w:tc>
          <w:tcPr>
            <w:tcW w:w="3361" w:type="dxa"/>
            <w:hideMark/>
          </w:tcPr>
          <w:p w14:paraId="2CC9CFC3" w14:textId="77777777" w:rsidR="00572609" w:rsidRPr="00922363" w:rsidRDefault="00572609" w:rsidP="00922363">
            <w:pPr>
              <w:spacing w:line="360" w:lineRule="auto"/>
              <w:jc w:val="center"/>
              <w:rPr>
                <w:rFonts w:ascii="Arial" w:hAnsi="Arial" w:cs="Arial"/>
              </w:rPr>
            </w:pPr>
            <w:r w:rsidRPr="00922363">
              <w:rPr>
                <w:rFonts w:ascii="Arial" w:hAnsi="Arial" w:cs="Arial"/>
              </w:rPr>
              <w:t>−1.85</w:t>
            </w:r>
          </w:p>
        </w:tc>
        <w:tc>
          <w:tcPr>
            <w:tcW w:w="3150" w:type="dxa"/>
            <w:hideMark/>
          </w:tcPr>
          <w:p w14:paraId="55342562" w14:textId="77777777" w:rsidR="00572609" w:rsidRPr="00922363" w:rsidRDefault="00572609" w:rsidP="00922363">
            <w:pPr>
              <w:spacing w:line="360" w:lineRule="auto"/>
              <w:jc w:val="center"/>
              <w:rPr>
                <w:rFonts w:ascii="Arial" w:hAnsi="Arial" w:cs="Arial"/>
              </w:rPr>
            </w:pPr>
            <w:r w:rsidRPr="00922363">
              <w:rPr>
                <w:rFonts w:ascii="Arial" w:hAnsi="Arial" w:cs="Arial"/>
              </w:rPr>
              <w:t>−1.61</w:t>
            </w:r>
          </w:p>
        </w:tc>
      </w:tr>
    </w:tbl>
    <w:p w14:paraId="56054AA4" w14:textId="4EC772E1" w:rsidR="00EB1AD8" w:rsidRPr="00922363" w:rsidRDefault="00572609" w:rsidP="00922363">
      <w:pPr>
        <w:pStyle w:val="NormalWeb"/>
        <w:spacing w:line="360" w:lineRule="auto"/>
        <w:rPr>
          <w:rFonts w:ascii="Arial" w:hAnsi="Arial" w:cs="Arial"/>
        </w:rPr>
      </w:pPr>
      <w:r w:rsidRPr="00922363">
        <w:rPr>
          <w:rFonts w:ascii="Arial" w:hAnsi="Arial" w:cs="Arial"/>
        </w:rPr>
        <w:t>The rights issue increases share count but reduces per</w:t>
      </w:r>
      <w:r w:rsidRPr="00922363">
        <w:rPr>
          <w:rFonts w:ascii="Arial" w:hAnsi="Arial" w:cs="Arial"/>
        </w:rPr>
        <w:noBreakHyphen/>
        <w:t>share losses, indicating dilution with stabilisation benefits.</w:t>
      </w:r>
    </w:p>
    <w:p w14:paraId="5F91809B" w14:textId="3C8BB0AA" w:rsidR="00572609" w:rsidRPr="00922363" w:rsidRDefault="00572609" w:rsidP="00922363">
      <w:pPr>
        <w:pStyle w:val="Heading3"/>
        <w:spacing w:line="360" w:lineRule="auto"/>
        <w:rPr>
          <w:rFonts w:ascii="Arial" w:hAnsi="Arial" w:cs="Arial"/>
        </w:rPr>
      </w:pPr>
      <w:bookmarkStart w:id="117" w:name="_Toc216756003"/>
      <w:bookmarkStart w:id="118" w:name="_Toc217181556"/>
      <w:bookmarkStart w:id="119" w:name="_Toc217260356"/>
      <w:r w:rsidRPr="00922363">
        <w:rPr>
          <w:rFonts w:ascii="Arial" w:hAnsi="Arial" w:cs="Arial"/>
        </w:rPr>
        <w:t>Table C5: Liquidity and Solvency Improvement Indicators</w:t>
      </w:r>
      <w:bookmarkEnd w:id="117"/>
      <w:bookmarkEnd w:id="118"/>
      <w:bookmarkEnd w:id="119"/>
    </w:p>
    <w:tbl>
      <w:tblPr>
        <w:tblStyle w:val="TableGrid"/>
        <w:tblW w:w="0" w:type="auto"/>
        <w:tblLook w:val="04A0" w:firstRow="1" w:lastRow="0" w:firstColumn="1" w:lastColumn="0" w:noHBand="0" w:noVBand="1"/>
      </w:tblPr>
      <w:tblGrid>
        <w:gridCol w:w="3314"/>
        <w:gridCol w:w="3066"/>
        <w:gridCol w:w="2970"/>
      </w:tblGrid>
      <w:tr w:rsidR="00572609" w:rsidRPr="00922363" w14:paraId="4E5954B1" w14:textId="77777777" w:rsidTr="00EB1AD8">
        <w:tc>
          <w:tcPr>
            <w:tcW w:w="0" w:type="auto"/>
            <w:hideMark/>
          </w:tcPr>
          <w:p w14:paraId="6BFF9BB7" w14:textId="77777777" w:rsidR="00572609" w:rsidRPr="00922363" w:rsidRDefault="00572609" w:rsidP="00922363">
            <w:pPr>
              <w:spacing w:line="360" w:lineRule="auto"/>
              <w:rPr>
                <w:rFonts w:ascii="Arial" w:hAnsi="Arial" w:cs="Arial"/>
              </w:rPr>
            </w:pPr>
            <w:r w:rsidRPr="00922363">
              <w:rPr>
                <w:rFonts w:ascii="Arial" w:hAnsi="Arial" w:cs="Arial"/>
              </w:rPr>
              <w:t>Metric</w:t>
            </w:r>
          </w:p>
        </w:tc>
        <w:tc>
          <w:tcPr>
            <w:tcW w:w="3066" w:type="dxa"/>
            <w:hideMark/>
          </w:tcPr>
          <w:p w14:paraId="48059A6A" w14:textId="77777777" w:rsidR="00572609" w:rsidRPr="00922363" w:rsidRDefault="00572609" w:rsidP="00922363">
            <w:pPr>
              <w:spacing w:line="360" w:lineRule="auto"/>
              <w:rPr>
                <w:rFonts w:ascii="Arial" w:hAnsi="Arial" w:cs="Arial"/>
              </w:rPr>
            </w:pPr>
            <w:r w:rsidRPr="00922363">
              <w:rPr>
                <w:rFonts w:ascii="Arial" w:hAnsi="Arial" w:cs="Arial"/>
              </w:rPr>
              <w:t>Actual 2024</w:t>
            </w:r>
          </w:p>
        </w:tc>
        <w:tc>
          <w:tcPr>
            <w:tcW w:w="2970" w:type="dxa"/>
            <w:hideMark/>
          </w:tcPr>
          <w:p w14:paraId="1A01B3BF" w14:textId="77777777" w:rsidR="00572609" w:rsidRPr="00922363" w:rsidRDefault="00572609" w:rsidP="00922363">
            <w:pPr>
              <w:spacing w:line="360" w:lineRule="auto"/>
              <w:rPr>
                <w:rFonts w:ascii="Arial" w:hAnsi="Arial" w:cs="Arial"/>
              </w:rPr>
            </w:pPr>
            <w:r w:rsidRPr="00922363">
              <w:rPr>
                <w:rFonts w:ascii="Arial" w:hAnsi="Arial" w:cs="Arial"/>
              </w:rPr>
              <w:t>Pro</w:t>
            </w:r>
            <w:r w:rsidRPr="00922363">
              <w:rPr>
                <w:rFonts w:ascii="Arial" w:hAnsi="Arial" w:cs="Arial"/>
              </w:rPr>
              <w:noBreakHyphen/>
              <w:t>Forma 2024</w:t>
            </w:r>
          </w:p>
        </w:tc>
      </w:tr>
      <w:tr w:rsidR="00572609" w:rsidRPr="00922363" w14:paraId="23348ABD" w14:textId="77777777" w:rsidTr="00EB1AD8">
        <w:tc>
          <w:tcPr>
            <w:tcW w:w="0" w:type="auto"/>
            <w:hideMark/>
          </w:tcPr>
          <w:p w14:paraId="5412EDE1" w14:textId="77777777" w:rsidR="00572609" w:rsidRPr="00922363" w:rsidRDefault="00572609" w:rsidP="00922363">
            <w:pPr>
              <w:spacing w:line="360" w:lineRule="auto"/>
              <w:jc w:val="center"/>
              <w:rPr>
                <w:rFonts w:ascii="Arial" w:hAnsi="Arial" w:cs="Arial"/>
              </w:rPr>
            </w:pPr>
            <w:r w:rsidRPr="00922363">
              <w:rPr>
                <w:rFonts w:ascii="Arial" w:hAnsi="Arial" w:cs="Arial"/>
              </w:rPr>
              <w:lastRenderedPageBreak/>
              <w:t>Operating Cash Flow to Debt</w:t>
            </w:r>
          </w:p>
        </w:tc>
        <w:tc>
          <w:tcPr>
            <w:tcW w:w="3066" w:type="dxa"/>
            <w:hideMark/>
          </w:tcPr>
          <w:p w14:paraId="753CB9EF" w14:textId="77777777" w:rsidR="00572609" w:rsidRPr="00922363" w:rsidRDefault="00572609" w:rsidP="00922363">
            <w:pPr>
              <w:spacing w:line="360" w:lineRule="auto"/>
              <w:jc w:val="center"/>
              <w:rPr>
                <w:rFonts w:ascii="Arial" w:hAnsi="Arial" w:cs="Arial"/>
              </w:rPr>
            </w:pPr>
            <w:r w:rsidRPr="00922363">
              <w:rPr>
                <w:rFonts w:ascii="Arial" w:hAnsi="Arial" w:cs="Arial"/>
              </w:rPr>
              <w:t>0.09</w:t>
            </w:r>
          </w:p>
        </w:tc>
        <w:tc>
          <w:tcPr>
            <w:tcW w:w="2970" w:type="dxa"/>
            <w:hideMark/>
          </w:tcPr>
          <w:p w14:paraId="35B606ED" w14:textId="77777777" w:rsidR="00572609" w:rsidRPr="00922363" w:rsidRDefault="00572609" w:rsidP="00922363">
            <w:pPr>
              <w:spacing w:line="360" w:lineRule="auto"/>
              <w:jc w:val="center"/>
              <w:rPr>
                <w:rFonts w:ascii="Arial" w:hAnsi="Arial" w:cs="Arial"/>
              </w:rPr>
            </w:pPr>
            <w:r w:rsidRPr="00922363">
              <w:rPr>
                <w:rFonts w:ascii="Arial" w:hAnsi="Arial" w:cs="Arial"/>
              </w:rPr>
              <w:t>0.09</w:t>
            </w:r>
          </w:p>
        </w:tc>
      </w:tr>
      <w:tr w:rsidR="00572609" w:rsidRPr="00922363" w14:paraId="0E7AA7BC" w14:textId="77777777" w:rsidTr="00EB1AD8">
        <w:tc>
          <w:tcPr>
            <w:tcW w:w="0" w:type="auto"/>
            <w:hideMark/>
          </w:tcPr>
          <w:p w14:paraId="31BB49EE" w14:textId="77777777" w:rsidR="00572609" w:rsidRPr="00922363" w:rsidRDefault="00572609" w:rsidP="00922363">
            <w:pPr>
              <w:spacing w:line="360" w:lineRule="auto"/>
              <w:jc w:val="center"/>
              <w:rPr>
                <w:rFonts w:ascii="Arial" w:hAnsi="Arial" w:cs="Arial"/>
              </w:rPr>
            </w:pPr>
            <w:r w:rsidRPr="00922363">
              <w:rPr>
                <w:rFonts w:ascii="Arial" w:hAnsi="Arial" w:cs="Arial"/>
              </w:rPr>
              <w:t>Debt Reduction (£ million)</w:t>
            </w:r>
          </w:p>
        </w:tc>
        <w:tc>
          <w:tcPr>
            <w:tcW w:w="3066" w:type="dxa"/>
            <w:hideMark/>
          </w:tcPr>
          <w:p w14:paraId="790FFE0F" w14:textId="77777777" w:rsidR="00572609" w:rsidRPr="00922363" w:rsidRDefault="00572609" w:rsidP="00922363">
            <w:pPr>
              <w:spacing w:line="360" w:lineRule="auto"/>
              <w:jc w:val="center"/>
              <w:rPr>
                <w:rFonts w:ascii="Arial" w:hAnsi="Arial" w:cs="Arial"/>
              </w:rPr>
            </w:pPr>
            <w:r w:rsidRPr="00922363">
              <w:rPr>
                <w:rFonts w:ascii="Arial" w:hAnsi="Arial" w:cs="Arial"/>
              </w:rPr>
              <w:t>–</w:t>
            </w:r>
          </w:p>
        </w:tc>
        <w:tc>
          <w:tcPr>
            <w:tcW w:w="2970" w:type="dxa"/>
            <w:hideMark/>
          </w:tcPr>
          <w:p w14:paraId="7592740A" w14:textId="77777777" w:rsidR="00572609" w:rsidRPr="00922363" w:rsidRDefault="00572609" w:rsidP="00922363">
            <w:pPr>
              <w:spacing w:line="360" w:lineRule="auto"/>
              <w:jc w:val="center"/>
              <w:rPr>
                <w:rFonts w:ascii="Arial" w:hAnsi="Arial" w:cs="Arial"/>
              </w:rPr>
            </w:pPr>
            <w:r w:rsidRPr="00922363">
              <w:rPr>
                <w:rFonts w:ascii="Arial" w:hAnsi="Arial" w:cs="Arial"/>
              </w:rPr>
              <w:t>10,000</w:t>
            </w:r>
          </w:p>
        </w:tc>
      </w:tr>
      <w:tr w:rsidR="00572609" w:rsidRPr="00922363" w14:paraId="1C1739CD" w14:textId="77777777" w:rsidTr="00EB1AD8">
        <w:tc>
          <w:tcPr>
            <w:tcW w:w="0" w:type="auto"/>
            <w:hideMark/>
          </w:tcPr>
          <w:p w14:paraId="128193C4" w14:textId="77777777" w:rsidR="00572609" w:rsidRPr="00922363" w:rsidRDefault="00572609" w:rsidP="00922363">
            <w:pPr>
              <w:spacing w:line="360" w:lineRule="auto"/>
              <w:jc w:val="center"/>
              <w:rPr>
                <w:rFonts w:ascii="Arial" w:hAnsi="Arial" w:cs="Arial"/>
              </w:rPr>
            </w:pPr>
            <w:r w:rsidRPr="00922363">
              <w:rPr>
                <w:rFonts w:ascii="Arial" w:hAnsi="Arial" w:cs="Arial"/>
              </w:rPr>
              <w:t>Equity Buffer Increase (£ million)</w:t>
            </w:r>
          </w:p>
        </w:tc>
        <w:tc>
          <w:tcPr>
            <w:tcW w:w="3066" w:type="dxa"/>
            <w:hideMark/>
          </w:tcPr>
          <w:p w14:paraId="100E9016" w14:textId="77777777" w:rsidR="00572609" w:rsidRPr="00922363" w:rsidRDefault="00572609" w:rsidP="00922363">
            <w:pPr>
              <w:spacing w:line="360" w:lineRule="auto"/>
              <w:jc w:val="center"/>
              <w:rPr>
                <w:rFonts w:ascii="Arial" w:hAnsi="Arial" w:cs="Arial"/>
              </w:rPr>
            </w:pPr>
            <w:r w:rsidRPr="00922363">
              <w:rPr>
                <w:rFonts w:ascii="Arial" w:hAnsi="Arial" w:cs="Arial"/>
              </w:rPr>
              <w:t>–</w:t>
            </w:r>
          </w:p>
        </w:tc>
        <w:tc>
          <w:tcPr>
            <w:tcW w:w="2970" w:type="dxa"/>
            <w:hideMark/>
          </w:tcPr>
          <w:p w14:paraId="19BA5338" w14:textId="77777777" w:rsidR="00572609" w:rsidRPr="00922363" w:rsidRDefault="00572609" w:rsidP="00922363">
            <w:pPr>
              <w:spacing w:line="360" w:lineRule="auto"/>
              <w:jc w:val="center"/>
              <w:rPr>
                <w:rFonts w:ascii="Arial" w:hAnsi="Arial" w:cs="Arial"/>
              </w:rPr>
            </w:pPr>
            <w:r w:rsidRPr="00922363">
              <w:rPr>
                <w:rFonts w:ascii="Arial" w:hAnsi="Arial" w:cs="Arial"/>
              </w:rPr>
              <w:t>22,966</w:t>
            </w:r>
          </w:p>
        </w:tc>
      </w:tr>
    </w:tbl>
    <w:p w14:paraId="421138A0" w14:textId="77777777" w:rsidR="00572609" w:rsidRPr="00922363" w:rsidRDefault="00572609" w:rsidP="00922363">
      <w:pPr>
        <w:pStyle w:val="Heading3"/>
        <w:spacing w:line="360" w:lineRule="auto"/>
        <w:jc w:val="both"/>
        <w:rPr>
          <w:rFonts w:ascii="Arial" w:hAnsi="Arial" w:cs="Arial"/>
        </w:rPr>
      </w:pPr>
      <w:bookmarkStart w:id="120" w:name="_Toc216756004"/>
      <w:bookmarkStart w:id="121" w:name="_Toc217181557"/>
      <w:bookmarkStart w:id="122" w:name="_Toc217260357"/>
      <w:r w:rsidRPr="00922363">
        <w:rPr>
          <w:rFonts w:ascii="Arial" w:hAnsi="Arial" w:cs="Arial"/>
        </w:rPr>
        <w:t>Interpretation</w:t>
      </w:r>
      <w:bookmarkEnd w:id="120"/>
      <w:bookmarkEnd w:id="121"/>
      <w:bookmarkEnd w:id="122"/>
    </w:p>
    <w:p w14:paraId="55D5C473" w14:textId="77777777" w:rsidR="009B6FD6" w:rsidRDefault="009B6FD6" w:rsidP="00922363">
      <w:pPr>
        <w:pStyle w:val="NormalWeb"/>
        <w:spacing w:line="360" w:lineRule="auto"/>
        <w:jc w:val="both"/>
        <w:rPr>
          <w:rFonts w:ascii="Arial" w:hAnsi="Arial" w:cs="Arial"/>
        </w:rPr>
      </w:pPr>
      <w:r w:rsidRPr="009B6FD6">
        <w:rPr>
          <w:rFonts w:ascii="Arial" w:hAnsi="Arial" w:cs="Arial"/>
        </w:rPr>
        <w:t>Appendix C establishes that the joint equity injection and divestiture approach is a great strategy to enhance the capital structure of General Electronics by reducing leverage and enhancing equity buffer. Although in the conservative base case, short term profitability is negative, solvency risk is less and financial flexibility is greater, which generates the conditions under which operation turnaround and strategic renewal is possible.</w:t>
      </w:r>
    </w:p>
    <w:p w14:paraId="726BEC44" w14:textId="77777777" w:rsidR="00B40C9C" w:rsidRPr="00922363" w:rsidRDefault="00B40C9C" w:rsidP="00922363">
      <w:pPr>
        <w:pStyle w:val="Heading2"/>
        <w:jc w:val="both"/>
      </w:pPr>
      <w:bookmarkStart w:id="123" w:name="_Toc216756005"/>
      <w:bookmarkStart w:id="124" w:name="_Toc217181558"/>
      <w:bookmarkStart w:id="125" w:name="_Toc217260358"/>
      <w:r w:rsidRPr="00922363">
        <w:t>Appendix D: Investment Appraisal and Capital Budgeting Calculations</w:t>
      </w:r>
      <w:bookmarkEnd w:id="123"/>
      <w:bookmarkEnd w:id="124"/>
      <w:bookmarkEnd w:id="125"/>
    </w:p>
    <w:p w14:paraId="668CCA21" w14:textId="77777777" w:rsidR="009B6FD6" w:rsidRPr="009B6FD6" w:rsidRDefault="009B6FD6" w:rsidP="00922363">
      <w:pPr>
        <w:spacing w:line="360" w:lineRule="auto"/>
        <w:jc w:val="both"/>
        <w:rPr>
          <w:rFonts w:ascii="Arial" w:hAnsi="Arial" w:cs="Arial"/>
          <w:sz w:val="24"/>
          <w:szCs w:val="24"/>
        </w:rPr>
      </w:pPr>
      <w:r w:rsidRPr="009B6FD6">
        <w:rPr>
          <w:rFonts w:ascii="Arial" w:hAnsi="Arial" w:cs="Arial"/>
          <w:sz w:val="24"/>
          <w:szCs w:val="24"/>
        </w:rPr>
        <w:t>The appendix provides the calculations on the investment appraisal of Projects A, B and C that are calculated by using Payback Period (PBP), Net Present Value (NPV), Internal Rate of Return (IRR) and Profitability Index (PI). All the calculations are done in strict compliance with the provided formula sheet and conventional corporate finance approaches.</w:t>
      </w:r>
    </w:p>
    <w:p w14:paraId="7AEB1B14" w14:textId="77777777" w:rsidR="00B40C9C" w:rsidRPr="00922363" w:rsidRDefault="00B40C9C" w:rsidP="00922363">
      <w:pPr>
        <w:pStyle w:val="Heading2"/>
        <w:spacing w:line="360" w:lineRule="auto"/>
        <w:rPr>
          <w:rFonts w:cs="Arial"/>
        </w:rPr>
      </w:pPr>
      <w:bookmarkStart w:id="126" w:name="_Toc216756006"/>
      <w:bookmarkStart w:id="127" w:name="_Toc217181559"/>
      <w:bookmarkStart w:id="128" w:name="_Toc217260359"/>
      <w:r w:rsidRPr="00922363">
        <w:rPr>
          <w:rFonts w:cs="Arial"/>
        </w:rPr>
        <w:t>Table D1: Payback Period (PBP) Calculations</w:t>
      </w:r>
      <w:bookmarkEnd w:id="126"/>
      <w:bookmarkEnd w:id="127"/>
      <w:bookmarkEnd w:id="128"/>
    </w:p>
    <w:p w14:paraId="287AC28E" w14:textId="0D2DC4BE" w:rsidR="00B40C9C" w:rsidRPr="00922363" w:rsidRDefault="00B40C9C" w:rsidP="00922363">
      <w:pPr>
        <w:spacing w:line="360" w:lineRule="auto"/>
        <w:rPr>
          <w:rFonts w:ascii="Arial" w:hAnsi="Arial" w:cs="Arial"/>
        </w:rPr>
      </w:pPr>
      <w:r w:rsidRPr="00922363">
        <w:rPr>
          <w:rFonts w:ascii="Arial" w:hAnsi="Arial" w:cs="Arial"/>
        </w:rPr>
        <w:t>Formula:</w:t>
      </w:r>
    </w:p>
    <w:p w14:paraId="7FBDE54C" w14:textId="182117B7" w:rsidR="00B40C9C" w:rsidRPr="00922363" w:rsidRDefault="00B40C9C" w:rsidP="00922363">
      <w:pPr>
        <w:spacing w:line="360" w:lineRule="auto"/>
        <w:rPr>
          <w:rFonts w:ascii="Arial" w:hAnsi="Arial" w:cs="Arial"/>
        </w:rPr>
      </w:pPr>
      <m:oMathPara>
        <m:oMath>
          <m:r>
            <w:rPr>
              <w:rFonts w:ascii="Cambria Math" w:hAnsi="Cambria Math" w:cs="Arial"/>
            </w:rPr>
            <m:t>Payback Period (PBP</m:t>
          </m:r>
          <m:r>
            <m:rPr>
              <m:sty m:val="p"/>
            </m:rPr>
            <w:rPr>
              <w:rFonts w:ascii="Cambria Math" w:hAnsi="Cambria Math" w:cs="Arial"/>
            </w:rPr>
            <m:t xml:space="preserve">= </m:t>
          </m:r>
          <m:f>
            <m:fPr>
              <m:ctrlPr>
                <w:rPr>
                  <w:rFonts w:ascii="Cambria Math" w:hAnsi="Cambria Math" w:cs="Arial"/>
                  <w:i/>
                </w:rPr>
              </m:ctrlPr>
            </m:fPr>
            <m:num>
              <m:r>
                <m:rPr>
                  <m:sty m:val="p"/>
                </m:rPr>
                <w:rPr>
                  <w:rStyle w:val="mord"/>
                  <w:rFonts w:ascii="Cambria Math" w:hAnsi="Cambria Math" w:cs="Arial"/>
                </w:rPr>
                <m:t>Unrecovered investment at start of year</m:t>
              </m:r>
              <m:r>
                <m:rPr>
                  <m:sty m:val="p"/>
                </m:rPr>
                <w:rPr>
                  <w:rStyle w:val="vlist-s"/>
                  <w:rFonts w:ascii="Cambria Math" w:hAnsi="Cambria Math" w:cs="Arial"/>
                </w:rPr>
                <m:t>​</m:t>
              </m:r>
            </m:num>
            <m:den>
              <m:r>
                <w:rPr>
                  <w:rFonts w:ascii="Cambria Math" w:hAnsi="Cambria Math" w:cs="Arial"/>
                </w:rPr>
                <m:t>Cash Inflow During the Year</m:t>
              </m:r>
            </m:den>
          </m:f>
        </m:oMath>
      </m:oMathPara>
    </w:p>
    <w:p w14:paraId="008B6C14" w14:textId="77777777" w:rsidR="00B40C9C" w:rsidRPr="00922363" w:rsidRDefault="00B40C9C" w:rsidP="00922363">
      <w:pPr>
        <w:spacing w:line="360" w:lineRule="auto"/>
        <w:rPr>
          <w:rFonts w:ascii="Arial" w:hAnsi="Arial" w:cs="Arial"/>
        </w:rPr>
      </w:pPr>
    </w:p>
    <w:tbl>
      <w:tblPr>
        <w:tblStyle w:val="TableGrid"/>
        <w:tblW w:w="0" w:type="auto"/>
        <w:tblLook w:val="04A0" w:firstRow="1" w:lastRow="0" w:firstColumn="1" w:lastColumn="0" w:noHBand="0" w:noVBand="1"/>
      </w:tblPr>
      <w:tblGrid>
        <w:gridCol w:w="2160"/>
        <w:gridCol w:w="2160"/>
        <w:gridCol w:w="2160"/>
        <w:gridCol w:w="2160"/>
      </w:tblGrid>
      <w:tr w:rsidR="00B40C9C" w:rsidRPr="00922363" w14:paraId="5CB9ABF9" w14:textId="77777777" w:rsidTr="00B40C9C">
        <w:tc>
          <w:tcPr>
            <w:tcW w:w="2160" w:type="dxa"/>
          </w:tcPr>
          <w:p w14:paraId="088697D5" w14:textId="77777777" w:rsidR="00B40C9C" w:rsidRPr="00922363" w:rsidRDefault="00B40C9C" w:rsidP="00922363">
            <w:pPr>
              <w:spacing w:line="360" w:lineRule="auto"/>
              <w:rPr>
                <w:rFonts w:ascii="Arial" w:hAnsi="Arial" w:cs="Arial"/>
              </w:rPr>
            </w:pPr>
            <w:r w:rsidRPr="00922363">
              <w:rPr>
                <w:rFonts w:ascii="Arial" w:hAnsi="Arial" w:cs="Arial"/>
              </w:rPr>
              <w:t>Project</w:t>
            </w:r>
          </w:p>
        </w:tc>
        <w:tc>
          <w:tcPr>
            <w:tcW w:w="2160" w:type="dxa"/>
          </w:tcPr>
          <w:p w14:paraId="2E7B7C7B" w14:textId="77777777" w:rsidR="00B40C9C" w:rsidRPr="00922363" w:rsidRDefault="00B40C9C" w:rsidP="00922363">
            <w:pPr>
              <w:spacing w:line="360" w:lineRule="auto"/>
              <w:rPr>
                <w:rFonts w:ascii="Arial" w:hAnsi="Arial" w:cs="Arial"/>
              </w:rPr>
            </w:pPr>
            <w:r w:rsidRPr="00922363">
              <w:rPr>
                <w:rFonts w:ascii="Arial" w:hAnsi="Arial" w:cs="Arial"/>
              </w:rPr>
              <w:t>Annual Cash Inflows (£m)</w:t>
            </w:r>
          </w:p>
        </w:tc>
        <w:tc>
          <w:tcPr>
            <w:tcW w:w="2160" w:type="dxa"/>
          </w:tcPr>
          <w:p w14:paraId="526333B4" w14:textId="77777777" w:rsidR="00B40C9C" w:rsidRPr="00922363" w:rsidRDefault="00B40C9C" w:rsidP="00922363">
            <w:pPr>
              <w:spacing w:line="360" w:lineRule="auto"/>
              <w:rPr>
                <w:rFonts w:ascii="Arial" w:hAnsi="Arial" w:cs="Arial"/>
              </w:rPr>
            </w:pPr>
            <w:r w:rsidRPr="00922363">
              <w:rPr>
                <w:rFonts w:ascii="Arial" w:hAnsi="Arial" w:cs="Arial"/>
              </w:rPr>
              <w:t>Cumulative Cash Flows (£m)</w:t>
            </w:r>
          </w:p>
        </w:tc>
        <w:tc>
          <w:tcPr>
            <w:tcW w:w="2160" w:type="dxa"/>
          </w:tcPr>
          <w:p w14:paraId="42C362FF" w14:textId="77777777" w:rsidR="00B40C9C" w:rsidRPr="00922363" w:rsidRDefault="00B40C9C" w:rsidP="00922363">
            <w:pPr>
              <w:spacing w:line="360" w:lineRule="auto"/>
              <w:rPr>
                <w:rFonts w:ascii="Arial" w:hAnsi="Arial" w:cs="Arial"/>
              </w:rPr>
            </w:pPr>
            <w:r w:rsidRPr="00922363">
              <w:rPr>
                <w:rFonts w:ascii="Arial" w:hAnsi="Arial" w:cs="Arial"/>
              </w:rPr>
              <w:t>Payback Period (Years)</w:t>
            </w:r>
          </w:p>
        </w:tc>
      </w:tr>
      <w:tr w:rsidR="00B40C9C" w:rsidRPr="00922363" w14:paraId="0F599A15" w14:textId="77777777" w:rsidTr="00B40C9C">
        <w:tc>
          <w:tcPr>
            <w:tcW w:w="2160" w:type="dxa"/>
          </w:tcPr>
          <w:p w14:paraId="5A075968" w14:textId="77777777" w:rsidR="00B40C9C" w:rsidRPr="00922363" w:rsidRDefault="00B40C9C" w:rsidP="00922363">
            <w:pPr>
              <w:spacing w:line="360" w:lineRule="auto"/>
              <w:rPr>
                <w:rFonts w:ascii="Arial" w:hAnsi="Arial" w:cs="Arial"/>
              </w:rPr>
            </w:pPr>
            <w:r w:rsidRPr="00922363">
              <w:rPr>
                <w:rFonts w:ascii="Arial" w:hAnsi="Arial" w:cs="Arial"/>
              </w:rPr>
              <w:t>A</w:t>
            </w:r>
          </w:p>
        </w:tc>
        <w:tc>
          <w:tcPr>
            <w:tcW w:w="2160" w:type="dxa"/>
          </w:tcPr>
          <w:p w14:paraId="66FDBE79" w14:textId="77777777" w:rsidR="00B40C9C" w:rsidRPr="00922363" w:rsidRDefault="00B40C9C" w:rsidP="00922363">
            <w:pPr>
              <w:spacing w:line="360" w:lineRule="auto"/>
              <w:rPr>
                <w:rFonts w:ascii="Arial" w:hAnsi="Arial" w:cs="Arial"/>
              </w:rPr>
            </w:pPr>
            <w:r w:rsidRPr="00922363">
              <w:rPr>
                <w:rFonts w:ascii="Arial" w:hAnsi="Arial" w:cs="Arial"/>
              </w:rPr>
              <w:t>10, 12, 14, 10, 8</w:t>
            </w:r>
          </w:p>
        </w:tc>
        <w:tc>
          <w:tcPr>
            <w:tcW w:w="2160" w:type="dxa"/>
          </w:tcPr>
          <w:p w14:paraId="2F81240A" w14:textId="77777777" w:rsidR="00B40C9C" w:rsidRPr="00922363" w:rsidRDefault="00B40C9C" w:rsidP="00922363">
            <w:pPr>
              <w:spacing w:line="360" w:lineRule="auto"/>
              <w:rPr>
                <w:rFonts w:ascii="Arial" w:hAnsi="Arial" w:cs="Arial"/>
              </w:rPr>
            </w:pPr>
            <w:r w:rsidRPr="00922363">
              <w:rPr>
                <w:rFonts w:ascii="Arial" w:hAnsi="Arial" w:cs="Arial"/>
              </w:rPr>
              <w:t>10, 22, 36, 46, 54</w:t>
            </w:r>
          </w:p>
        </w:tc>
        <w:tc>
          <w:tcPr>
            <w:tcW w:w="2160" w:type="dxa"/>
          </w:tcPr>
          <w:p w14:paraId="085065AF" w14:textId="77777777" w:rsidR="00B40C9C" w:rsidRPr="00922363" w:rsidRDefault="00B40C9C" w:rsidP="00922363">
            <w:pPr>
              <w:spacing w:line="360" w:lineRule="auto"/>
              <w:rPr>
                <w:rFonts w:ascii="Arial" w:hAnsi="Arial" w:cs="Arial"/>
              </w:rPr>
            </w:pPr>
            <w:r w:rsidRPr="00922363">
              <w:rPr>
                <w:rFonts w:ascii="Arial" w:hAnsi="Arial" w:cs="Arial"/>
              </w:rPr>
              <w:t>3.4</w:t>
            </w:r>
          </w:p>
        </w:tc>
      </w:tr>
      <w:tr w:rsidR="00B40C9C" w:rsidRPr="00922363" w14:paraId="200EF900" w14:textId="77777777" w:rsidTr="00B40C9C">
        <w:tc>
          <w:tcPr>
            <w:tcW w:w="2160" w:type="dxa"/>
          </w:tcPr>
          <w:p w14:paraId="7B78D13F" w14:textId="77777777" w:rsidR="00B40C9C" w:rsidRPr="00922363" w:rsidRDefault="00B40C9C" w:rsidP="00922363">
            <w:pPr>
              <w:spacing w:line="360" w:lineRule="auto"/>
              <w:rPr>
                <w:rFonts w:ascii="Arial" w:hAnsi="Arial" w:cs="Arial"/>
              </w:rPr>
            </w:pPr>
            <w:r w:rsidRPr="00922363">
              <w:rPr>
                <w:rFonts w:ascii="Arial" w:hAnsi="Arial" w:cs="Arial"/>
              </w:rPr>
              <w:t>B</w:t>
            </w:r>
          </w:p>
        </w:tc>
        <w:tc>
          <w:tcPr>
            <w:tcW w:w="2160" w:type="dxa"/>
          </w:tcPr>
          <w:p w14:paraId="650051E0" w14:textId="77777777" w:rsidR="00B40C9C" w:rsidRPr="00922363" w:rsidRDefault="00B40C9C" w:rsidP="00922363">
            <w:pPr>
              <w:spacing w:line="360" w:lineRule="auto"/>
              <w:rPr>
                <w:rFonts w:ascii="Arial" w:hAnsi="Arial" w:cs="Arial"/>
              </w:rPr>
            </w:pPr>
            <w:r w:rsidRPr="00922363">
              <w:rPr>
                <w:rFonts w:ascii="Arial" w:hAnsi="Arial" w:cs="Arial"/>
              </w:rPr>
              <w:t>6, 6, 6, 6, 6</w:t>
            </w:r>
          </w:p>
        </w:tc>
        <w:tc>
          <w:tcPr>
            <w:tcW w:w="2160" w:type="dxa"/>
          </w:tcPr>
          <w:p w14:paraId="5851DF1B" w14:textId="77777777" w:rsidR="00B40C9C" w:rsidRPr="00922363" w:rsidRDefault="00B40C9C" w:rsidP="00922363">
            <w:pPr>
              <w:spacing w:line="360" w:lineRule="auto"/>
              <w:rPr>
                <w:rFonts w:ascii="Arial" w:hAnsi="Arial" w:cs="Arial"/>
              </w:rPr>
            </w:pPr>
            <w:r w:rsidRPr="00922363">
              <w:rPr>
                <w:rFonts w:ascii="Arial" w:hAnsi="Arial" w:cs="Arial"/>
              </w:rPr>
              <w:t>6, 12, 18, 24, 30</w:t>
            </w:r>
          </w:p>
        </w:tc>
        <w:tc>
          <w:tcPr>
            <w:tcW w:w="2160" w:type="dxa"/>
          </w:tcPr>
          <w:p w14:paraId="57E8FBC1" w14:textId="77777777" w:rsidR="00B40C9C" w:rsidRPr="00922363" w:rsidRDefault="00B40C9C" w:rsidP="00922363">
            <w:pPr>
              <w:spacing w:line="360" w:lineRule="auto"/>
              <w:rPr>
                <w:rFonts w:ascii="Arial" w:hAnsi="Arial" w:cs="Arial"/>
              </w:rPr>
            </w:pPr>
            <w:r w:rsidRPr="00922363">
              <w:rPr>
                <w:rFonts w:ascii="Arial" w:hAnsi="Arial" w:cs="Arial"/>
              </w:rPr>
              <w:t>5.0</w:t>
            </w:r>
          </w:p>
        </w:tc>
      </w:tr>
      <w:tr w:rsidR="00B40C9C" w:rsidRPr="00922363" w14:paraId="2CC871BC" w14:textId="77777777" w:rsidTr="00B40C9C">
        <w:tc>
          <w:tcPr>
            <w:tcW w:w="2160" w:type="dxa"/>
          </w:tcPr>
          <w:p w14:paraId="79733F53" w14:textId="77777777" w:rsidR="00B40C9C" w:rsidRPr="00922363" w:rsidRDefault="00B40C9C" w:rsidP="00922363">
            <w:pPr>
              <w:spacing w:line="360" w:lineRule="auto"/>
              <w:rPr>
                <w:rFonts w:ascii="Arial" w:hAnsi="Arial" w:cs="Arial"/>
              </w:rPr>
            </w:pPr>
            <w:r w:rsidRPr="00922363">
              <w:rPr>
                <w:rFonts w:ascii="Arial" w:hAnsi="Arial" w:cs="Arial"/>
              </w:rPr>
              <w:t>C</w:t>
            </w:r>
          </w:p>
        </w:tc>
        <w:tc>
          <w:tcPr>
            <w:tcW w:w="2160" w:type="dxa"/>
          </w:tcPr>
          <w:p w14:paraId="55515A8C" w14:textId="77777777" w:rsidR="00B40C9C" w:rsidRPr="00922363" w:rsidRDefault="00B40C9C" w:rsidP="00922363">
            <w:pPr>
              <w:spacing w:line="360" w:lineRule="auto"/>
              <w:rPr>
                <w:rFonts w:ascii="Arial" w:hAnsi="Arial" w:cs="Arial"/>
              </w:rPr>
            </w:pPr>
            <w:r w:rsidRPr="00922363">
              <w:rPr>
                <w:rFonts w:ascii="Arial" w:hAnsi="Arial" w:cs="Arial"/>
              </w:rPr>
              <w:t>5, 10, 20, 25, 15</w:t>
            </w:r>
          </w:p>
        </w:tc>
        <w:tc>
          <w:tcPr>
            <w:tcW w:w="2160" w:type="dxa"/>
          </w:tcPr>
          <w:p w14:paraId="2D0B8F64" w14:textId="77777777" w:rsidR="00B40C9C" w:rsidRPr="00922363" w:rsidRDefault="00B40C9C" w:rsidP="00922363">
            <w:pPr>
              <w:spacing w:line="360" w:lineRule="auto"/>
              <w:rPr>
                <w:rFonts w:ascii="Arial" w:hAnsi="Arial" w:cs="Arial"/>
              </w:rPr>
            </w:pPr>
            <w:r w:rsidRPr="00922363">
              <w:rPr>
                <w:rFonts w:ascii="Arial" w:hAnsi="Arial" w:cs="Arial"/>
              </w:rPr>
              <w:t>5, 15, 35, 60, 75</w:t>
            </w:r>
          </w:p>
        </w:tc>
        <w:tc>
          <w:tcPr>
            <w:tcW w:w="2160" w:type="dxa"/>
          </w:tcPr>
          <w:p w14:paraId="2F88C3B3" w14:textId="77777777" w:rsidR="00B40C9C" w:rsidRPr="00922363" w:rsidRDefault="00B40C9C" w:rsidP="00922363">
            <w:pPr>
              <w:spacing w:line="360" w:lineRule="auto"/>
              <w:rPr>
                <w:rFonts w:ascii="Arial" w:hAnsi="Arial" w:cs="Arial"/>
              </w:rPr>
            </w:pPr>
            <w:r w:rsidRPr="00922363">
              <w:rPr>
                <w:rFonts w:ascii="Arial" w:hAnsi="Arial" w:cs="Arial"/>
              </w:rPr>
              <w:t>3.6</w:t>
            </w:r>
          </w:p>
        </w:tc>
      </w:tr>
    </w:tbl>
    <w:p w14:paraId="20C00C9F" w14:textId="036BCB50" w:rsidR="00B40C9C" w:rsidRPr="00922363" w:rsidRDefault="00B40C9C" w:rsidP="00922363">
      <w:pPr>
        <w:spacing w:line="360" w:lineRule="auto"/>
        <w:jc w:val="center"/>
        <w:rPr>
          <w:rFonts w:ascii="Arial" w:hAnsi="Arial" w:cs="Arial"/>
        </w:rPr>
      </w:pPr>
      <w:r w:rsidRPr="00922363">
        <w:rPr>
          <w:rFonts w:ascii="Arial" w:hAnsi="Arial" w:cs="Arial"/>
        </w:rPr>
        <w:t>Source: Author’s calculations</w:t>
      </w:r>
    </w:p>
    <w:p w14:paraId="02B0E2A4" w14:textId="77777777" w:rsidR="00B40C9C" w:rsidRPr="00922363" w:rsidRDefault="00B40C9C" w:rsidP="00922363">
      <w:pPr>
        <w:pStyle w:val="Heading2"/>
        <w:spacing w:line="360" w:lineRule="auto"/>
        <w:rPr>
          <w:rFonts w:cs="Arial"/>
        </w:rPr>
      </w:pPr>
      <w:bookmarkStart w:id="129" w:name="_Toc216756007"/>
      <w:bookmarkStart w:id="130" w:name="_Toc217181560"/>
      <w:bookmarkStart w:id="131" w:name="_Toc217260360"/>
      <w:r w:rsidRPr="00922363">
        <w:rPr>
          <w:rFonts w:cs="Arial"/>
        </w:rPr>
        <w:lastRenderedPageBreak/>
        <w:t>Table D2: Net Present Value (NPV) Calculations (10% Discount Rate)</w:t>
      </w:r>
      <w:bookmarkEnd w:id="129"/>
      <w:bookmarkEnd w:id="130"/>
      <w:bookmarkEnd w:id="131"/>
    </w:p>
    <w:p w14:paraId="40D5E927" w14:textId="4440DA89" w:rsidR="00B40C9C" w:rsidRPr="00922363" w:rsidRDefault="00B40C9C" w:rsidP="00922363">
      <w:pPr>
        <w:spacing w:line="360" w:lineRule="auto"/>
        <w:rPr>
          <w:rFonts w:ascii="Arial" w:eastAsiaTheme="minorEastAsia" w:hAnsi="Arial" w:cs="Arial"/>
          <w:b/>
          <w:bCs/>
        </w:rPr>
      </w:pPr>
      <w:r w:rsidRPr="00922363">
        <w:rPr>
          <w:rFonts w:ascii="Arial" w:hAnsi="Arial" w:cs="Arial"/>
          <w:b/>
          <w:bCs/>
        </w:rPr>
        <w:t xml:space="preserve">Formula: </w:t>
      </w:r>
      <m:oMath>
        <m:r>
          <m:rPr>
            <m:sty m:val="bi"/>
          </m:rPr>
          <w:rPr>
            <w:rFonts w:ascii="Cambria Math" w:hAnsi="Cambria Math" w:cs="Arial"/>
          </w:rPr>
          <m:t xml:space="preserve"> </m:t>
        </m:r>
      </m:oMath>
    </w:p>
    <w:p w14:paraId="4EBEA851" w14:textId="2FE15DE1" w:rsidR="0042739E" w:rsidRPr="00922363" w:rsidRDefault="0042739E" w:rsidP="00922363">
      <w:pPr>
        <w:spacing w:line="360" w:lineRule="auto"/>
        <w:rPr>
          <w:rFonts w:ascii="Arial" w:hAnsi="Arial" w:cs="Arial"/>
        </w:rPr>
      </w:pPr>
      <m:oMathPara>
        <m:oMath>
          <m:r>
            <w:rPr>
              <w:rFonts w:ascii="Cambria Math" w:hAnsi="Cambria Math" w:cs="Arial"/>
            </w:rPr>
            <m:t>NPV=PV of cash inflows-initial cash outflows.</m:t>
          </m:r>
        </m:oMath>
      </m:oMathPara>
    </w:p>
    <w:p w14:paraId="56F36DDE" w14:textId="08007F6D" w:rsidR="00B40C9C" w:rsidRPr="00922363" w:rsidRDefault="006A1DDD" w:rsidP="00922363">
      <w:pPr>
        <w:spacing w:line="360" w:lineRule="auto"/>
        <w:jc w:val="center"/>
        <w:rPr>
          <w:rFonts w:ascii="Arial" w:eastAsiaTheme="minorEastAsia" w:hAnsi="Arial" w:cs="Arial"/>
        </w:rPr>
      </w:pPr>
      <w:r w:rsidRPr="00922363">
        <w:rPr>
          <w:rFonts w:ascii="Arial" w:eastAsiaTheme="minorEastAsia" w:hAnsi="Arial" w:cs="Arial"/>
        </w:rPr>
        <w:t xml:space="preserve">NPV= </w:t>
      </w:r>
      <m:oMath>
        <m:f>
          <m:fPr>
            <m:ctrlPr>
              <w:rPr>
                <w:rFonts w:ascii="Cambria Math" w:hAnsi="Cambria Math" w:cs="Arial"/>
                <w:i/>
              </w:rPr>
            </m:ctrlPr>
          </m:fPr>
          <m:num>
            <m:r>
              <w:rPr>
                <w:rFonts w:ascii="Cambria Math" w:hAnsi="Cambria Math" w:cs="Arial"/>
              </w:rPr>
              <m:t>CFt</m:t>
            </m:r>
          </m:num>
          <m:den>
            <m:sSup>
              <m:sSupPr>
                <m:ctrlPr>
                  <w:rPr>
                    <w:rFonts w:ascii="Cambria Math" w:hAnsi="Cambria Math" w:cs="Arial"/>
                    <w:i/>
                  </w:rPr>
                </m:ctrlPr>
              </m:sSupPr>
              <m:e>
                <m:r>
                  <w:rPr>
                    <w:rFonts w:ascii="Cambria Math" w:hAnsi="Cambria Math" w:cs="Arial"/>
                  </w:rPr>
                  <m:t>(1+r)</m:t>
                </m:r>
              </m:e>
              <m:sup>
                <m:r>
                  <w:rPr>
                    <w:rFonts w:ascii="Cambria Math" w:hAnsi="Cambria Math" w:cs="Arial"/>
                  </w:rPr>
                  <m:t>t</m:t>
                </m:r>
              </m:sup>
            </m:sSup>
          </m:den>
        </m:f>
        <m:r>
          <w:rPr>
            <w:rFonts w:ascii="Cambria Math" w:hAnsi="Cambria Math" w:cs="Arial"/>
          </w:rPr>
          <m:t>-Io</m:t>
        </m:r>
      </m:oMath>
    </w:p>
    <w:tbl>
      <w:tblPr>
        <w:tblStyle w:val="TableGrid"/>
        <w:tblW w:w="0" w:type="auto"/>
        <w:tblLook w:val="04A0" w:firstRow="1" w:lastRow="0" w:firstColumn="1" w:lastColumn="0" w:noHBand="0" w:noVBand="1"/>
      </w:tblPr>
      <w:tblGrid>
        <w:gridCol w:w="1080"/>
        <w:gridCol w:w="1080"/>
        <w:gridCol w:w="1080"/>
        <w:gridCol w:w="1080"/>
        <w:gridCol w:w="1080"/>
        <w:gridCol w:w="1080"/>
        <w:gridCol w:w="1080"/>
        <w:gridCol w:w="1080"/>
      </w:tblGrid>
      <w:tr w:rsidR="00B40C9C" w:rsidRPr="00922363" w14:paraId="1E936718" w14:textId="77777777" w:rsidTr="00B40C9C">
        <w:tc>
          <w:tcPr>
            <w:tcW w:w="1080" w:type="dxa"/>
          </w:tcPr>
          <w:p w14:paraId="53CAB1A5" w14:textId="77777777" w:rsidR="00B40C9C" w:rsidRPr="00922363" w:rsidRDefault="00B40C9C" w:rsidP="00922363">
            <w:pPr>
              <w:spacing w:line="360" w:lineRule="auto"/>
              <w:rPr>
                <w:rFonts w:ascii="Arial" w:hAnsi="Arial" w:cs="Arial"/>
              </w:rPr>
            </w:pPr>
            <w:r w:rsidRPr="00922363">
              <w:rPr>
                <w:rFonts w:ascii="Arial" w:hAnsi="Arial" w:cs="Arial"/>
              </w:rPr>
              <w:t>Project</w:t>
            </w:r>
          </w:p>
        </w:tc>
        <w:tc>
          <w:tcPr>
            <w:tcW w:w="1080" w:type="dxa"/>
          </w:tcPr>
          <w:p w14:paraId="220DE92D" w14:textId="77777777" w:rsidR="00B40C9C" w:rsidRPr="00922363" w:rsidRDefault="00B40C9C" w:rsidP="00922363">
            <w:pPr>
              <w:spacing w:line="360" w:lineRule="auto"/>
              <w:rPr>
                <w:rFonts w:ascii="Arial" w:hAnsi="Arial" w:cs="Arial"/>
              </w:rPr>
            </w:pPr>
            <w:r w:rsidRPr="00922363">
              <w:rPr>
                <w:rFonts w:ascii="Arial" w:hAnsi="Arial" w:cs="Arial"/>
              </w:rPr>
              <w:t>Year 1</w:t>
            </w:r>
          </w:p>
        </w:tc>
        <w:tc>
          <w:tcPr>
            <w:tcW w:w="1080" w:type="dxa"/>
          </w:tcPr>
          <w:p w14:paraId="0AB71BD9" w14:textId="77777777" w:rsidR="00B40C9C" w:rsidRPr="00922363" w:rsidRDefault="00B40C9C" w:rsidP="00922363">
            <w:pPr>
              <w:spacing w:line="360" w:lineRule="auto"/>
              <w:rPr>
                <w:rFonts w:ascii="Arial" w:hAnsi="Arial" w:cs="Arial"/>
              </w:rPr>
            </w:pPr>
            <w:r w:rsidRPr="00922363">
              <w:rPr>
                <w:rFonts w:ascii="Arial" w:hAnsi="Arial" w:cs="Arial"/>
              </w:rPr>
              <w:t>Year 2</w:t>
            </w:r>
          </w:p>
        </w:tc>
        <w:tc>
          <w:tcPr>
            <w:tcW w:w="1080" w:type="dxa"/>
          </w:tcPr>
          <w:p w14:paraId="2DB405A9" w14:textId="77777777" w:rsidR="00B40C9C" w:rsidRPr="00922363" w:rsidRDefault="00B40C9C" w:rsidP="00922363">
            <w:pPr>
              <w:spacing w:line="360" w:lineRule="auto"/>
              <w:rPr>
                <w:rFonts w:ascii="Arial" w:hAnsi="Arial" w:cs="Arial"/>
              </w:rPr>
            </w:pPr>
            <w:r w:rsidRPr="00922363">
              <w:rPr>
                <w:rFonts w:ascii="Arial" w:hAnsi="Arial" w:cs="Arial"/>
              </w:rPr>
              <w:t>Year 3</w:t>
            </w:r>
          </w:p>
        </w:tc>
        <w:tc>
          <w:tcPr>
            <w:tcW w:w="1080" w:type="dxa"/>
          </w:tcPr>
          <w:p w14:paraId="6E49F637" w14:textId="77777777" w:rsidR="00B40C9C" w:rsidRPr="00922363" w:rsidRDefault="00B40C9C" w:rsidP="00922363">
            <w:pPr>
              <w:spacing w:line="360" w:lineRule="auto"/>
              <w:rPr>
                <w:rFonts w:ascii="Arial" w:hAnsi="Arial" w:cs="Arial"/>
              </w:rPr>
            </w:pPr>
            <w:r w:rsidRPr="00922363">
              <w:rPr>
                <w:rFonts w:ascii="Arial" w:hAnsi="Arial" w:cs="Arial"/>
              </w:rPr>
              <w:t>Year 4</w:t>
            </w:r>
          </w:p>
        </w:tc>
        <w:tc>
          <w:tcPr>
            <w:tcW w:w="1080" w:type="dxa"/>
          </w:tcPr>
          <w:p w14:paraId="2677834F" w14:textId="77777777" w:rsidR="00B40C9C" w:rsidRPr="00922363" w:rsidRDefault="00B40C9C" w:rsidP="00922363">
            <w:pPr>
              <w:spacing w:line="360" w:lineRule="auto"/>
              <w:rPr>
                <w:rFonts w:ascii="Arial" w:hAnsi="Arial" w:cs="Arial"/>
              </w:rPr>
            </w:pPr>
            <w:r w:rsidRPr="00922363">
              <w:rPr>
                <w:rFonts w:ascii="Arial" w:hAnsi="Arial" w:cs="Arial"/>
              </w:rPr>
              <w:t>Year 5</w:t>
            </w:r>
          </w:p>
        </w:tc>
        <w:tc>
          <w:tcPr>
            <w:tcW w:w="1080" w:type="dxa"/>
          </w:tcPr>
          <w:p w14:paraId="51F533C2" w14:textId="77777777" w:rsidR="00B40C9C" w:rsidRPr="00922363" w:rsidRDefault="00B40C9C" w:rsidP="00922363">
            <w:pPr>
              <w:spacing w:line="360" w:lineRule="auto"/>
              <w:rPr>
                <w:rFonts w:ascii="Arial" w:hAnsi="Arial" w:cs="Arial"/>
              </w:rPr>
            </w:pPr>
            <w:r w:rsidRPr="00922363">
              <w:rPr>
                <w:rFonts w:ascii="Arial" w:hAnsi="Arial" w:cs="Arial"/>
              </w:rPr>
              <w:t>PV of Inflows (£m)</w:t>
            </w:r>
          </w:p>
        </w:tc>
        <w:tc>
          <w:tcPr>
            <w:tcW w:w="1080" w:type="dxa"/>
          </w:tcPr>
          <w:p w14:paraId="46CF6CF2" w14:textId="77777777" w:rsidR="00B40C9C" w:rsidRPr="00922363" w:rsidRDefault="00B40C9C" w:rsidP="00922363">
            <w:pPr>
              <w:spacing w:line="360" w:lineRule="auto"/>
              <w:rPr>
                <w:rFonts w:ascii="Arial" w:hAnsi="Arial" w:cs="Arial"/>
              </w:rPr>
            </w:pPr>
            <w:r w:rsidRPr="00922363">
              <w:rPr>
                <w:rFonts w:ascii="Arial" w:hAnsi="Arial" w:cs="Arial"/>
              </w:rPr>
              <w:t>NPV (£m)</w:t>
            </w:r>
          </w:p>
        </w:tc>
      </w:tr>
      <w:tr w:rsidR="00B40C9C" w:rsidRPr="00922363" w14:paraId="2D3AEC8A" w14:textId="77777777" w:rsidTr="00B40C9C">
        <w:tc>
          <w:tcPr>
            <w:tcW w:w="1080" w:type="dxa"/>
          </w:tcPr>
          <w:p w14:paraId="17E6BBC5" w14:textId="77777777" w:rsidR="00B40C9C" w:rsidRPr="00922363" w:rsidRDefault="00B40C9C" w:rsidP="00922363">
            <w:pPr>
              <w:spacing w:line="360" w:lineRule="auto"/>
              <w:rPr>
                <w:rFonts w:ascii="Arial" w:hAnsi="Arial" w:cs="Arial"/>
              </w:rPr>
            </w:pPr>
            <w:r w:rsidRPr="00922363">
              <w:rPr>
                <w:rFonts w:ascii="Arial" w:hAnsi="Arial" w:cs="Arial"/>
              </w:rPr>
              <w:t>A</w:t>
            </w:r>
          </w:p>
        </w:tc>
        <w:tc>
          <w:tcPr>
            <w:tcW w:w="1080" w:type="dxa"/>
          </w:tcPr>
          <w:p w14:paraId="09BE22F3" w14:textId="77777777" w:rsidR="00B40C9C" w:rsidRPr="00922363" w:rsidRDefault="00B40C9C" w:rsidP="00922363">
            <w:pPr>
              <w:spacing w:line="360" w:lineRule="auto"/>
              <w:rPr>
                <w:rFonts w:ascii="Arial" w:hAnsi="Arial" w:cs="Arial"/>
              </w:rPr>
            </w:pPr>
            <w:r w:rsidRPr="00922363">
              <w:rPr>
                <w:rFonts w:ascii="Arial" w:hAnsi="Arial" w:cs="Arial"/>
              </w:rPr>
              <w:t>10</w:t>
            </w:r>
          </w:p>
        </w:tc>
        <w:tc>
          <w:tcPr>
            <w:tcW w:w="1080" w:type="dxa"/>
          </w:tcPr>
          <w:p w14:paraId="5E4F8876" w14:textId="77777777" w:rsidR="00B40C9C" w:rsidRPr="00922363" w:rsidRDefault="00B40C9C" w:rsidP="00922363">
            <w:pPr>
              <w:spacing w:line="360" w:lineRule="auto"/>
              <w:rPr>
                <w:rFonts w:ascii="Arial" w:hAnsi="Arial" w:cs="Arial"/>
              </w:rPr>
            </w:pPr>
            <w:r w:rsidRPr="00922363">
              <w:rPr>
                <w:rFonts w:ascii="Arial" w:hAnsi="Arial" w:cs="Arial"/>
              </w:rPr>
              <w:t>12</w:t>
            </w:r>
          </w:p>
        </w:tc>
        <w:tc>
          <w:tcPr>
            <w:tcW w:w="1080" w:type="dxa"/>
          </w:tcPr>
          <w:p w14:paraId="2C32FBF2" w14:textId="77777777" w:rsidR="00B40C9C" w:rsidRPr="00922363" w:rsidRDefault="00B40C9C" w:rsidP="00922363">
            <w:pPr>
              <w:spacing w:line="360" w:lineRule="auto"/>
              <w:rPr>
                <w:rFonts w:ascii="Arial" w:hAnsi="Arial" w:cs="Arial"/>
              </w:rPr>
            </w:pPr>
            <w:r w:rsidRPr="00922363">
              <w:rPr>
                <w:rFonts w:ascii="Arial" w:hAnsi="Arial" w:cs="Arial"/>
              </w:rPr>
              <w:t>14</w:t>
            </w:r>
          </w:p>
        </w:tc>
        <w:tc>
          <w:tcPr>
            <w:tcW w:w="1080" w:type="dxa"/>
          </w:tcPr>
          <w:p w14:paraId="3AF84E07" w14:textId="77777777" w:rsidR="00B40C9C" w:rsidRPr="00922363" w:rsidRDefault="00B40C9C" w:rsidP="00922363">
            <w:pPr>
              <w:spacing w:line="360" w:lineRule="auto"/>
              <w:rPr>
                <w:rFonts w:ascii="Arial" w:hAnsi="Arial" w:cs="Arial"/>
              </w:rPr>
            </w:pPr>
            <w:r w:rsidRPr="00922363">
              <w:rPr>
                <w:rFonts w:ascii="Arial" w:hAnsi="Arial" w:cs="Arial"/>
              </w:rPr>
              <w:t>10</w:t>
            </w:r>
          </w:p>
        </w:tc>
        <w:tc>
          <w:tcPr>
            <w:tcW w:w="1080" w:type="dxa"/>
          </w:tcPr>
          <w:p w14:paraId="62D63796" w14:textId="77777777" w:rsidR="00B40C9C" w:rsidRPr="00922363" w:rsidRDefault="00B40C9C" w:rsidP="00922363">
            <w:pPr>
              <w:spacing w:line="360" w:lineRule="auto"/>
              <w:rPr>
                <w:rFonts w:ascii="Arial" w:hAnsi="Arial" w:cs="Arial"/>
              </w:rPr>
            </w:pPr>
            <w:r w:rsidRPr="00922363">
              <w:rPr>
                <w:rFonts w:ascii="Arial" w:hAnsi="Arial" w:cs="Arial"/>
              </w:rPr>
              <w:t>8</w:t>
            </w:r>
          </w:p>
        </w:tc>
        <w:tc>
          <w:tcPr>
            <w:tcW w:w="1080" w:type="dxa"/>
          </w:tcPr>
          <w:p w14:paraId="4F1F558D" w14:textId="77777777" w:rsidR="00B40C9C" w:rsidRPr="00922363" w:rsidRDefault="00B40C9C" w:rsidP="00922363">
            <w:pPr>
              <w:spacing w:line="360" w:lineRule="auto"/>
              <w:rPr>
                <w:rFonts w:ascii="Arial" w:hAnsi="Arial" w:cs="Arial"/>
              </w:rPr>
            </w:pPr>
            <w:r w:rsidRPr="00922363">
              <w:rPr>
                <w:rFonts w:ascii="Arial" w:hAnsi="Arial" w:cs="Arial"/>
              </w:rPr>
              <w:t>41.92</w:t>
            </w:r>
          </w:p>
        </w:tc>
        <w:tc>
          <w:tcPr>
            <w:tcW w:w="1080" w:type="dxa"/>
          </w:tcPr>
          <w:p w14:paraId="0021D6D2" w14:textId="77777777" w:rsidR="00B40C9C" w:rsidRPr="00922363" w:rsidRDefault="00B40C9C" w:rsidP="00922363">
            <w:pPr>
              <w:spacing w:line="360" w:lineRule="auto"/>
              <w:rPr>
                <w:rFonts w:ascii="Arial" w:hAnsi="Arial" w:cs="Arial"/>
              </w:rPr>
            </w:pPr>
            <w:r w:rsidRPr="00922363">
              <w:rPr>
                <w:rFonts w:ascii="Arial" w:hAnsi="Arial" w:cs="Arial"/>
              </w:rPr>
              <w:t>1.92</w:t>
            </w:r>
          </w:p>
        </w:tc>
      </w:tr>
      <w:tr w:rsidR="00B40C9C" w:rsidRPr="00922363" w14:paraId="3BA11835" w14:textId="77777777" w:rsidTr="00B40C9C">
        <w:tc>
          <w:tcPr>
            <w:tcW w:w="1080" w:type="dxa"/>
          </w:tcPr>
          <w:p w14:paraId="48913117" w14:textId="77777777" w:rsidR="00B40C9C" w:rsidRPr="00922363" w:rsidRDefault="00B40C9C" w:rsidP="00922363">
            <w:pPr>
              <w:spacing w:line="360" w:lineRule="auto"/>
              <w:rPr>
                <w:rFonts w:ascii="Arial" w:hAnsi="Arial" w:cs="Arial"/>
              </w:rPr>
            </w:pPr>
            <w:r w:rsidRPr="00922363">
              <w:rPr>
                <w:rFonts w:ascii="Arial" w:hAnsi="Arial" w:cs="Arial"/>
              </w:rPr>
              <w:t>B</w:t>
            </w:r>
          </w:p>
        </w:tc>
        <w:tc>
          <w:tcPr>
            <w:tcW w:w="1080" w:type="dxa"/>
          </w:tcPr>
          <w:p w14:paraId="0515281C" w14:textId="77777777" w:rsidR="00B40C9C" w:rsidRPr="00922363" w:rsidRDefault="00B40C9C" w:rsidP="00922363">
            <w:pPr>
              <w:spacing w:line="360" w:lineRule="auto"/>
              <w:rPr>
                <w:rFonts w:ascii="Arial" w:hAnsi="Arial" w:cs="Arial"/>
              </w:rPr>
            </w:pPr>
            <w:r w:rsidRPr="00922363">
              <w:rPr>
                <w:rFonts w:ascii="Arial" w:hAnsi="Arial" w:cs="Arial"/>
              </w:rPr>
              <w:t>6</w:t>
            </w:r>
          </w:p>
        </w:tc>
        <w:tc>
          <w:tcPr>
            <w:tcW w:w="1080" w:type="dxa"/>
          </w:tcPr>
          <w:p w14:paraId="17B06B1A" w14:textId="77777777" w:rsidR="00B40C9C" w:rsidRPr="00922363" w:rsidRDefault="00B40C9C" w:rsidP="00922363">
            <w:pPr>
              <w:spacing w:line="360" w:lineRule="auto"/>
              <w:rPr>
                <w:rFonts w:ascii="Arial" w:hAnsi="Arial" w:cs="Arial"/>
              </w:rPr>
            </w:pPr>
            <w:r w:rsidRPr="00922363">
              <w:rPr>
                <w:rFonts w:ascii="Arial" w:hAnsi="Arial" w:cs="Arial"/>
              </w:rPr>
              <w:t>6</w:t>
            </w:r>
          </w:p>
        </w:tc>
        <w:tc>
          <w:tcPr>
            <w:tcW w:w="1080" w:type="dxa"/>
          </w:tcPr>
          <w:p w14:paraId="66098F5F" w14:textId="77777777" w:rsidR="00B40C9C" w:rsidRPr="00922363" w:rsidRDefault="00B40C9C" w:rsidP="00922363">
            <w:pPr>
              <w:spacing w:line="360" w:lineRule="auto"/>
              <w:rPr>
                <w:rFonts w:ascii="Arial" w:hAnsi="Arial" w:cs="Arial"/>
              </w:rPr>
            </w:pPr>
            <w:r w:rsidRPr="00922363">
              <w:rPr>
                <w:rFonts w:ascii="Arial" w:hAnsi="Arial" w:cs="Arial"/>
              </w:rPr>
              <w:t>6</w:t>
            </w:r>
          </w:p>
        </w:tc>
        <w:tc>
          <w:tcPr>
            <w:tcW w:w="1080" w:type="dxa"/>
          </w:tcPr>
          <w:p w14:paraId="17CE21EE" w14:textId="77777777" w:rsidR="00B40C9C" w:rsidRPr="00922363" w:rsidRDefault="00B40C9C" w:rsidP="00922363">
            <w:pPr>
              <w:spacing w:line="360" w:lineRule="auto"/>
              <w:rPr>
                <w:rFonts w:ascii="Arial" w:hAnsi="Arial" w:cs="Arial"/>
              </w:rPr>
            </w:pPr>
            <w:r w:rsidRPr="00922363">
              <w:rPr>
                <w:rFonts w:ascii="Arial" w:hAnsi="Arial" w:cs="Arial"/>
              </w:rPr>
              <w:t>6</w:t>
            </w:r>
          </w:p>
        </w:tc>
        <w:tc>
          <w:tcPr>
            <w:tcW w:w="1080" w:type="dxa"/>
          </w:tcPr>
          <w:p w14:paraId="59F868F2" w14:textId="77777777" w:rsidR="00B40C9C" w:rsidRPr="00922363" w:rsidRDefault="00B40C9C" w:rsidP="00922363">
            <w:pPr>
              <w:spacing w:line="360" w:lineRule="auto"/>
              <w:rPr>
                <w:rFonts w:ascii="Arial" w:hAnsi="Arial" w:cs="Arial"/>
              </w:rPr>
            </w:pPr>
            <w:r w:rsidRPr="00922363">
              <w:rPr>
                <w:rFonts w:ascii="Arial" w:hAnsi="Arial" w:cs="Arial"/>
              </w:rPr>
              <w:t>6</w:t>
            </w:r>
          </w:p>
        </w:tc>
        <w:tc>
          <w:tcPr>
            <w:tcW w:w="1080" w:type="dxa"/>
          </w:tcPr>
          <w:p w14:paraId="29DF02AD" w14:textId="77777777" w:rsidR="00B40C9C" w:rsidRPr="00922363" w:rsidRDefault="00B40C9C" w:rsidP="00922363">
            <w:pPr>
              <w:spacing w:line="360" w:lineRule="auto"/>
              <w:rPr>
                <w:rFonts w:ascii="Arial" w:hAnsi="Arial" w:cs="Arial"/>
              </w:rPr>
            </w:pPr>
            <w:r w:rsidRPr="00922363">
              <w:rPr>
                <w:rFonts w:ascii="Arial" w:hAnsi="Arial" w:cs="Arial"/>
              </w:rPr>
              <w:t>29.79</w:t>
            </w:r>
          </w:p>
        </w:tc>
        <w:tc>
          <w:tcPr>
            <w:tcW w:w="1080" w:type="dxa"/>
          </w:tcPr>
          <w:p w14:paraId="6B767CDD" w14:textId="77777777" w:rsidR="00B40C9C" w:rsidRPr="00922363" w:rsidRDefault="00B40C9C" w:rsidP="00922363">
            <w:pPr>
              <w:spacing w:line="360" w:lineRule="auto"/>
              <w:rPr>
                <w:rFonts w:ascii="Arial" w:hAnsi="Arial" w:cs="Arial"/>
              </w:rPr>
            </w:pPr>
            <w:r w:rsidRPr="00922363">
              <w:rPr>
                <w:rFonts w:ascii="Arial" w:hAnsi="Arial" w:cs="Arial"/>
              </w:rPr>
              <w:t>-0.21</w:t>
            </w:r>
          </w:p>
        </w:tc>
      </w:tr>
      <w:tr w:rsidR="00B40C9C" w:rsidRPr="00922363" w14:paraId="6E074D82" w14:textId="77777777" w:rsidTr="00B40C9C">
        <w:tc>
          <w:tcPr>
            <w:tcW w:w="1080" w:type="dxa"/>
          </w:tcPr>
          <w:p w14:paraId="2E2A6EB7" w14:textId="77777777" w:rsidR="00B40C9C" w:rsidRPr="00922363" w:rsidRDefault="00B40C9C" w:rsidP="00922363">
            <w:pPr>
              <w:spacing w:line="360" w:lineRule="auto"/>
              <w:rPr>
                <w:rFonts w:ascii="Arial" w:hAnsi="Arial" w:cs="Arial"/>
              </w:rPr>
            </w:pPr>
            <w:r w:rsidRPr="00922363">
              <w:rPr>
                <w:rFonts w:ascii="Arial" w:hAnsi="Arial" w:cs="Arial"/>
              </w:rPr>
              <w:t>C</w:t>
            </w:r>
          </w:p>
        </w:tc>
        <w:tc>
          <w:tcPr>
            <w:tcW w:w="1080" w:type="dxa"/>
          </w:tcPr>
          <w:p w14:paraId="2CE62492" w14:textId="77777777" w:rsidR="00B40C9C" w:rsidRPr="00922363" w:rsidRDefault="00B40C9C" w:rsidP="00922363">
            <w:pPr>
              <w:spacing w:line="360" w:lineRule="auto"/>
              <w:rPr>
                <w:rFonts w:ascii="Arial" w:hAnsi="Arial" w:cs="Arial"/>
              </w:rPr>
            </w:pPr>
            <w:r w:rsidRPr="00922363">
              <w:rPr>
                <w:rFonts w:ascii="Arial" w:hAnsi="Arial" w:cs="Arial"/>
              </w:rPr>
              <w:t>5</w:t>
            </w:r>
          </w:p>
        </w:tc>
        <w:tc>
          <w:tcPr>
            <w:tcW w:w="1080" w:type="dxa"/>
          </w:tcPr>
          <w:p w14:paraId="1415B076" w14:textId="77777777" w:rsidR="00B40C9C" w:rsidRPr="00922363" w:rsidRDefault="00B40C9C" w:rsidP="00922363">
            <w:pPr>
              <w:spacing w:line="360" w:lineRule="auto"/>
              <w:rPr>
                <w:rFonts w:ascii="Arial" w:hAnsi="Arial" w:cs="Arial"/>
              </w:rPr>
            </w:pPr>
            <w:r w:rsidRPr="00922363">
              <w:rPr>
                <w:rFonts w:ascii="Arial" w:hAnsi="Arial" w:cs="Arial"/>
              </w:rPr>
              <w:t>10</w:t>
            </w:r>
          </w:p>
        </w:tc>
        <w:tc>
          <w:tcPr>
            <w:tcW w:w="1080" w:type="dxa"/>
          </w:tcPr>
          <w:p w14:paraId="1F1F53EB" w14:textId="77777777" w:rsidR="00B40C9C" w:rsidRPr="00922363" w:rsidRDefault="00B40C9C" w:rsidP="00922363">
            <w:pPr>
              <w:spacing w:line="360" w:lineRule="auto"/>
              <w:rPr>
                <w:rFonts w:ascii="Arial" w:hAnsi="Arial" w:cs="Arial"/>
              </w:rPr>
            </w:pPr>
            <w:r w:rsidRPr="00922363">
              <w:rPr>
                <w:rFonts w:ascii="Arial" w:hAnsi="Arial" w:cs="Arial"/>
              </w:rPr>
              <w:t>20</w:t>
            </w:r>
          </w:p>
        </w:tc>
        <w:tc>
          <w:tcPr>
            <w:tcW w:w="1080" w:type="dxa"/>
          </w:tcPr>
          <w:p w14:paraId="0FE328EE" w14:textId="77777777" w:rsidR="00B40C9C" w:rsidRPr="00922363" w:rsidRDefault="00B40C9C" w:rsidP="00922363">
            <w:pPr>
              <w:spacing w:line="360" w:lineRule="auto"/>
              <w:rPr>
                <w:rFonts w:ascii="Arial" w:hAnsi="Arial" w:cs="Arial"/>
              </w:rPr>
            </w:pPr>
            <w:r w:rsidRPr="00922363">
              <w:rPr>
                <w:rFonts w:ascii="Arial" w:hAnsi="Arial" w:cs="Arial"/>
              </w:rPr>
              <w:t>25</w:t>
            </w:r>
          </w:p>
        </w:tc>
        <w:tc>
          <w:tcPr>
            <w:tcW w:w="1080" w:type="dxa"/>
          </w:tcPr>
          <w:p w14:paraId="18A5DBAD" w14:textId="77777777" w:rsidR="00B40C9C" w:rsidRPr="00922363" w:rsidRDefault="00B40C9C" w:rsidP="00922363">
            <w:pPr>
              <w:spacing w:line="360" w:lineRule="auto"/>
              <w:rPr>
                <w:rFonts w:ascii="Arial" w:hAnsi="Arial" w:cs="Arial"/>
              </w:rPr>
            </w:pPr>
            <w:r w:rsidRPr="00922363">
              <w:rPr>
                <w:rFonts w:ascii="Arial" w:hAnsi="Arial" w:cs="Arial"/>
              </w:rPr>
              <w:t>15</w:t>
            </w:r>
          </w:p>
        </w:tc>
        <w:tc>
          <w:tcPr>
            <w:tcW w:w="1080" w:type="dxa"/>
          </w:tcPr>
          <w:p w14:paraId="2DE92B94" w14:textId="77777777" w:rsidR="00B40C9C" w:rsidRPr="00922363" w:rsidRDefault="00B40C9C" w:rsidP="00922363">
            <w:pPr>
              <w:spacing w:line="360" w:lineRule="auto"/>
              <w:rPr>
                <w:rFonts w:ascii="Arial" w:hAnsi="Arial" w:cs="Arial"/>
              </w:rPr>
            </w:pPr>
            <w:r w:rsidRPr="00922363">
              <w:rPr>
                <w:rFonts w:ascii="Arial" w:hAnsi="Arial" w:cs="Arial"/>
              </w:rPr>
              <w:t>71.28</w:t>
            </w:r>
          </w:p>
        </w:tc>
        <w:tc>
          <w:tcPr>
            <w:tcW w:w="1080" w:type="dxa"/>
          </w:tcPr>
          <w:p w14:paraId="65399B4A" w14:textId="77777777" w:rsidR="00B40C9C" w:rsidRPr="00922363" w:rsidRDefault="00B40C9C" w:rsidP="00922363">
            <w:pPr>
              <w:spacing w:line="360" w:lineRule="auto"/>
              <w:rPr>
                <w:rFonts w:ascii="Arial" w:hAnsi="Arial" w:cs="Arial"/>
              </w:rPr>
            </w:pPr>
            <w:r w:rsidRPr="00922363">
              <w:rPr>
                <w:rFonts w:ascii="Arial" w:hAnsi="Arial" w:cs="Arial"/>
              </w:rPr>
              <w:t>21.28</w:t>
            </w:r>
          </w:p>
        </w:tc>
      </w:tr>
    </w:tbl>
    <w:p w14:paraId="4171F9B6" w14:textId="5480EF98" w:rsidR="00922363" w:rsidRPr="00AA1F2A" w:rsidRDefault="00B40C9C" w:rsidP="00AA1F2A">
      <w:pPr>
        <w:spacing w:line="360" w:lineRule="auto"/>
        <w:jc w:val="center"/>
        <w:rPr>
          <w:rFonts w:ascii="Arial" w:hAnsi="Arial" w:cs="Arial"/>
        </w:rPr>
      </w:pPr>
      <w:r w:rsidRPr="00922363">
        <w:rPr>
          <w:rFonts w:ascii="Arial" w:hAnsi="Arial" w:cs="Arial"/>
        </w:rPr>
        <w:t>Source: Author’s calculations</w:t>
      </w:r>
      <w:r w:rsidRPr="00922363">
        <w:rPr>
          <w:rFonts w:ascii="Arial" w:hAnsi="Arial" w:cs="Arial"/>
        </w:rPr>
        <w:br/>
      </w:r>
    </w:p>
    <w:p w14:paraId="7E344628" w14:textId="4D2FE506" w:rsidR="00B40C9C" w:rsidRPr="00922363" w:rsidRDefault="00B40C9C" w:rsidP="00922363">
      <w:pPr>
        <w:pStyle w:val="Heading2"/>
        <w:spacing w:line="360" w:lineRule="auto"/>
        <w:rPr>
          <w:rFonts w:cs="Arial"/>
        </w:rPr>
      </w:pPr>
      <w:bookmarkStart w:id="132" w:name="_Toc216756008"/>
      <w:bookmarkStart w:id="133" w:name="_Toc217181561"/>
      <w:bookmarkStart w:id="134" w:name="_Toc217260361"/>
      <w:r w:rsidRPr="00922363">
        <w:rPr>
          <w:rFonts w:cs="Arial"/>
        </w:rPr>
        <w:t>Table D3: Internal Rate of Return (IRR) Estimates</w:t>
      </w:r>
      <w:bookmarkEnd w:id="132"/>
      <w:bookmarkEnd w:id="133"/>
      <w:bookmarkEnd w:id="134"/>
    </w:p>
    <w:p w14:paraId="6D725E8A" w14:textId="57A1D263" w:rsidR="0042739E" w:rsidRPr="00922363" w:rsidRDefault="00B40C9C" w:rsidP="00922363">
      <w:pPr>
        <w:spacing w:line="360" w:lineRule="auto"/>
        <w:rPr>
          <w:rFonts w:ascii="Arial" w:hAnsi="Arial" w:cs="Arial"/>
        </w:rPr>
      </w:pPr>
      <w:r w:rsidRPr="00922363">
        <w:rPr>
          <w:rFonts w:ascii="Arial" w:hAnsi="Arial" w:cs="Arial"/>
        </w:rPr>
        <w:t>Formula:</w:t>
      </w:r>
    </w:p>
    <w:p w14:paraId="36746744" w14:textId="638481BF" w:rsidR="00B40C9C" w:rsidRPr="00922363" w:rsidRDefault="0042739E" w:rsidP="00922363">
      <w:pPr>
        <w:spacing w:line="360" w:lineRule="auto"/>
        <w:rPr>
          <w:rFonts w:ascii="Arial" w:hAnsi="Arial" w:cs="Arial"/>
        </w:rPr>
      </w:pPr>
      <w:r w:rsidRPr="00922363">
        <w:rPr>
          <w:rFonts w:ascii="Arial" w:hAnsi="Arial" w:cs="Arial"/>
          <w:noProof/>
        </w:rPr>
        <w:drawing>
          <wp:inline distT="0" distB="0" distL="0" distR="0" wp14:anchorId="6A70DA1D" wp14:editId="296A0668">
            <wp:extent cx="5105400" cy="1314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15789" b="3508"/>
                    <a:stretch/>
                  </pic:blipFill>
                  <pic:spPr bwMode="auto">
                    <a:xfrm>
                      <a:off x="0" y="0"/>
                      <a:ext cx="5105400" cy="1314450"/>
                    </a:xfrm>
                    <a:prstGeom prst="rect">
                      <a:avLst/>
                    </a:prstGeom>
                    <a:ln>
                      <a:noFill/>
                    </a:ln>
                    <a:extLst>
                      <a:ext uri="{53640926-AAD7-44D8-BBD7-CCE9431645EC}">
                        <a14:shadowObscured xmlns:a14="http://schemas.microsoft.com/office/drawing/2010/main"/>
                      </a:ext>
                    </a:extLst>
                  </pic:spPr>
                </pic:pic>
              </a:graphicData>
            </a:graphic>
          </wp:inline>
        </w:drawing>
      </w:r>
      <w:r w:rsidR="00B40C9C" w:rsidRPr="00922363">
        <w:rPr>
          <w:rFonts w:ascii="Arial" w:hAnsi="Arial" w:cs="Arial"/>
        </w:rPr>
        <w:br/>
      </w:r>
    </w:p>
    <w:tbl>
      <w:tblPr>
        <w:tblStyle w:val="TableGrid"/>
        <w:tblW w:w="0" w:type="auto"/>
        <w:tblLook w:val="04A0" w:firstRow="1" w:lastRow="0" w:firstColumn="1" w:lastColumn="0" w:noHBand="0" w:noVBand="1"/>
      </w:tblPr>
      <w:tblGrid>
        <w:gridCol w:w="4320"/>
        <w:gridCol w:w="4320"/>
      </w:tblGrid>
      <w:tr w:rsidR="00B40C9C" w:rsidRPr="00922363" w14:paraId="36243041" w14:textId="77777777" w:rsidTr="00B40C9C">
        <w:tc>
          <w:tcPr>
            <w:tcW w:w="4320" w:type="dxa"/>
          </w:tcPr>
          <w:p w14:paraId="2AAA6390" w14:textId="77777777" w:rsidR="00B40C9C" w:rsidRPr="00922363" w:rsidRDefault="00B40C9C" w:rsidP="00922363">
            <w:pPr>
              <w:spacing w:line="360" w:lineRule="auto"/>
              <w:rPr>
                <w:rFonts w:ascii="Arial" w:hAnsi="Arial" w:cs="Arial"/>
              </w:rPr>
            </w:pPr>
            <w:r w:rsidRPr="00922363">
              <w:rPr>
                <w:rFonts w:ascii="Arial" w:hAnsi="Arial" w:cs="Arial"/>
              </w:rPr>
              <w:t>Project</w:t>
            </w:r>
          </w:p>
        </w:tc>
        <w:tc>
          <w:tcPr>
            <w:tcW w:w="4320" w:type="dxa"/>
          </w:tcPr>
          <w:p w14:paraId="65BA4634" w14:textId="77777777" w:rsidR="00B40C9C" w:rsidRPr="00922363" w:rsidRDefault="00B40C9C" w:rsidP="00922363">
            <w:pPr>
              <w:spacing w:line="360" w:lineRule="auto"/>
              <w:rPr>
                <w:rFonts w:ascii="Arial" w:hAnsi="Arial" w:cs="Arial"/>
              </w:rPr>
            </w:pPr>
            <w:r w:rsidRPr="00922363">
              <w:rPr>
                <w:rFonts w:ascii="Arial" w:hAnsi="Arial" w:cs="Arial"/>
              </w:rPr>
              <w:t>Estimated IRR (%)</w:t>
            </w:r>
          </w:p>
        </w:tc>
      </w:tr>
      <w:tr w:rsidR="00B40C9C" w:rsidRPr="00922363" w14:paraId="5B182124" w14:textId="77777777" w:rsidTr="00B40C9C">
        <w:tc>
          <w:tcPr>
            <w:tcW w:w="4320" w:type="dxa"/>
          </w:tcPr>
          <w:p w14:paraId="255BEEA7" w14:textId="77777777" w:rsidR="00B40C9C" w:rsidRPr="00922363" w:rsidRDefault="00B40C9C" w:rsidP="00922363">
            <w:pPr>
              <w:spacing w:line="360" w:lineRule="auto"/>
              <w:rPr>
                <w:rFonts w:ascii="Arial" w:hAnsi="Arial" w:cs="Arial"/>
              </w:rPr>
            </w:pPr>
            <w:r w:rsidRPr="00922363">
              <w:rPr>
                <w:rFonts w:ascii="Arial" w:hAnsi="Arial" w:cs="Arial"/>
              </w:rPr>
              <w:t>A</w:t>
            </w:r>
          </w:p>
        </w:tc>
        <w:tc>
          <w:tcPr>
            <w:tcW w:w="4320" w:type="dxa"/>
          </w:tcPr>
          <w:p w14:paraId="52DF499E" w14:textId="77777777" w:rsidR="00B40C9C" w:rsidRPr="00922363" w:rsidRDefault="00B40C9C" w:rsidP="00922363">
            <w:pPr>
              <w:spacing w:line="360" w:lineRule="auto"/>
              <w:rPr>
                <w:rFonts w:ascii="Arial" w:hAnsi="Arial" w:cs="Arial"/>
              </w:rPr>
            </w:pPr>
            <w:r w:rsidRPr="00922363">
              <w:rPr>
                <w:rFonts w:ascii="Arial" w:hAnsi="Arial" w:cs="Arial"/>
              </w:rPr>
              <w:t>10.7</w:t>
            </w:r>
          </w:p>
        </w:tc>
      </w:tr>
      <w:tr w:rsidR="00B40C9C" w:rsidRPr="00922363" w14:paraId="71A7895C" w14:textId="77777777" w:rsidTr="00B40C9C">
        <w:tc>
          <w:tcPr>
            <w:tcW w:w="4320" w:type="dxa"/>
          </w:tcPr>
          <w:p w14:paraId="47BC4DC0" w14:textId="77777777" w:rsidR="00B40C9C" w:rsidRPr="00922363" w:rsidRDefault="00B40C9C" w:rsidP="00922363">
            <w:pPr>
              <w:spacing w:line="360" w:lineRule="auto"/>
              <w:rPr>
                <w:rFonts w:ascii="Arial" w:hAnsi="Arial" w:cs="Arial"/>
              </w:rPr>
            </w:pPr>
            <w:r w:rsidRPr="00922363">
              <w:rPr>
                <w:rFonts w:ascii="Arial" w:hAnsi="Arial" w:cs="Arial"/>
              </w:rPr>
              <w:t>B</w:t>
            </w:r>
          </w:p>
        </w:tc>
        <w:tc>
          <w:tcPr>
            <w:tcW w:w="4320" w:type="dxa"/>
          </w:tcPr>
          <w:p w14:paraId="1DFF9944" w14:textId="77777777" w:rsidR="00B40C9C" w:rsidRPr="00922363" w:rsidRDefault="00B40C9C" w:rsidP="00922363">
            <w:pPr>
              <w:spacing w:line="360" w:lineRule="auto"/>
              <w:rPr>
                <w:rFonts w:ascii="Arial" w:hAnsi="Arial" w:cs="Arial"/>
              </w:rPr>
            </w:pPr>
            <w:r w:rsidRPr="00922363">
              <w:rPr>
                <w:rFonts w:ascii="Arial" w:hAnsi="Arial" w:cs="Arial"/>
              </w:rPr>
              <w:t>9.8</w:t>
            </w:r>
          </w:p>
        </w:tc>
      </w:tr>
      <w:tr w:rsidR="00B40C9C" w:rsidRPr="00922363" w14:paraId="3671F50A" w14:textId="77777777" w:rsidTr="00B40C9C">
        <w:tc>
          <w:tcPr>
            <w:tcW w:w="4320" w:type="dxa"/>
          </w:tcPr>
          <w:p w14:paraId="434D8F73" w14:textId="77777777" w:rsidR="00B40C9C" w:rsidRPr="00922363" w:rsidRDefault="00B40C9C" w:rsidP="00922363">
            <w:pPr>
              <w:spacing w:line="360" w:lineRule="auto"/>
              <w:rPr>
                <w:rFonts w:ascii="Arial" w:hAnsi="Arial" w:cs="Arial"/>
              </w:rPr>
            </w:pPr>
            <w:r w:rsidRPr="00922363">
              <w:rPr>
                <w:rFonts w:ascii="Arial" w:hAnsi="Arial" w:cs="Arial"/>
              </w:rPr>
              <w:t>C</w:t>
            </w:r>
          </w:p>
        </w:tc>
        <w:tc>
          <w:tcPr>
            <w:tcW w:w="4320" w:type="dxa"/>
          </w:tcPr>
          <w:p w14:paraId="11850087" w14:textId="77777777" w:rsidR="00B40C9C" w:rsidRPr="00922363" w:rsidRDefault="00B40C9C" w:rsidP="00922363">
            <w:pPr>
              <w:spacing w:line="360" w:lineRule="auto"/>
              <w:rPr>
                <w:rFonts w:ascii="Arial" w:hAnsi="Arial" w:cs="Arial"/>
              </w:rPr>
            </w:pPr>
            <w:r w:rsidRPr="00922363">
              <w:rPr>
                <w:rFonts w:ascii="Arial" w:hAnsi="Arial" w:cs="Arial"/>
              </w:rPr>
              <w:t>28.6</w:t>
            </w:r>
          </w:p>
        </w:tc>
      </w:tr>
    </w:tbl>
    <w:p w14:paraId="4CD24ABD" w14:textId="3ADE761E" w:rsidR="00B40C9C" w:rsidRPr="00922363" w:rsidRDefault="00B40C9C" w:rsidP="00922363">
      <w:pPr>
        <w:spacing w:line="360" w:lineRule="auto"/>
        <w:jc w:val="center"/>
        <w:rPr>
          <w:rFonts w:ascii="Arial" w:hAnsi="Arial" w:cs="Arial"/>
        </w:rPr>
      </w:pPr>
      <w:r w:rsidRPr="00922363">
        <w:rPr>
          <w:rFonts w:ascii="Arial" w:hAnsi="Arial" w:cs="Arial"/>
        </w:rPr>
        <w:t>Source: Author’s calculations</w:t>
      </w:r>
    </w:p>
    <w:p w14:paraId="3A8A00CA" w14:textId="77777777" w:rsidR="00B40C9C" w:rsidRPr="00922363" w:rsidRDefault="00B40C9C" w:rsidP="00922363">
      <w:pPr>
        <w:pStyle w:val="Heading2"/>
        <w:spacing w:line="360" w:lineRule="auto"/>
        <w:rPr>
          <w:rFonts w:cs="Arial"/>
        </w:rPr>
      </w:pPr>
      <w:bookmarkStart w:id="135" w:name="_Toc216756009"/>
      <w:bookmarkStart w:id="136" w:name="_Toc217181562"/>
      <w:bookmarkStart w:id="137" w:name="_Toc217260362"/>
      <w:r w:rsidRPr="00922363">
        <w:rPr>
          <w:rFonts w:cs="Arial"/>
        </w:rPr>
        <w:t>Table D4: Profitability Index (PI) Calculations</w:t>
      </w:r>
      <w:bookmarkEnd w:id="135"/>
      <w:bookmarkEnd w:id="136"/>
      <w:bookmarkEnd w:id="137"/>
    </w:p>
    <w:p w14:paraId="04ADE11D" w14:textId="77777777" w:rsidR="0042739E" w:rsidRPr="00922363" w:rsidRDefault="00B40C9C" w:rsidP="00922363">
      <w:pPr>
        <w:spacing w:line="360" w:lineRule="auto"/>
        <w:rPr>
          <w:rFonts w:ascii="Arial" w:hAnsi="Arial" w:cs="Arial"/>
        </w:rPr>
      </w:pPr>
      <w:r w:rsidRPr="00922363">
        <w:rPr>
          <w:rFonts w:ascii="Arial" w:hAnsi="Arial" w:cs="Arial"/>
        </w:rPr>
        <w:lastRenderedPageBreak/>
        <w:t>Formula:</w:t>
      </w:r>
    </w:p>
    <w:p w14:paraId="5B4D0DD6" w14:textId="320F01E8" w:rsidR="00B40C9C" w:rsidRPr="00922363" w:rsidRDefault="0042739E" w:rsidP="00922363">
      <w:pPr>
        <w:spacing w:line="360" w:lineRule="auto"/>
        <w:rPr>
          <w:rFonts w:ascii="Arial" w:hAnsi="Arial" w:cs="Arial"/>
        </w:rPr>
      </w:pPr>
      <w:r w:rsidRPr="00922363">
        <w:rPr>
          <w:rFonts w:ascii="Arial" w:hAnsi="Arial" w:cs="Arial"/>
          <w:noProof/>
        </w:rPr>
        <w:drawing>
          <wp:inline distT="0" distB="0" distL="0" distR="0" wp14:anchorId="2FDA1C8A" wp14:editId="5D85A4E9">
            <wp:extent cx="4743450" cy="6000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743450" cy="600075"/>
                    </a:xfrm>
                    <a:prstGeom prst="rect">
                      <a:avLst/>
                    </a:prstGeom>
                  </pic:spPr>
                </pic:pic>
              </a:graphicData>
            </a:graphic>
          </wp:inline>
        </w:drawing>
      </w:r>
    </w:p>
    <w:tbl>
      <w:tblPr>
        <w:tblStyle w:val="TableGrid"/>
        <w:tblW w:w="0" w:type="auto"/>
        <w:tblLook w:val="04A0" w:firstRow="1" w:lastRow="0" w:firstColumn="1" w:lastColumn="0" w:noHBand="0" w:noVBand="1"/>
      </w:tblPr>
      <w:tblGrid>
        <w:gridCol w:w="2160"/>
        <w:gridCol w:w="2160"/>
        <w:gridCol w:w="2160"/>
        <w:gridCol w:w="2160"/>
      </w:tblGrid>
      <w:tr w:rsidR="00B40C9C" w:rsidRPr="00922363" w14:paraId="1BC1167C" w14:textId="77777777" w:rsidTr="00B40C9C">
        <w:tc>
          <w:tcPr>
            <w:tcW w:w="2160" w:type="dxa"/>
          </w:tcPr>
          <w:p w14:paraId="3618BD62" w14:textId="77777777" w:rsidR="00B40C9C" w:rsidRPr="00922363" w:rsidRDefault="00B40C9C" w:rsidP="00922363">
            <w:pPr>
              <w:spacing w:line="360" w:lineRule="auto"/>
              <w:rPr>
                <w:rFonts w:ascii="Arial" w:hAnsi="Arial" w:cs="Arial"/>
              </w:rPr>
            </w:pPr>
            <w:r w:rsidRPr="00922363">
              <w:rPr>
                <w:rFonts w:ascii="Arial" w:hAnsi="Arial" w:cs="Arial"/>
              </w:rPr>
              <w:t>Project</w:t>
            </w:r>
          </w:p>
        </w:tc>
        <w:tc>
          <w:tcPr>
            <w:tcW w:w="2160" w:type="dxa"/>
          </w:tcPr>
          <w:p w14:paraId="6E262EFE" w14:textId="77777777" w:rsidR="00B40C9C" w:rsidRPr="00922363" w:rsidRDefault="00B40C9C" w:rsidP="00922363">
            <w:pPr>
              <w:spacing w:line="360" w:lineRule="auto"/>
              <w:rPr>
                <w:rFonts w:ascii="Arial" w:hAnsi="Arial" w:cs="Arial"/>
              </w:rPr>
            </w:pPr>
            <w:r w:rsidRPr="00922363">
              <w:rPr>
                <w:rFonts w:ascii="Arial" w:hAnsi="Arial" w:cs="Arial"/>
              </w:rPr>
              <w:t>PV of Inflows (£m)</w:t>
            </w:r>
          </w:p>
        </w:tc>
        <w:tc>
          <w:tcPr>
            <w:tcW w:w="2160" w:type="dxa"/>
          </w:tcPr>
          <w:p w14:paraId="49E5B0AC" w14:textId="77777777" w:rsidR="00B40C9C" w:rsidRPr="00922363" w:rsidRDefault="00B40C9C" w:rsidP="00922363">
            <w:pPr>
              <w:spacing w:line="360" w:lineRule="auto"/>
              <w:rPr>
                <w:rFonts w:ascii="Arial" w:hAnsi="Arial" w:cs="Arial"/>
              </w:rPr>
            </w:pPr>
            <w:r w:rsidRPr="00922363">
              <w:rPr>
                <w:rFonts w:ascii="Arial" w:hAnsi="Arial" w:cs="Arial"/>
              </w:rPr>
              <w:t>Initial Investment (£m)</w:t>
            </w:r>
          </w:p>
        </w:tc>
        <w:tc>
          <w:tcPr>
            <w:tcW w:w="2160" w:type="dxa"/>
          </w:tcPr>
          <w:p w14:paraId="0BB78DA1" w14:textId="77777777" w:rsidR="00B40C9C" w:rsidRPr="00922363" w:rsidRDefault="00B40C9C" w:rsidP="00922363">
            <w:pPr>
              <w:spacing w:line="360" w:lineRule="auto"/>
              <w:rPr>
                <w:rFonts w:ascii="Arial" w:hAnsi="Arial" w:cs="Arial"/>
              </w:rPr>
            </w:pPr>
            <w:r w:rsidRPr="00922363">
              <w:rPr>
                <w:rFonts w:ascii="Arial" w:hAnsi="Arial" w:cs="Arial"/>
              </w:rPr>
              <w:t>Profitability Index</w:t>
            </w:r>
          </w:p>
        </w:tc>
      </w:tr>
      <w:tr w:rsidR="00B40C9C" w:rsidRPr="00922363" w14:paraId="46378ACA" w14:textId="77777777" w:rsidTr="00B40C9C">
        <w:tc>
          <w:tcPr>
            <w:tcW w:w="2160" w:type="dxa"/>
          </w:tcPr>
          <w:p w14:paraId="598840FA" w14:textId="77777777" w:rsidR="00B40C9C" w:rsidRPr="00922363" w:rsidRDefault="00B40C9C" w:rsidP="00922363">
            <w:pPr>
              <w:spacing w:line="360" w:lineRule="auto"/>
              <w:rPr>
                <w:rFonts w:ascii="Arial" w:hAnsi="Arial" w:cs="Arial"/>
              </w:rPr>
            </w:pPr>
            <w:r w:rsidRPr="00922363">
              <w:rPr>
                <w:rFonts w:ascii="Arial" w:hAnsi="Arial" w:cs="Arial"/>
              </w:rPr>
              <w:t>A</w:t>
            </w:r>
          </w:p>
        </w:tc>
        <w:tc>
          <w:tcPr>
            <w:tcW w:w="2160" w:type="dxa"/>
          </w:tcPr>
          <w:p w14:paraId="5B319DEC" w14:textId="77777777" w:rsidR="00B40C9C" w:rsidRPr="00922363" w:rsidRDefault="00B40C9C" w:rsidP="00922363">
            <w:pPr>
              <w:spacing w:line="360" w:lineRule="auto"/>
              <w:rPr>
                <w:rFonts w:ascii="Arial" w:hAnsi="Arial" w:cs="Arial"/>
              </w:rPr>
            </w:pPr>
            <w:r w:rsidRPr="00922363">
              <w:rPr>
                <w:rFonts w:ascii="Arial" w:hAnsi="Arial" w:cs="Arial"/>
              </w:rPr>
              <w:t>41.92</w:t>
            </w:r>
          </w:p>
        </w:tc>
        <w:tc>
          <w:tcPr>
            <w:tcW w:w="2160" w:type="dxa"/>
          </w:tcPr>
          <w:p w14:paraId="19843E2E" w14:textId="77777777" w:rsidR="00B40C9C" w:rsidRPr="00922363" w:rsidRDefault="00B40C9C" w:rsidP="00922363">
            <w:pPr>
              <w:spacing w:line="360" w:lineRule="auto"/>
              <w:rPr>
                <w:rFonts w:ascii="Arial" w:hAnsi="Arial" w:cs="Arial"/>
              </w:rPr>
            </w:pPr>
            <w:r w:rsidRPr="00922363">
              <w:rPr>
                <w:rFonts w:ascii="Arial" w:hAnsi="Arial" w:cs="Arial"/>
              </w:rPr>
              <w:t>40</w:t>
            </w:r>
          </w:p>
        </w:tc>
        <w:tc>
          <w:tcPr>
            <w:tcW w:w="2160" w:type="dxa"/>
          </w:tcPr>
          <w:p w14:paraId="01521D37" w14:textId="77777777" w:rsidR="00B40C9C" w:rsidRPr="00922363" w:rsidRDefault="00B40C9C" w:rsidP="00922363">
            <w:pPr>
              <w:spacing w:line="360" w:lineRule="auto"/>
              <w:rPr>
                <w:rFonts w:ascii="Arial" w:hAnsi="Arial" w:cs="Arial"/>
              </w:rPr>
            </w:pPr>
            <w:r w:rsidRPr="00922363">
              <w:rPr>
                <w:rFonts w:ascii="Arial" w:hAnsi="Arial" w:cs="Arial"/>
              </w:rPr>
              <w:t>1.048</w:t>
            </w:r>
          </w:p>
        </w:tc>
      </w:tr>
      <w:tr w:rsidR="00B40C9C" w:rsidRPr="00922363" w14:paraId="2CE007D2" w14:textId="77777777" w:rsidTr="00B40C9C">
        <w:tc>
          <w:tcPr>
            <w:tcW w:w="2160" w:type="dxa"/>
          </w:tcPr>
          <w:p w14:paraId="5BD44FFC" w14:textId="77777777" w:rsidR="00B40C9C" w:rsidRPr="00922363" w:rsidRDefault="00B40C9C" w:rsidP="00922363">
            <w:pPr>
              <w:spacing w:line="360" w:lineRule="auto"/>
              <w:rPr>
                <w:rFonts w:ascii="Arial" w:hAnsi="Arial" w:cs="Arial"/>
              </w:rPr>
            </w:pPr>
            <w:r w:rsidRPr="00922363">
              <w:rPr>
                <w:rFonts w:ascii="Arial" w:hAnsi="Arial" w:cs="Arial"/>
              </w:rPr>
              <w:t>B</w:t>
            </w:r>
          </w:p>
        </w:tc>
        <w:tc>
          <w:tcPr>
            <w:tcW w:w="2160" w:type="dxa"/>
          </w:tcPr>
          <w:p w14:paraId="7B0D4B5D" w14:textId="77777777" w:rsidR="00B40C9C" w:rsidRPr="00922363" w:rsidRDefault="00B40C9C" w:rsidP="00922363">
            <w:pPr>
              <w:spacing w:line="360" w:lineRule="auto"/>
              <w:rPr>
                <w:rFonts w:ascii="Arial" w:hAnsi="Arial" w:cs="Arial"/>
              </w:rPr>
            </w:pPr>
            <w:r w:rsidRPr="00922363">
              <w:rPr>
                <w:rFonts w:ascii="Arial" w:hAnsi="Arial" w:cs="Arial"/>
              </w:rPr>
              <w:t>29.79</w:t>
            </w:r>
          </w:p>
        </w:tc>
        <w:tc>
          <w:tcPr>
            <w:tcW w:w="2160" w:type="dxa"/>
          </w:tcPr>
          <w:p w14:paraId="4811204D" w14:textId="77777777" w:rsidR="00B40C9C" w:rsidRPr="00922363" w:rsidRDefault="00B40C9C" w:rsidP="00922363">
            <w:pPr>
              <w:spacing w:line="360" w:lineRule="auto"/>
              <w:rPr>
                <w:rFonts w:ascii="Arial" w:hAnsi="Arial" w:cs="Arial"/>
              </w:rPr>
            </w:pPr>
            <w:r w:rsidRPr="00922363">
              <w:rPr>
                <w:rFonts w:ascii="Arial" w:hAnsi="Arial" w:cs="Arial"/>
              </w:rPr>
              <w:t>30</w:t>
            </w:r>
          </w:p>
        </w:tc>
        <w:tc>
          <w:tcPr>
            <w:tcW w:w="2160" w:type="dxa"/>
          </w:tcPr>
          <w:p w14:paraId="54110B01" w14:textId="77777777" w:rsidR="00B40C9C" w:rsidRPr="00922363" w:rsidRDefault="00B40C9C" w:rsidP="00922363">
            <w:pPr>
              <w:spacing w:line="360" w:lineRule="auto"/>
              <w:rPr>
                <w:rFonts w:ascii="Arial" w:hAnsi="Arial" w:cs="Arial"/>
              </w:rPr>
            </w:pPr>
            <w:r w:rsidRPr="00922363">
              <w:rPr>
                <w:rFonts w:ascii="Arial" w:hAnsi="Arial" w:cs="Arial"/>
              </w:rPr>
              <w:t>0.993</w:t>
            </w:r>
          </w:p>
        </w:tc>
      </w:tr>
      <w:tr w:rsidR="00B40C9C" w:rsidRPr="00922363" w14:paraId="176D768A" w14:textId="77777777" w:rsidTr="00B40C9C">
        <w:tc>
          <w:tcPr>
            <w:tcW w:w="2160" w:type="dxa"/>
          </w:tcPr>
          <w:p w14:paraId="2998D0B1" w14:textId="77777777" w:rsidR="00B40C9C" w:rsidRPr="00922363" w:rsidRDefault="00B40C9C" w:rsidP="00922363">
            <w:pPr>
              <w:spacing w:line="360" w:lineRule="auto"/>
              <w:rPr>
                <w:rFonts w:ascii="Arial" w:hAnsi="Arial" w:cs="Arial"/>
              </w:rPr>
            </w:pPr>
            <w:r w:rsidRPr="00922363">
              <w:rPr>
                <w:rFonts w:ascii="Arial" w:hAnsi="Arial" w:cs="Arial"/>
              </w:rPr>
              <w:t>C</w:t>
            </w:r>
          </w:p>
        </w:tc>
        <w:tc>
          <w:tcPr>
            <w:tcW w:w="2160" w:type="dxa"/>
          </w:tcPr>
          <w:p w14:paraId="668AE220" w14:textId="77777777" w:rsidR="00B40C9C" w:rsidRPr="00922363" w:rsidRDefault="00B40C9C" w:rsidP="00922363">
            <w:pPr>
              <w:spacing w:line="360" w:lineRule="auto"/>
              <w:rPr>
                <w:rFonts w:ascii="Arial" w:hAnsi="Arial" w:cs="Arial"/>
              </w:rPr>
            </w:pPr>
            <w:r w:rsidRPr="00922363">
              <w:rPr>
                <w:rFonts w:ascii="Arial" w:hAnsi="Arial" w:cs="Arial"/>
              </w:rPr>
              <w:t>71.28</w:t>
            </w:r>
          </w:p>
        </w:tc>
        <w:tc>
          <w:tcPr>
            <w:tcW w:w="2160" w:type="dxa"/>
          </w:tcPr>
          <w:p w14:paraId="7911DEEE" w14:textId="77777777" w:rsidR="00B40C9C" w:rsidRPr="00922363" w:rsidRDefault="00B40C9C" w:rsidP="00922363">
            <w:pPr>
              <w:spacing w:line="360" w:lineRule="auto"/>
              <w:rPr>
                <w:rFonts w:ascii="Arial" w:hAnsi="Arial" w:cs="Arial"/>
              </w:rPr>
            </w:pPr>
            <w:r w:rsidRPr="00922363">
              <w:rPr>
                <w:rFonts w:ascii="Arial" w:hAnsi="Arial" w:cs="Arial"/>
              </w:rPr>
              <w:t>50</w:t>
            </w:r>
          </w:p>
        </w:tc>
        <w:tc>
          <w:tcPr>
            <w:tcW w:w="2160" w:type="dxa"/>
          </w:tcPr>
          <w:p w14:paraId="3DA25396" w14:textId="77777777" w:rsidR="00B40C9C" w:rsidRPr="00922363" w:rsidRDefault="00B40C9C" w:rsidP="00922363">
            <w:pPr>
              <w:spacing w:line="360" w:lineRule="auto"/>
              <w:rPr>
                <w:rFonts w:ascii="Arial" w:hAnsi="Arial" w:cs="Arial"/>
              </w:rPr>
            </w:pPr>
            <w:r w:rsidRPr="00922363">
              <w:rPr>
                <w:rFonts w:ascii="Arial" w:hAnsi="Arial" w:cs="Arial"/>
              </w:rPr>
              <w:t>1.426</w:t>
            </w:r>
          </w:p>
        </w:tc>
      </w:tr>
    </w:tbl>
    <w:p w14:paraId="5D6945D3" w14:textId="082B8C5C" w:rsidR="00B40C9C" w:rsidRPr="00922363" w:rsidRDefault="00B40C9C" w:rsidP="00922363">
      <w:pPr>
        <w:spacing w:line="360" w:lineRule="auto"/>
        <w:jc w:val="center"/>
        <w:rPr>
          <w:rFonts w:ascii="Arial" w:hAnsi="Arial" w:cs="Arial"/>
        </w:rPr>
      </w:pPr>
      <w:r w:rsidRPr="00922363">
        <w:rPr>
          <w:rFonts w:ascii="Arial" w:hAnsi="Arial" w:cs="Arial"/>
        </w:rPr>
        <w:t>Source: Author’s calculations</w:t>
      </w:r>
      <w:r w:rsidRPr="00922363">
        <w:rPr>
          <w:rFonts w:ascii="Arial" w:hAnsi="Arial" w:cs="Arial"/>
        </w:rPr>
        <w:br/>
      </w:r>
    </w:p>
    <w:p w14:paraId="53EC369E" w14:textId="68F74DAE" w:rsidR="0081406E" w:rsidRPr="00922363" w:rsidRDefault="0081406E" w:rsidP="00922363">
      <w:pPr>
        <w:spacing w:line="360" w:lineRule="auto"/>
        <w:rPr>
          <w:rFonts w:ascii="Arial" w:eastAsia="Times New Roman" w:hAnsi="Arial" w:cs="Arial"/>
          <w:b/>
          <w:bCs/>
          <w:sz w:val="27"/>
          <w:szCs w:val="27"/>
        </w:rPr>
      </w:pPr>
    </w:p>
    <w:sectPr w:rsidR="0081406E" w:rsidRPr="00922363" w:rsidSect="00BD5CFC">
      <w:footerReference w:type="default" r:id="rId1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EB1EA5" w14:textId="77777777" w:rsidR="00A45A32" w:rsidRDefault="00A45A32" w:rsidP="004D723F">
      <w:pPr>
        <w:spacing w:after="0" w:line="240" w:lineRule="auto"/>
      </w:pPr>
      <w:r>
        <w:separator/>
      </w:r>
    </w:p>
  </w:endnote>
  <w:endnote w:type="continuationSeparator" w:id="0">
    <w:p w14:paraId="416F134D" w14:textId="77777777" w:rsidR="00A45A32" w:rsidRDefault="00A45A32" w:rsidP="004D72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7478750"/>
      <w:docPartObj>
        <w:docPartGallery w:val="Page Numbers (Bottom of Page)"/>
        <w:docPartUnique/>
      </w:docPartObj>
    </w:sdtPr>
    <w:sdtEndPr>
      <w:rPr>
        <w:noProof/>
      </w:rPr>
    </w:sdtEndPr>
    <w:sdtContent>
      <w:p w14:paraId="41C84806" w14:textId="349BBD80" w:rsidR="004D723F" w:rsidRDefault="004D723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BAC9EC5" w14:textId="77777777" w:rsidR="004D723F" w:rsidRDefault="004D72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B84A89" w14:textId="77777777" w:rsidR="00A45A32" w:rsidRDefault="00A45A32" w:rsidP="004D723F">
      <w:pPr>
        <w:spacing w:after="0" w:line="240" w:lineRule="auto"/>
      </w:pPr>
      <w:r>
        <w:separator/>
      </w:r>
    </w:p>
  </w:footnote>
  <w:footnote w:type="continuationSeparator" w:id="0">
    <w:p w14:paraId="327F8CA8" w14:textId="77777777" w:rsidR="00A45A32" w:rsidRDefault="00A45A32" w:rsidP="004D72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5E4A0A"/>
    <w:multiLevelType w:val="multilevel"/>
    <w:tmpl w:val="65DC2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236B46"/>
    <w:multiLevelType w:val="multilevel"/>
    <w:tmpl w:val="6FB88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FA68D0"/>
    <w:multiLevelType w:val="hybridMultilevel"/>
    <w:tmpl w:val="60449E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9151DF3"/>
    <w:multiLevelType w:val="multilevel"/>
    <w:tmpl w:val="5BEC0A90"/>
    <w:lvl w:ilvl="0">
      <w:start w:val="1"/>
      <w:numFmt w:val="decimal"/>
      <w:lvlText w:val="%1.0"/>
      <w:lvlJc w:val="left"/>
      <w:pPr>
        <w:ind w:left="540" w:hanging="540"/>
      </w:pPr>
      <w:rPr>
        <w:rFonts w:hint="default"/>
      </w:rPr>
    </w:lvl>
    <w:lvl w:ilvl="1">
      <w:start w:val="1"/>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 w15:restartNumberingAfterBreak="0">
    <w:nsid w:val="728B1081"/>
    <w:multiLevelType w:val="multilevel"/>
    <w:tmpl w:val="C48CB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D13"/>
    <w:rsid w:val="00051CA0"/>
    <w:rsid w:val="000702A1"/>
    <w:rsid w:val="0011391F"/>
    <w:rsid w:val="00160940"/>
    <w:rsid w:val="00212101"/>
    <w:rsid w:val="00213D6E"/>
    <w:rsid w:val="002178FF"/>
    <w:rsid w:val="00220067"/>
    <w:rsid w:val="002306E6"/>
    <w:rsid w:val="00276186"/>
    <w:rsid w:val="002805BA"/>
    <w:rsid w:val="002C323B"/>
    <w:rsid w:val="0042739E"/>
    <w:rsid w:val="00432D56"/>
    <w:rsid w:val="00484D13"/>
    <w:rsid w:val="004D723F"/>
    <w:rsid w:val="004F2C03"/>
    <w:rsid w:val="00502468"/>
    <w:rsid w:val="00504D72"/>
    <w:rsid w:val="0054198D"/>
    <w:rsid w:val="00561671"/>
    <w:rsid w:val="00562187"/>
    <w:rsid w:val="00572609"/>
    <w:rsid w:val="005B3AB3"/>
    <w:rsid w:val="006639EB"/>
    <w:rsid w:val="006A1DDD"/>
    <w:rsid w:val="006C1B9C"/>
    <w:rsid w:val="00747935"/>
    <w:rsid w:val="007A0BBE"/>
    <w:rsid w:val="0081406E"/>
    <w:rsid w:val="00871311"/>
    <w:rsid w:val="00892F88"/>
    <w:rsid w:val="008C7CCC"/>
    <w:rsid w:val="00922363"/>
    <w:rsid w:val="009A635C"/>
    <w:rsid w:val="009B6FD6"/>
    <w:rsid w:val="009B7901"/>
    <w:rsid w:val="00A001A0"/>
    <w:rsid w:val="00A45A32"/>
    <w:rsid w:val="00A463C3"/>
    <w:rsid w:val="00AA1F2A"/>
    <w:rsid w:val="00AA622A"/>
    <w:rsid w:val="00B40C9C"/>
    <w:rsid w:val="00B8703A"/>
    <w:rsid w:val="00BD5CFC"/>
    <w:rsid w:val="00CD1138"/>
    <w:rsid w:val="00D953A0"/>
    <w:rsid w:val="00E024D9"/>
    <w:rsid w:val="00E10B4D"/>
    <w:rsid w:val="00E46A2B"/>
    <w:rsid w:val="00EB1AD8"/>
    <w:rsid w:val="00EC0BAC"/>
    <w:rsid w:val="00EC2C0E"/>
    <w:rsid w:val="00F52944"/>
    <w:rsid w:val="00F729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6D7D4"/>
  <w15:chartTrackingRefBased/>
  <w15:docId w15:val="{1122B07C-ED03-48B6-A16C-39CD80F07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292C"/>
  </w:style>
  <w:style w:type="paragraph" w:styleId="Heading1">
    <w:name w:val="heading 1"/>
    <w:basedOn w:val="Normal"/>
    <w:next w:val="Normal"/>
    <w:link w:val="Heading1Char"/>
    <w:uiPriority w:val="9"/>
    <w:qFormat/>
    <w:rsid w:val="00922363"/>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link w:val="Heading2Char"/>
    <w:uiPriority w:val="9"/>
    <w:qFormat/>
    <w:rsid w:val="00922363"/>
    <w:pPr>
      <w:spacing w:before="100" w:beforeAutospacing="1" w:after="100" w:afterAutospacing="1" w:line="240" w:lineRule="auto"/>
      <w:outlineLvl w:val="1"/>
    </w:pPr>
    <w:rPr>
      <w:rFonts w:ascii="Arial" w:eastAsia="Times New Roman" w:hAnsi="Arial" w:cs="Times New Roman"/>
      <w:b/>
      <w:bCs/>
      <w:sz w:val="28"/>
      <w:szCs w:val="36"/>
    </w:rPr>
  </w:style>
  <w:style w:type="paragraph" w:styleId="Heading3">
    <w:name w:val="heading 3"/>
    <w:basedOn w:val="Normal"/>
    <w:link w:val="Heading3Char"/>
    <w:uiPriority w:val="9"/>
    <w:qFormat/>
    <w:rsid w:val="00484D13"/>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484D13"/>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22363"/>
    <w:rPr>
      <w:rFonts w:ascii="Arial" w:eastAsia="Times New Roman" w:hAnsi="Arial" w:cs="Times New Roman"/>
      <w:b/>
      <w:bCs/>
      <w:sz w:val="28"/>
      <w:szCs w:val="36"/>
    </w:rPr>
  </w:style>
  <w:style w:type="character" w:customStyle="1" w:styleId="Heading3Char">
    <w:name w:val="Heading 3 Char"/>
    <w:basedOn w:val="DefaultParagraphFont"/>
    <w:link w:val="Heading3"/>
    <w:uiPriority w:val="9"/>
    <w:rsid w:val="00484D13"/>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484D13"/>
    <w:rPr>
      <w:rFonts w:ascii="Times New Roman" w:eastAsia="Times New Roman" w:hAnsi="Times New Roman" w:cs="Times New Roman"/>
      <w:b/>
      <w:bCs/>
      <w:sz w:val="24"/>
      <w:szCs w:val="24"/>
    </w:rPr>
  </w:style>
  <w:style w:type="paragraph" w:styleId="NormalWeb">
    <w:name w:val="Normal (Web)"/>
    <w:basedOn w:val="Normal"/>
    <w:uiPriority w:val="99"/>
    <w:unhideWhenUsed/>
    <w:rsid w:val="00484D13"/>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484D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E10B4D"/>
    <w:rPr>
      <w:b/>
      <w:bCs/>
    </w:rPr>
  </w:style>
  <w:style w:type="character" w:styleId="Emphasis">
    <w:name w:val="Emphasis"/>
    <w:basedOn w:val="DefaultParagraphFont"/>
    <w:uiPriority w:val="20"/>
    <w:qFormat/>
    <w:rsid w:val="00B8703A"/>
    <w:rPr>
      <w:i/>
      <w:iCs/>
    </w:rPr>
  </w:style>
  <w:style w:type="character" w:customStyle="1" w:styleId="Heading1Char">
    <w:name w:val="Heading 1 Char"/>
    <w:basedOn w:val="DefaultParagraphFont"/>
    <w:link w:val="Heading1"/>
    <w:uiPriority w:val="9"/>
    <w:rsid w:val="00922363"/>
    <w:rPr>
      <w:rFonts w:ascii="Arial" w:eastAsiaTheme="majorEastAsia" w:hAnsi="Arial" w:cstheme="majorBidi"/>
      <w:b/>
      <w:sz w:val="32"/>
      <w:szCs w:val="32"/>
    </w:rPr>
  </w:style>
  <w:style w:type="character" w:customStyle="1" w:styleId="mord">
    <w:name w:val="mord"/>
    <w:basedOn w:val="DefaultParagraphFont"/>
    <w:rsid w:val="00B40C9C"/>
  </w:style>
  <w:style w:type="character" w:customStyle="1" w:styleId="vlist-s">
    <w:name w:val="vlist-s"/>
    <w:basedOn w:val="DefaultParagraphFont"/>
    <w:rsid w:val="00B40C9C"/>
  </w:style>
  <w:style w:type="character" w:styleId="PlaceholderText">
    <w:name w:val="Placeholder Text"/>
    <w:basedOn w:val="DefaultParagraphFont"/>
    <w:uiPriority w:val="99"/>
    <w:semiHidden/>
    <w:rsid w:val="006A1DDD"/>
    <w:rPr>
      <w:color w:val="808080"/>
    </w:rPr>
  </w:style>
  <w:style w:type="character" w:customStyle="1" w:styleId="katex-mathml">
    <w:name w:val="katex-mathml"/>
    <w:basedOn w:val="DefaultParagraphFont"/>
    <w:rsid w:val="0042739E"/>
  </w:style>
  <w:style w:type="paragraph" w:styleId="NoSpacing">
    <w:name w:val="No Spacing"/>
    <w:uiPriority w:val="1"/>
    <w:qFormat/>
    <w:rsid w:val="00922363"/>
    <w:pPr>
      <w:spacing w:after="0" w:line="240" w:lineRule="auto"/>
    </w:pPr>
  </w:style>
  <w:style w:type="paragraph" w:styleId="TOCHeading">
    <w:name w:val="TOC Heading"/>
    <w:basedOn w:val="Heading1"/>
    <w:next w:val="Normal"/>
    <w:uiPriority w:val="39"/>
    <w:unhideWhenUsed/>
    <w:qFormat/>
    <w:rsid w:val="00432D56"/>
    <w:pPr>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432D56"/>
    <w:pPr>
      <w:spacing w:after="100"/>
    </w:pPr>
  </w:style>
  <w:style w:type="paragraph" w:styleId="TOC2">
    <w:name w:val="toc 2"/>
    <w:basedOn w:val="Normal"/>
    <w:next w:val="Normal"/>
    <w:autoRedefine/>
    <w:uiPriority w:val="39"/>
    <w:unhideWhenUsed/>
    <w:rsid w:val="00432D56"/>
    <w:pPr>
      <w:spacing w:after="100"/>
      <w:ind w:left="220"/>
    </w:pPr>
  </w:style>
  <w:style w:type="paragraph" w:styleId="TOC3">
    <w:name w:val="toc 3"/>
    <w:basedOn w:val="Normal"/>
    <w:next w:val="Normal"/>
    <w:autoRedefine/>
    <w:uiPriority w:val="39"/>
    <w:unhideWhenUsed/>
    <w:rsid w:val="00432D56"/>
    <w:pPr>
      <w:spacing w:after="100"/>
      <w:ind w:left="440"/>
    </w:pPr>
  </w:style>
  <w:style w:type="character" w:styleId="Hyperlink">
    <w:name w:val="Hyperlink"/>
    <w:basedOn w:val="DefaultParagraphFont"/>
    <w:uiPriority w:val="99"/>
    <w:unhideWhenUsed/>
    <w:rsid w:val="00432D56"/>
    <w:rPr>
      <w:color w:val="0563C1" w:themeColor="hyperlink"/>
      <w:u w:val="single"/>
    </w:rPr>
  </w:style>
  <w:style w:type="paragraph" w:styleId="Header">
    <w:name w:val="header"/>
    <w:basedOn w:val="Normal"/>
    <w:link w:val="HeaderChar"/>
    <w:uiPriority w:val="99"/>
    <w:unhideWhenUsed/>
    <w:rsid w:val="004D72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D723F"/>
  </w:style>
  <w:style w:type="paragraph" w:styleId="Footer">
    <w:name w:val="footer"/>
    <w:basedOn w:val="Normal"/>
    <w:link w:val="FooterChar"/>
    <w:uiPriority w:val="99"/>
    <w:unhideWhenUsed/>
    <w:rsid w:val="004D72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D72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2985700">
      <w:bodyDiv w:val="1"/>
      <w:marLeft w:val="0"/>
      <w:marRight w:val="0"/>
      <w:marTop w:val="0"/>
      <w:marBottom w:val="0"/>
      <w:divBdr>
        <w:top w:val="none" w:sz="0" w:space="0" w:color="auto"/>
        <w:left w:val="none" w:sz="0" w:space="0" w:color="auto"/>
        <w:bottom w:val="none" w:sz="0" w:space="0" w:color="auto"/>
        <w:right w:val="none" w:sz="0" w:space="0" w:color="auto"/>
      </w:divBdr>
    </w:div>
    <w:div w:id="563756386">
      <w:bodyDiv w:val="1"/>
      <w:marLeft w:val="0"/>
      <w:marRight w:val="0"/>
      <w:marTop w:val="0"/>
      <w:marBottom w:val="0"/>
      <w:divBdr>
        <w:top w:val="none" w:sz="0" w:space="0" w:color="auto"/>
        <w:left w:val="none" w:sz="0" w:space="0" w:color="auto"/>
        <w:bottom w:val="none" w:sz="0" w:space="0" w:color="auto"/>
        <w:right w:val="none" w:sz="0" w:space="0" w:color="auto"/>
      </w:divBdr>
    </w:div>
    <w:div w:id="662780647">
      <w:bodyDiv w:val="1"/>
      <w:marLeft w:val="0"/>
      <w:marRight w:val="0"/>
      <w:marTop w:val="0"/>
      <w:marBottom w:val="0"/>
      <w:divBdr>
        <w:top w:val="none" w:sz="0" w:space="0" w:color="auto"/>
        <w:left w:val="none" w:sz="0" w:space="0" w:color="auto"/>
        <w:bottom w:val="none" w:sz="0" w:space="0" w:color="auto"/>
        <w:right w:val="none" w:sz="0" w:space="0" w:color="auto"/>
      </w:divBdr>
    </w:div>
    <w:div w:id="754401131">
      <w:bodyDiv w:val="1"/>
      <w:marLeft w:val="0"/>
      <w:marRight w:val="0"/>
      <w:marTop w:val="0"/>
      <w:marBottom w:val="0"/>
      <w:divBdr>
        <w:top w:val="none" w:sz="0" w:space="0" w:color="auto"/>
        <w:left w:val="none" w:sz="0" w:space="0" w:color="auto"/>
        <w:bottom w:val="none" w:sz="0" w:space="0" w:color="auto"/>
        <w:right w:val="none" w:sz="0" w:space="0" w:color="auto"/>
      </w:divBdr>
    </w:div>
    <w:div w:id="879321374">
      <w:bodyDiv w:val="1"/>
      <w:marLeft w:val="0"/>
      <w:marRight w:val="0"/>
      <w:marTop w:val="0"/>
      <w:marBottom w:val="0"/>
      <w:divBdr>
        <w:top w:val="none" w:sz="0" w:space="0" w:color="auto"/>
        <w:left w:val="none" w:sz="0" w:space="0" w:color="auto"/>
        <w:bottom w:val="none" w:sz="0" w:space="0" w:color="auto"/>
        <w:right w:val="none" w:sz="0" w:space="0" w:color="auto"/>
      </w:divBdr>
    </w:div>
    <w:div w:id="917783383">
      <w:bodyDiv w:val="1"/>
      <w:marLeft w:val="0"/>
      <w:marRight w:val="0"/>
      <w:marTop w:val="0"/>
      <w:marBottom w:val="0"/>
      <w:divBdr>
        <w:top w:val="none" w:sz="0" w:space="0" w:color="auto"/>
        <w:left w:val="none" w:sz="0" w:space="0" w:color="auto"/>
        <w:bottom w:val="none" w:sz="0" w:space="0" w:color="auto"/>
        <w:right w:val="none" w:sz="0" w:space="0" w:color="auto"/>
      </w:divBdr>
    </w:div>
    <w:div w:id="935670383">
      <w:bodyDiv w:val="1"/>
      <w:marLeft w:val="0"/>
      <w:marRight w:val="0"/>
      <w:marTop w:val="0"/>
      <w:marBottom w:val="0"/>
      <w:divBdr>
        <w:top w:val="none" w:sz="0" w:space="0" w:color="auto"/>
        <w:left w:val="none" w:sz="0" w:space="0" w:color="auto"/>
        <w:bottom w:val="none" w:sz="0" w:space="0" w:color="auto"/>
        <w:right w:val="none" w:sz="0" w:space="0" w:color="auto"/>
      </w:divBdr>
    </w:div>
    <w:div w:id="1014183540">
      <w:bodyDiv w:val="1"/>
      <w:marLeft w:val="0"/>
      <w:marRight w:val="0"/>
      <w:marTop w:val="0"/>
      <w:marBottom w:val="0"/>
      <w:divBdr>
        <w:top w:val="none" w:sz="0" w:space="0" w:color="auto"/>
        <w:left w:val="none" w:sz="0" w:space="0" w:color="auto"/>
        <w:bottom w:val="none" w:sz="0" w:space="0" w:color="auto"/>
        <w:right w:val="none" w:sz="0" w:space="0" w:color="auto"/>
      </w:divBdr>
    </w:div>
    <w:div w:id="1133248899">
      <w:bodyDiv w:val="1"/>
      <w:marLeft w:val="0"/>
      <w:marRight w:val="0"/>
      <w:marTop w:val="0"/>
      <w:marBottom w:val="0"/>
      <w:divBdr>
        <w:top w:val="none" w:sz="0" w:space="0" w:color="auto"/>
        <w:left w:val="none" w:sz="0" w:space="0" w:color="auto"/>
        <w:bottom w:val="none" w:sz="0" w:space="0" w:color="auto"/>
        <w:right w:val="none" w:sz="0" w:space="0" w:color="auto"/>
      </w:divBdr>
    </w:div>
    <w:div w:id="1137188893">
      <w:bodyDiv w:val="1"/>
      <w:marLeft w:val="0"/>
      <w:marRight w:val="0"/>
      <w:marTop w:val="0"/>
      <w:marBottom w:val="0"/>
      <w:divBdr>
        <w:top w:val="none" w:sz="0" w:space="0" w:color="auto"/>
        <w:left w:val="none" w:sz="0" w:space="0" w:color="auto"/>
        <w:bottom w:val="none" w:sz="0" w:space="0" w:color="auto"/>
        <w:right w:val="none" w:sz="0" w:space="0" w:color="auto"/>
      </w:divBdr>
    </w:div>
    <w:div w:id="1137262426">
      <w:bodyDiv w:val="1"/>
      <w:marLeft w:val="0"/>
      <w:marRight w:val="0"/>
      <w:marTop w:val="0"/>
      <w:marBottom w:val="0"/>
      <w:divBdr>
        <w:top w:val="none" w:sz="0" w:space="0" w:color="auto"/>
        <w:left w:val="none" w:sz="0" w:space="0" w:color="auto"/>
        <w:bottom w:val="none" w:sz="0" w:space="0" w:color="auto"/>
        <w:right w:val="none" w:sz="0" w:space="0" w:color="auto"/>
      </w:divBdr>
    </w:div>
    <w:div w:id="1181314798">
      <w:bodyDiv w:val="1"/>
      <w:marLeft w:val="0"/>
      <w:marRight w:val="0"/>
      <w:marTop w:val="0"/>
      <w:marBottom w:val="0"/>
      <w:divBdr>
        <w:top w:val="none" w:sz="0" w:space="0" w:color="auto"/>
        <w:left w:val="none" w:sz="0" w:space="0" w:color="auto"/>
        <w:bottom w:val="none" w:sz="0" w:space="0" w:color="auto"/>
        <w:right w:val="none" w:sz="0" w:space="0" w:color="auto"/>
      </w:divBdr>
    </w:div>
    <w:div w:id="1234387162">
      <w:bodyDiv w:val="1"/>
      <w:marLeft w:val="0"/>
      <w:marRight w:val="0"/>
      <w:marTop w:val="0"/>
      <w:marBottom w:val="0"/>
      <w:divBdr>
        <w:top w:val="none" w:sz="0" w:space="0" w:color="auto"/>
        <w:left w:val="none" w:sz="0" w:space="0" w:color="auto"/>
        <w:bottom w:val="none" w:sz="0" w:space="0" w:color="auto"/>
        <w:right w:val="none" w:sz="0" w:space="0" w:color="auto"/>
      </w:divBdr>
    </w:div>
    <w:div w:id="1566723440">
      <w:bodyDiv w:val="1"/>
      <w:marLeft w:val="0"/>
      <w:marRight w:val="0"/>
      <w:marTop w:val="0"/>
      <w:marBottom w:val="0"/>
      <w:divBdr>
        <w:top w:val="none" w:sz="0" w:space="0" w:color="auto"/>
        <w:left w:val="none" w:sz="0" w:space="0" w:color="auto"/>
        <w:bottom w:val="none" w:sz="0" w:space="0" w:color="auto"/>
        <w:right w:val="none" w:sz="0" w:space="0" w:color="auto"/>
      </w:divBdr>
    </w:div>
    <w:div w:id="1752920954">
      <w:bodyDiv w:val="1"/>
      <w:marLeft w:val="0"/>
      <w:marRight w:val="0"/>
      <w:marTop w:val="0"/>
      <w:marBottom w:val="0"/>
      <w:divBdr>
        <w:top w:val="none" w:sz="0" w:space="0" w:color="auto"/>
        <w:left w:val="none" w:sz="0" w:space="0" w:color="auto"/>
        <w:bottom w:val="none" w:sz="0" w:space="0" w:color="auto"/>
        <w:right w:val="none" w:sz="0" w:space="0" w:color="auto"/>
      </w:divBdr>
    </w:div>
    <w:div w:id="1857233412">
      <w:bodyDiv w:val="1"/>
      <w:marLeft w:val="0"/>
      <w:marRight w:val="0"/>
      <w:marTop w:val="0"/>
      <w:marBottom w:val="0"/>
      <w:divBdr>
        <w:top w:val="none" w:sz="0" w:space="0" w:color="auto"/>
        <w:left w:val="none" w:sz="0" w:space="0" w:color="auto"/>
        <w:bottom w:val="none" w:sz="0" w:space="0" w:color="auto"/>
        <w:right w:val="none" w:sz="0" w:space="0" w:color="auto"/>
      </w:divBdr>
    </w:div>
    <w:div w:id="1957521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5.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chart" Target="charts/chart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DFIT\Desktop\Excel%20Working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DFIT\Desktop\Excel%20Working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DFIT\Desktop\Excel%20Working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DFIT\Desktop\Excel%20Working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DFIT\Desktop\Excel%20Working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DFIT\Desktop\Excel%20Workings.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Profitability</a:t>
            </a:r>
            <a:r>
              <a:rPr lang="en-US" baseline="0"/>
              <a:t> Ratios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'Profitability Ratios'!$H$6</c:f>
              <c:strCache>
                <c:ptCount val="1"/>
                <c:pt idx="0">
                  <c:v>Gross Profit Margin</c:v>
                </c:pt>
              </c:strCache>
            </c:strRef>
          </c:tx>
          <c:spPr>
            <a:solidFill>
              <a:schemeClr val="accent1"/>
            </a:solidFill>
            <a:ln>
              <a:noFill/>
            </a:ln>
            <a:effectLst/>
          </c:spPr>
          <c:invertIfNegative val="0"/>
          <c:cat>
            <c:numRef>
              <c:f>'Profitability Ratios'!$I$5:$M$5</c:f>
              <c:numCache>
                <c:formatCode>General</c:formatCode>
                <c:ptCount val="5"/>
                <c:pt idx="0">
                  <c:v>2020</c:v>
                </c:pt>
                <c:pt idx="1">
                  <c:v>2021</c:v>
                </c:pt>
                <c:pt idx="2">
                  <c:v>2022</c:v>
                </c:pt>
                <c:pt idx="3">
                  <c:v>2023</c:v>
                </c:pt>
                <c:pt idx="4">
                  <c:v>2024</c:v>
                </c:pt>
              </c:numCache>
            </c:numRef>
          </c:cat>
          <c:val>
            <c:numRef>
              <c:f>'Profitability Ratios'!$I$6:$M$6</c:f>
              <c:numCache>
                <c:formatCode>0.00%</c:formatCode>
                <c:ptCount val="5"/>
                <c:pt idx="0">
                  <c:v>0.28670000000000001</c:v>
                </c:pt>
                <c:pt idx="1">
                  <c:v>0.28760000000000002</c:v>
                </c:pt>
                <c:pt idx="2">
                  <c:v>0.28060000000000002</c:v>
                </c:pt>
                <c:pt idx="3">
                  <c:v>0.23200000000000001</c:v>
                </c:pt>
                <c:pt idx="4">
                  <c:v>0.28870000000000001</c:v>
                </c:pt>
              </c:numCache>
            </c:numRef>
          </c:val>
          <c:extLst>
            <c:ext xmlns:c16="http://schemas.microsoft.com/office/drawing/2014/chart" uri="{C3380CC4-5D6E-409C-BE32-E72D297353CC}">
              <c16:uniqueId val="{00000000-5CE1-4FE0-B42D-42A109476339}"/>
            </c:ext>
          </c:extLst>
        </c:ser>
        <c:ser>
          <c:idx val="1"/>
          <c:order val="1"/>
          <c:tx>
            <c:strRef>
              <c:f>'Profitability Ratios'!$H$7</c:f>
              <c:strCache>
                <c:ptCount val="1"/>
                <c:pt idx="0">
                  <c:v>Operating Profit Margin</c:v>
                </c:pt>
              </c:strCache>
            </c:strRef>
          </c:tx>
          <c:spPr>
            <a:solidFill>
              <a:schemeClr val="accent2"/>
            </a:solidFill>
            <a:ln>
              <a:noFill/>
            </a:ln>
            <a:effectLst/>
          </c:spPr>
          <c:invertIfNegative val="0"/>
          <c:cat>
            <c:numRef>
              <c:f>'Profitability Ratios'!$I$5:$M$5</c:f>
              <c:numCache>
                <c:formatCode>General</c:formatCode>
                <c:ptCount val="5"/>
                <c:pt idx="0">
                  <c:v>2020</c:v>
                </c:pt>
                <c:pt idx="1">
                  <c:v>2021</c:v>
                </c:pt>
                <c:pt idx="2">
                  <c:v>2022</c:v>
                </c:pt>
                <c:pt idx="3">
                  <c:v>2023</c:v>
                </c:pt>
                <c:pt idx="4">
                  <c:v>2024</c:v>
                </c:pt>
              </c:numCache>
            </c:numRef>
          </c:cat>
          <c:val>
            <c:numRef>
              <c:f>'Profitability Ratios'!$I$7:$M$7</c:f>
              <c:numCache>
                <c:formatCode>0.00%</c:formatCode>
                <c:ptCount val="5"/>
                <c:pt idx="0">
                  <c:v>6.0600000000000001E-2</c:v>
                </c:pt>
                <c:pt idx="1">
                  <c:v>3.8699999999999998E-2</c:v>
                </c:pt>
                <c:pt idx="2">
                  <c:v>2.6800000000000001E-2</c:v>
                </c:pt>
                <c:pt idx="3" formatCode="General">
                  <c:v>0</c:v>
                </c:pt>
                <c:pt idx="4" formatCode="General">
                  <c:v>0</c:v>
                </c:pt>
              </c:numCache>
            </c:numRef>
          </c:val>
          <c:extLst>
            <c:ext xmlns:c16="http://schemas.microsoft.com/office/drawing/2014/chart" uri="{C3380CC4-5D6E-409C-BE32-E72D297353CC}">
              <c16:uniqueId val="{00000001-5CE1-4FE0-B42D-42A109476339}"/>
            </c:ext>
          </c:extLst>
        </c:ser>
        <c:ser>
          <c:idx val="2"/>
          <c:order val="2"/>
          <c:tx>
            <c:strRef>
              <c:f>'Profitability Ratios'!$H$8</c:f>
              <c:strCache>
                <c:ptCount val="1"/>
                <c:pt idx="0">
                  <c:v>Net Profit Margin</c:v>
                </c:pt>
              </c:strCache>
            </c:strRef>
          </c:tx>
          <c:spPr>
            <a:solidFill>
              <a:schemeClr val="accent3"/>
            </a:solidFill>
            <a:ln>
              <a:noFill/>
            </a:ln>
            <a:effectLst/>
          </c:spPr>
          <c:invertIfNegative val="0"/>
          <c:cat>
            <c:numRef>
              <c:f>'Profitability Ratios'!$I$5:$M$5</c:f>
              <c:numCache>
                <c:formatCode>General</c:formatCode>
                <c:ptCount val="5"/>
                <c:pt idx="0">
                  <c:v>2020</c:v>
                </c:pt>
                <c:pt idx="1">
                  <c:v>2021</c:v>
                </c:pt>
                <c:pt idx="2">
                  <c:v>2022</c:v>
                </c:pt>
                <c:pt idx="3">
                  <c:v>2023</c:v>
                </c:pt>
                <c:pt idx="4">
                  <c:v>2024</c:v>
                </c:pt>
              </c:numCache>
            </c:numRef>
          </c:cat>
          <c:val>
            <c:numRef>
              <c:f>'Profitability Ratios'!$I$8:$M$8</c:f>
              <c:numCache>
                <c:formatCode>0.00%</c:formatCode>
                <c:ptCount val="5"/>
                <c:pt idx="0">
                  <c:v>6.2799999999999995E-2</c:v>
                </c:pt>
                <c:pt idx="1">
                  <c:v>8.8000000000000005E-3</c:v>
                </c:pt>
                <c:pt idx="2">
                  <c:v>8.0000000000000004E-4</c:v>
                </c:pt>
                <c:pt idx="3" formatCode="General">
                  <c:v>0</c:v>
                </c:pt>
                <c:pt idx="4" formatCode="General">
                  <c:v>0</c:v>
                </c:pt>
              </c:numCache>
            </c:numRef>
          </c:val>
          <c:extLst>
            <c:ext xmlns:c16="http://schemas.microsoft.com/office/drawing/2014/chart" uri="{C3380CC4-5D6E-409C-BE32-E72D297353CC}">
              <c16:uniqueId val="{00000002-5CE1-4FE0-B42D-42A109476339}"/>
            </c:ext>
          </c:extLst>
        </c:ser>
        <c:ser>
          <c:idx val="3"/>
          <c:order val="3"/>
          <c:tx>
            <c:strRef>
              <c:f>'Profitability Ratios'!$H$9</c:f>
              <c:strCache>
                <c:ptCount val="1"/>
                <c:pt idx="0">
                  <c:v>Return on Assets (ROA)</c:v>
                </c:pt>
              </c:strCache>
            </c:strRef>
          </c:tx>
          <c:spPr>
            <a:solidFill>
              <a:schemeClr val="accent4"/>
            </a:solidFill>
            <a:ln>
              <a:noFill/>
            </a:ln>
            <a:effectLst/>
          </c:spPr>
          <c:invertIfNegative val="0"/>
          <c:cat>
            <c:numRef>
              <c:f>'Profitability Ratios'!$I$5:$M$5</c:f>
              <c:numCache>
                <c:formatCode>General</c:formatCode>
                <c:ptCount val="5"/>
                <c:pt idx="0">
                  <c:v>2020</c:v>
                </c:pt>
                <c:pt idx="1">
                  <c:v>2021</c:v>
                </c:pt>
                <c:pt idx="2">
                  <c:v>2022</c:v>
                </c:pt>
                <c:pt idx="3">
                  <c:v>2023</c:v>
                </c:pt>
                <c:pt idx="4">
                  <c:v>2024</c:v>
                </c:pt>
              </c:numCache>
            </c:numRef>
          </c:cat>
          <c:val>
            <c:numRef>
              <c:f>'Profitability Ratios'!$I$9:$M$9</c:f>
              <c:numCache>
                <c:formatCode>0.00%</c:formatCode>
                <c:ptCount val="5"/>
                <c:pt idx="0">
                  <c:v>7.5600000000000001E-2</c:v>
                </c:pt>
                <c:pt idx="1">
                  <c:v>1.04E-2</c:v>
                </c:pt>
                <c:pt idx="2">
                  <c:v>8.0000000000000004E-4</c:v>
                </c:pt>
                <c:pt idx="3" formatCode="General">
                  <c:v>0</c:v>
                </c:pt>
                <c:pt idx="4" formatCode="General">
                  <c:v>0</c:v>
                </c:pt>
              </c:numCache>
            </c:numRef>
          </c:val>
          <c:extLst>
            <c:ext xmlns:c16="http://schemas.microsoft.com/office/drawing/2014/chart" uri="{C3380CC4-5D6E-409C-BE32-E72D297353CC}">
              <c16:uniqueId val="{00000003-5CE1-4FE0-B42D-42A109476339}"/>
            </c:ext>
          </c:extLst>
        </c:ser>
        <c:ser>
          <c:idx val="4"/>
          <c:order val="4"/>
          <c:tx>
            <c:strRef>
              <c:f>'Profitability Ratios'!$H$10</c:f>
              <c:strCache>
                <c:ptCount val="1"/>
                <c:pt idx="0">
                  <c:v>Return on Equity (ROE)</c:v>
                </c:pt>
              </c:strCache>
            </c:strRef>
          </c:tx>
          <c:spPr>
            <a:solidFill>
              <a:schemeClr val="accent5"/>
            </a:solidFill>
            <a:ln>
              <a:noFill/>
            </a:ln>
            <a:effectLst/>
          </c:spPr>
          <c:invertIfNegative val="0"/>
          <c:cat>
            <c:numRef>
              <c:f>'Profitability Ratios'!$I$5:$M$5</c:f>
              <c:numCache>
                <c:formatCode>General</c:formatCode>
                <c:ptCount val="5"/>
                <c:pt idx="0">
                  <c:v>2020</c:v>
                </c:pt>
                <c:pt idx="1">
                  <c:v>2021</c:v>
                </c:pt>
                <c:pt idx="2">
                  <c:v>2022</c:v>
                </c:pt>
                <c:pt idx="3">
                  <c:v>2023</c:v>
                </c:pt>
                <c:pt idx="4">
                  <c:v>2024</c:v>
                </c:pt>
              </c:numCache>
            </c:numRef>
          </c:cat>
          <c:val>
            <c:numRef>
              <c:f>'Profitability Ratios'!$I$10:$M$10</c:f>
              <c:numCache>
                <c:formatCode>0.00%</c:formatCode>
                <c:ptCount val="5"/>
                <c:pt idx="0">
                  <c:v>0.1231</c:v>
                </c:pt>
                <c:pt idx="1">
                  <c:v>1.9199999999999998E-2</c:v>
                </c:pt>
                <c:pt idx="2">
                  <c:v>1.5E-3</c:v>
                </c:pt>
                <c:pt idx="3" formatCode="General">
                  <c:v>0</c:v>
                </c:pt>
                <c:pt idx="4" formatCode="General">
                  <c:v>0</c:v>
                </c:pt>
              </c:numCache>
            </c:numRef>
          </c:val>
          <c:extLst>
            <c:ext xmlns:c16="http://schemas.microsoft.com/office/drawing/2014/chart" uri="{C3380CC4-5D6E-409C-BE32-E72D297353CC}">
              <c16:uniqueId val="{00000004-5CE1-4FE0-B42D-42A109476339}"/>
            </c:ext>
          </c:extLst>
        </c:ser>
        <c:dLbls>
          <c:showLegendKey val="0"/>
          <c:showVal val="0"/>
          <c:showCatName val="0"/>
          <c:showSerName val="0"/>
          <c:showPercent val="0"/>
          <c:showBubbleSize val="0"/>
        </c:dLbls>
        <c:gapWidth val="150"/>
        <c:overlap val="100"/>
        <c:axId val="756698848"/>
        <c:axId val="756702592"/>
      </c:barChart>
      <c:catAx>
        <c:axId val="7566988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6702592"/>
        <c:crosses val="autoZero"/>
        <c:auto val="1"/>
        <c:lblAlgn val="ctr"/>
        <c:lblOffset val="100"/>
        <c:noMultiLvlLbl val="0"/>
      </c:catAx>
      <c:valAx>
        <c:axId val="75670259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66988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'Liquidity Ratios'!$I$7</c:f>
              <c:strCache>
                <c:ptCount val="1"/>
                <c:pt idx="0">
                  <c:v>Current Ratio</c:v>
                </c:pt>
              </c:strCache>
            </c:strRef>
          </c:tx>
          <c:spPr>
            <a:solidFill>
              <a:schemeClr val="accent1"/>
            </a:solidFill>
            <a:ln>
              <a:noFill/>
            </a:ln>
            <a:effectLst/>
          </c:spPr>
          <c:invertIfNegative val="0"/>
          <c:cat>
            <c:numRef>
              <c:f>'Liquidity Ratios'!$J$6:$N$6</c:f>
              <c:numCache>
                <c:formatCode>General</c:formatCode>
                <c:ptCount val="5"/>
                <c:pt idx="0">
                  <c:v>2020</c:v>
                </c:pt>
                <c:pt idx="1">
                  <c:v>2021</c:v>
                </c:pt>
                <c:pt idx="2">
                  <c:v>2022</c:v>
                </c:pt>
                <c:pt idx="3">
                  <c:v>2023</c:v>
                </c:pt>
                <c:pt idx="4">
                  <c:v>2024</c:v>
                </c:pt>
              </c:numCache>
            </c:numRef>
          </c:cat>
          <c:val>
            <c:numRef>
              <c:f>'Liquidity Ratios'!$J$7:$N$7</c:f>
              <c:numCache>
                <c:formatCode>General</c:formatCode>
                <c:ptCount val="5"/>
                <c:pt idx="0">
                  <c:v>1.82</c:v>
                </c:pt>
                <c:pt idx="1">
                  <c:v>1.56</c:v>
                </c:pt>
                <c:pt idx="2">
                  <c:v>1.56</c:v>
                </c:pt>
                <c:pt idx="3">
                  <c:v>1.61</c:v>
                </c:pt>
                <c:pt idx="4">
                  <c:v>1.53</c:v>
                </c:pt>
              </c:numCache>
            </c:numRef>
          </c:val>
          <c:extLst>
            <c:ext xmlns:c16="http://schemas.microsoft.com/office/drawing/2014/chart" uri="{C3380CC4-5D6E-409C-BE32-E72D297353CC}">
              <c16:uniqueId val="{00000000-9078-4E2E-BCD8-022999A4350E}"/>
            </c:ext>
          </c:extLst>
        </c:ser>
        <c:ser>
          <c:idx val="1"/>
          <c:order val="1"/>
          <c:tx>
            <c:strRef>
              <c:f>'Liquidity Ratios'!$I$8</c:f>
              <c:strCache>
                <c:ptCount val="1"/>
                <c:pt idx="0">
                  <c:v>Quick Ratio</c:v>
                </c:pt>
              </c:strCache>
            </c:strRef>
          </c:tx>
          <c:spPr>
            <a:solidFill>
              <a:schemeClr val="accent2"/>
            </a:solidFill>
            <a:ln>
              <a:noFill/>
            </a:ln>
            <a:effectLst/>
          </c:spPr>
          <c:invertIfNegative val="0"/>
          <c:cat>
            <c:numRef>
              <c:f>'Liquidity Ratios'!$J$6:$N$6</c:f>
              <c:numCache>
                <c:formatCode>General</c:formatCode>
                <c:ptCount val="5"/>
                <c:pt idx="0">
                  <c:v>2020</c:v>
                </c:pt>
                <c:pt idx="1">
                  <c:v>2021</c:v>
                </c:pt>
                <c:pt idx="2">
                  <c:v>2022</c:v>
                </c:pt>
                <c:pt idx="3">
                  <c:v>2023</c:v>
                </c:pt>
                <c:pt idx="4">
                  <c:v>2024</c:v>
                </c:pt>
              </c:numCache>
            </c:numRef>
          </c:cat>
          <c:val>
            <c:numRef>
              <c:f>'Liquidity Ratios'!$J$8:$N$8</c:f>
              <c:numCache>
                <c:formatCode>General</c:formatCode>
                <c:ptCount val="5"/>
                <c:pt idx="0">
                  <c:v>1.1499999999999999</c:v>
                </c:pt>
                <c:pt idx="1">
                  <c:v>0.93</c:v>
                </c:pt>
                <c:pt idx="2">
                  <c:v>0.91</c:v>
                </c:pt>
                <c:pt idx="3">
                  <c:v>1.06</c:v>
                </c:pt>
                <c:pt idx="4">
                  <c:v>1.03</c:v>
                </c:pt>
              </c:numCache>
            </c:numRef>
          </c:val>
          <c:extLst>
            <c:ext xmlns:c16="http://schemas.microsoft.com/office/drawing/2014/chart" uri="{C3380CC4-5D6E-409C-BE32-E72D297353CC}">
              <c16:uniqueId val="{00000001-9078-4E2E-BCD8-022999A4350E}"/>
            </c:ext>
          </c:extLst>
        </c:ser>
        <c:ser>
          <c:idx val="2"/>
          <c:order val="2"/>
          <c:tx>
            <c:strRef>
              <c:f>'Liquidity Ratios'!$I$9</c:f>
              <c:strCache>
                <c:ptCount val="1"/>
                <c:pt idx="0">
                  <c:v>Cash Ratio</c:v>
                </c:pt>
              </c:strCache>
            </c:strRef>
          </c:tx>
          <c:spPr>
            <a:solidFill>
              <a:schemeClr val="accent3"/>
            </a:solidFill>
            <a:ln>
              <a:noFill/>
            </a:ln>
            <a:effectLst/>
          </c:spPr>
          <c:invertIfNegative val="0"/>
          <c:cat>
            <c:numRef>
              <c:f>'Liquidity Ratios'!$J$6:$N$6</c:f>
              <c:numCache>
                <c:formatCode>General</c:formatCode>
                <c:ptCount val="5"/>
                <c:pt idx="0">
                  <c:v>2020</c:v>
                </c:pt>
                <c:pt idx="1">
                  <c:v>2021</c:v>
                </c:pt>
                <c:pt idx="2">
                  <c:v>2022</c:v>
                </c:pt>
                <c:pt idx="3">
                  <c:v>2023</c:v>
                </c:pt>
                <c:pt idx="4">
                  <c:v>2024</c:v>
                </c:pt>
              </c:numCache>
            </c:numRef>
          </c:cat>
          <c:val>
            <c:numRef>
              <c:f>'Liquidity Ratios'!$J$9:$N$9</c:f>
              <c:numCache>
                <c:formatCode>General</c:formatCode>
                <c:ptCount val="5"/>
                <c:pt idx="0">
                  <c:v>0.32</c:v>
                </c:pt>
                <c:pt idx="1">
                  <c:v>0.28000000000000003</c:v>
                </c:pt>
                <c:pt idx="2">
                  <c:v>0.31</c:v>
                </c:pt>
                <c:pt idx="3">
                  <c:v>0.27</c:v>
                </c:pt>
                <c:pt idx="4">
                  <c:v>0.17</c:v>
                </c:pt>
              </c:numCache>
            </c:numRef>
          </c:val>
          <c:extLst>
            <c:ext xmlns:c16="http://schemas.microsoft.com/office/drawing/2014/chart" uri="{C3380CC4-5D6E-409C-BE32-E72D297353CC}">
              <c16:uniqueId val="{00000002-9078-4E2E-BCD8-022999A4350E}"/>
            </c:ext>
          </c:extLst>
        </c:ser>
        <c:dLbls>
          <c:showLegendKey val="0"/>
          <c:showVal val="0"/>
          <c:showCatName val="0"/>
          <c:showSerName val="0"/>
          <c:showPercent val="0"/>
          <c:showBubbleSize val="0"/>
        </c:dLbls>
        <c:gapWidth val="150"/>
        <c:axId val="629858896"/>
        <c:axId val="604033984"/>
      </c:barChart>
      <c:catAx>
        <c:axId val="6298588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4033984"/>
        <c:crosses val="autoZero"/>
        <c:auto val="1"/>
        <c:lblAlgn val="ctr"/>
        <c:lblOffset val="100"/>
        <c:noMultiLvlLbl val="0"/>
      </c:catAx>
      <c:valAx>
        <c:axId val="6040339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98588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Efficiency Ratios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percentStacked"/>
        <c:varyColors val="0"/>
        <c:ser>
          <c:idx val="0"/>
          <c:order val="0"/>
          <c:tx>
            <c:strRef>
              <c:f>'Efficiency Ratios'!$I$7</c:f>
              <c:strCache>
                <c:ptCount val="1"/>
                <c:pt idx="0">
                  <c:v>Asset Turnover</c:v>
                </c:pt>
              </c:strCache>
            </c:strRef>
          </c:tx>
          <c:spPr>
            <a:solidFill>
              <a:schemeClr val="accent1"/>
            </a:solidFill>
            <a:ln>
              <a:noFill/>
            </a:ln>
            <a:effectLst/>
          </c:spPr>
          <c:invertIfNegative val="0"/>
          <c:cat>
            <c:numRef>
              <c:f>'Efficiency Ratios'!$J$6:$N$6</c:f>
              <c:numCache>
                <c:formatCode>General</c:formatCode>
                <c:ptCount val="5"/>
                <c:pt idx="0">
                  <c:v>2020</c:v>
                </c:pt>
                <c:pt idx="1">
                  <c:v>2021</c:v>
                </c:pt>
                <c:pt idx="2">
                  <c:v>2022</c:v>
                </c:pt>
                <c:pt idx="3">
                  <c:v>2023</c:v>
                </c:pt>
                <c:pt idx="4">
                  <c:v>2024</c:v>
                </c:pt>
              </c:numCache>
            </c:numRef>
          </c:cat>
          <c:val>
            <c:numRef>
              <c:f>'Efficiency Ratios'!$J$7:$N$7</c:f>
              <c:numCache>
                <c:formatCode>General</c:formatCode>
                <c:ptCount val="5"/>
                <c:pt idx="0">
                  <c:v>1.2</c:v>
                </c:pt>
                <c:pt idx="1">
                  <c:v>1.18</c:v>
                </c:pt>
                <c:pt idx="2">
                  <c:v>1.08</c:v>
                </c:pt>
                <c:pt idx="3">
                  <c:v>1.18</c:v>
                </c:pt>
                <c:pt idx="4">
                  <c:v>1.22</c:v>
                </c:pt>
              </c:numCache>
            </c:numRef>
          </c:val>
          <c:extLst>
            <c:ext xmlns:c16="http://schemas.microsoft.com/office/drawing/2014/chart" uri="{C3380CC4-5D6E-409C-BE32-E72D297353CC}">
              <c16:uniqueId val="{00000000-EF2E-468C-997D-B3105661F10D}"/>
            </c:ext>
          </c:extLst>
        </c:ser>
        <c:ser>
          <c:idx val="1"/>
          <c:order val="1"/>
          <c:tx>
            <c:strRef>
              <c:f>'Efficiency Ratios'!$I$8</c:f>
              <c:strCache>
                <c:ptCount val="1"/>
                <c:pt idx="0">
                  <c:v>Fixed Asset Turnover</c:v>
                </c:pt>
              </c:strCache>
            </c:strRef>
          </c:tx>
          <c:spPr>
            <a:solidFill>
              <a:schemeClr val="accent2"/>
            </a:solidFill>
            <a:ln>
              <a:noFill/>
            </a:ln>
            <a:effectLst/>
          </c:spPr>
          <c:invertIfNegative val="0"/>
          <c:cat>
            <c:numRef>
              <c:f>'Efficiency Ratios'!$J$6:$N$6</c:f>
              <c:numCache>
                <c:formatCode>General</c:formatCode>
                <c:ptCount val="5"/>
                <c:pt idx="0">
                  <c:v>2020</c:v>
                </c:pt>
                <c:pt idx="1">
                  <c:v>2021</c:v>
                </c:pt>
                <c:pt idx="2">
                  <c:v>2022</c:v>
                </c:pt>
                <c:pt idx="3">
                  <c:v>2023</c:v>
                </c:pt>
                <c:pt idx="4">
                  <c:v>2024</c:v>
                </c:pt>
              </c:numCache>
            </c:numRef>
          </c:cat>
          <c:val>
            <c:numRef>
              <c:f>'Efficiency Ratios'!$J$8:$N$8</c:f>
              <c:numCache>
                <c:formatCode>General</c:formatCode>
                <c:ptCount val="5"/>
                <c:pt idx="0">
                  <c:v>7.04</c:v>
                </c:pt>
                <c:pt idx="1">
                  <c:v>8.06</c:v>
                </c:pt>
                <c:pt idx="2">
                  <c:v>8.64</c:v>
                </c:pt>
                <c:pt idx="3">
                  <c:v>9.42</c:v>
                </c:pt>
                <c:pt idx="4">
                  <c:v>11.54</c:v>
                </c:pt>
              </c:numCache>
            </c:numRef>
          </c:val>
          <c:extLst>
            <c:ext xmlns:c16="http://schemas.microsoft.com/office/drawing/2014/chart" uri="{C3380CC4-5D6E-409C-BE32-E72D297353CC}">
              <c16:uniqueId val="{00000001-EF2E-468C-997D-B3105661F10D}"/>
            </c:ext>
          </c:extLst>
        </c:ser>
        <c:ser>
          <c:idx val="2"/>
          <c:order val="2"/>
          <c:tx>
            <c:strRef>
              <c:f>'Efficiency Ratios'!$I$9</c:f>
              <c:strCache>
                <c:ptCount val="1"/>
                <c:pt idx="0">
                  <c:v>Receivables Days</c:v>
                </c:pt>
              </c:strCache>
            </c:strRef>
          </c:tx>
          <c:spPr>
            <a:solidFill>
              <a:schemeClr val="accent3"/>
            </a:solidFill>
            <a:ln>
              <a:noFill/>
            </a:ln>
            <a:effectLst/>
          </c:spPr>
          <c:invertIfNegative val="0"/>
          <c:cat>
            <c:numRef>
              <c:f>'Efficiency Ratios'!$J$6:$N$6</c:f>
              <c:numCache>
                <c:formatCode>General</c:formatCode>
                <c:ptCount val="5"/>
                <c:pt idx="0">
                  <c:v>2020</c:v>
                </c:pt>
                <c:pt idx="1">
                  <c:v>2021</c:v>
                </c:pt>
                <c:pt idx="2">
                  <c:v>2022</c:v>
                </c:pt>
                <c:pt idx="3">
                  <c:v>2023</c:v>
                </c:pt>
                <c:pt idx="4">
                  <c:v>2024</c:v>
                </c:pt>
              </c:numCache>
            </c:numRef>
          </c:cat>
          <c:val>
            <c:numRef>
              <c:f>'Efficiency Ratios'!$J$9:$N$9</c:f>
              <c:numCache>
                <c:formatCode>General</c:formatCode>
                <c:ptCount val="5"/>
                <c:pt idx="0">
                  <c:v>76.86</c:v>
                </c:pt>
                <c:pt idx="1">
                  <c:v>78.400000000000006</c:v>
                </c:pt>
                <c:pt idx="2">
                  <c:v>75.55</c:v>
                </c:pt>
                <c:pt idx="3">
                  <c:v>97.74</c:v>
                </c:pt>
                <c:pt idx="4">
                  <c:v>105.54</c:v>
                </c:pt>
              </c:numCache>
            </c:numRef>
          </c:val>
          <c:extLst>
            <c:ext xmlns:c16="http://schemas.microsoft.com/office/drawing/2014/chart" uri="{C3380CC4-5D6E-409C-BE32-E72D297353CC}">
              <c16:uniqueId val="{00000002-EF2E-468C-997D-B3105661F10D}"/>
            </c:ext>
          </c:extLst>
        </c:ser>
        <c:ser>
          <c:idx val="3"/>
          <c:order val="3"/>
          <c:tx>
            <c:strRef>
              <c:f>'Efficiency Ratios'!$I$10</c:f>
              <c:strCache>
                <c:ptCount val="1"/>
                <c:pt idx="0">
                  <c:v>Inventory Days</c:v>
                </c:pt>
              </c:strCache>
            </c:strRef>
          </c:tx>
          <c:spPr>
            <a:solidFill>
              <a:schemeClr val="accent4"/>
            </a:solidFill>
            <a:ln>
              <a:noFill/>
            </a:ln>
            <a:effectLst/>
          </c:spPr>
          <c:invertIfNegative val="0"/>
          <c:cat>
            <c:numRef>
              <c:f>'Efficiency Ratios'!$J$6:$N$6</c:f>
              <c:numCache>
                <c:formatCode>General</c:formatCode>
                <c:ptCount val="5"/>
                <c:pt idx="0">
                  <c:v>2020</c:v>
                </c:pt>
                <c:pt idx="1">
                  <c:v>2021</c:v>
                </c:pt>
                <c:pt idx="2">
                  <c:v>2022</c:v>
                </c:pt>
                <c:pt idx="3">
                  <c:v>2023</c:v>
                </c:pt>
                <c:pt idx="4">
                  <c:v>2024</c:v>
                </c:pt>
              </c:numCache>
            </c:numRef>
          </c:cat>
          <c:val>
            <c:numRef>
              <c:f>'Efficiency Ratios'!$J$10:$N$10</c:f>
              <c:numCache>
                <c:formatCode>General</c:formatCode>
                <c:ptCount val="5"/>
                <c:pt idx="0">
                  <c:v>100.26</c:v>
                </c:pt>
                <c:pt idx="1">
                  <c:v>114.52</c:v>
                </c:pt>
                <c:pt idx="2">
                  <c:v>131.04</c:v>
                </c:pt>
                <c:pt idx="3">
                  <c:v>99.78</c:v>
                </c:pt>
                <c:pt idx="4">
                  <c:v>103.12</c:v>
                </c:pt>
              </c:numCache>
            </c:numRef>
          </c:val>
          <c:extLst>
            <c:ext xmlns:c16="http://schemas.microsoft.com/office/drawing/2014/chart" uri="{C3380CC4-5D6E-409C-BE32-E72D297353CC}">
              <c16:uniqueId val="{00000003-EF2E-468C-997D-B3105661F10D}"/>
            </c:ext>
          </c:extLst>
        </c:ser>
        <c:dLbls>
          <c:showLegendKey val="0"/>
          <c:showVal val="0"/>
          <c:showCatName val="0"/>
          <c:showSerName val="0"/>
          <c:showPercent val="0"/>
          <c:showBubbleSize val="0"/>
        </c:dLbls>
        <c:gapWidth val="150"/>
        <c:overlap val="100"/>
        <c:axId val="766235440"/>
        <c:axId val="766248336"/>
      </c:barChart>
      <c:catAx>
        <c:axId val="76623544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6248336"/>
        <c:crosses val="autoZero"/>
        <c:auto val="1"/>
        <c:lblAlgn val="ctr"/>
        <c:lblOffset val="100"/>
        <c:noMultiLvlLbl val="0"/>
      </c:catAx>
      <c:valAx>
        <c:axId val="76624833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62354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kumimoji="0" lang="en-US" sz="1400" b="0" i="0" u="none" strike="noStrike" kern="1200" cap="none" spc="0" normalizeH="0" baseline="0" noProof="0">
                <a:ln>
                  <a:noFill/>
                </a:ln>
                <a:solidFill>
                  <a:sysClr val="windowText" lastClr="000000">
                    <a:lumMod val="65000"/>
                    <a:lumOff val="35000"/>
                  </a:sysClr>
                </a:solidFill>
                <a:effectLst/>
                <a:uLnTx/>
                <a:uFillTx/>
                <a:latin typeface="Calibri" panose="020F0502020204030204"/>
              </a:rPr>
              <a:t>Gearing Ratios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stacked"/>
        <c:varyColors val="0"/>
        <c:ser>
          <c:idx val="0"/>
          <c:order val="0"/>
          <c:tx>
            <c:strRef>
              <c:f>'Gearing Ratios'!$K$7</c:f>
              <c:strCache>
                <c:ptCount val="1"/>
                <c:pt idx="0">
                  <c:v>Interest Coverage Ratio</c:v>
                </c:pt>
              </c:strCache>
            </c:strRef>
          </c:tx>
          <c:spPr>
            <a:solidFill>
              <a:schemeClr val="accent1"/>
            </a:solidFill>
            <a:ln w="25400">
              <a:noFill/>
            </a:ln>
            <a:effectLst/>
          </c:spPr>
          <c:invertIfNegative val="0"/>
          <c:cat>
            <c:numRef>
              <c:f>'Gearing Ratios'!$L$6:$P$6</c:f>
              <c:numCache>
                <c:formatCode>General</c:formatCode>
                <c:ptCount val="5"/>
                <c:pt idx="0">
                  <c:v>2020</c:v>
                </c:pt>
                <c:pt idx="1">
                  <c:v>2021</c:v>
                </c:pt>
                <c:pt idx="2">
                  <c:v>2022</c:v>
                </c:pt>
                <c:pt idx="3">
                  <c:v>2023</c:v>
                </c:pt>
                <c:pt idx="4">
                  <c:v>2024</c:v>
                </c:pt>
              </c:numCache>
            </c:numRef>
          </c:cat>
          <c:val>
            <c:numRef>
              <c:f>'Gearing Ratios'!$L$7:$P$7</c:f>
              <c:numCache>
                <c:formatCode>General</c:formatCode>
                <c:ptCount val="5"/>
                <c:pt idx="0">
                  <c:v>26.21</c:v>
                </c:pt>
                <c:pt idx="1">
                  <c:v>41.08</c:v>
                </c:pt>
                <c:pt idx="2">
                  <c:v>6.61</c:v>
                </c:pt>
                <c:pt idx="3">
                  <c:v>0</c:v>
                </c:pt>
                <c:pt idx="4">
                  <c:v>0</c:v>
                </c:pt>
              </c:numCache>
            </c:numRef>
          </c:val>
          <c:extLst>
            <c:ext xmlns:c16="http://schemas.microsoft.com/office/drawing/2014/chart" uri="{C3380CC4-5D6E-409C-BE32-E72D297353CC}">
              <c16:uniqueId val="{00000000-5E79-4959-B9E3-03817D458266}"/>
            </c:ext>
          </c:extLst>
        </c:ser>
        <c:ser>
          <c:idx val="1"/>
          <c:order val="1"/>
          <c:tx>
            <c:strRef>
              <c:f>'Gearing Ratios'!$K$8</c:f>
              <c:strCache>
                <c:ptCount val="1"/>
                <c:pt idx="0">
                  <c:v>Debt to Equity Ratio</c:v>
                </c:pt>
              </c:strCache>
            </c:strRef>
          </c:tx>
          <c:spPr>
            <a:solidFill>
              <a:schemeClr val="accent2"/>
            </a:solidFill>
            <a:ln w="25400">
              <a:noFill/>
            </a:ln>
            <a:effectLst/>
          </c:spPr>
          <c:invertIfNegative val="0"/>
          <c:cat>
            <c:numRef>
              <c:f>'Gearing Ratios'!$L$6:$P$6</c:f>
              <c:numCache>
                <c:formatCode>General</c:formatCode>
                <c:ptCount val="5"/>
                <c:pt idx="0">
                  <c:v>2020</c:v>
                </c:pt>
                <c:pt idx="1">
                  <c:v>2021</c:v>
                </c:pt>
                <c:pt idx="2">
                  <c:v>2022</c:v>
                </c:pt>
                <c:pt idx="3">
                  <c:v>2023</c:v>
                </c:pt>
                <c:pt idx="4">
                  <c:v>2024</c:v>
                </c:pt>
              </c:numCache>
            </c:numRef>
          </c:cat>
          <c:val>
            <c:numRef>
              <c:f>'Gearing Ratios'!$L$8:$P$8</c:f>
              <c:numCache>
                <c:formatCode>General</c:formatCode>
                <c:ptCount val="5"/>
                <c:pt idx="0">
                  <c:v>0.63</c:v>
                </c:pt>
                <c:pt idx="1">
                  <c:v>0.85</c:v>
                </c:pt>
                <c:pt idx="2">
                  <c:v>0.88</c:v>
                </c:pt>
                <c:pt idx="3">
                  <c:v>0.99</c:v>
                </c:pt>
                <c:pt idx="4">
                  <c:v>1.1100000000000001</c:v>
                </c:pt>
              </c:numCache>
            </c:numRef>
          </c:val>
          <c:extLst>
            <c:ext xmlns:c16="http://schemas.microsoft.com/office/drawing/2014/chart" uri="{C3380CC4-5D6E-409C-BE32-E72D297353CC}">
              <c16:uniqueId val="{00000001-5E79-4959-B9E3-03817D458266}"/>
            </c:ext>
          </c:extLst>
        </c:ser>
        <c:ser>
          <c:idx val="2"/>
          <c:order val="2"/>
          <c:tx>
            <c:strRef>
              <c:f>'Gearing Ratios'!$K$9</c:f>
              <c:strCache>
                <c:ptCount val="1"/>
                <c:pt idx="0">
                  <c:v>Debt to Capital Ratio</c:v>
                </c:pt>
              </c:strCache>
            </c:strRef>
          </c:tx>
          <c:spPr>
            <a:solidFill>
              <a:schemeClr val="accent3"/>
            </a:solidFill>
            <a:ln w="25400">
              <a:noFill/>
            </a:ln>
            <a:effectLst/>
          </c:spPr>
          <c:invertIfNegative val="0"/>
          <c:cat>
            <c:numRef>
              <c:f>'Gearing Ratios'!$L$6:$P$6</c:f>
              <c:numCache>
                <c:formatCode>General</c:formatCode>
                <c:ptCount val="5"/>
                <c:pt idx="0">
                  <c:v>2020</c:v>
                </c:pt>
                <c:pt idx="1">
                  <c:v>2021</c:v>
                </c:pt>
                <c:pt idx="2">
                  <c:v>2022</c:v>
                </c:pt>
                <c:pt idx="3">
                  <c:v>2023</c:v>
                </c:pt>
                <c:pt idx="4">
                  <c:v>2024</c:v>
                </c:pt>
              </c:numCache>
            </c:numRef>
          </c:cat>
          <c:val>
            <c:numRef>
              <c:f>'Gearing Ratios'!$L$9:$P$9</c:f>
              <c:numCache>
                <c:formatCode>General</c:formatCode>
                <c:ptCount val="5"/>
                <c:pt idx="0">
                  <c:v>0.39</c:v>
                </c:pt>
                <c:pt idx="1">
                  <c:v>0.46</c:v>
                </c:pt>
                <c:pt idx="2">
                  <c:v>0.47</c:v>
                </c:pt>
                <c:pt idx="3">
                  <c:v>0.5</c:v>
                </c:pt>
                <c:pt idx="4">
                  <c:v>0.53</c:v>
                </c:pt>
              </c:numCache>
            </c:numRef>
          </c:val>
          <c:extLst>
            <c:ext xmlns:c16="http://schemas.microsoft.com/office/drawing/2014/chart" uri="{C3380CC4-5D6E-409C-BE32-E72D297353CC}">
              <c16:uniqueId val="{00000002-5E79-4959-B9E3-03817D458266}"/>
            </c:ext>
          </c:extLst>
        </c:ser>
        <c:ser>
          <c:idx val="3"/>
          <c:order val="3"/>
          <c:tx>
            <c:strRef>
              <c:f>'Gearing Ratios'!$K$10</c:f>
              <c:strCache>
                <c:ptCount val="1"/>
                <c:pt idx="0">
                  <c:v>Equity Multiplier</c:v>
                </c:pt>
              </c:strCache>
            </c:strRef>
          </c:tx>
          <c:spPr>
            <a:solidFill>
              <a:schemeClr val="accent4"/>
            </a:solidFill>
            <a:ln w="25400">
              <a:noFill/>
            </a:ln>
            <a:effectLst/>
          </c:spPr>
          <c:invertIfNegative val="0"/>
          <c:cat>
            <c:numRef>
              <c:f>'Gearing Ratios'!$L$6:$P$6</c:f>
              <c:numCache>
                <c:formatCode>General</c:formatCode>
                <c:ptCount val="5"/>
                <c:pt idx="0">
                  <c:v>2020</c:v>
                </c:pt>
                <c:pt idx="1">
                  <c:v>2021</c:v>
                </c:pt>
                <c:pt idx="2">
                  <c:v>2022</c:v>
                </c:pt>
                <c:pt idx="3">
                  <c:v>2023</c:v>
                </c:pt>
                <c:pt idx="4">
                  <c:v>2024</c:v>
                </c:pt>
              </c:numCache>
            </c:numRef>
          </c:cat>
          <c:val>
            <c:numRef>
              <c:f>'Gearing Ratios'!$L$10:$P$10</c:f>
              <c:numCache>
                <c:formatCode>General</c:formatCode>
                <c:ptCount val="5"/>
                <c:pt idx="0">
                  <c:v>1.63</c:v>
                </c:pt>
                <c:pt idx="1">
                  <c:v>1.85</c:v>
                </c:pt>
                <c:pt idx="2">
                  <c:v>1.88</c:v>
                </c:pt>
                <c:pt idx="3">
                  <c:v>1.99</c:v>
                </c:pt>
                <c:pt idx="4">
                  <c:v>2.11</c:v>
                </c:pt>
              </c:numCache>
            </c:numRef>
          </c:val>
          <c:extLst>
            <c:ext xmlns:c16="http://schemas.microsoft.com/office/drawing/2014/chart" uri="{C3380CC4-5D6E-409C-BE32-E72D297353CC}">
              <c16:uniqueId val="{00000003-5E79-4959-B9E3-03817D458266}"/>
            </c:ext>
          </c:extLst>
        </c:ser>
        <c:dLbls>
          <c:showLegendKey val="0"/>
          <c:showVal val="0"/>
          <c:showCatName val="0"/>
          <c:showSerName val="0"/>
          <c:showPercent val="0"/>
          <c:showBubbleSize val="0"/>
        </c:dLbls>
        <c:gapWidth val="219"/>
        <c:overlap val="100"/>
        <c:axId val="835098656"/>
        <c:axId val="835110720"/>
      </c:barChart>
      <c:catAx>
        <c:axId val="83509865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5110720"/>
        <c:crosses val="autoZero"/>
        <c:auto val="1"/>
        <c:lblAlgn val="ctr"/>
        <c:lblOffset val="100"/>
        <c:noMultiLvlLbl val="0"/>
      </c:catAx>
      <c:valAx>
        <c:axId val="83511072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50986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2000" b="0" i="0" u="none" strike="noStrike" baseline="0">
                <a:solidFill>
                  <a:schemeClr val="tx1">
                    <a:lumMod val="65000"/>
                    <a:lumOff val="35000"/>
                  </a:schemeClr>
                </a:solidFill>
                <a:latin typeface="+mj-lt"/>
                <a:ea typeface="+mj-ea"/>
                <a:cs typeface="+mj-cs"/>
              </a:defRPr>
            </a:pPr>
            <a:r>
              <a:rPr kumimoji="0" lang="en-US" sz="1400" b="0" i="0" u="none" strike="noStrike" kern="1200" cap="none" spc="0" normalizeH="0" baseline="0" noProof="0">
                <a:ln>
                  <a:noFill/>
                </a:ln>
                <a:solidFill>
                  <a:sysClr val="windowText" lastClr="000000">
                    <a:lumMod val="65000"/>
                    <a:lumOff val="35000"/>
                  </a:sysClr>
                </a:solidFill>
                <a:effectLst/>
                <a:uLnTx/>
                <a:uFillTx/>
                <a:latin typeface="Calibri" panose="020F0502020204030204"/>
              </a:rPr>
              <a:t>Investment Ratio (£)</a:t>
            </a:r>
          </a:p>
        </c:rich>
      </c:tx>
      <c:overlay val="0"/>
      <c:spPr>
        <a:noFill/>
        <a:ln>
          <a:noFill/>
        </a:ln>
        <a:effectLst/>
      </c:spPr>
      <c:txPr>
        <a:bodyPr rot="0" spcFirstLastPara="1" vertOverflow="ellipsis" vert="horz" wrap="square" anchor="ctr" anchorCtr="1"/>
        <a:lstStyle/>
        <a:p>
          <a:pPr>
            <a:defRPr sz="2000" b="0" i="0" u="none" strike="noStrike" baseline="0">
              <a:solidFill>
                <a:schemeClr val="tx1">
                  <a:lumMod val="65000"/>
                  <a:lumOff val="35000"/>
                </a:schemeClr>
              </a:solidFill>
              <a:latin typeface="+mj-lt"/>
              <a:ea typeface="+mj-ea"/>
              <a:cs typeface="+mj-cs"/>
            </a:defRPr>
          </a:pPr>
          <a:endParaRPr lang="en-US"/>
        </a:p>
      </c:txPr>
    </c:title>
    <c:autoTitleDeleted val="0"/>
    <c:plotArea>
      <c:layout/>
      <c:scatterChart>
        <c:scatterStyle val="lineMarker"/>
        <c:varyColors val="0"/>
        <c:ser>
          <c:idx val="0"/>
          <c:order val="0"/>
          <c:tx>
            <c:strRef>
              <c:f>'Investment Ratio '!$L$7</c:f>
              <c:strCache>
                <c:ptCount val="1"/>
                <c:pt idx="0">
                  <c:v>Earnings per Share (EPS) (£)</c:v>
                </c:pt>
              </c:strCache>
            </c:strRef>
          </c:tx>
          <c:spPr>
            <a:ln w="28575" cap="rnd">
              <a:solidFill>
                <a:schemeClr val="accent1"/>
              </a:solidFill>
              <a:round/>
            </a:ln>
            <a:effectLst/>
          </c:spPr>
          <c:marker>
            <c:symbol val="circle"/>
            <c:size val="8"/>
            <c:spPr>
              <a:solidFill>
                <a:schemeClr val="accent1">
                  <a:lumMod val="60000"/>
                </a:schemeClr>
              </a:solidFill>
              <a:ln>
                <a:noFill/>
              </a:ln>
              <a:effectLst/>
            </c:spPr>
          </c:marker>
          <c:xVal>
            <c:numRef>
              <c:f>'Investment Ratio '!$M$6:$Q$6</c:f>
              <c:numCache>
                <c:formatCode>General</c:formatCode>
                <c:ptCount val="5"/>
                <c:pt idx="0">
                  <c:v>2020</c:v>
                </c:pt>
                <c:pt idx="1">
                  <c:v>2021</c:v>
                </c:pt>
                <c:pt idx="2">
                  <c:v>2022</c:v>
                </c:pt>
                <c:pt idx="3">
                  <c:v>2023</c:v>
                </c:pt>
                <c:pt idx="4">
                  <c:v>2024</c:v>
                </c:pt>
              </c:numCache>
            </c:numRef>
          </c:xVal>
          <c:yVal>
            <c:numRef>
              <c:f>'Investment Ratio '!$M$7:$Q$7</c:f>
              <c:numCache>
                <c:formatCode>General</c:formatCode>
                <c:ptCount val="5"/>
                <c:pt idx="0">
                  <c:v>2.78</c:v>
                </c:pt>
                <c:pt idx="1">
                  <c:v>0.39</c:v>
                </c:pt>
                <c:pt idx="2">
                  <c:v>0.03</c:v>
                </c:pt>
                <c:pt idx="3">
                  <c:v>0</c:v>
                </c:pt>
                <c:pt idx="4">
                  <c:v>0</c:v>
                </c:pt>
              </c:numCache>
            </c:numRef>
          </c:yVal>
          <c:smooth val="0"/>
          <c:extLst>
            <c:ext xmlns:c16="http://schemas.microsoft.com/office/drawing/2014/chart" uri="{C3380CC4-5D6E-409C-BE32-E72D297353CC}">
              <c16:uniqueId val="{00000000-60CE-48D3-9C4F-8AD105EB8CFA}"/>
            </c:ext>
          </c:extLst>
        </c:ser>
        <c:ser>
          <c:idx val="1"/>
          <c:order val="1"/>
          <c:tx>
            <c:strRef>
              <c:f>'Investment Ratio '!$L$8</c:f>
              <c:strCache>
                <c:ptCount val="1"/>
                <c:pt idx="0">
                  <c:v>Price–Earnings Ratio</c:v>
                </c:pt>
              </c:strCache>
            </c:strRef>
          </c:tx>
          <c:spPr>
            <a:ln w="28575" cap="rnd">
              <a:solidFill>
                <a:schemeClr val="accent2"/>
              </a:solidFill>
              <a:round/>
            </a:ln>
            <a:effectLst/>
          </c:spPr>
          <c:marker>
            <c:symbol val="circle"/>
            <c:size val="8"/>
            <c:spPr>
              <a:solidFill>
                <a:schemeClr val="accent2">
                  <a:lumMod val="60000"/>
                </a:schemeClr>
              </a:solidFill>
              <a:ln>
                <a:noFill/>
              </a:ln>
              <a:effectLst/>
            </c:spPr>
          </c:marker>
          <c:xVal>
            <c:numRef>
              <c:f>'Investment Ratio '!$M$6:$Q$6</c:f>
              <c:numCache>
                <c:formatCode>General</c:formatCode>
                <c:ptCount val="5"/>
                <c:pt idx="0">
                  <c:v>2020</c:v>
                </c:pt>
                <c:pt idx="1">
                  <c:v>2021</c:v>
                </c:pt>
                <c:pt idx="2">
                  <c:v>2022</c:v>
                </c:pt>
                <c:pt idx="3">
                  <c:v>2023</c:v>
                </c:pt>
                <c:pt idx="4">
                  <c:v>2024</c:v>
                </c:pt>
              </c:numCache>
            </c:numRef>
          </c:xVal>
          <c:yVal>
            <c:numRef>
              <c:f>'Investment Ratio '!$M$8:$Q$8</c:f>
              <c:numCache>
                <c:formatCode>General</c:formatCode>
                <c:ptCount val="5"/>
                <c:pt idx="0">
                  <c:v>43.17</c:v>
                </c:pt>
                <c:pt idx="1">
                  <c:v>304.81</c:v>
                </c:pt>
                <c:pt idx="2" formatCode="#,##0.00">
                  <c:v>3745.36</c:v>
                </c:pt>
                <c:pt idx="3">
                  <c:v>0</c:v>
                </c:pt>
                <c:pt idx="4">
                  <c:v>0</c:v>
                </c:pt>
              </c:numCache>
            </c:numRef>
          </c:yVal>
          <c:smooth val="0"/>
          <c:extLst>
            <c:ext xmlns:c16="http://schemas.microsoft.com/office/drawing/2014/chart" uri="{C3380CC4-5D6E-409C-BE32-E72D297353CC}">
              <c16:uniqueId val="{00000001-60CE-48D3-9C4F-8AD105EB8CFA}"/>
            </c:ext>
          </c:extLst>
        </c:ser>
        <c:ser>
          <c:idx val="2"/>
          <c:order val="2"/>
          <c:tx>
            <c:strRef>
              <c:f>'Investment Ratio '!$L$9</c:f>
              <c:strCache>
                <c:ptCount val="1"/>
                <c:pt idx="0">
                  <c:v>Return on Equity (ROE)</c:v>
                </c:pt>
              </c:strCache>
            </c:strRef>
          </c:tx>
          <c:spPr>
            <a:ln w="28575" cap="rnd">
              <a:solidFill>
                <a:schemeClr val="accent3"/>
              </a:solidFill>
              <a:round/>
            </a:ln>
            <a:effectLst/>
          </c:spPr>
          <c:marker>
            <c:symbol val="circle"/>
            <c:size val="8"/>
            <c:spPr>
              <a:solidFill>
                <a:schemeClr val="accent3">
                  <a:lumMod val="60000"/>
                </a:schemeClr>
              </a:solidFill>
              <a:ln>
                <a:noFill/>
              </a:ln>
              <a:effectLst/>
            </c:spPr>
          </c:marker>
          <c:xVal>
            <c:numRef>
              <c:f>'Investment Ratio '!$M$6:$Q$6</c:f>
              <c:numCache>
                <c:formatCode>General</c:formatCode>
                <c:ptCount val="5"/>
                <c:pt idx="0">
                  <c:v>2020</c:v>
                </c:pt>
                <c:pt idx="1">
                  <c:v>2021</c:v>
                </c:pt>
                <c:pt idx="2">
                  <c:v>2022</c:v>
                </c:pt>
                <c:pt idx="3">
                  <c:v>2023</c:v>
                </c:pt>
                <c:pt idx="4">
                  <c:v>2024</c:v>
                </c:pt>
              </c:numCache>
            </c:numRef>
          </c:xVal>
          <c:yVal>
            <c:numRef>
              <c:f>'Investment Ratio '!$M$9:$Q$9</c:f>
              <c:numCache>
                <c:formatCode>0.00%</c:formatCode>
                <c:ptCount val="5"/>
                <c:pt idx="0">
                  <c:v>0.11890000000000001</c:v>
                </c:pt>
                <c:pt idx="1">
                  <c:v>8.43E-2</c:v>
                </c:pt>
                <c:pt idx="2">
                  <c:v>5.4199999999999998E-2</c:v>
                </c:pt>
                <c:pt idx="3" formatCode="General">
                  <c:v>0</c:v>
                </c:pt>
                <c:pt idx="4" formatCode="General">
                  <c:v>0</c:v>
                </c:pt>
              </c:numCache>
            </c:numRef>
          </c:yVal>
          <c:smooth val="0"/>
          <c:extLst>
            <c:ext xmlns:c16="http://schemas.microsoft.com/office/drawing/2014/chart" uri="{C3380CC4-5D6E-409C-BE32-E72D297353CC}">
              <c16:uniqueId val="{00000002-60CE-48D3-9C4F-8AD105EB8CFA}"/>
            </c:ext>
          </c:extLst>
        </c:ser>
        <c:dLbls>
          <c:showLegendKey val="0"/>
          <c:showVal val="0"/>
          <c:showCatName val="0"/>
          <c:showSerName val="0"/>
          <c:showPercent val="0"/>
          <c:showBubbleSize val="0"/>
        </c:dLbls>
        <c:axId val="891452672"/>
        <c:axId val="891454336"/>
      </c:scatterChart>
      <c:valAx>
        <c:axId val="8914526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baseline="0">
                <a:solidFill>
                  <a:schemeClr val="tx1">
                    <a:lumMod val="65000"/>
                    <a:lumOff val="35000"/>
                  </a:schemeClr>
                </a:solidFill>
                <a:latin typeface="+mn-lt"/>
                <a:ea typeface="+mn-ea"/>
                <a:cs typeface="+mn-cs"/>
              </a:defRPr>
            </a:pPr>
            <a:endParaRPr lang="en-US"/>
          </a:p>
        </c:txPr>
        <c:crossAx val="891454336"/>
        <c:crosses val="autoZero"/>
        <c:crossBetween val="midCat"/>
      </c:valAx>
      <c:valAx>
        <c:axId val="8914543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baseline="0">
                <a:solidFill>
                  <a:schemeClr val="tx1">
                    <a:lumMod val="65000"/>
                    <a:lumOff val="35000"/>
                  </a:schemeClr>
                </a:solidFill>
                <a:latin typeface="+mn-lt"/>
                <a:ea typeface="+mn-ea"/>
                <a:cs typeface="+mn-cs"/>
              </a:defRPr>
            </a:pPr>
            <a:endParaRPr lang="en-US"/>
          </a:p>
        </c:txPr>
        <c:crossAx val="891452672"/>
        <c:crosses val="autoZero"/>
        <c:crossBetween val="midCat"/>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'Cash Flow Ratios'!$I$8</c:f>
              <c:strCache>
                <c:ptCount val="1"/>
                <c:pt idx="0">
                  <c:v>Operating Cash Flow Ratio</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baseline="0">
                    <a:solidFill>
                      <a:schemeClr val="tx1">
                        <a:lumMod val="65000"/>
                        <a:lumOff val="3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'Cash Flow Ratios'!$J$7:$N$7</c:f>
              <c:numCache>
                <c:formatCode>General</c:formatCode>
                <c:ptCount val="5"/>
                <c:pt idx="0">
                  <c:v>2020</c:v>
                </c:pt>
                <c:pt idx="1">
                  <c:v>2021</c:v>
                </c:pt>
                <c:pt idx="2">
                  <c:v>2022</c:v>
                </c:pt>
                <c:pt idx="3">
                  <c:v>2023</c:v>
                </c:pt>
                <c:pt idx="4">
                  <c:v>2024</c:v>
                </c:pt>
              </c:numCache>
            </c:numRef>
          </c:cat>
          <c:val>
            <c:numRef>
              <c:f>'Cash Flow Ratios'!$J$8:$N$8</c:f>
              <c:numCache>
                <c:formatCode>General</c:formatCode>
                <c:ptCount val="5"/>
                <c:pt idx="0">
                  <c:v>0.41</c:v>
                </c:pt>
                <c:pt idx="1">
                  <c:v>0.19</c:v>
                </c:pt>
                <c:pt idx="2">
                  <c:v>0.05</c:v>
                </c:pt>
                <c:pt idx="3">
                  <c:v>0.16</c:v>
                </c:pt>
                <c:pt idx="4">
                  <c:v>0.09</c:v>
                </c:pt>
              </c:numCache>
            </c:numRef>
          </c:val>
          <c:extLst>
            <c:ext xmlns:c16="http://schemas.microsoft.com/office/drawing/2014/chart" uri="{C3380CC4-5D6E-409C-BE32-E72D297353CC}">
              <c16:uniqueId val="{00000000-8B3F-46AF-B74C-6D1F17278FB3}"/>
            </c:ext>
          </c:extLst>
        </c:ser>
        <c:ser>
          <c:idx val="1"/>
          <c:order val="1"/>
          <c:tx>
            <c:strRef>
              <c:f>'Cash Flow Ratios'!$I$9</c:f>
              <c:strCache>
                <c:ptCount val="1"/>
                <c:pt idx="0">
                  <c:v>Cash Flow to Debt Ratio</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baseline="0">
                    <a:solidFill>
                      <a:schemeClr val="tx1">
                        <a:lumMod val="65000"/>
                        <a:lumOff val="3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'Cash Flow Ratios'!$J$7:$N$7</c:f>
              <c:numCache>
                <c:formatCode>General</c:formatCode>
                <c:ptCount val="5"/>
                <c:pt idx="0">
                  <c:v>2020</c:v>
                </c:pt>
                <c:pt idx="1">
                  <c:v>2021</c:v>
                </c:pt>
                <c:pt idx="2">
                  <c:v>2022</c:v>
                </c:pt>
                <c:pt idx="3">
                  <c:v>2023</c:v>
                </c:pt>
                <c:pt idx="4">
                  <c:v>2024</c:v>
                </c:pt>
              </c:numCache>
            </c:numRef>
          </c:cat>
          <c:val>
            <c:numRef>
              <c:f>'Cash Flow Ratios'!$J$9:$N$9</c:f>
              <c:numCache>
                <c:formatCode>General</c:formatCode>
                <c:ptCount val="5"/>
                <c:pt idx="0">
                  <c:v>0.37</c:v>
                </c:pt>
                <c:pt idx="1">
                  <c:v>0.17</c:v>
                </c:pt>
                <c:pt idx="2">
                  <c:v>0.05</c:v>
                </c:pt>
                <c:pt idx="3">
                  <c:v>0.14000000000000001</c:v>
                </c:pt>
                <c:pt idx="4">
                  <c:v>0.09</c:v>
                </c:pt>
              </c:numCache>
            </c:numRef>
          </c:val>
          <c:extLst>
            <c:ext xmlns:c16="http://schemas.microsoft.com/office/drawing/2014/chart" uri="{C3380CC4-5D6E-409C-BE32-E72D297353CC}">
              <c16:uniqueId val="{00000001-8B3F-46AF-B74C-6D1F17278FB3}"/>
            </c:ext>
          </c:extLst>
        </c:ser>
        <c:ser>
          <c:idx val="2"/>
          <c:order val="2"/>
          <c:tx>
            <c:strRef>
              <c:f>'Cash Flow Ratios'!$I$10</c:f>
              <c:strCache>
                <c:ptCount val="1"/>
                <c:pt idx="0">
                  <c:v>Cash Flow Margin</c:v>
                </c:pt>
              </c:strCache>
            </c:strRef>
          </c:tx>
          <c:spPr>
            <a:solidFill>
              <a:schemeClr val="accent3"/>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baseline="0">
                    <a:solidFill>
                      <a:schemeClr val="tx1">
                        <a:lumMod val="65000"/>
                        <a:lumOff val="3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'Cash Flow Ratios'!$J$7:$N$7</c:f>
              <c:numCache>
                <c:formatCode>General</c:formatCode>
                <c:ptCount val="5"/>
                <c:pt idx="0">
                  <c:v>2020</c:v>
                </c:pt>
                <c:pt idx="1">
                  <c:v>2021</c:v>
                </c:pt>
                <c:pt idx="2">
                  <c:v>2022</c:v>
                </c:pt>
                <c:pt idx="3">
                  <c:v>2023</c:v>
                </c:pt>
                <c:pt idx="4">
                  <c:v>2024</c:v>
                </c:pt>
              </c:numCache>
            </c:numRef>
          </c:cat>
          <c:val>
            <c:numRef>
              <c:f>'Cash Flow Ratios'!$J$10:$N$10</c:f>
              <c:numCache>
                <c:formatCode>0.00%</c:formatCode>
                <c:ptCount val="5"/>
                <c:pt idx="0">
                  <c:v>0.11940000000000001</c:v>
                </c:pt>
                <c:pt idx="1">
                  <c:v>6.7000000000000004E-2</c:v>
                </c:pt>
                <c:pt idx="2">
                  <c:v>2.01E-2</c:v>
                </c:pt>
                <c:pt idx="3">
                  <c:v>5.9900000000000002E-2</c:v>
                </c:pt>
                <c:pt idx="4">
                  <c:v>3.7499999999999999E-2</c:v>
                </c:pt>
              </c:numCache>
            </c:numRef>
          </c:val>
          <c:extLst>
            <c:ext xmlns:c16="http://schemas.microsoft.com/office/drawing/2014/chart" uri="{C3380CC4-5D6E-409C-BE32-E72D297353CC}">
              <c16:uniqueId val="{00000002-8B3F-46AF-B74C-6D1F17278FB3}"/>
            </c:ext>
          </c:extLst>
        </c:ser>
        <c:dLbls>
          <c:showLegendKey val="0"/>
          <c:showVal val="0"/>
          <c:showCatName val="0"/>
          <c:showSerName val="0"/>
          <c:showPercent val="0"/>
          <c:showBubbleSize val="0"/>
        </c:dLbls>
        <c:gapWidth val="50"/>
        <c:shape val="box"/>
        <c:axId val="756703008"/>
        <c:axId val="756697600"/>
        <c:axId val="0"/>
      </c:bar3DChart>
      <c:catAx>
        <c:axId val="7567030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baseline="0">
                <a:solidFill>
                  <a:schemeClr val="tx1">
                    <a:lumMod val="65000"/>
                    <a:lumOff val="35000"/>
                  </a:schemeClr>
                </a:solidFill>
                <a:latin typeface="+mn-lt"/>
                <a:ea typeface="+mn-ea"/>
                <a:cs typeface="+mn-cs"/>
              </a:defRPr>
            </a:pPr>
            <a:endParaRPr lang="en-US"/>
          </a:p>
        </c:txPr>
        <c:crossAx val="756697600"/>
        <c:crosses val="autoZero"/>
        <c:auto val="1"/>
        <c:lblAlgn val="ctr"/>
        <c:lblOffset val="100"/>
        <c:noMultiLvlLbl val="0"/>
      </c:catAx>
      <c:valAx>
        <c:axId val="7566976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baseline="0">
                <a:solidFill>
                  <a:schemeClr val="tx1">
                    <a:lumMod val="65000"/>
                    <a:lumOff val="35000"/>
                  </a:schemeClr>
                </a:solidFill>
                <a:latin typeface="+mn-lt"/>
                <a:ea typeface="+mn-ea"/>
                <a:cs typeface="+mn-cs"/>
              </a:defRPr>
            </a:pPr>
            <a:endParaRPr lang="en-US"/>
          </a:p>
        </c:txPr>
        <c:crossAx val="756703008"/>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389">
  <cs:axisTitle>
    <cs:lnRef idx="0"/>
    <cs:fillRef idx="0"/>
    <cs:effectRef idx="0"/>
    <cs:fontRef idx="minor">
      <a:schemeClr val="tx1">
        <a:lumMod val="65000"/>
        <a:lumOff val="35000"/>
      </a:schemeClr>
    </cs:fontRef>
    <cs:defRPr sz="9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cs:chartArea>
  <cs:dataLabel>
    <cs:lnRef idx="0"/>
    <cs:fillRef idx="0"/>
    <cs:effectRef idx="0"/>
    <cs:fontRef idx="minor">
      <a:schemeClr val="tx1">
        <a:lumMod val="75000"/>
        <a:lumOff val="25000"/>
      </a:schemeClr>
    </cs:fontRef>
    <cs:defRPr sz="900"/>
  </cs:dataLabel>
  <cs:dataLabelCallout>
    <cs:lnRef idx="0"/>
    <cs:fillRef idx="0"/>
    <cs:effectRef idx="0"/>
    <cs:fontRef idx="minor">
      <a:schemeClr val="lt1">
        <a:lumMod val="65000"/>
        <a:lumOff val="35000"/>
      </a:schemeClr>
    </cs:fontRef>
    <cs:spPr>
      <a:solidFill>
        <a:schemeClr val="dk1">
          <a:lumMod val="15000"/>
          <a:lumOff val="85000"/>
        </a:schemeClr>
      </a:solidFill>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lumMod val="60000"/>
        </a:schemeClr>
      </a:solidFill>
    </cs:spPr>
  </cs:dataPointMarker>
  <cs:dataPointMarkerLayout symbol="circle" size="8"/>
  <cs:dataPointWireframe>
    <cs:lnRef idx="0">
      <cs:styleClr val="auto"/>
    </cs:lnRef>
    <cs:fillRef idx="0"/>
    <cs:effectRef idx="0"/>
    <cs:fontRef idx="minor">
      <a:schemeClr val="dk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2857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25400" cap="flat" cmpd="sng" algn="ctr">
        <a:solidFill>
          <a:schemeClr val="tx1">
            <a:lumMod val="65000"/>
            <a:lumOff val="35000"/>
          </a:schemeClr>
        </a:solidFill>
        <a:round/>
      </a:ln>
    </cs:spPr>
  </cs:hiLoLine>
  <cs:leaderLine>
    <cs:lnRef idx="0"/>
    <cs:fillRef idx="0"/>
    <cs:effectRef idx="0"/>
    <cs:fontRef idx="minor">
      <a:schemeClr val="dk1"/>
    </cs:fontRef>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dk1"/>
    </cs:fontRef>
    <cs:spPr>
      <a:ln w="9525" cap="flat">
        <a:solidFill>
          <a:srgbClr val="D9D9D9"/>
        </a:solidFill>
        <a:round/>
      </a:ln>
    </cs:spPr>
  </cs:seriesLine>
  <cs:title>
    <cs:lnRef idx="0"/>
    <cs:fillRef idx="0"/>
    <cs:effectRef idx="0"/>
    <cs:fontRef idx="major">
      <a:schemeClr val="tx1">
        <a:lumMod val="65000"/>
        <a:lumOff val="35000"/>
      </a:schemeClr>
    </cs:fontRef>
    <cs:defRPr sz="200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28575">
        <a:solidFill>
          <a:schemeClr val="tx1">
            <a:lumMod val="50000"/>
            <a:lumOff val="50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395">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739F33-42B1-4F48-87FF-155D277026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TotalTime>
  <Pages>36</Pages>
  <Words>7576</Words>
  <Characters>43184</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26</cp:revision>
  <dcterms:created xsi:type="dcterms:W3CDTF">2025-12-15T21:17:00Z</dcterms:created>
  <dcterms:modified xsi:type="dcterms:W3CDTF">2025-12-21T20:18:00Z</dcterms:modified>
</cp:coreProperties>
</file>