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5857404"/>
        <w:docPartObj>
          <w:docPartGallery w:val="Cover Pages"/>
          <w:docPartUnique/>
        </w:docPartObj>
      </w:sdtPr>
      <w:sdtEndPr>
        <w:rPr>
          <w:b/>
          <w:bCs/>
        </w:rPr>
      </w:sdtEndPr>
      <w:sdtContent>
        <w:p w14:paraId="0A6A7A99" w14:textId="1A272554" w:rsidR="00305071" w:rsidRDefault="00EB2A76" w:rsidP="00A33C45">
          <w:r>
            <w:rPr>
              <w:noProof/>
            </w:rPr>
            <mc:AlternateContent>
              <mc:Choice Requires="wpg">
                <w:drawing>
                  <wp:anchor distT="0" distB="0" distL="114300" distR="114300" simplePos="0" relativeHeight="251662336" behindDoc="0" locked="0" layoutInCell="1" allowOverlap="1" wp14:anchorId="0530210D" wp14:editId="2270A78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02A41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E51A7CB" wp14:editId="2A56CEE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0B803B" w14:textId="3D87BC7B" w:rsidR="00EB2A76" w:rsidRDefault="00EB2A76">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3C45">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7430D76" w14:textId="7A30D8C1" w:rsidR="00EB2A76" w:rsidRDefault="00EB2A7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E51A7CB"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1F0B803B" w14:textId="3D87BC7B" w:rsidR="00EB2A76" w:rsidRDefault="00EB2A76">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3C45">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7430D76" w14:textId="7A30D8C1" w:rsidR="00EB2A76" w:rsidRDefault="00EB2A7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sdtContent>
    </w:sdt>
    <w:p w14:paraId="101C7D6D" w14:textId="77777777" w:rsidR="00305071" w:rsidRDefault="00305071"/>
    <w:p w14:paraId="37DADA95" w14:textId="77777777" w:rsidR="00305071" w:rsidRDefault="00305071"/>
    <w:p w14:paraId="3FF646BA" w14:textId="77777777" w:rsidR="00305071" w:rsidRDefault="00305071"/>
    <w:p w14:paraId="49740CCA" w14:textId="77777777" w:rsidR="00305071" w:rsidRDefault="00305071"/>
    <w:p w14:paraId="2D502B82" w14:textId="77777777" w:rsidR="00305071" w:rsidRDefault="00305071"/>
    <w:p w14:paraId="1BA9DB83" w14:textId="77777777" w:rsidR="00305071" w:rsidRDefault="00305071"/>
    <w:p w14:paraId="4AA581BD" w14:textId="05B6F6D2" w:rsidR="00305071" w:rsidRDefault="00305071"/>
    <w:p w14:paraId="57277708" w14:textId="200E5635" w:rsidR="00755646" w:rsidRDefault="00755646"/>
    <w:p w14:paraId="610E0319" w14:textId="7199B9BC" w:rsidR="00755646" w:rsidRDefault="00755646"/>
    <w:p w14:paraId="31775177" w14:textId="497D18EC" w:rsidR="00755646" w:rsidRDefault="00755646"/>
    <w:p w14:paraId="5F31F5A4" w14:textId="1AA9819A" w:rsidR="00755646" w:rsidRDefault="00755646"/>
    <w:p w14:paraId="73DDAF6F" w14:textId="1AA021E6" w:rsidR="00755646" w:rsidRDefault="00755646"/>
    <w:p w14:paraId="0C412FAD" w14:textId="3BCEBF63" w:rsidR="00755646" w:rsidRDefault="00755646"/>
    <w:p w14:paraId="05911402" w14:textId="29B93871" w:rsidR="00755646" w:rsidRDefault="00755646"/>
    <w:p w14:paraId="41B704DE" w14:textId="25428CDF" w:rsidR="00755646" w:rsidRDefault="00755646"/>
    <w:p w14:paraId="052300C9" w14:textId="2AE1D438" w:rsidR="00755646" w:rsidRDefault="00755646"/>
    <w:p w14:paraId="349740D6" w14:textId="299F1913" w:rsidR="00755646" w:rsidRDefault="00755646"/>
    <w:p w14:paraId="5791C4BE" w14:textId="0E359ADF" w:rsidR="00755646" w:rsidRDefault="00755646"/>
    <w:p w14:paraId="069EBA30" w14:textId="2A745FA9" w:rsidR="00CD3BF4" w:rsidRDefault="00CD3BF4" w:rsidP="00CE2113">
      <w:pPr>
        <w:pStyle w:val="Heading1"/>
      </w:pPr>
      <w:bookmarkStart w:id="0" w:name="_Toc128484295"/>
      <w:r>
        <w:t>Introduction</w:t>
      </w:r>
      <w:bookmarkEnd w:id="0"/>
      <w:r>
        <w:t xml:space="preserve"> </w:t>
      </w:r>
    </w:p>
    <w:p w14:paraId="018310DE" w14:textId="58402B07" w:rsidR="00CE2113" w:rsidRDefault="00CE2113"/>
    <w:p w14:paraId="196B37DC" w14:textId="00A26337" w:rsidR="001B36DF" w:rsidRDefault="001B36DF" w:rsidP="001B36DF">
      <w:pPr>
        <w:spacing w:line="360" w:lineRule="auto"/>
        <w:jc w:val="both"/>
      </w:pPr>
      <w:r>
        <w:t>Historically, across NHS Wales, medicines management relied on paper-based processes, utilising the Inpatient Medication Administration Record</w:t>
      </w:r>
      <w:r w:rsidR="002F434C">
        <w:t xml:space="preserve"> (appendix 1)</w:t>
      </w:r>
      <w:r>
        <w:t>, which was developed in collaboration with the All-Wales Chief Pharmacist Committee. Evidence suggests</w:t>
      </w:r>
      <w:r w:rsidR="0012593D">
        <w:t xml:space="preserve"> a plethora </w:t>
      </w:r>
      <w:r w:rsidR="0012593D">
        <w:lastRenderedPageBreak/>
        <w:t>of</w:t>
      </w:r>
      <w:r>
        <w:t xml:space="preserve"> problems associated with the paper-based medicines management process (Welsh Government, 2018; Vaghasiya </w:t>
      </w:r>
      <w:r w:rsidRPr="00DB3DAA">
        <w:rPr>
          <w:i/>
          <w:iCs/>
        </w:rPr>
        <w:t>et al</w:t>
      </w:r>
      <w:r>
        <w:t xml:space="preserve">. 2021; Austin </w:t>
      </w:r>
      <w:r w:rsidRPr="00DB3DAA">
        <w:rPr>
          <w:i/>
          <w:iCs/>
        </w:rPr>
        <w:t>et al</w:t>
      </w:r>
      <w:r>
        <w:t>. 2018), including medication errors, illegible handwriting, and missing medication records. The root cause analysis (RCA) using Ishikawa’s fishbone diagram (Figure</w:t>
      </w:r>
      <w:r>
        <w:t xml:space="preserve"> 1) offers</w:t>
      </w:r>
      <w:r>
        <w:t xml:space="preserve"> a more detailed </w:t>
      </w:r>
      <w:r>
        <w:t>a</w:t>
      </w:r>
      <w:r>
        <w:t xml:space="preserve">nalysis of the </w:t>
      </w:r>
      <w:r w:rsidR="002F434C">
        <w:t xml:space="preserve">potential causes and contributing </w:t>
      </w:r>
      <w:r>
        <w:t>factors that</w:t>
      </w:r>
      <w:r w:rsidR="002F434C">
        <w:t xml:space="preserve"> may </w:t>
      </w:r>
      <w:r>
        <w:t xml:space="preserve">compromise patient safety. </w:t>
      </w:r>
    </w:p>
    <w:p w14:paraId="414ABE9A" w14:textId="77777777" w:rsidR="001B36DF" w:rsidRDefault="001B36DF" w:rsidP="001B36DF">
      <w:pPr>
        <w:spacing w:line="360" w:lineRule="auto"/>
        <w:jc w:val="both"/>
      </w:pPr>
    </w:p>
    <w:p w14:paraId="6E14E35B" w14:textId="77777777" w:rsidR="001F7B33" w:rsidRDefault="001B36DF" w:rsidP="001F7B33">
      <w:pPr>
        <w:keepNext/>
        <w:spacing w:line="360" w:lineRule="auto"/>
        <w:jc w:val="both"/>
      </w:pPr>
      <w:r>
        <w:rPr>
          <w:noProof/>
        </w:rPr>
        <w:drawing>
          <wp:inline distT="0" distB="0" distL="0" distR="0" wp14:anchorId="05FD5D17" wp14:editId="63E8EE3B">
            <wp:extent cx="5731510" cy="3041650"/>
            <wp:effectExtent l="0" t="0" r="0" b="635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9"/>
                    <a:stretch>
                      <a:fillRect/>
                    </a:stretch>
                  </pic:blipFill>
                  <pic:spPr>
                    <a:xfrm>
                      <a:off x="0" y="0"/>
                      <a:ext cx="5731510" cy="3041650"/>
                    </a:xfrm>
                    <a:prstGeom prst="rect">
                      <a:avLst/>
                    </a:prstGeom>
                  </pic:spPr>
                </pic:pic>
              </a:graphicData>
            </a:graphic>
          </wp:inline>
        </w:drawing>
      </w:r>
    </w:p>
    <w:p w14:paraId="6B7EDEF4" w14:textId="70051335" w:rsidR="001B36DF" w:rsidRPr="001F7B33" w:rsidRDefault="001F7B33" w:rsidP="001F7B33">
      <w:pPr>
        <w:pStyle w:val="Caption"/>
        <w:jc w:val="both"/>
        <w:rPr>
          <w:sz w:val="22"/>
          <w:szCs w:val="22"/>
        </w:rPr>
      </w:pPr>
      <w:bookmarkStart w:id="1" w:name="_Toc128735614"/>
      <w:r w:rsidRPr="001F7B33">
        <w:rPr>
          <w:sz w:val="22"/>
          <w:szCs w:val="22"/>
        </w:rPr>
        <w:t xml:space="preserve">Figure </w:t>
      </w:r>
      <w:r w:rsidRPr="001F7B33">
        <w:rPr>
          <w:sz w:val="22"/>
          <w:szCs w:val="22"/>
        </w:rPr>
        <w:fldChar w:fldCharType="begin"/>
      </w:r>
      <w:r w:rsidRPr="001F7B33">
        <w:rPr>
          <w:sz w:val="22"/>
          <w:szCs w:val="22"/>
        </w:rPr>
        <w:instrText xml:space="preserve"> SEQ Figure \* ARABIC </w:instrText>
      </w:r>
      <w:r w:rsidRPr="001F7B33">
        <w:rPr>
          <w:sz w:val="22"/>
          <w:szCs w:val="22"/>
        </w:rPr>
        <w:fldChar w:fldCharType="separate"/>
      </w:r>
      <w:r w:rsidRPr="001F7B33">
        <w:rPr>
          <w:noProof/>
          <w:sz w:val="22"/>
          <w:szCs w:val="22"/>
        </w:rPr>
        <w:t>1</w:t>
      </w:r>
      <w:r w:rsidRPr="001F7B33">
        <w:rPr>
          <w:sz w:val="22"/>
          <w:szCs w:val="22"/>
        </w:rPr>
        <w:fldChar w:fldCharType="end"/>
      </w:r>
      <w:r w:rsidRPr="001F7B33">
        <w:rPr>
          <w:sz w:val="22"/>
          <w:szCs w:val="22"/>
        </w:rPr>
        <w:t>. Figure 1. Fishbone diagram developed by Karou Ishikawa (1960), RCA of factors contributing to compromised patient safety.</w:t>
      </w:r>
      <w:bookmarkEnd w:id="1"/>
    </w:p>
    <w:p w14:paraId="004D4DDE" w14:textId="30B0EEE1" w:rsidR="002F434C" w:rsidRDefault="002F434C" w:rsidP="002F434C"/>
    <w:p w14:paraId="0EC8EE2E" w14:textId="3B3BA633" w:rsidR="002F434C" w:rsidRPr="002F434C" w:rsidRDefault="002F434C" w:rsidP="007346A9">
      <w:pPr>
        <w:spacing w:line="360" w:lineRule="auto"/>
        <w:jc w:val="both"/>
      </w:pPr>
      <w:r>
        <w:t xml:space="preserve">By successfully implementing a software product to digitalise the medicines management process, many benefits could </w:t>
      </w:r>
      <w:r w:rsidR="007346A9">
        <w:t xml:space="preserve">be realised (Welsh Government, 2018), including improved efficiency, workflow and patient safety will be enhanced by removing paper-based processes, contributing to the provision of seamless patient care. </w:t>
      </w:r>
    </w:p>
    <w:p w14:paraId="4FCAB0A1" w14:textId="70C4F8B7" w:rsidR="001B36DF" w:rsidRDefault="001B36DF" w:rsidP="001B36DF">
      <w:pPr>
        <w:spacing w:line="360" w:lineRule="auto"/>
        <w:jc w:val="both"/>
      </w:pPr>
    </w:p>
    <w:p w14:paraId="4F86661D" w14:textId="77777777" w:rsidR="0012593D" w:rsidRDefault="0012593D" w:rsidP="001B36DF">
      <w:pPr>
        <w:spacing w:line="360" w:lineRule="auto"/>
        <w:jc w:val="both"/>
      </w:pPr>
    </w:p>
    <w:p w14:paraId="27C303FD" w14:textId="59814897" w:rsidR="001B36DF" w:rsidRDefault="001B36DF" w:rsidP="001B36DF">
      <w:pPr>
        <w:spacing w:line="360" w:lineRule="auto"/>
        <w:jc w:val="both"/>
      </w:pPr>
      <w:r>
        <w:t xml:space="preserve">For this assignment, a software product adopted by Swansea Bay University Health Board (SBUHB) will be critically analysed. The software product is the electronic Prescription and Medication Administration (ePMA) system. The functionality, benefits, and limitations of the ePMA system will form part of the critical analysis using the Fit between Individual, Task and Technology (FITT) framework. </w:t>
      </w:r>
    </w:p>
    <w:p w14:paraId="147E8C06" w14:textId="77777777" w:rsidR="009C3418" w:rsidRDefault="009C3418" w:rsidP="00B17F65">
      <w:pPr>
        <w:pStyle w:val="Heading2"/>
      </w:pPr>
    </w:p>
    <w:p w14:paraId="1DA87BD2" w14:textId="287E6893" w:rsidR="001E0E6E" w:rsidRDefault="001E0E6E" w:rsidP="00B17F65">
      <w:pPr>
        <w:pStyle w:val="Heading2"/>
      </w:pPr>
      <w:bookmarkStart w:id="2" w:name="_Toc128484296"/>
      <w:r>
        <w:t>Service Context</w:t>
      </w:r>
      <w:bookmarkEnd w:id="2"/>
      <w:r>
        <w:t xml:space="preserve"> </w:t>
      </w:r>
    </w:p>
    <w:p w14:paraId="2E296D95" w14:textId="3ECDE744" w:rsidR="001810AB" w:rsidRDefault="001810AB" w:rsidP="001E0E6E">
      <w:pPr>
        <w:spacing w:line="360" w:lineRule="auto"/>
        <w:jc w:val="both"/>
      </w:pPr>
      <w:r>
        <w:t>SBUH</w:t>
      </w:r>
      <w:r w:rsidR="00CD2C42">
        <w:t>B</w:t>
      </w:r>
      <w:r>
        <w:t xml:space="preserve"> is part of NHS Wales</w:t>
      </w:r>
      <w:r w:rsidR="00B741F3">
        <w:t xml:space="preserve"> and </w:t>
      </w:r>
      <w:r>
        <w:t xml:space="preserve">serves around 390,000 people in the Neath, Port </w:t>
      </w:r>
      <w:r w:rsidR="005F67E2">
        <w:t>Talbot,</w:t>
      </w:r>
      <w:r>
        <w:t xml:space="preserve"> and Swansea areas, as illustrated in Figure </w:t>
      </w:r>
      <w:r w:rsidR="008E23CA">
        <w:t>2</w:t>
      </w:r>
      <w:r>
        <w:t>.</w:t>
      </w:r>
      <w:r w:rsidR="00811E71">
        <w:t xml:space="preserve"> </w:t>
      </w:r>
      <w:r>
        <w:t>With a budget of approximately £1bn</w:t>
      </w:r>
      <w:r w:rsidR="004C646D">
        <w:t>,</w:t>
      </w:r>
      <w:r>
        <w:t xml:space="preserve"> they employ around 12,500 staff within their hierarchical structure, 70</w:t>
      </w:r>
      <w:r w:rsidR="005F67E2">
        <w:t>% of</w:t>
      </w:r>
      <w:r w:rsidR="00057C21">
        <w:t xml:space="preserve"> whom are </w:t>
      </w:r>
      <w:r>
        <w:t xml:space="preserve">directly involved in patient care. </w:t>
      </w:r>
    </w:p>
    <w:p w14:paraId="4E983D47" w14:textId="77777777" w:rsidR="002F2B60" w:rsidRDefault="002F2B60" w:rsidP="001810AB">
      <w:pPr>
        <w:spacing w:line="360" w:lineRule="auto"/>
        <w:jc w:val="both"/>
      </w:pPr>
    </w:p>
    <w:p w14:paraId="64BDC792" w14:textId="77777777" w:rsidR="00DD408F" w:rsidRDefault="001810AB" w:rsidP="00DD408F">
      <w:pPr>
        <w:keepNext/>
        <w:spacing w:line="360" w:lineRule="auto"/>
        <w:jc w:val="center"/>
      </w:pPr>
      <w:r w:rsidRPr="00B42C77">
        <w:rPr>
          <w:noProof/>
        </w:rPr>
        <w:drawing>
          <wp:inline distT="0" distB="0" distL="0" distR="0" wp14:anchorId="67340349" wp14:editId="516F071F">
            <wp:extent cx="2459990" cy="2937510"/>
            <wp:effectExtent l="0" t="0" r="381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59990" cy="2937510"/>
                    </a:xfrm>
                    <a:prstGeom prst="rect">
                      <a:avLst/>
                    </a:prstGeom>
                  </pic:spPr>
                </pic:pic>
              </a:graphicData>
            </a:graphic>
          </wp:inline>
        </w:drawing>
      </w:r>
    </w:p>
    <w:p w14:paraId="46E20058" w14:textId="0B3A1B46" w:rsidR="001810AB" w:rsidRPr="004E6E7C" w:rsidRDefault="00DD408F" w:rsidP="00DD408F">
      <w:pPr>
        <w:pStyle w:val="Caption"/>
        <w:jc w:val="center"/>
        <w:rPr>
          <w:sz w:val="22"/>
          <w:szCs w:val="22"/>
        </w:rPr>
      </w:pPr>
      <w:r w:rsidRPr="004E6E7C">
        <w:rPr>
          <w:sz w:val="22"/>
          <w:szCs w:val="22"/>
        </w:rPr>
        <w:t xml:space="preserve">Figure </w:t>
      </w:r>
      <w:r w:rsidR="008E23CA">
        <w:rPr>
          <w:sz w:val="22"/>
          <w:szCs w:val="22"/>
        </w:rPr>
        <w:t>2</w:t>
      </w:r>
      <w:r w:rsidRPr="004E6E7C">
        <w:rPr>
          <w:sz w:val="22"/>
          <w:szCs w:val="22"/>
        </w:rPr>
        <w:t xml:space="preserve">. </w:t>
      </w:r>
      <w:r w:rsidR="00B741F3">
        <w:rPr>
          <w:sz w:val="22"/>
          <w:szCs w:val="22"/>
        </w:rPr>
        <w:t>T</w:t>
      </w:r>
      <w:r w:rsidRPr="004E6E7C">
        <w:rPr>
          <w:sz w:val="22"/>
          <w:szCs w:val="22"/>
        </w:rPr>
        <w:t xml:space="preserve">he service area of </w:t>
      </w:r>
      <w:r w:rsidR="004E6E7C" w:rsidRPr="004E6E7C">
        <w:rPr>
          <w:sz w:val="22"/>
          <w:szCs w:val="22"/>
        </w:rPr>
        <w:t>Swansea</w:t>
      </w:r>
      <w:r w:rsidRPr="004E6E7C">
        <w:rPr>
          <w:sz w:val="22"/>
          <w:szCs w:val="22"/>
        </w:rPr>
        <w:t xml:space="preserve"> Bay University Health Board</w:t>
      </w:r>
    </w:p>
    <w:p w14:paraId="5C323347" w14:textId="77777777" w:rsidR="001810AB" w:rsidRDefault="001810AB" w:rsidP="001E0E6E">
      <w:pPr>
        <w:spacing w:line="360" w:lineRule="auto"/>
        <w:jc w:val="both"/>
      </w:pPr>
    </w:p>
    <w:p w14:paraId="6CFEA410" w14:textId="1F4F53BE" w:rsidR="00FA21E1" w:rsidRDefault="0004239D" w:rsidP="001E0E6E">
      <w:pPr>
        <w:spacing w:line="360" w:lineRule="auto"/>
        <w:jc w:val="both"/>
      </w:pPr>
      <w:r>
        <w:t>Within SBUHB are three major District General Hospitals (DGH), including Morriston Hospital, located in Swansea, a regional acute tertiary hospital comprising 750 beds, offering a range of specialist services</w:t>
      </w:r>
      <w:r w:rsidR="005A3242">
        <w:t>. Singleton</w:t>
      </w:r>
      <w:r>
        <w:t xml:space="preserve"> a </w:t>
      </w:r>
      <w:r w:rsidR="001B36DF">
        <w:t xml:space="preserve">DGH </w:t>
      </w:r>
      <w:r>
        <w:t xml:space="preserve">comprising approximately 330 inpatient beds and provides </w:t>
      </w:r>
      <w:r w:rsidR="002B6F5D">
        <w:t>various</w:t>
      </w:r>
      <w:r w:rsidR="004E6E7C">
        <w:t xml:space="preserve"> medical</w:t>
      </w:r>
      <w:r w:rsidR="0002379C">
        <w:t>,</w:t>
      </w:r>
      <w:r w:rsidR="004E6E7C">
        <w:t xml:space="preserve"> surgical</w:t>
      </w:r>
      <w:r w:rsidR="0002379C">
        <w:t>, inpatient and outpatient</w:t>
      </w:r>
      <w:r>
        <w:t xml:space="preserve"> services</w:t>
      </w:r>
      <w:r w:rsidR="00B741F3">
        <w:t xml:space="preserve"> </w:t>
      </w:r>
      <w:r w:rsidR="007B492D">
        <w:t>and Neath</w:t>
      </w:r>
      <w:r>
        <w:t xml:space="preserve"> Port Talbot hospital</w:t>
      </w:r>
      <w:r w:rsidR="00FA5E6B">
        <w:t xml:space="preserve"> (NPTH)</w:t>
      </w:r>
      <w:r>
        <w:t xml:space="preserve"> </w:t>
      </w:r>
      <w:r w:rsidR="003959F0">
        <w:t>i</w:t>
      </w:r>
      <w:r>
        <w:t xml:space="preserve">n Port Talbot </w:t>
      </w:r>
      <w:r w:rsidR="00B741F3">
        <w:t>which</w:t>
      </w:r>
      <w:r>
        <w:t xml:space="preserve"> has around 200 beds, providing a range of inpatient, outpatient, and day services. </w:t>
      </w:r>
    </w:p>
    <w:p w14:paraId="1FD217CB" w14:textId="77777777" w:rsidR="00FA21E1" w:rsidRDefault="00FA21E1" w:rsidP="001E0E6E">
      <w:pPr>
        <w:spacing w:line="360" w:lineRule="auto"/>
        <w:jc w:val="both"/>
      </w:pPr>
    </w:p>
    <w:p w14:paraId="2B8127A1" w14:textId="0518052C" w:rsidR="007F5CE3" w:rsidRDefault="001314DC" w:rsidP="00B17F65">
      <w:pPr>
        <w:spacing w:line="360" w:lineRule="auto"/>
        <w:jc w:val="both"/>
      </w:pPr>
      <w:r>
        <w:t xml:space="preserve">In NPTH and Singleton, </w:t>
      </w:r>
      <w:r w:rsidR="007749FB">
        <w:t>3,942</w:t>
      </w:r>
      <w:r w:rsidR="002B6F5D">
        <w:t xml:space="preserve"> patients</w:t>
      </w:r>
      <w:r>
        <w:t xml:space="preserve"> are admitted </w:t>
      </w:r>
      <w:r w:rsidR="002B6F5D">
        <w:t>annually</w:t>
      </w:r>
      <w:r w:rsidR="007749FB">
        <w:t xml:space="preserve">, and virtually all </w:t>
      </w:r>
      <w:r w:rsidR="002B6F5D">
        <w:t>patients</w:t>
      </w:r>
      <w:r w:rsidR="007749FB">
        <w:t xml:space="preserve"> </w:t>
      </w:r>
      <w:r w:rsidR="002B6F5D">
        <w:t>have</w:t>
      </w:r>
      <w:r w:rsidR="007749FB">
        <w:t xml:space="preserve"> one or more </w:t>
      </w:r>
      <w:r w:rsidR="0002379C">
        <w:t>medications</w:t>
      </w:r>
      <w:r w:rsidR="002B6F5D">
        <w:t xml:space="preserve"> prescribed</w:t>
      </w:r>
      <w:r w:rsidR="007749FB">
        <w:t xml:space="preserve"> (Connelly and Cotterell, 2019)</w:t>
      </w:r>
      <w:r w:rsidR="002B6F5D">
        <w:t xml:space="preserve">, </w:t>
      </w:r>
      <w:r w:rsidR="007749FB">
        <w:t>equat</w:t>
      </w:r>
      <w:r w:rsidR="002B6F5D">
        <w:t>ing</w:t>
      </w:r>
      <w:r w:rsidR="007749FB">
        <w:t xml:space="preserve"> to 121,921 individual medications and 1,245,673 medication doses administered by registered nurses </w:t>
      </w:r>
      <w:r w:rsidR="004E6E7C">
        <w:t xml:space="preserve">annually </w:t>
      </w:r>
      <w:r w:rsidR="00EA5663">
        <w:t>(Thomas,</w:t>
      </w:r>
      <w:r w:rsidR="005D62EA">
        <w:t xml:space="preserve"> </w:t>
      </w:r>
      <w:r w:rsidR="00EA5663">
        <w:t>2022).</w:t>
      </w:r>
      <w:r w:rsidR="007749FB">
        <w:t xml:space="preserve"> </w:t>
      </w:r>
      <w:r w:rsidR="0004239D" w:rsidRPr="00A83F6C">
        <w:t>A multidisciplinary team</w:t>
      </w:r>
      <w:r w:rsidR="007027FB" w:rsidRPr="00A83F6C">
        <w:t xml:space="preserve"> </w:t>
      </w:r>
      <w:r w:rsidR="0004239D" w:rsidRPr="00A83F6C">
        <w:t>support the holistic care and treatment of the patients admitted to the inpatient wards.</w:t>
      </w:r>
      <w:r w:rsidR="00811E71" w:rsidRPr="00A83F6C">
        <w:t xml:space="preserve"> </w:t>
      </w:r>
      <w:r w:rsidR="0004239D" w:rsidRPr="00A83F6C">
        <w:t xml:space="preserve">As a result, several healthcare professionals </w:t>
      </w:r>
      <w:r w:rsidR="0004239D" w:rsidRPr="00A83F6C">
        <w:lastRenderedPageBreak/>
        <w:t>may simultaneously need access to the paper medication record.</w:t>
      </w:r>
      <w:r w:rsidR="00811E71" w:rsidRPr="00A83F6C">
        <w:t xml:space="preserve"> </w:t>
      </w:r>
      <w:r w:rsidR="007027FB" w:rsidRPr="00A83F6C">
        <w:t>Therefore, m</w:t>
      </w:r>
      <w:r w:rsidR="004C646D" w:rsidRPr="00A83F6C">
        <w:t>edication errors are likely to occur with</w:t>
      </w:r>
      <w:r w:rsidR="0004239D" w:rsidRPr="00A83F6C">
        <w:t xml:space="preserve"> multiple people involved, including omission or delayed </w:t>
      </w:r>
      <w:r w:rsidR="004C646D" w:rsidRPr="00A83F6C">
        <w:t>medication administration</w:t>
      </w:r>
      <w:r w:rsidR="007027FB" w:rsidRPr="00A83F6C">
        <w:t xml:space="preserve"> when t</w:t>
      </w:r>
      <w:r w:rsidR="004C646D" w:rsidRPr="00A83F6C">
        <w:t>he</w:t>
      </w:r>
      <w:r w:rsidR="0004239D" w:rsidRPr="00A83F6C">
        <w:t xml:space="preserve"> chart is </w:t>
      </w:r>
      <w:r w:rsidR="004C646D" w:rsidRPr="00A83F6C">
        <w:t>unavailable</w:t>
      </w:r>
      <w:r w:rsidR="0004239D" w:rsidRPr="00A83F6C">
        <w:t xml:space="preserve"> to the registered nurse </w:t>
      </w:r>
      <w:r w:rsidR="007027FB" w:rsidRPr="00A83F6C">
        <w:t xml:space="preserve">during scheduled medication rounds </w:t>
      </w:r>
      <w:r w:rsidR="0004239D" w:rsidRPr="00A83F6C">
        <w:t>or when a patient requires additional medicines.</w:t>
      </w:r>
      <w:r w:rsidR="00811E71">
        <w:t xml:space="preserve"> </w:t>
      </w:r>
      <w:r w:rsidR="0004239D">
        <w:t>Medication errors have the potential to be severe or critical.</w:t>
      </w:r>
      <w:r w:rsidR="00811E71">
        <w:t xml:space="preserve"> </w:t>
      </w:r>
      <w:r w:rsidR="0004239D">
        <w:t>In 2010, there were over 300,000 hospital-based medication errors in Wales, 6</w:t>
      </w:r>
      <w:r w:rsidR="00B741F3">
        <w:t>,</w:t>
      </w:r>
      <w:r w:rsidR="0004239D">
        <w:t xml:space="preserve">000 of which would have caused severe harm (Connelly and Cotterell, 2019). </w:t>
      </w:r>
    </w:p>
    <w:p w14:paraId="4685410A" w14:textId="77777777" w:rsidR="00A83F6C" w:rsidRDefault="00A83F6C" w:rsidP="00A83F6C">
      <w:pPr>
        <w:spacing w:line="360" w:lineRule="auto"/>
        <w:jc w:val="both"/>
      </w:pPr>
    </w:p>
    <w:p w14:paraId="40D18EC6" w14:textId="56CA500B" w:rsidR="00A83F6C" w:rsidRDefault="00A83F6C" w:rsidP="00A83F6C">
      <w:pPr>
        <w:spacing w:line="360" w:lineRule="auto"/>
        <w:jc w:val="both"/>
      </w:pPr>
      <w:r>
        <w:t>In 2017, Abertawe Bro Morgannwg University Health Board (ABMUHB), the predecessor of Swansea Bay University Health Board (SBUHB), proposed to digitalise the medicines management process by replacing the paper-based Inpatient Medication Administration Record</w:t>
      </w:r>
      <w:r w:rsidR="004E6E7C">
        <w:t xml:space="preserve"> </w:t>
      </w:r>
      <w:r>
        <w:t xml:space="preserve">with an electronic Prescribing and Medicines Administration (ePMA) system. </w:t>
      </w:r>
    </w:p>
    <w:p w14:paraId="446219FA" w14:textId="5A05AAC7" w:rsidR="00A83F6C" w:rsidRDefault="00A83F6C" w:rsidP="001E0E6E">
      <w:pPr>
        <w:spacing w:line="360" w:lineRule="auto"/>
        <w:jc w:val="both"/>
      </w:pPr>
      <w:r>
        <w:t xml:space="preserve">Upon approval of the proposal by the Welsh Government, £954,000 of funding was provided to NPTH and Singleton to implement ePMA. SBUHB is expected to serve as a pathfinder for implementing national systems across NHS </w:t>
      </w:r>
      <w:r w:rsidR="000739AF">
        <w:t>Wales’s</w:t>
      </w:r>
      <w:r>
        <w:t xml:space="preserve"> remaining health boards and trusts.</w:t>
      </w:r>
    </w:p>
    <w:p w14:paraId="3613153C" w14:textId="77777777" w:rsidR="00A83F6C" w:rsidRDefault="00A83F6C" w:rsidP="001E0E6E">
      <w:pPr>
        <w:spacing w:line="360" w:lineRule="auto"/>
        <w:jc w:val="both"/>
      </w:pPr>
    </w:p>
    <w:p w14:paraId="73CA231F" w14:textId="3877787C" w:rsidR="001E0E6E" w:rsidRDefault="001E0E6E" w:rsidP="001E0E6E">
      <w:pPr>
        <w:spacing w:line="360" w:lineRule="auto"/>
        <w:jc w:val="both"/>
      </w:pPr>
      <w:r>
        <w:t xml:space="preserve">On the </w:t>
      </w:r>
      <w:proofErr w:type="gramStart"/>
      <w:r>
        <w:t>11</w:t>
      </w:r>
      <w:r w:rsidRPr="007F5CE3">
        <w:rPr>
          <w:vertAlign w:val="superscript"/>
        </w:rPr>
        <w:t>th</w:t>
      </w:r>
      <w:proofErr w:type="gramEnd"/>
      <w:r w:rsidR="007F5CE3">
        <w:t xml:space="preserve"> </w:t>
      </w:r>
      <w:r>
        <w:t>February 2020, after years of research and preparation, the hospital electronic prescribing and medicines administration</w:t>
      </w:r>
      <w:r w:rsidR="007F5CE3">
        <w:t xml:space="preserve"> </w:t>
      </w:r>
      <w:r>
        <w:t xml:space="preserve">(ePMA) system </w:t>
      </w:r>
      <w:r w:rsidR="00DA007E">
        <w:t>was procured and</w:t>
      </w:r>
      <w:r>
        <w:t xml:space="preserve"> introduced</w:t>
      </w:r>
      <w:r w:rsidR="00490304">
        <w:t xml:space="preserve"> for the first time</w:t>
      </w:r>
      <w:r>
        <w:t xml:space="preserve"> in a hospital in NHS Wales, replacing the Inpatient Medication Administration Record on </w:t>
      </w:r>
      <w:r w:rsidR="00B741F3">
        <w:t xml:space="preserve">one </w:t>
      </w:r>
      <w:r w:rsidR="00B4221D">
        <w:t>ward at</w:t>
      </w:r>
      <w:r>
        <w:t xml:space="preserve"> </w:t>
      </w:r>
      <w:r w:rsidR="00FA5E6B">
        <w:t>NPTH</w:t>
      </w:r>
      <w:r>
        <w:t>.</w:t>
      </w:r>
      <w:r w:rsidR="00811E71">
        <w:t xml:space="preserve"> </w:t>
      </w:r>
      <w:r>
        <w:t xml:space="preserve">A phased adoption continued throughout 2020-2021, as illustrated in figure </w:t>
      </w:r>
      <w:r w:rsidR="003216B6">
        <w:t>3</w:t>
      </w:r>
      <w:r>
        <w:t xml:space="preserve">. </w:t>
      </w:r>
    </w:p>
    <w:p w14:paraId="249960A8" w14:textId="41D1E35C" w:rsidR="007F5CE3" w:rsidRDefault="007F5CE3" w:rsidP="001E0E6E">
      <w:pPr>
        <w:spacing w:line="360" w:lineRule="auto"/>
        <w:jc w:val="both"/>
      </w:pPr>
    </w:p>
    <w:p w14:paraId="2C0C161B" w14:textId="4EB48640" w:rsidR="00B4221D" w:rsidRDefault="00B4221D" w:rsidP="001E0E6E">
      <w:pPr>
        <w:spacing w:line="360" w:lineRule="auto"/>
        <w:jc w:val="both"/>
      </w:pPr>
    </w:p>
    <w:p w14:paraId="7E8F236E" w14:textId="544F3F87" w:rsidR="003216B6" w:rsidRDefault="003216B6" w:rsidP="001E0E6E">
      <w:pPr>
        <w:spacing w:line="360" w:lineRule="auto"/>
        <w:jc w:val="both"/>
      </w:pPr>
    </w:p>
    <w:p w14:paraId="7F44EE96" w14:textId="1281FAD0" w:rsidR="003216B6" w:rsidRDefault="003216B6" w:rsidP="001E0E6E">
      <w:pPr>
        <w:spacing w:line="360" w:lineRule="auto"/>
        <w:jc w:val="both"/>
      </w:pPr>
    </w:p>
    <w:p w14:paraId="1F7FBD07" w14:textId="0283899E" w:rsidR="003216B6" w:rsidRDefault="003216B6" w:rsidP="001E0E6E">
      <w:pPr>
        <w:spacing w:line="360" w:lineRule="auto"/>
        <w:jc w:val="both"/>
      </w:pPr>
    </w:p>
    <w:p w14:paraId="0B431E3C" w14:textId="77777777" w:rsidR="003216B6" w:rsidRDefault="003216B6" w:rsidP="001E0E6E">
      <w:pPr>
        <w:spacing w:line="360" w:lineRule="auto"/>
        <w:jc w:val="both"/>
      </w:pPr>
    </w:p>
    <w:p w14:paraId="4C8966ED" w14:textId="32F3D163" w:rsidR="00490304" w:rsidRDefault="00490304" w:rsidP="00490304">
      <w:pPr>
        <w:spacing w:line="360" w:lineRule="auto"/>
        <w:jc w:val="both"/>
      </w:pPr>
      <w:r>
        <w:t xml:space="preserve">Figure </w:t>
      </w:r>
      <w:r w:rsidR="003216B6">
        <w:t>3</w:t>
      </w:r>
      <w:r>
        <w:t>.</w:t>
      </w:r>
      <w:r w:rsidR="00811E71">
        <w:t xml:space="preserve"> </w:t>
      </w:r>
      <w:r>
        <w:t>Showing phased implementation of ePMA software across:</w:t>
      </w:r>
    </w:p>
    <w:p w14:paraId="4E3E78D3" w14:textId="77777777" w:rsidR="00490304" w:rsidRDefault="00490304" w:rsidP="00490304">
      <w:pPr>
        <w:spacing w:line="360" w:lineRule="auto"/>
        <w:jc w:val="both"/>
      </w:pPr>
      <w:r>
        <w:t xml:space="preserve"> Neath Port Talbot Hospital  </w:t>
      </w:r>
    </w:p>
    <w:p w14:paraId="4DAE119D" w14:textId="77777777" w:rsidR="00490304" w:rsidRDefault="00490304" w:rsidP="00490304">
      <w:pPr>
        <w:spacing w:line="360" w:lineRule="auto"/>
        <w:jc w:val="both"/>
      </w:pPr>
    </w:p>
    <w:p w14:paraId="29E6A182" w14:textId="77777777" w:rsidR="00490304" w:rsidRDefault="00490304" w:rsidP="00490304">
      <w:pPr>
        <w:spacing w:line="360" w:lineRule="auto"/>
        <w:jc w:val="center"/>
      </w:pPr>
      <w:r w:rsidRPr="00053606">
        <w:rPr>
          <w:noProof/>
        </w:rPr>
        <w:lastRenderedPageBreak/>
        <w:drawing>
          <wp:inline distT="0" distB="0" distL="0" distR="0" wp14:anchorId="08C8B11B" wp14:editId="163F161A">
            <wp:extent cx="3064476" cy="1177858"/>
            <wp:effectExtent l="0" t="0" r="0" b="381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1"/>
                    <a:stretch>
                      <a:fillRect/>
                    </a:stretch>
                  </pic:blipFill>
                  <pic:spPr>
                    <a:xfrm>
                      <a:off x="0" y="0"/>
                      <a:ext cx="3167601" cy="1217495"/>
                    </a:xfrm>
                    <a:prstGeom prst="rect">
                      <a:avLst/>
                    </a:prstGeom>
                  </pic:spPr>
                </pic:pic>
              </a:graphicData>
            </a:graphic>
          </wp:inline>
        </w:drawing>
      </w:r>
    </w:p>
    <w:p w14:paraId="0FCEBA2B" w14:textId="2B1DC5E7" w:rsidR="00490304" w:rsidRDefault="007F5CE3" w:rsidP="00490304">
      <w:pPr>
        <w:spacing w:line="360" w:lineRule="auto"/>
      </w:pPr>
      <w:r>
        <w:t xml:space="preserve"> </w:t>
      </w:r>
      <w:r w:rsidR="00490304">
        <w:t>Singleton Hospital</w:t>
      </w:r>
    </w:p>
    <w:p w14:paraId="1B81DF9C" w14:textId="528F4E99" w:rsidR="00490304" w:rsidRDefault="00490304" w:rsidP="00490304">
      <w:pPr>
        <w:spacing w:line="360" w:lineRule="auto"/>
      </w:pPr>
    </w:p>
    <w:p w14:paraId="3E2C4ACB" w14:textId="77777777" w:rsidR="00DD408F" w:rsidRDefault="00490304" w:rsidP="00DD408F">
      <w:pPr>
        <w:keepNext/>
        <w:spacing w:line="360" w:lineRule="auto"/>
        <w:jc w:val="center"/>
      </w:pPr>
      <w:r w:rsidRPr="00053606">
        <w:rPr>
          <w:noProof/>
        </w:rPr>
        <w:drawing>
          <wp:inline distT="0" distB="0" distL="0" distR="0" wp14:anchorId="3A739002" wp14:editId="7E686507">
            <wp:extent cx="3188043" cy="2072005"/>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2"/>
                    <a:stretch>
                      <a:fillRect/>
                    </a:stretch>
                  </pic:blipFill>
                  <pic:spPr>
                    <a:xfrm>
                      <a:off x="0" y="0"/>
                      <a:ext cx="3188043" cy="2072005"/>
                    </a:xfrm>
                    <a:prstGeom prst="rect">
                      <a:avLst/>
                    </a:prstGeom>
                  </pic:spPr>
                </pic:pic>
              </a:graphicData>
            </a:graphic>
          </wp:inline>
        </w:drawing>
      </w:r>
    </w:p>
    <w:p w14:paraId="5EC72B95" w14:textId="6EBE209D" w:rsidR="00490304" w:rsidRPr="00110E34" w:rsidRDefault="00DD408F" w:rsidP="00DD408F">
      <w:pPr>
        <w:pStyle w:val="Caption"/>
        <w:jc w:val="center"/>
        <w:rPr>
          <w:sz w:val="22"/>
          <w:szCs w:val="22"/>
        </w:rPr>
      </w:pPr>
      <w:r w:rsidRPr="00110E34">
        <w:rPr>
          <w:sz w:val="22"/>
          <w:szCs w:val="22"/>
        </w:rPr>
        <w:t>Figure</w:t>
      </w:r>
      <w:r w:rsidR="003216B6">
        <w:rPr>
          <w:sz w:val="22"/>
          <w:szCs w:val="22"/>
        </w:rPr>
        <w:t xml:space="preserve"> 3</w:t>
      </w:r>
      <w:r w:rsidR="005339EE">
        <w:rPr>
          <w:noProof/>
          <w:sz w:val="22"/>
          <w:szCs w:val="22"/>
        </w:rPr>
        <w:t>.</w:t>
      </w:r>
      <w:r w:rsidRPr="00110E34">
        <w:rPr>
          <w:sz w:val="22"/>
          <w:szCs w:val="22"/>
        </w:rPr>
        <w:t xml:space="preserve"> Phased implementation of ePMA across NPTH and Singleton</w:t>
      </w:r>
    </w:p>
    <w:p w14:paraId="38E1BD3A" w14:textId="28B62998" w:rsidR="00EA6103" w:rsidRDefault="00EA6103" w:rsidP="007F5CE3">
      <w:pPr>
        <w:pStyle w:val="Heading2"/>
      </w:pPr>
    </w:p>
    <w:p w14:paraId="34AAF972" w14:textId="77777777" w:rsidR="00FA21E1" w:rsidRPr="00FA21E1" w:rsidRDefault="00FA21E1" w:rsidP="00FA21E1"/>
    <w:p w14:paraId="0DE69ACE" w14:textId="6E0F6EC0" w:rsidR="00EA6103" w:rsidRDefault="00EA6103" w:rsidP="00EA6103">
      <w:pPr>
        <w:pStyle w:val="Heading2"/>
      </w:pPr>
      <w:bookmarkStart w:id="3" w:name="_Toc128484297"/>
      <w:r>
        <w:t>Selected Team</w:t>
      </w:r>
      <w:bookmarkEnd w:id="3"/>
      <w:r>
        <w:t xml:space="preserve"> </w:t>
      </w:r>
    </w:p>
    <w:p w14:paraId="76EC7E58" w14:textId="57D485F3" w:rsidR="00EA6103" w:rsidRDefault="00EA6103" w:rsidP="00A83F6C">
      <w:pPr>
        <w:spacing w:line="360" w:lineRule="auto"/>
        <w:jc w:val="both"/>
      </w:pPr>
      <w:r>
        <w:t xml:space="preserve">NPTH comprises around 200 beds, and </w:t>
      </w:r>
      <w:r w:rsidR="0002379C">
        <w:t>Singleton</w:t>
      </w:r>
      <w:r>
        <w:t xml:space="preserve"> has 330</w:t>
      </w:r>
      <w:r w:rsidR="00110E34">
        <w:t xml:space="preserve"> </w:t>
      </w:r>
      <w:r>
        <w:t>beds</w:t>
      </w:r>
      <w:r w:rsidR="00110E34">
        <w:t xml:space="preserve"> distributed across their inpatient wards.</w:t>
      </w:r>
      <w:r>
        <w:t xml:space="preserve"> The software product ePMA has been adopted to support the medication management process using a phased approach between the </w:t>
      </w:r>
      <w:proofErr w:type="gramStart"/>
      <w:r>
        <w:t>11</w:t>
      </w:r>
      <w:r w:rsidR="00B4221D" w:rsidRPr="00B4221D">
        <w:rPr>
          <w:vertAlign w:val="superscript"/>
        </w:rPr>
        <w:t>th</w:t>
      </w:r>
      <w:proofErr w:type="gramEnd"/>
      <w:r w:rsidR="00B4221D">
        <w:t xml:space="preserve"> February</w:t>
      </w:r>
      <w:r>
        <w:t xml:space="preserve"> 2020 and the 31</w:t>
      </w:r>
      <w:r w:rsidRPr="007B492D">
        <w:rPr>
          <w:vertAlign w:val="superscript"/>
        </w:rPr>
        <w:t>st</w:t>
      </w:r>
      <w:r w:rsidR="007B492D">
        <w:t xml:space="preserve"> </w:t>
      </w:r>
      <w:r>
        <w:t>Ma</w:t>
      </w:r>
      <w:r w:rsidR="00A83F6C">
        <w:t>y</w:t>
      </w:r>
      <w:r>
        <w:t xml:space="preserve"> 202</w:t>
      </w:r>
      <w:r w:rsidR="00A83F6C">
        <w:t>1</w:t>
      </w:r>
      <w:r>
        <w:t xml:space="preserve"> across NPTH and Singleton Hospital inpatient wards (figure </w:t>
      </w:r>
      <w:r w:rsidR="006906EA">
        <w:t>3</w:t>
      </w:r>
      <w:r>
        <w:t xml:space="preserve">). These wards will be referred to as ePMA wards for the remainder of this assignment. </w:t>
      </w:r>
    </w:p>
    <w:p w14:paraId="44D84369" w14:textId="42C628DD" w:rsidR="007F5CE3" w:rsidRDefault="007F5CE3" w:rsidP="00EB2A76">
      <w:pPr>
        <w:pStyle w:val="Heading2"/>
      </w:pPr>
      <w:bookmarkStart w:id="4" w:name="_Toc128484298"/>
      <w:r>
        <w:t>Software Product</w:t>
      </w:r>
      <w:bookmarkEnd w:id="4"/>
      <w:r>
        <w:t xml:space="preserve"> </w:t>
      </w:r>
    </w:p>
    <w:p w14:paraId="3DE17A49" w14:textId="2C69501A" w:rsidR="007B492D" w:rsidRPr="005339EE" w:rsidRDefault="007F5CE3" w:rsidP="001B36DF">
      <w:pPr>
        <w:spacing w:line="360" w:lineRule="auto"/>
        <w:jc w:val="both"/>
        <w:rPr>
          <w:sz w:val="22"/>
          <w:szCs w:val="22"/>
        </w:rPr>
      </w:pPr>
      <w:r w:rsidRPr="00EB2A76">
        <w:t>The software product is the ePMA system.</w:t>
      </w:r>
      <w:r>
        <w:t xml:space="preserve"> </w:t>
      </w:r>
      <w:r w:rsidR="00EB2A76">
        <w:t xml:space="preserve">Through successful implementation of the ePMA system, all stages of the medicines management process including, prescribing, dispensing, and administering medicines will be digitalised.  The ePMA system aims to improve patient safety, reduce medication errors, and increase efficiency in medication management. </w:t>
      </w:r>
    </w:p>
    <w:p w14:paraId="67130FEC" w14:textId="77777777" w:rsidR="007F5CE3" w:rsidRDefault="007F5CE3" w:rsidP="007F5CE3">
      <w:pPr>
        <w:spacing w:line="360" w:lineRule="auto"/>
        <w:jc w:val="both"/>
      </w:pPr>
    </w:p>
    <w:p w14:paraId="424B8CF9" w14:textId="1895D9BF" w:rsidR="00CD3BF4" w:rsidRDefault="00CD3BF4" w:rsidP="00CE2113">
      <w:pPr>
        <w:pStyle w:val="Heading1"/>
      </w:pPr>
      <w:bookmarkStart w:id="5" w:name="_Toc128484299"/>
      <w:r>
        <w:t>Methods</w:t>
      </w:r>
      <w:bookmarkEnd w:id="5"/>
    </w:p>
    <w:p w14:paraId="2F201372" w14:textId="3AFEBBEF" w:rsidR="00CD3BF4" w:rsidRDefault="00CD3BF4"/>
    <w:p w14:paraId="597C9085" w14:textId="188B7BE2" w:rsidR="00DB3880" w:rsidRDefault="00121899" w:rsidP="00E05F2F">
      <w:pPr>
        <w:spacing w:line="360" w:lineRule="auto"/>
        <w:jc w:val="both"/>
      </w:pPr>
      <w:r>
        <w:lastRenderedPageBreak/>
        <w:t xml:space="preserve">Many software projects will fail </w:t>
      </w:r>
      <w:r w:rsidR="006D1909">
        <w:t>entirely</w:t>
      </w:r>
      <w:r>
        <w:t xml:space="preserve"> or partially because they do not meet all their requirements</w:t>
      </w:r>
      <w:r w:rsidR="006D1909">
        <w:t>.</w:t>
      </w:r>
      <w:r w:rsidR="00811E71">
        <w:t xml:space="preserve"> </w:t>
      </w:r>
      <w:r w:rsidR="006D1909">
        <w:t>The</w:t>
      </w:r>
      <w:r>
        <w:t xml:space="preserve"> failure rates of software projects </w:t>
      </w:r>
      <w:r w:rsidR="00367EE8">
        <w:t>range</w:t>
      </w:r>
      <w:r>
        <w:t xml:space="preserve"> between </w:t>
      </w:r>
      <w:r w:rsidR="00457275">
        <w:t xml:space="preserve">60-70% (Ammenwoth </w:t>
      </w:r>
      <w:r w:rsidR="00457275" w:rsidRPr="00DB3DAA">
        <w:rPr>
          <w:i/>
          <w:iCs/>
        </w:rPr>
        <w:t>et al</w:t>
      </w:r>
      <w:r w:rsidR="00457275">
        <w:t>. 2006)</w:t>
      </w:r>
      <w:r>
        <w:t>, leading to financial loss within healthcare and loss of confidence in</w:t>
      </w:r>
      <w:r w:rsidR="00FF1550">
        <w:t xml:space="preserve"> Information Technology</w:t>
      </w:r>
      <w:r>
        <w:t xml:space="preserve"> </w:t>
      </w:r>
      <w:r w:rsidR="00FF1550">
        <w:t>(</w:t>
      </w:r>
      <w:r>
        <w:t>IT</w:t>
      </w:r>
      <w:r w:rsidR="00FF1550">
        <w:t>)</w:t>
      </w:r>
      <w:r>
        <w:t xml:space="preserve"> from users and managers.</w:t>
      </w:r>
      <w:r w:rsidR="00811E71">
        <w:t xml:space="preserve"> </w:t>
      </w:r>
      <w:r w:rsidR="00316356">
        <w:t>S</w:t>
      </w:r>
      <w:r w:rsidR="00367EE8">
        <w:t xml:space="preserve">ome projects </w:t>
      </w:r>
      <w:r w:rsidR="00316356">
        <w:t>are considered a</w:t>
      </w:r>
      <w:r w:rsidR="00367EE8">
        <w:t xml:space="preserve"> success by one department or professional group </w:t>
      </w:r>
      <w:r w:rsidR="00316356">
        <w:t>and</w:t>
      </w:r>
      <w:r w:rsidR="00367EE8">
        <w:t xml:space="preserve"> a failure or at least problematic by another (Ammenworth</w:t>
      </w:r>
      <w:r w:rsidR="007E4AAB">
        <w:t xml:space="preserve"> </w:t>
      </w:r>
      <w:r w:rsidR="007E4AAB" w:rsidRPr="007E4AAB">
        <w:rPr>
          <w:i/>
          <w:iCs/>
        </w:rPr>
        <w:t>et al</w:t>
      </w:r>
      <w:r w:rsidR="007E4AAB">
        <w:t>.</w:t>
      </w:r>
      <w:r w:rsidR="00367EE8">
        <w:t xml:space="preserve"> 2006). </w:t>
      </w:r>
      <w:r>
        <w:t xml:space="preserve"> </w:t>
      </w:r>
    </w:p>
    <w:p w14:paraId="6E813FBD" w14:textId="6F772DD8" w:rsidR="00EF2DBB" w:rsidRDefault="00EF2DBB" w:rsidP="00E05F2F">
      <w:pPr>
        <w:spacing w:line="360" w:lineRule="auto"/>
        <w:jc w:val="both"/>
      </w:pPr>
    </w:p>
    <w:p w14:paraId="4A269ECB" w14:textId="44B05A10" w:rsidR="00EF2DBB" w:rsidRDefault="009A30F8" w:rsidP="00D729DC">
      <w:pPr>
        <w:spacing w:line="360" w:lineRule="auto"/>
        <w:jc w:val="both"/>
      </w:pPr>
      <w:r>
        <w:t>Evaluation frameworks are an important tool to help structure and link evaluation questions, outcomes, indicators, data sources and data collection</w:t>
      </w:r>
      <w:r w:rsidR="00D729DC">
        <w:t>.</w:t>
      </w:r>
      <w:r w:rsidR="00811E71">
        <w:t xml:space="preserve"> </w:t>
      </w:r>
      <w:r w:rsidR="00E05F2F">
        <w:t xml:space="preserve">The choice of evaluation framework is critical in ensuring that the </w:t>
      </w:r>
      <w:r w:rsidR="00D729DC">
        <w:t>evaluation aligns well with the project goals</w:t>
      </w:r>
      <w:r w:rsidR="008D6432">
        <w:t xml:space="preserve"> </w:t>
      </w:r>
      <w:r w:rsidR="00457275">
        <w:t>(Moran, Burson and Conrad, 2023</w:t>
      </w:r>
      <w:r w:rsidR="008D6432">
        <w:t>)</w:t>
      </w:r>
      <w:r w:rsidR="006D1909">
        <w:t>.</w:t>
      </w:r>
      <w:r w:rsidR="00811E71">
        <w:t xml:space="preserve"> </w:t>
      </w:r>
      <w:r w:rsidR="006D1909">
        <w:t>However</w:t>
      </w:r>
      <w:r w:rsidR="00D729DC">
        <w:t xml:space="preserve">, </w:t>
      </w:r>
      <w:r w:rsidR="00AE647A">
        <w:t>Coto, Mora and Collazos (2014)</w:t>
      </w:r>
      <w:r w:rsidR="008D6432">
        <w:t xml:space="preserve"> argue that </w:t>
      </w:r>
      <w:r w:rsidR="00D729DC">
        <w:t xml:space="preserve">this can depend on the approach to collaboration and individual perspectives on the value of evaluation. </w:t>
      </w:r>
    </w:p>
    <w:p w14:paraId="063B1F9A" w14:textId="77777777" w:rsidR="00121899" w:rsidRDefault="00121899"/>
    <w:p w14:paraId="671FA77F" w14:textId="66044493" w:rsidR="00757691" w:rsidRDefault="006D1909" w:rsidP="00757691">
      <w:pPr>
        <w:spacing w:line="360" w:lineRule="auto"/>
        <w:jc w:val="both"/>
      </w:pPr>
      <w:r>
        <w:t>Several evaluation frameworks are</w:t>
      </w:r>
      <w:r w:rsidR="004B160B">
        <w:t xml:space="preserve"> </w:t>
      </w:r>
      <w:r w:rsidR="00BF0374">
        <w:t>associated with common practice in programme evaluation.</w:t>
      </w:r>
      <w:r w:rsidR="00811E71">
        <w:t xml:space="preserve"> </w:t>
      </w:r>
      <w:r w:rsidR="0045799E">
        <w:t>In 1989 Davis developed the Technology Acceptance Model (TAM)</w:t>
      </w:r>
      <w:r w:rsidR="00B741F3">
        <w:t xml:space="preserve"> which </w:t>
      </w:r>
      <w:r w:rsidR="0045799E">
        <w:t xml:space="preserve">assumes that </w:t>
      </w:r>
      <w:r>
        <w:t>two factors</w:t>
      </w:r>
      <w:r w:rsidR="0045799E">
        <w:t xml:space="preserve"> determine whether a computer system will be accepted by its potential users</w:t>
      </w:r>
      <w:r>
        <w:t>: their</w:t>
      </w:r>
      <w:r w:rsidR="0045799E">
        <w:t xml:space="preserve"> perceived usefulness and perceived ease of use.</w:t>
      </w:r>
      <w:r w:rsidR="00811E71">
        <w:t xml:space="preserve"> </w:t>
      </w:r>
      <w:r w:rsidR="0045799E">
        <w:t xml:space="preserve">The </w:t>
      </w:r>
      <w:r>
        <w:t>critical</w:t>
      </w:r>
      <w:r w:rsidR="0045799E">
        <w:t xml:space="preserve"> feature of TAM is its emphasis on the perceptions of </w:t>
      </w:r>
      <w:r w:rsidR="00BF3392">
        <w:t>potential users</w:t>
      </w:r>
      <w:r>
        <w:t>.</w:t>
      </w:r>
      <w:r w:rsidR="00811E71">
        <w:t xml:space="preserve"> </w:t>
      </w:r>
      <w:r>
        <w:t>The</w:t>
      </w:r>
      <w:r w:rsidR="0045799E">
        <w:t xml:space="preserve"> theory sa</w:t>
      </w:r>
      <w:r w:rsidR="00BF3392">
        <w:t>y</w:t>
      </w:r>
      <w:r w:rsidR="0045799E">
        <w:t xml:space="preserve">s very little about the technology itself but </w:t>
      </w:r>
      <w:r>
        <w:t>about</w:t>
      </w:r>
      <w:r w:rsidR="0045799E">
        <w:t xml:space="preserve"> </w:t>
      </w:r>
      <w:r w:rsidR="00811E71">
        <w:t>people's</w:t>
      </w:r>
      <w:r w:rsidR="0045799E">
        <w:t xml:space="preserve"> perceptions, which could change </w:t>
      </w:r>
      <w:r>
        <w:t>depending</w:t>
      </w:r>
      <w:r w:rsidR="0045799E">
        <w:t xml:space="preserve"> on </w:t>
      </w:r>
      <w:r w:rsidR="00BF3392">
        <w:t>who the users are</w:t>
      </w:r>
      <w:r w:rsidR="0045799E">
        <w:t>.</w:t>
      </w:r>
      <w:r w:rsidR="00811E71">
        <w:t xml:space="preserve"> </w:t>
      </w:r>
      <w:r w:rsidR="0045799E">
        <w:t xml:space="preserve">It </w:t>
      </w:r>
      <w:r w:rsidR="00757691">
        <w:t xml:space="preserve">also </w:t>
      </w:r>
      <w:r w:rsidR="0045799E">
        <w:t>assumes that people plan their behaviour</w:t>
      </w:r>
      <w:r>
        <w:t>;</w:t>
      </w:r>
      <w:r w:rsidR="0045799E">
        <w:t xml:space="preserve"> however,</w:t>
      </w:r>
      <w:r w:rsidR="00BF3392">
        <w:t xml:space="preserve"> as</w:t>
      </w:r>
      <w:r w:rsidR="0045799E">
        <w:t xml:space="preserve"> not everything </w:t>
      </w:r>
      <w:r w:rsidR="00BF3392">
        <w:t>people do</w:t>
      </w:r>
      <w:r w:rsidR="0045799E">
        <w:t xml:space="preserve"> is planned</w:t>
      </w:r>
      <w:r>
        <w:t>,</w:t>
      </w:r>
      <w:r w:rsidR="0045799E">
        <w:t xml:space="preserve"> </w:t>
      </w:r>
      <w:r w:rsidR="00BF3392">
        <w:t>it would be difficult to apply this</w:t>
      </w:r>
      <w:r w:rsidR="0045799E">
        <w:t xml:space="preserve"> theory</w:t>
      </w:r>
      <w:r w:rsidR="00382237">
        <w:t xml:space="preserve"> to the practical implementation of ePMA</w:t>
      </w:r>
      <w:r w:rsidR="00BF3392">
        <w:t>.</w:t>
      </w:r>
      <w:r w:rsidR="00811E71">
        <w:t xml:space="preserve"> </w:t>
      </w:r>
      <w:r w:rsidR="00BF3392">
        <w:t xml:space="preserve">The TAM framework also </w:t>
      </w:r>
      <w:r w:rsidR="001C0781">
        <w:t>emphasises</w:t>
      </w:r>
      <w:r w:rsidR="00BF3392">
        <w:t xml:space="preserve"> the importance of making technology useful and easy to use</w:t>
      </w:r>
      <w:r>
        <w:t>.</w:t>
      </w:r>
      <w:r w:rsidR="00811E71">
        <w:t xml:space="preserve"> </w:t>
      </w:r>
      <w:r>
        <w:t>However</w:t>
      </w:r>
      <w:r w:rsidR="00BF3392">
        <w:t xml:space="preserve">, </w:t>
      </w:r>
      <w:r>
        <w:t xml:space="preserve">it does not offer recommendations </w:t>
      </w:r>
      <w:r w:rsidR="0002379C">
        <w:t>for making the technology useful following</w:t>
      </w:r>
      <w:r w:rsidR="00BF3392">
        <w:t xml:space="preserve"> evaluation.</w:t>
      </w:r>
      <w:r w:rsidR="00811E71">
        <w:t xml:space="preserve"> </w:t>
      </w:r>
      <w:r w:rsidR="00757691">
        <w:t>In their seminal review of TAM</w:t>
      </w:r>
      <w:r>
        <w:t>,</w:t>
      </w:r>
      <w:r w:rsidR="00757691">
        <w:t xml:space="preserve"> </w:t>
      </w:r>
      <w:proofErr w:type="gramStart"/>
      <w:r w:rsidR="00757691">
        <w:t>Holden</w:t>
      </w:r>
      <w:proofErr w:type="gramEnd"/>
      <w:r w:rsidR="00757691">
        <w:t xml:space="preserve"> and Karsh </w:t>
      </w:r>
      <w:r w:rsidR="00AE647A">
        <w:t>(2010</w:t>
      </w:r>
      <w:r w:rsidR="00757691">
        <w:t xml:space="preserve">) highlighted the </w:t>
      </w:r>
      <w:r w:rsidR="00811E71">
        <w:t>framework's</w:t>
      </w:r>
      <w:r w:rsidR="003059E1">
        <w:t xml:space="preserve"> value</w:t>
      </w:r>
      <w:r w:rsidR="00757691">
        <w:t xml:space="preserve"> in assessing the relationship between users and technology.</w:t>
      </w:r>
      <w:r w:rsidR="00811E71">
        <w:t xml:space="preserve"> </w:t>
      </w:r>
      <w:r w:rsidR="00757691">
        <w:t xml:space="preserve">However, there is a need for additional constructs to allow </w:t>
      </w:r>
      <w:r>
        <w:t>other</w:t>
      </w:r>
      <w:r w:rsidR="00757691">
        <w:t xml:space="preserve"> relationships to be explored. </w:t>
      </w:r>
    </w:p>
    <w:p w14:paraId="16863378" w14:textId="77777777" w:rsidR="00AB23E3" w:rsidRDefault="00AB23E3" w:rsidP="00BF0374">
      <w:pPr>
        <w:spacing w:line="360" w:lineRule="auto"/>
        <w:jc w:val="both"/>
      </w:pPr>
    </w:p>
    <w:p w14:paraId="14416BF4" w14:textId="45CC3AEE" w:rsidR="00D758F9" w:rsidRDefault="00AB23E3" w:rsidP="00BF0374">
      <w:pPr>
        <w:spacing w:line="360" w:lineRule="auto"/>
        <w:jc w:val="both"/>
      </w:pPr>
      <w:r>
        <w:t xml:space="preserve">The Task Technology Fit (TTF) </w:t>
      </w:r>
      <w:r w:rsidR="00B4221D">
        <w:t>model (</w:t>
      </w:r>
      <w:r>
        <w:t>Goodhue and Thompson</w:t>
      </w:r>
      <w:r w:rsidR="003959F0">
        <w:t>,</w:t>
      </w:r>
      <w:r>
        <w:t xml:space="preserve"> 1995</w:t>
      </w:r>
      <w:r w:rsidR="00B741F3">
        <w:t>)</w:t>
      </w:r>
      <w:r>
        <w:t xml:space="preserve"> holds the theory that </w:t>
      </w:r>
      <w:r w:rsidRPr="00CA1EB8">
        <w:t>IT</w:t>
      </w:r>
      <w:r>
        <w:t xml:space="preserve"> is more likely to </w:t>
      </w:r>
      <w:r w:rsidR="006D1909">
        <w:t>positively impact</w:t>
      </w:r>
      <w:r>
        <w:t xml:space="preserve"> individual performance and be used if the capabilities of the IT match the task that the user must perform.</w:t>
      </w:r>
      <w:r w:rsidR="00811E71">
        <w:t xml:space="preserve"> </w:t>
      </w:r>
      <w:r>
        <w:t>Unlike the TAM model</w:t>
      </w:r>
      <w:r w:rsidR="006D1909">
        <w:t>,</w:t>
      </w:r>
      <w:r>
        <w:t xml:space="preserve"> the TTF model </w:t>
      </w:r>
      <w:r w:rsidR="006D1909">
        <w:t>explicitly includes</w:t>
      </w:r>
      <w:r>
        <w:t xml:space="preserve"> a task-technology construct (Prgomet, 2019).</w:t>
      </w:r>
      <w:r w:rsidR="00811E71">
        <w:t xml:space="preserve"> </w:t>
      </w:r>
      <w:r w:rsidR="00116E96">
        <w:t>The premise of the TTF model is that technology will be used if it adequately supports the demands of the task.</w:t>
      </w:r>
      <w:r w:rsidR="00811E71">
        <w:t xml:space="preserve"> </w:t>
      </w:r>
      <w:r w:rsidR="00116E96">
        <w:t xml:space="preserve">However, </w:t>
      </w:r>
      <w:r w:rsidR="00116E96">
        <w:lastRenderedPageBreak/>
        <w:t>the TTF does not include a construct that examines user characteristics (Prgomet, 2019)</w:t>
      </w:r>
      <w:r w:rsidR="009431E5">
        <w:t xml:space="preserve"> and</w:t>
      </w:r>
      <w:r w:rsidR="0002379C">
        <w:t>,</w:t>
      </w:r>
      <w:r w:rsidR="009431E5">
        <w:t xml:space="preserve"> therefore not a suitable tool to guide the evaluation of the implementation of ePMA, as the user is an essential component</w:t>
      </w:r>
      <w:r w:rsidR="00116E96">
        <w:t xml:space="preserve">. </w:t>
      </w:r>
    </w:p>
    <w:p w14:paraId="5D0F02C8" w14:textId="77777777" w:rsidR="00BD1F53" w:rsidRDefault="00BD1F53" w:rsidP="00BF0374">
      <w:pPr>
        <w:spacing w:line="360" w:lineRule="auto"/>
        <w:jc w:val="both"/>
      </w:pPr>
    </w:p>
    <w:p w14:paraId="53BE8F54" w14:textId="4A6D0163" w:rsidR="00D758F9" w:rsidRDefault="00D758F9" w:rsidP="00BF0374">
      <w:pPr>
        <w:spacing w:line="360" w:lineRule="auto"/>
        <w:jc w:val="both"/>
      </w:pPr>
      <w:r>
        <w:rPr>
          <w:rStyle w:val="ui-provider"/>
        </w:rPr>
        <w:t xml:space="preserve">DeLone and McLean </w:t>
      </w:r>
      <w:r w:rsidR="00B741F3">
        <w:rPr>
          <w:rStyle w:val="ui-provider"/>
        </w:rPr>
        <w:t xml:space="preserve">(1992) </w:t>
      </w:r>
      <w:r>
        <w:rPr>
          <w:rStyle w:val="ui-provider"/>
        </w:rPr>
        <w:t>described the effects of IT on the user in the Information System Success Model (ISSM)</w:t>
      </w:r>
      <w:r w:rsidR="00B741F3">
        <w:rPr>
          <w:rStyle w:val="ui-provider"/>
        </w:rPr>
        <w:t xml:space="preserve"> which </w:t>
      </w:r>
      <w:r>
        <w:rPr>
          <w:rStyle w:val="ui-provider"/>
        </w:rPr>
        <w:t>seeks to provide a comprehensive understanding of information system success by identifying, describing, and explaining the relationships among six dimensions (system quality, information quality, use, user satisfaction, individual impact, and organisational impact), along which information systems are commonly evaluated.</w:t>
      </w:r>
      <w:r w:rsidR="00811E71">
        <w:rPr>
          <w:rStyle w:val="ui-provider"/>
        </w:rPr>
        <w:t xml:space="preserve"> </w:t>
      </w:r>
      <w:r>
        <w:rPr>
          <w:rStyle w:val="ui-provider"/>
        </w:rPr>
        <w:t>In 2003 the ISSM was further refined by the original authors DeLone and McLean</w:t>
      </w:r>
      <w:r w:rsidR="00B12B25">
        <w:rPr>
          <w:rStyle w:val="ui-provider"/>
        </w:rPr>
        <w:t>,</w:t>
      </w:r>
      <w:r>
        <w:rPr>
          <w:rStyle w:val="ui-provider"/>
        </w:rPr>
        <w:t xml:space="preserve"> aligned to the changing role and progress made with information systems for </w:t>
      </w:r>
      <w:r w:rsidR="00B12B25">
        <w:rPr>
          <w:rStyle w:val="ui-provider"/>
        </w:rPr>
        <w:t>measuring</w:t>
      </w:r>
      <w:r>
        <w:rPr>
          <w:rStyle w:val="ui-provider"/>
        </w:rPr>
        <w:t xml:space="preserve"> e-commerce system success.</w:t>
      </w:r>
      <w:r w:rsidR="00811E71">
        <w:rPr>
          <w:rStyle w:val="ui-provider"/>
        </w:rPr>
        <w:t xml:space="preserve"> </w:t>
      </w:r>
      <w:r>
        <w:rPr>
          <w:rStyle w:val="ui-provider"/>
        </w:rPr>
        <w:t>However, Ammenworth</w:t>
      </w:r>
      <w:r w:rsidR="00C52A07">
        <w:rPr>
          <w:rStyle w:val="ui-provider"/>
        </w:rPr>
        <w:t xml:space="preserve"> </w:t>
      </w:r>
      <w:r w:rsidR="00C52A07" w:rsidRPr="00C52A07">
        <w:rPr>
          <w:rStyle w:val="ui-provider"/>
          <w:i/>
          <w:iCs/>
        </w:rPr>
        <w:t>et al</w:t>
      </w:r>
      <w:r w:rsidR="00C52A07">
        <w:rPr>
          <w:rStyle w:val="ui-provider"/>
        </w:rPr>
        <w:t>.</w:t>
      </w:r>
      <w:r>
        <w:rPr>
          <w:rStyle w:val="ui-provider"/>
        </w:rPr>
        <w:t xml:space="preserve"> (2006) </w:t>
      </w:r>
      <w:r w:rsidR="00B12B25">
        <w:rPr>
          <w:rStyle w:val="ui-provider"/>
        </w:rPr>
        <w:t>caution</w:t>
      </w:r>
      <w:r>
        <w:rPr>
          <w:rStyle w:val="ui-provider"/>
        </w:rPr>
        <w:t xml:space="preserve"> that IT success is multi-dimensional</w:t>
      </w:r>
      <w:r w:rsidR="00A23921">
        <w:rPr>
          <w:rStyle w:val="ui-provider"/>
        </w:rPr>
        <w:t>.</w:t>
      </w:r>
      <w:r w:rsidR="00811E71">
        <w:rPr>
          <w:rStyle w:val="ui-provider"/>
        </w:rPr>
        <w:t xml:space="preserve"> </w:t>
      </w:r>
      <w:r w:rsidR="00A23921">
        <w:rPr>
          <w:rStyle w:val="ui-provider"/>
        </w:rPr>
        <w:t>As</w:t>
      </w:r>
      <w:r>
        <w:rPr>
          <w:rStyle w:val="ui-provider"/>
        </w:rPr>
        <w:t xml:space="preserve"> the ISSM is </w:t>
      </w:r>
      <w:r w:rsidR="00B12B25">
        <w:rPr>
          <w:rStyle w:val="ui-provider"/>
        </w:rPr>
        <w:t>focused</w:t>
      </w:r>
      <w:r>
        <w:rPr>
          <w:rStyle w:val="ui-provider"/>
        </w:rPr>
        <w:t xml:space="preserve"> on IT quality and system quality</w:t>
      </w:r>
      <w:r w:rsidR="00B12B25">
        <w:rPr>
          <w:rStyle w:val="ui-provider"/>
        </w:rPr>
        <w:t>,</w:t>
      </w:r>
      <w:r>
        <w:rPr>
          <w:rStyle w:val="ui-provider"/>
        </w:rPr>
        <w:t xml:space="preserve"> it does not </w:t>
      </w:r>
      <w:r w:rsidR="00B12B25">
        <w:rPr>
          <w:rStyle w:val="ui-provider"/>
        </w:rPr>
        <w:t>explain</w:t>
      </w:r>
      <w:r>
        <w:rPr>
          <w:rStyle w:val="ui-provider"/>
        </w:rPr>
        <w:t xml:space="preserve"> why the same IT system can be adopted </w:t>
      </w:r>
      <w:r w:rsidR="00B12B25">
        <w:rPr>
          <w:rStyle w:val="ui-provider"/>
        </w:rPr>
        <w:t>differently</w:t>
      </w:r>
      <w:r>
        <w:rPr>
          <w:rStyle w:val="ui-provider"/>
        </w:rPr>
        <w:t xml:space="preserve"> and have different effects.</w:t>
      </w:r>
    </w:p>
    <w:p w14:paraId="11E98C8C" w14:textId="77777777" w:rsidR="00523D52" w:rsidRDefault="00523D52"/>
    <w:p w14:paraId="649CB38F" w14:textId="40DAEF91" w:rsidR="00757691" w:rsidRDefault="00AA29FE" w:rsidP="00B22446">
      <w:pPr>
        <w:spacing w:line="360" w:lineRule="auto"/>
        <w:jc w:val="both"/>
      </w:pPr>
      <w:r>
        <w:t xml:space="preserve">Prgomet (2019) states that the TAM and TTF are prominent theories </w:t>
      </w:r>
      <w:r w:rsidR="00116E96">
        <w:t xml:space="preserve">widely accepted in healthcare </w:t>
      </w:r>
      <w:r>
        <w:t xml:space="preserve">that describe </w:t>
      </w:r>
      <w:r w:rsidR="003059E1">
        <w:t>ways</w:t>
      </w:r>
      <w:r>
        <w:t xml:space="preserve"> to explore the notion of fit between technology and work practices.</w:t>
      </w:r>
      <w:r w:rsidR="00811E71">
        <w:t xml:space="preserve"> </w:t>
      </w:r>
      <w:r w:rsidR="00116E96">
        <w:t xml:space="preserve">However, in 2006 </w:t>
      </w:r>
      <w:r w:rsidR="00116E96" w:rsidRPr="00116E96">
        <w:t>Ammenworth</w:t>
      </w:r>
      <w:r w:rsidR="00116E96" w:rsidRPr="00116E96">
        <w:rPr>
          <w:i/>
          <w:iCs/>
        </w:rPr>
        <w:t xml:space="preserve"> et al</w:t>
      </w:r>
      <w:r w:rsidR="00116E96">
        <w:t xml:space="preserve">. proposed Fit between Individual, Task and Technology (FITT) as a framework, encompassing the interactions of users and technology (TAM concepts) and task and technology (TTF concepts) and the interactions between users and tasks (Ammenworth </w:t>
      </w:r>
      <w:r w:rsidR="00116E96" w:rsidRPr="00671CC0">
        <w:rPr>
          <w:i/>
          <w:iCs/>
        </w:rPr>
        <w:t>et al</w:t>
      </w:r>
      <w:r w:rsidR="00116E96">
        <w:t xml:space="preserve">, 2006). </w:t>
      </w:r>
    </w:p>
    <w:p w14:paraId="239BDEFC" w14:textId="2DC64170" w:rsidR="004267E9" w:rsidRDefault="004267E9" w:rsidP="00B22446">
      <w:pPr>
        <w:spacing w:line="360" w:lineRule="auto"/>
        <w:jc w:val="both"/>
      </w:pPr>
    </w:p>
    <w:p w14:paraId="4C214CFB" w14:textId="1C624FDC" w:rsidR="00757691" w:rsidRDefault="003059E1" w:rsidP="00B22446">
      <w:pPr>
        <w:spacing w:line="360" w:lineRule="auto"/>
        <w:jc w:val="both"/>
      </w:pPr>
      <w:r>
        <w:t>The author will adopt the FITT Framework to guide the evaluation of the ePMA system at NPTH and Singleton</w:t>
      </w:r>
      <w:r w:rsidR="00755587">
        <w:t xml:space="preserve"> hospitals, as</w:t>
      </w:r>
      <w:r w:rsidR="004267E9">
        <w:t xml:space="preserve"> there is evidence to suggest that the FITT framework has been effective in evaluating factors that influence the success or failure of IT implementation in </w:t>
      </w:r>
      <w:r w:rsidR="006D1909">
        <w:t>healthcare</w:t>
      </w:r>
      <w:r w:rsidR="004267E9">
        <w:t xml:space="preserve"> settings (Kujala </w:t>
      </w:r>
      <w:r w:rsidR="004267E9" w:rsidRPr="00DB3DAA">
        <w:rPr>
          <w:i/>
          <w:iCs/>
        </w:rPr>
        <w:t>et al</w:t>
      </w:r>
      <w:r w:rsidR="004267E9">
        <w:t>.</w:t>
      </w:r>
      <w:r w:rsidR="006D1909">
        <w:t>,</w:t>
      </w:r>
      <w:r w:rsidR="004267E9">
        <w:t xml:space="preserve"> 2020</w:t>
      </w:r>
      <w:r w:rsidR="00450AE7" w:rsidRPr="00450AE7">
        <w:rPr>
          <w:rStyle w:val="ui-provider"/>
        </w:rPr>
        <w:t xml:space="preserve"> </w:t>
      </w:r>
      <w:r w:rsidR="00450AE7">
        <w:rPr>
          <w:rStyle w:val="ui-provider"/>
        </w:rPr>
        <w:t xml:space="preserve">Tsiknakis M, Kouroubali, 2009; Prgomet </w:t>
      </w:r>
      <w:r w:rsidR="006D1909" w:rsidRPr="00DB3DAA">
        <w:rPr>
          <w:rStyle w:val="ui-provider"/>
          <w:i/>
          <w:iCs/>
        </w:rPr>
        <w:t>et al</w:t>
      </w:r>
      <w:r w:rsidR="006D1909">
        <w:rPr>
          <w:rStyle w:val="ui-provider"/>
        </w:rPr>
        <w:t>.</w:t>
      </w:r>
      <w:r w:rsidR="00450AE7">
        <w:rPr>
          <w:rStyle w:val="ui-provider"/>
        </w:rPr>
        <w:t xml:space="preserve">, 2019; Schnall </w:t>
      </w:r>
      <w:r w:rsidR="006D1909" w:rsidRPr="00DB3DAA">
        <w:rPr>
          <w:rStyle w:val="ui-provider"/>
          <w:i/>
          <w:iCs/>
        </w:rPr>
        <w:t>et al</w:t>
      </w:r>
      <w:r w:rsidR="006D1909">
        <w:rPr>
          <w:rStyle w:val="ui-provider"/>
        </w:rPr>
        <w:t>.</w:t>
      </w:r>
      <w:r w:rsidR="00450AE7">
        <w:rPr>
          <w:rStyle w:val="ui-provider"/>
        </w:rPr>
        <w:t xml:space="preserve">, 2012 and Cho </w:t>
      </w:r>
      <w:r w:rsidR="006D1909" w:rsidRPr="00DB3DAA">
        <w:rPr>
          <w:rStyle w:val="ui-provider"/>
          <w:i/>
          <w:iCs/>
        </w:rPr>
        <w:t>et al</w:t>
      </w:r>
      <w:r w:rsidR="006D1909">
        <w:rPr>
          <w:rStyle w:val="ui-provider"/>
        </w:rPr>
        <w:t>.</w:t>
      </w:r>
      <w:r w:rsidR="00450AE7">
        <w:rPr>
          <w:rStyle w:val="ui-provider"/>
        </w:rPr>
        <w:t>, 2019</w:t>
      </w:r>
      <w:r>
        <w:t>).</w:t>
      </w:r>
      <w:r w:rsidR="004267E9">
        <w:t xml:space="preserve"> </w:t>
      </w:r>
    </w:p>
    <w:p w14:paraId="029E7554" w14:textId="77777777" w:rsidR="00D93E6B" w:rsidRDefault="00D93E6B" w:rsidP="00B22446">
      <w:pPr>
        <w:spacing w:line="360" w:lineRule="auto"/>
        <w:jc w:val="both"/>
      </w:pPr>
    </w:p>
    <w:p w14:paraId="00633EB2" w14:textId="2D77BFF1" w:rsidR="00DB3880" w:rsidRDefault="00845021" w:rsidP="004267E9">
      <w:pPr>
        <w:pStyle w:val="Heading2"/>
      </w:pPr>
      <w:bookmarkStart w:id="6" w:name="_Toc128484300"/>
      <w:r>
        <w:t>T</w:t>
      </w:r>
      <w:r w:rsidR="004267E9">
        <w:t>he FITT Framework</w:t>
      </w:r>
      <w:bookmarkEnd w:id="6"/>
      <w:r w:rsidR="004267E9">
        <w:t xml:space="preserve"> </w:t>
      </w:r>
    </w:p>
    <w:p w14:paraId="274F5564" w14:textId="2A8E2336" w:rsidR="00724BEB" w:rsidRDefault="00724BEB"/>
    <w:p w14:paraId="29E99A85" w14:textId="75316710" w:rsidR="00C41F33" w:rsidRDefault="00C41F33" w:rsidP="00C41F33">
      <w:pPr>
        <w:spacing w:line="360" w:lineRule="auto"/>
        <w:jc w:val="both"/>
      </w:pPr>
      <w:r>
        <w:t xml:space="preserve">The </w:t>
      </w:r>
      <w:r w:rsidR="0041482A">
        <w:t>adoption</w:t>
      </w:r>
      <w:r>
        <w:t xml:space="preserve"> of ePMA will be evaluated using the FITT framework</w:t>
      </w:r>
      <w:r w:rsidR="003E547A">
        <w:t xml:space="preserve"> to enable a better analysis of the </w:t>
      </w:r>
      <w:r w:rsidR="001C0781">
        <w:t>socio-organisational-technical</w:t>
      </w:r>
      <w:r w:rsidR="003E547A">
        <w:t xml:space="preserve"> factors that influence IT adoption</w:t>
      </w:r>
      <w:r w:rsidR="00741B63">
        <w:t>.</w:t>
      </w:r>
      <w:r w:rsidR="00AE647A">
        <w:t xml:space="preserve"> Moullin </w:t>
      </w:r>
      <w:r w:rsidR="00AE647A" w:rsidRPr="00DB3DAA">
        <w:rPr>
          <w:i/>
          <w:iCs/>
        </w:rPr>
        <w:t>et al</w:t>
      </w:r>
      <w:r w:rsidR="00AE647A">
        <w:t>. (2019)</w:t>
      </w:r>
      <w:r w:rsidR="00741B63">
        <w:t xml:space="preserve"> </w:t>
      </w:r>
      <w:r w:rsidR="00741B63">
        <w:lastRenderedPageBreak/>
        <w:t>maintain</w:t>
      </w:r>
      <w:r w:rsidR="00AE647A">
        <w:t xml:space="preserve"> </w:t>
      </w:r>
      <w:r w:rsidR="00741B63">
        <w:t xml:space="preserve">that a </w:t>
      </w:r>
      <w:r>
        <w:t xml:space="preserve">well-thought-out evaluation framework will help guide effective and systematic data collection to form the evidence base for </w:t>
      </w:r>
      <w:r w:rsidR="006D1909">
        <w:t>assessing</w:t>
      </w:r>
      <w:r>
        <w:t xml:space="preserve"> progress.</w:t>
      </w:r>
      <w:r w:rsidR="00811E71">
        <w:t xml:space="preserve"> </w:t>
      </w:r>
      <w:r>
        <w:t xml:space="preserve">Arbour (2020) </w:t>
      </w:r>
      <w:r w:rsidR="00741B63">
        <w:t xml:space="preserve">also </w:t>
      </w:r>
      <w:r>
        <w:t xml:space="preserve">suggests that evaluation frameworks </w:t>
      </w:r>
      <w:r w:rsidR="006D1909">
        <w:t>guide</w:t>
      </w:r>
      <w:r>
        <w:t xml:space="preserve"> developers and evaluators to ensure that the evaluation design reflects and incorporates the originating motivations, principles, and context of the programme.</w:t>
      </w:r>
    </w:p>
    <w:p w14:paraId="5DD83C64" w14:textId="4B91BFD7" w:rsidR="000F1D38" w:rsidRDefault="000F1D38" w:rsidP="00C41F33">
      <w:pPr>
        <w:spacing w:line="360" w:lineRule="auto"/>
        <w:jc w:val="both"/>
      </w:pPr>
    </w:p>
    <w:p w14:paraId="5D572226" w14:textId="71ABA52B" w:rsidR="00647AFD" w:rsidRDefault="000F1D38" w:rsidP="00C41F33">
      <w:pPr>
        <w:spacing w:line="360" w:lineRule="auto"/>
        <w:jc w:val="both"/>
      </w:pPr>
      <w:r>
        <w:t>The FITT framewor</w:t>
      </w:r>
      <w:r w:rsidR="00647AFD">
        <w:t xml:space="preserve">k is based on the idea that IT adoption in a clinical environment depends on the fit between the attributes of </w:t>
      </w:r>
      <w:r w:rsidR="006D1909">
        <w:t xml:space="preserve">the </w:t>
      </w:r>
      <w:r w:rsidR="00C267DC">
        <w:t>individual</w:t>
      </w:r>
      <w:r w:rsidR="00647AFD">
        <w:t xml:space="preserve">, technology, and clinical tasks (see figure </w:t>
      </w:r>
      <w:r w:rsidR="006906EA">
        <w:t>4</w:t>
      </w:r>
      <w:r w:rsidR="00647AFD">
        <w:t>).</w:t>
      </w:r>
      <w:r w:rsidR="00811E71">
        <w:t xml:space="preserve"> </w:t>
      </w:r>
      <w:r w:rsidR="008B16AA">
        <w:t xml:space="preserve">Kujala </w:t>
      </w:r>
      <w:r w:rsidR="008B16AA" w:rsidRPr="00DB3DAA">
        <w:rPr>
          <w:i/>
          <w:iCs/>
        </w:rPr>
        <w:t>et al</w:t>
      </w:r>
      <w:r w:rsidR="008B16AA">
        <w:t xml:space="preserve">. (2020) </w:t>
      </w:r>
      <w:r w:rsidR="00A23921">
        <w:t>suggest</w:t>
      </w:r>
      <w:r w:rsidR="008B16AA">
        <w:t xml:space="preserve"> that a particular strength of the FITT framework is the focus on the interaction between the user and the task, as issues related to IT support of professional workflows are the most frequently reported failure factor of electronic health </w:t>
      </w:r>
      <w:r w:rsidR="003B5814">
        <w:t>interventions</w:t>
      </w:r>
      <w:r w:rsidR="008B16AA">
        <w:t xml:space="preserve"> (</w:t>
      </w:r>
      <w:r w:rsidR="00296337">
        <w:t>Granja, Janssen and Johansen, 2018</w:t>
      </w:r>
      <w:r w:rsidR="00C04339">
        <w:t>).  Comparatively, the</w:t>
      </w:r>
      <w:r w:rsidR="008B16AA">
        <w:t xml:space="preserve"> TTF mode</w:t>
      </w:r>
      <w:r w:rsidR="00C04339">
        <w:t>l</w:t>
      </w:r>
      <w:r w:rsidR="008B16AA">
        <w:t xml:space="preserve"> focuses on the task an</w:t>
      </w:r>
      <w:r w:rsidR="003B5814">
        <w:t>d</w:t>
      </w:r>
      <w:r w:rsidR="008B16AA">
        <w:t xml:space="preserve"> technology without considering the user as </w:t>
      </w:r>
      <w:r w:rsidR="00A23921">
        <w:t>essential</w:t>
      </w:r>
      <w:r w:rsidR="008B16AA">
        <w:t>.</w:t>
      </w:r>
      <w:r w:rsidR="00811E71">
        <w:t xml:space="preserve"> </w:t>
      </w:r>
      <w:r w:rsidR="00217C62">
        <w:t>Compared to other frameworks, such as the Consolidated Framework for Implementation Research (CFIR)</w:t>
      </w:r>
      <w:r w:rsidR="003B5814">
        <w:t>, TAM</w:t>
      </w:r>
      <w:r w:rsidR="00296337">
        <w:t>,</w:t>
      </w:r>
      <w:r w:rsidR="003B5814">
        <w:t xml:space="preserve"> and ISSM</w:t>
      </w:r>
      <w:r w:rsidR="00296337">
        <w:t xml:space="preserve">, </w:t>
      </w:r>
      <w:r w:rsidR="003B5814">
        <w:t xml:space="preserve">the FITT </w:t>
      </w:r>
      <w:r w:rsidR="002C5C39">
        <w:t>f</w:t>
      </w:r>
      <w:r w:rsidR="003B5814">
        <w:t xml:space="preserve">ramework differs in </w:t>
      </w:r>
      <w:r w:rsidR="00296337">
        <w:t>adding</w:t>
      </w:r>
      <w:r w:rsidR="003B5814">
        <w:t xml:space="preserve"> the interaction aspect, making it an appropriate tool to guide the critical evaluation of the ePMA solution. </w:t>
      </w:r>
    </w:p>
    <w:p w14:paraId="03B7855A" w14:textId="77777777" w:rsidR="00741B63" w:rsidRDefault="00741B63" w:rsidP="00C41F33">
      <w:pPr>
        <w:spacing w:line="360" w:lineRule="auto"/>
        <w:jc w:val="both"/>
      </w:pPr>
    </w:p>
    <w:p w14:paraId="6573BEC9" w14:textId="246B1D6E" w:rsidR="00647AFD" w:rsidRDefault="00647AFD" w:rsidP="00C41F33">
      <w:pPr>
        <w:spacing w:line="360" w:lineRule="auto"/>
        <w:jc w:val="both"/>
      </w:pPr>
    </w:p>
    <w:p w14:paraId="1D85EF4C" w14:textId="77777777" w:rsidR="00DD408F" w:rsidRDefault="00647AFD" w:rsidP="00DD408F">
      <w:pPr>
        <w:keepNext/>
        <w:spacing w:line="360" w:lineRule="auto"/>
        <w:jc w:val="center"/>
      </w:pPr>
      <w:r w:rsidRPr="00647AFD">
        <w:rPr>
          <w:noProof/>
        </w:rPr>
        <w:drawing>
          <wp:inline distT="0" distB="0" distL="0" distR="0" wp14:anchorId="6CE68193" wp14:editId="2F8EEC50">
            <wp:extent cx="4337139" cy="1806314"/>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stretch>
                      <a:fillRect/>
                    </a:stretch>
                  </pic:blipFill>
                  <pic:spPr>
                    <a:xfrm>
                      <a:off x="0" y="0"/>
                      <a:ext cx="4395073" cy="1830442"/>
                    </a:xfrm>
                    <a:prstGeom prst="rect">
                      <a:avLst/>
                    </a:prstGeom>
                  </pic:spPr>
                </pic:pic>
              </a:graphicData>
            </a:graphic>
          </wp:inline>
        </w:drawing>
      </w:r>
    </w:p>
    <w:p w14:paraId="3C54DAD4" w14:textId="1AAD61CF" w:rsidR="00647AFD" w:rsidRPr="00BD1F53" w:rsidRDefault="00DD408F" w:rsidP="00DD408F">
      <w:pPr>
        <w:pStyle w:val="Caption"/>
        <w:jc w:val="center"/>
        <w:rPr>
          <w:sz w:val="22"/>
          <w:szCs w:val="22"/>
        </w:rPr>
      </w:pPr>
      <w:bookmarkStart w:id="7" w:name="_Toc128735615"/>
      <w:r w:rsidRPr="00BD1F53">
        <w:rPr>
          <w:sz w:val="22"/>
          <w:szCs w:val="22"/>
        </w:rPr>
        <w:t xml:space="preserve">Figure </w:t>
      </w:r>
      <w:r w:rsidR="00D72AEB" w:rsidRPr="00BD1F53">
        <w:rPr>
          <w:sz w:val="22"/>
          <w:szCs w:val="22"/>
        </w:rPr>
        <w:fldChar w:fldCharType="begin"/>
      </w:r>
      <w:r w:rsidR="00D72AEB" w:rsidRPr="00BD1F53">
        <w:rPr>
          <w:sz w:val="22"/>
          <w:szCs w:val="22"/>
        </w:rPr>
        <w:instrText xml:space="preserve"> SEQ Figure \* ARABIC </w:instrText>
      </w:r>
      <w:r w:rsidR="00D72AEB" w:rsidRPr="00BD1F53">
        <w:rPr>
          <w:sz w:val="22"/>
          <w:szCs w:val="22"/>
        </w:rPr>
        <w:fldChar w:fldCharType="separate"/>
      </w:r>
      <w:r w:rsidR="001F7B33">
        <w:rPr>
          <w:noProof/>
          <w:sz w:val="22"/>
          <w:szCs w:val="22"/>
        </w:rPr>
        <w:t>2</w:t>
      </w:r>
      <w:r w:rsidR="00D72AEB" w:rsidRPr="00BD1F53">
        <w:rPr>
          <w:noProof/>
          <w:sz w:val="22"/>
          <w:szCs w:val="22"/>
        </w:rPr>
        <w:fldChar w:fldCharType="end"/>
      </w:r>
      <w:r w:rsidR="005339EE">
        <w:rPr>
          <w:noProof/>
          <w:sz w:val="22"/>
          <w:szCs w:val="22"/>
        </w:rPr>
        <w:t>.</w:t>
      </w:r>
      <w:r w:rsidRPr="00BD1F53">
        <w:rPr>
          <w:sz w:val="22"/>
          <w:szCs w:val="22"/>
        </w:rPr>
        <w:t xml:space="preserve"> The FITT Framework, developed by Ammenworth </w:t>
      </w:r>
      <w:r w:rsidRPr="00DB3DAA">
        <w:rPr>
          <w:sz w:val="22"/>
          <w:szCs w:val="22"/>
        </w:rPr>
        <w:t>et al</w:t>
      </w:r>
      <w:r w:rsidRPr="00BD1F53">
        <w:rPr>
          <w:sz w:val="22"/>
          <w:szCs w:val="22"/>
        </w:rPr>
        <w:t>. (2006)</w:t>
      </w:r>
      <w:bookmarkEnd w:id="7"/>
    </w:p>
    <w:p w14:paraId="6FDF1FB7" w14:textId="77777777" w:rsidR="00724BEB" w:rsidRDefault="00724BEB"/>
    <w:p w14:paraId="5DD2BDD1" w14:textId="33789A66" w:rsidR="00724BEB" w:rsidRDefault="00724BEB"/>
    <w:p w14:paraId="4DCE654C" w14:textId="62A2228C" w:rsidR="00C267DC" w:rsidRDefault="00C267DC" w:rsidP="00C267DC">
      <w:pPr>
        <w:spacing w:line="360" w:lineRule="auto"/>
        <w:jc w:val="both"/>
      </w:pPr>
      <w:r>
        <w:t xml:space="preserve">The concept of the </w:t>
      </w:r>
      <w:r w:rsidR="00811E71">
        <w:t>"</w:t>
      </w:r>
      <w:r w:rsidR="00F17252">
        <w:t>i</w:t>
      </w:r>
      <w:r>
        <w:t>ndividual</w:t>
      </w:r>
      <w:r w:rsidR="00811E71">
        <w:t>"</w:t>
      </w:r>
      <w:r>
        <w:t xml:space="preserve"> can represent an individual user or a user group</w:t>
      </w:r>
      <w:r w:rsidR="00194B4C">
        <w:t>.</w:t>
      </w:r>
      <w:r w:rsidR="009044CB">
        <w:t xml:space="preserve"> </w:t>
      </w:r>
      <w:r w:rsidR="00194B4C">
        <w:t>F</w:t>
      </w:r>
      <w:r w:rsidR="009044CB">
        <w:t>or</w:t>
      </w:r>
      <w:r>
        <w:t xml:space="preserve"> this assignment</w:t>
      </w:r>
      <w:r w:rsidR="009044CB">
        <w:t>,</w:t>
      </w:r>
      <w:r>
        <w:t xml:space="preserve"> the user group </w:t>
      </w:r>
      <w:r w:rsidR="0002379C">
        <w:t>is</w:t>
      </w:r>
      <w:r>
        <w:t xml:space="preserve"> the </w:t>
      </w:r>
      <w:r w:rsidR="001C0781">
        <w:t>multidisciplinary</w:t>
      </w:r>
      <w:r>
        <w:t xml:space="preserve"> team of clinicians involved in the medication management process</w:t>
      </w:r>
      <w:r w:rsidR="00CA1A49">
        <w:t xml:space="preserve"> </w:t>
      </w:r>
      <w:r w:rsidR="009044CB">
        <w:t>in</w:t>
      </w:r>
      <w:r w:rsidR="00CA1A49">
        <w:t xml:space="preserve"> the </w:t>
      </w:r>
      <w:r w:rsidR="001C0781">
        <w:t>inpatient</w:t>
      </w:r>
      <w:r w:rsidR="00CA1A49">
        <w:t xml:space="preserve"> wards</w:t>
      </w:r>
      <w:r w:rsidR="00194B4C">
        <w:t>,</w:t>
      </w:r>
      <w:r>
        <w:t xml:space="preserve"> </w:t>
      </w:r>
      <w:r w:rsidR="00194B4C">
        <w:t>including</w:t>
      </w:r>
      <w:r>
        <w:t xml:space="preserve"> registered nurses, </w:t>
      </w:r>
      <w:r w:rsidR="003B5814">
        <w:lastRenderedPageBreak/>
        <w:t>pharmacists,</w:t>
      </w:r>
      <w:r w:rsidR="00CA1A49">
        <w:t xml:space="preserve"> and</w:t>
      </w:r>
      <w:r>
        <w:t xml:space="preserve"> doctors, who have a range of roles</w:t>
      </w:r>
      <w:r w:rsidR="00B741F3">
        <w:t xml:space="preserve"> </w:t>
      </w:r>
      <w:r w:rsidR="003959F0">
        <w:t>notably medication</w:t>
      </w:r>
      <w:r>
        <w:t xml:space="preserve"> reconciliation, prescribing, </w:t>
      </w:r>
      <w:r w:rsidR="00DE24E8">
        <w:t>ordering,</w:t>
      </w:r>
      <w:r>
        <w:t xml:space="preserve"> and </w:t>
      </w:r>
      <w:r w:rsidR="00A23921">
        <w:t>administering</w:t>
      </w:r>
      <w:r w:rsidR="00A963C5">
        <w:t xml:space="preserve"> medication</w:t>
      </w:r>
      <w:r>
        <w:t xml:space="preserve">. </w:t>
      </w:r>
    </w:p>
    <w:p w14:paraId="142AB4C1" w14:textId="33FD1097" w:rsidR="009A26B5" w:rsidRDefault="009A26B5" w:rsidP="00C267DC">
      <w:pPr>
        <w:spacing w:line="360" w:lineRule="auto"/>
        <w:jc w:val="both"/>
      </w:pPr>
      <w:r>
        <w:t xml:space="preserve">The </w:t>
      </w:r>
      <w:r w:rsidR="00811E71">
        <w:t>"</w:t>
      </w:r>
      <w:r>
        <w:t>technology</w:t>
      </w:r>
      <w:r w:rsidR="00811E71">
        <w:t>"</w:t>
      </w:r>
      <w:r>
        <w:t xml:space="preserve"> concept can </w:t>
      </w:r>
      <w:r w:rsidR="009044CB">
        <w:t>represent</w:t>
      </w:r>
      <w:r>
        <w:t xml:space="preserve"> the tools required to accomplish the given task, including the hardware, </w:t>
      </w:r>
      <w:r w:rsidR="0023140C">
        <w:t>software,</w:t>
      </w:r>
      <w:r>
        <w:t xml:space="preserve"> and network.</w:t>
      </w:r>
      <w:r w:rsidR="00811E71">
        <w:t xml:space="preserve"> </w:t>
      </w:r>
      <w:r w:rsidR="0023140C">
        <w:t>Therefore</w:t>
      </w:r>
      <w:r w:rsidR="00B75664">
        <w:t>,</w:t>
      </w:r>
      <w:r w:rsidR="0023140C">
        <w:t xml:space="preserve"> the ePMA system</w:t>
      </w:r>
      <w:r w:rsidR="00B14544">
        <w:t>,</w:t>
      </w:r>
      <w:r w:rsidR="0023140C">
        <w:t xml:space="preserve"> the hardware</w:t>
      </w:r>
      <w:r w:rsidR="009044CB">
        <w:t>,</w:t>
      </w:r>
      <w:r w:rsidR="0023140C">
        <w:t xml:space="preserve"> including desktop and handheld devices</w:t>
      </w:r>
      <w:r w:rsidR="009044CB">
        <w:t>, the</w:t>
      </w:r>
      <w:r w:rsidR="0023140C">
        <w:t xml:space="preserve"> available </w:t>
      </w:r>
      <w:r w:rsidR="00F17252">
        <w:t>network</w:t>
      </w:r>
      <w:r w:rsidR="009044CB">
        <w:t>,</w:t>
      </w:r>
      <w:r w:rsidR="00F17252">
        <w:t xml:space="preserve"> </w:t>
      </w:r>
      <w:r w:rsidR="009044CB">
        <w:t>and</w:t>
      </w:r>
      <w:r w:rsidR="00B75664">
        <w:t xml:space="preserve"> </w:t>
      </w:r>
      <w:r w:rsidR="000739AF">
        <w:t>Wi-Fi</w:t>
      </w:r>
      <w:r w:rsidR="00175A3E">
        <w:t xml:space="preserve"> connections</w:t>
      </w:r>
      <w:r w:rsidR="0023140C">
        <w:t>.</w:t>
      </w:r>
      <w:r w:rsidR="00811E71">
        <w:t xml:space="preserve"> </w:t>
      </w:r>
      <w:r w:rsidR="009044CB">
        <w:t>However,</w:t>
      </w:r>
      <w:r w:rsidR="00B75664">
        <w:t xml:space="preserve"> Ammenwerth </w:t>
      </w:r>
      <w:r w:rsidR="00175A3E" w:rsidRPr="00DB3DAA">
        <w:rPr>
          <w:i/>
          <w:iCs/>
        </w:rPr>
        <w:t>et al</w:t>
      </w:r>
      <w:r w:rsidR="00175A3E" w:rsidRPr="00175A3E">
        <w:rPr>
          <w:i/>
          <w:iCs/>
        </w:rPr>
        <w:t>.</w:t>
      </w:r>
      <w:r w:rsidR="00175A3E">
        <w:t xml:space="preserve"> </w:t>
      </w:r>
      <w:r w:rsidR="00B75664">
        <w:t xml:space="preserve">(2006) </w:t>
      </w:r>
      <w:r w:rsidR="00A23921">
        <w:t>caution</w:t>
      </w:r>
      <w:r w:rsidR="00B75664">
        <w:t xml:space="preserve"> that the technology concept does not only comprise computer-based </w:t>
      </w:r>
      <w:r w:rsidR="000739AF">
        <w:t>tools,</w:t>
      </w:r>
      <w:r w:rsidR="00B75664">
        <w:t xml:space="preserve"> but all tools used by individuals to execute the task and</w:t>
      </w:r>
      <w:r w:rsidR="009044CB">
        <w:t>,</w:t>
      </w:r>
      <w:r w:rsidR="00B75664">
        <w:t xml:space="preserve"> therefore</w:t>
      </w:r>
      <w:r w:rsidR="009044CB">
        <w:t>,</w:t>
      </w:r>
      <w:r w:rsidR="00B75664">
        <w:t xml:space="preserve"> may include paper-based tools.</w:t>
      </w:r>
      <w:r w:rsidR="00811E71">
        <w:t xml:space="preserve"> </w:t>
      </w:r>
      <w:r w:rsidR="00B75664">
        <w:t>In this instance,</w:t>
      </w:r>
      <w:r w:rsidR="00923CEA">
        <w:t xml:space="preserve"> the </w:t>
      </w:r>
      <w:r w:rsidR="00B75664">
        <w:t xml:space="preserve">paper-based tools </w:t>
      </w:r>
      <w:r w:rsidR="00923CEA">
        <w:t xml:space="preserve">are </w:t>
      </w:r>
      <w:r w:rsidR="00B75664">
        <w:t>the supplementary medication charts</w:t>
      </w:r>
      <w:r w:rsidR="003B1A37">
        <w:t xml:space="preserve"> </w:t>
      </w:r>
      <w:r w:rsidR="00B75664">
        <w:t xml:space="preserve">for </w:t>
      </w:r>
      <w:r w:rsidR="003059E1">
        <w:t>administering</w:t>
      </w:r>
      <w:r w:rsidR="00B75664">
        <w:t xml:space="preserve"> intravenous </w:t>
      </w:r>
      <w:r w:rsidR="003B1A37">
        <w:t>infusions, continuous subcutaneous infusions, epidural charts, blood transfusion charts</w:t>
      </w:r>
      <w:r w:rsidR="00923CEA">
        <w:t xml:space="preserve">, and the </w:t>
      </w:r>
      <w:r w:rsidR="00194B4C">
        <w:t>patient's</w:t>
      </w:r>
      <w:r w:rsidR="00923CEA">
        <w:t xml:space="preserve"> medical records</w:t>
      </w:r>
      <w:r w:rsidR="00194B4C">
        <w:t xml:space="preserve">, </w:t>
      </w:r>
      <w:r w:rsidR="00F17252">
        <w:t xml:space="preserve">which </w:t>
      </w:r>
      <w:r w:rsidR="00194B4C">
        <w:t>are currently paper-based</w:t>
      </w:r>
      <w:r w:rsidR="00F17252">
        <w:t xml:space="preserve"> </w:t>
      </w:r>
      <w:r w:rsidR="00923CEA">
        <w:t>in NHS Wales</w:t>
      </w:r>
      <w:r w:rsidR="00F17252">
        <w:t xml:space="preserve">. </w:t>
      </w:r>
    </w:p>
    <w:p w14:paraId="34D49CB1" w14:textId="136FD86D" w:rsidR="00C04339" w:rsidRDefault="00F17252" w:rsidP="00C267DC">
      <w:pPr>
        <w:spacing w:line="360" w:lineRule="auto"/>
        <w:jc w:val="both"/>
      </w:pPr>
      <w:r>
        <w:t xml:space="preserve">The </w:t>
      </w:r>
      <w:r w:rsidR="00811E71">
        <w:t>"</w:t>
      </w:r>
      <w:r>
        <w:t>task</w:t>
      </w:r>
      <w:r w:rsidR="00811E71">
        <w:t>"</w:t>
      </w:r>
      <w:r>
        <w:t xml:space="preserve"> concept </w:t>
      </w:r>
      <w:r w:rsidR="002D79D3">
        <w:t xml:space="preserve">comprises the </w:t>
      </w:r>
      <w:r w:rsidR="00D540B3">
        <w:t>whole</w:t>
      </w:r>
      <w:r w:rsidR="002D79D3">
        <w:t xml:space="preserve"> task and working processes that </w:t>
      </w:r>
      <w:r w:rsidR="00F41967">
        <w:t>must</w:t>
      </w:r>
      <w:r w:rsidR="002D79D3">
        <w:t xml:space="preserve"> be completed by the user and supported by the given technology</w:t>
      </w:r>
      <w:r w:rsidR="00C04339">
        <w:t xml:space="preserve">. The ePMA system allows prescribers and administrators to prescribe and administer medication efficiently. </w:t>
      </w:r>
      <w:r w:rsidR="00171055">
        <w:t>Although many researchers (</w:t>
      </w:r>
      <w:r w:rsidR="008E79C1">
        <w:t xml:space="preserve">Nilsen, 2015; Greenhalgh </w:t>
      </w:r>
      <w:r w:rsidR="008E79C1" w:rsidRPr="008E79C1">
        <w:rPr>
          <w:i/>
          <w:iCs/>
        </w:rPr>
        <w:t>et al</w:t>
      </w:r>
      <w:r w:rsidR="008E79C1">
        <w:t xml:space="preserve">. 2005; and Wilson, </w:t>
      </w:r>
      <w:proofErr w:type="gramStart"/>
      <w:r w:rsidR="008E79C1">
        <w:t>Brady</w:t>
      </w:r>
      <w:proofErr w:type="gramEnd"/>
      <w:r w:rsidR="008E79C1">
        <w:t xml:space="preserve"> and Lesesne, 2011</w:t>
      </w:r>
      <w:r w:rsidR="00171055">
        <w:t xml:space="preserve">) focus on the aspect of </w:t>
      </w:r>
      <w:r w:rsidR="00811E71">
        <w:t>"</w:t>
      </w:r>
      <w:r w:rsidR="001C0781">
        <w:t>organisation</w:t>
      </w:r>
      <w:r w:rsidR="00811E71">
        <w:t>"</w:t>
      </w:r>
      <w:r w:rsidR="00171055">
        <w:t xml:space="preserve">, </w:t>
      </w:r>
      <w:r w:rsidR="00C04339">
        <w:t xml:space="preserve">according to </w:t>
      </w:r>
      <w:r w:rsidR="00D60AF2">
        <w:t xml:space="preserve">Ammenworth </w:t>
      </w:r>
      <w:r w:rsidR="00D60AF2" w:rsidRPr="00D60AF2">
        <w:rPr>
          <w:i/>
          <w:iCs/>
        </w:rPr>
        <w:t>et al.</w:t>
      </w:r>
      <w:r w:rsidR="00D60AF2">
        <w:t xml:space="preserve"> </w:t>
      </w:r>
      <w:r w:rsidR="00171055">
        <w:t>(2006)</w:t>
      </w:r>
      <w:r w:rsidR="00C04339">
        <w:t>,</w:t>
      </w:r>
      <w:r w:rsidR="00171055">
        <w:t xml:space="preserve"> the </w:t>
      </w:r>
      <w:r w:rsidR="001C0781">
        <w:t>organisational</w:t>
      </w:r>
      <w:r w:rsidR="00171055">
        <w:t xml:space="preserve"> aspect</w:t>
      </w:r>
      <w:r w:rsidR="00C04339">
        <w:t xml:space="preserve"> is part </w:t>
      </w:r>
      <w:r w:rsidR="00171055">
        <w:t xml:space="preserve">of the individual concept, as individuals </w:t>
      </w:r>
      <w:r w:rsidR="00C04339">
        <w:t xml:space="preserve">play different </w:t>
      </w:r>
      <w:r w:rsidR="00171055">
        <w:t xml:space="preserve">roles in the </w:t>
      </w:r>
      <w:r w:rsidR="001C0781">
        <w:t>organisation</w:t>
      </w:r>
      <w:r w:rsidR="00171055">
        <w:t>, or</w:t>
      </w:r>
      <w:r w:rsidR="00C04339">
        <w:t xml:space="preserve"> it is</w:t>
      </w:r>
      <w:r w:rsidR="00171055">
        <w:t xml:space="preserve"> part of the task concept</w:t>
      </w:r>
      <w:r w:rsidR="00C04339">
        <w:t xml:space="preserve"> since defined responsibilities are assigned to technical tasks. </w:t>
      </w:r>
    </w:p>
    <w:p w14:paraId="38F1A205" w14:textId="28E16379" w:rsidR="00DB3880" w:rsidRDefault="00DB3880"/>
    <w:p w14:paraId="2FE666A4" w14:textId="34FC6BAF" w:rsidR="00333111" w:rsidRPr="00333111" w:rsidRDefault="00845021" w:rsidP="00333111">
      <w:pPr>
        <w:pStyle w:val="Heading2"/>
      </w:pPr>
      <w:bookmarkStart w:id="8" w:name="_Toc128484301"/>
      <w:r>
        <w:t>Data Collection</w:t>
      </w:r>
      <w:bookmarkEnd w:id="8"/>
    </w:p>
    <w:p w14:paraId="66AAC522" w14:textId="4059A7E8" w:rsidR="005669ED" w:rsidRDefault="005669ED" w:rsidP="005669ED"/>
    <w:p w14:paraId="12989960" w14:textId="2ABBEAA5" w:rsidR="0025409D" w:rsidRDefault="005669ED" w:rsidP="0025409D">
      <w:pPr>
        <w:spacing w:line="360" w:lineRule="auto"/>
        <w:jc w:val="both"/>
      </w:pPr>
      <w:r>
        <w:t>Data</w:t>
      </w:r>
      <w:r w:rsidR="0056414C">
        <w:t xml:space="preserve"> for this critical analysis has been collected using multiple sources.</w:t>
      </w:r>
      <w:r w:rsidR="00811E71">
        <w:t xml:space="preserve"> </w:t>
      </w:r>
      <w:r w:rsidR="0056414C">
        <w:t>SBUHB published an evaluation document authored by Marc Thomas, Digital Programme Manager</w:t>
      </w:r>
      <w:r w:rsidR="00A23921">
        <w:t>,</w:t>
      </w:r>
      <w:r w:rsidR="0056414C">
        <w:t xml:space="preserve"> in July 2022 following </w:t>
      </w:r>
      <w:r w:rsidR="00A23921">
        <w:t>the</w:t>
      </w:r>
      <w:r w:rsidR="0056414C">
        <w:t xml:space="preserve"> implementation of the ePMA solution across NPT</w:t>
      </w:r>
      <w:r w:rsidR="00111F16">
        <w:t>H</w:t>
      </w:r>
      <w:r w:rsidR="0056414C">
        <w:t xml:space="preserve"> and Singleton.</w:t>
      </w:r>
      <w:r w:rsidR="00811E71">
        <w:t xml:space="preserve"> </w:t>
      </w:r>
      <w:r w:rsidR="00EF1CD2">
        <w:t>The evaluation provides detailed information relating to the implementation approach</w:t>
      </w:r>
      <w:r w:rsidR="00A23921">
        <w:t>.</w:t>
      </w:r>
      <w:r w:rsidR="00811E71">
        <w:t xml:space="preserve"> </w:t>
      </w:r>
      <w:r w:rsidR="00A23921">
        <w:t>This data</w:t>
      </w:r>
      <w:r w:rsidR="00EF1CD2">
        <w:t xml:space="preserve"> was collected </w:t>
      </w:r>
      <w:r w:rsidR="00333111">
        <w:t>pre-</w:t>
      </w:r>
      <w:r w:rsidR="00EF1CD2">
        <w:t xml:space="preserve"> and </w:t>
      </w:r>
      <w:r w:rsidR="00A23921">
        <w:t>post-implementation</w:t>
      </w:r>
      <w:r w:rsidR="00EF1CD2">
        <w:t xml:space="preserve">, </w:t>
      </w:r>
      <w:r w:rsidR="00A039DE">
        <w:t>including quantitative data</w:t>
      </w:r>
      <w:r w:rsidR="00EF1CD2">
        <w:t xml:space="preserve"> from the Datix incident reporting system</w:t>
      </w:r>
      <w:r w:rsidR="00153607">
        <w:t xml:space="preserve"> </w:t>
      </w:r>
      <w:r w:rsidR="00EF1CD2">
        <w:t>and time in motion studies.</w:t>
      </w:r>
      <w:r w:rsidR="002A629C">
        <w:t xml:space="preserve"> The Datix incident reporting system is a software application used in NHS Wales to manage and report </w:t>
      </w:r>
      <w:r w:rsidR="00A039DE">
        <w:t>incidents</w:t>
      </w:r>
      <w:r w:rsidR="002A629C">
        <w:t xml:space="preserve">, near misses and other safety events (Mushcab </w:t>
      </w:r>
      <w:r w:rsidR="002A629C" w:rsidRPr="00DB3DAA">
        <w:rPr>
          <w:i/>
          <w:iCs/>
        </w:rPr>
        <w:t>et al</w:t>
      </w:r>
      <w:r w:rsidR="002A629C">
        <w:t>. 2020).</w:t>
      </w:r>
      <w:r w:rsidR="00811E71">
        <w:t xml:space="preserve"> </w:t>
      </w:r>
      <w:r w:rsidR="00EF1CD2">
        <w:t>Qualitative data was collected using staff surveys, free text feedback and informal feedback captured verbally.</w:t>
      </w:r>
      <w:r w:rsidR="00B741F3">
        <w:t xml:space="preserve"> </w:t>
      </w:r>
      <w:r w:rsidR="0025409D">
        <w:t xml:space="preserve">A review of relevant literature was also conducted to enhance the data sourced through the evaluation document published by Thomas (2022). </w:t>
      </w:r>
    </w:p>
    <w:p w14:paraId="0D4195DA" w14:textId="6E471843" w:rsidR="00333111" w:rsidRDefault="00AD1E3D" w:rsidP="00333111">
      <w:pPr>
        <w:pStyle w:val="Heading3"/>
      </w:pPr>
      <w:bookmarkStart w:id="9" w:name="_Toc128484302"/>
      <w:r>
        <w:lastRenderedPageBreak/>
        <w:t>Pre-Implementation</w:t>
      </w:r>
      <w:r w:rsidR="00333111">
        <w:t xml:space="preserve"> data</w:t>
      </w:r>
      <w:bookmarkEnd w:id="9"/>
    </w:p>
    <w:p w14:paraId="0C14D295" w14:textId="22452D1F" w:rsidR="00143CBE" w:rsidRDefault="00194B4C" w:rsidP="00143CBE">
      <w:pPr>
        <w:spacing w:line="360" w:lineRule="auto"/>
        <w:jc w:val="both"/>
      </w:pPr>
      <w:r>
        <w:t>Pre-implementation</w:t>
      </w:r>
      <w:r w:rsidR="00D83E46">
        <w:t xml:space="preserve"> baseline</w:t>
      </w:r>
      <w:r w:rsidR="00143CBE" w:rsidRPr="00153607">
        <w:t xml:space="preserve"> data </w:t>
      </w:r>
      <w:r w:rsidR="00A039DE">
        <w:t>on</w:t>
      </w:r>
      <w:r w:rsidR="00143CBE" w:rsidRPr="00153607">
        <w:t xml:space="preserve"> medication incidents were captured using the Datix incident reporting system. There were 13 prescribing errors</w:t>
      </w:r>
      <w:r w:rsidR="00A039DE">
        <w:t>,</w:t>
      </w:r>
      <w:r w:rsidR="00143CBE" w:rsidRPr="00153607">
        <w:t xml:space="preserve"> and 74 administration errors reported, as per </w:t>
      </w:r>
      <w:r w:rsidR="00B741F3">
        <w:t>F</w:t>
      </w:r>
      <w:r w:rsidR="00143CBE" w:rsidRPr="00153607">
        <w:t xml:space="preserve">igure </w:t>
      </w:r>
      <w:r w:rsidR="001F7B33">
        <w:t>5</w:t>
      </w:r>
      <w:r w:rsidR="00143CBE" w:rsidRPr="00153607">
        <w:t>. However, the data displayed relies on individuals being aware of an error and self-reporting medication errors</w:t>
      </w:r>
      <w:r w:rsidR="00B741F3">
        <w:t>, t</w:t>
      </w:r>
      <w:r w:rsidR="00143CBE" w:rsidRPr="00153607">
        <w:t xml:space="preserve">herefore, the actual figures may be much higher. Pre-implementation data relating to the duration of medication rounds were captured through time in motion studies and the completion of data capture </w:t>
      </w:r>
      <w:r w:rsidR="00143CBE" w:rsidRPr="002E6D20">
        <w:t xml:space="preserve">forms completed by registered nurses recording the start and end times of their medication rounds, see Figure </w:t>
      </w:r>
      <w:r w:rsidR="001F7B33">
        <w:t>6</w:t>
      </w:r>
      <w:r w:rsidR="00143CBE" w:rsidRPr="002E6D20">
        <w:t>.</w:t>
      </w:r>
      <w:r w:rsidR="00143CBE">
        <w:t xml:space="preserve"> </w:t>
      </w:r>
    </w:p>
    <w:p w14:paraId="15DF585A" w14:textId="77777777" w:rsidR="00143CBE" w:rsidRDefault="00143CBE" w:rsidP="00143CBE">
      <w:pPr>
        <w:spacing w:line="360" w:lineRule="auto"/>
        <w:jc w:val="both"/>
      </w:pPr>
    </w:p>
    <w:p w14:paraId="3EF07D25" w14:textId="77777777" w:rsidR="002E6D20" w:rsidRDefault="00143CBE" w:rsidP="002E6D20">
      <w:pPr>
        <w:keepNext/>
        <w:spacing w:line="360" w:lineRule="auto"/>
        <w:jc w:val="both"/>
      </w:pPr>
      <w:r w:rsidRPr="002E6D20">
        <w:rPr>
          <w:noProof/>
        </w:rPr>
        <w:drawing>
          <wp:inline distT="0" distB="0" distL="0" distR="0" wp14:anchorId="542FF8FC" wp14:editId="4F6FCF63">
            <wp:extent cx="5731510" cy="1289050"/>
            <wp:effectExtent l="0" t="0" r="0" b="635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4"/>
                    <a:stretch>
                      <a:fillRect/>
                    </a:stretch>
                  </pic:blipFill>
                  <pic:spPr>
                    <a:xfrm>
                      <a:off x="0" y="0"/>
                      <a:ext cx="5731510" cy="1289050"/>
                    </a:xfrm>
                    <a:prstGeom prst="rect">
                      <a:avLst/>
                    </a:prstGeom>
                  </pic:spPr>
                </pic:pic>
              </a:graphicData>
            </a:graphic>
          </wp:inline>
        </w:drawing>
      </w:r>
    </w:p>
    <w:p w14:paraId="6AE01DE0" w14:textId="3FB77B5A" w:rsidR="00143CBE" w:rsidRPr="00C0258B" w:rsidRDefault="002E6D20" w:rsidP="002E6D20">
      <w:pPr>
        <w:pStyle w:val="Caption"/>
        <w:jc w:val="both"/>
        <w:rPr>
          <w:sz w:val="22"/>
          <w:szCs w:val="22"/>
          <w:highlight w:val="cyan"/>
        </w:rPr>
      </w:pPr>
      <w:bookmarkStart w:id="10" w:name="_Toc128735616"/>
      <w:r w:rsidRPr="00C0258B">
        <w:rPr>
          <w:sz w:val="22"/>
          <w:szCs w:val="22"/>
        </w:rPr>
        <w:t xml:space="preserve">Figure </w:t>
      </w:r>
      <w:r w:rsidR="00D72AEB" w:rsidRPr="00C0258B">
        <w:rPr>
          <w:sz w:val="22"/>
          <w:szCs w:val="22"/>
        </w:rPr>
        <w:fldChar w:fldCharType="begin"/>
      </w:r>
      <w:r w:rsidR="00D72AEB" w:rsidRPr="00C0258B">
        <w:rPr>
          <w:sz w:val="22"/>
          <w:szCs w:val="22"/>
        </w:rPr>
        <w:instrText xml:space="preserve"> SEQ Figure \* ARABIC </w:instrText>
      </w:r>
      <w:r w:rsidR="00D72AEB" w:rsidRPr="00C0258B">
        <w:rPr>
          <w:sz w:val="22"/>
          <w:szCs w:val="22"/>
        </w:rPr>
        <w:fldChar w:fldCharType="separate"/>
      </w:r>
      <w:r w:rsidR="001F7B33">
        <w:rPr>
          <w:noProof/>
          <w:sz w:val="22"/>
          <w:szCs w:val="22"/>
        </w:rPr>
        <w:t>3</w:t>
      </w:r>
      <w:r w:rsidR="00D72AEB" w:rsidRPr="00C0258B">
        <w:rPr>
          <w:noProof/>
          <w:sz w:val="22"/>
          <w:szCs w:val="22"/>
        </w:rPr>
        <w:fldChar w:fldCharType="end"/>
      </w:r>
      <w:r w:rsidR="005339EE">
        <w:rPr>
          <w:noProof/>
          <w:sz w:val="22"/>
          <w:szCs w:val="22"/>
        </w:rPr>
        <w:t>.</w:t>
      </w:r>
      <w:r w:rsidRPr="00C0258B">
        <w:rPr>
          <w:sz w:val="22"/>
          <w:szCs w:val="22"/>
        </w:rPr>
        <w:t xml:space="preserve"> Baseline number and type of medication error reported using the </w:t>
      </w:r>
      <w:r w:rsidR="00C0258B" w:rsidRPr="00C0258B">
        <w:rPr>
          <w:sz w:val="22"/>
          <w:szCs w:val="22"/>
        </w:rPr>
        <w:t>Datix</w:t>
      </w:r>
      <w:r w:rsidRPr="00C0258B">
        <w:rPr>
          <w:sz w:val="22"/>
          <w:szCs w:val="22"/>
        </w:rPr>
        <w:t xml:space="preserve"> incident reporting system pre-implementation</w:t>
      </w:r>
      <w:bookmarkEnd w:id="10"/>
    </w:p>
    <w:p w14:paraId="32E70274" w14:textId="77777777" w:rsidR="00143CBE" w:rsidRPr="00B17F65" w:rsidRDefault="00143CBE" w:rsidP="00143CBE">
      <w:pPr>
        <w:spacing w:line="360" w:lineRule="auto"/>
        <w:jc w:val="both"/>
        <w:rPr>
          <w:highlight w:val="cyan"/>
        </w:rPr>
      </w:pPr>
    </w:p>
    <w:p w14:paraId="2E338CE9" w14:textId="77777777" w:rsidR="002E6D20" w:rsidRDefault="00143CBE" w:rsidP="002E6D20">
      <w:pPr>
        <w:keepNext/>
        <w:spacing w:line="360" w:lineRule="auto"/>
        <w:jc w:val="both"/>
      </w:pPr>
      <w:r w:rsidRPr="00296337">
        <w:rPr>
          <w:noProof/>
        </w:rPr>
        <w:drawing>
          <wp:inline distT="0" distB="0" distL="0" distR="0" wp14:anchorId="0F73F2C4" wp14:editId="6E350EF5">
            <wp:extent cx="5731510" cy="1483995"/>
            <wp:effectExtent l="0" t="0" r="0" b="190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5"/>
                    <a:stretch>
                      <a:fillRect/>
                    </a:stretch>
                  </pic:blipFill>
                  <pic:spPr>
                    <a:xfrm>
                      <a:off x="0" y="0"/>
                      <a:ext cx="5731510" cy="1483995"/>
                    </a:xfrm>
                    <a:prstGeom prst="rect">
                      <a:avLst/>
                    </a:prstGeom>
                  </pic:spPr>
                </pic:pic>
              </a:graphicData>
            </a:graphic>
          </wp:inline>
        </w:drawing>
      </w:r>
    </w:p>
    <w:p w14:paraId="01B9E918" w14:textId="7D2CC815" w:rsidR="00143CBE" w:rsidRPr="00C0258B" w:rsidRDefault="002E6D20" w:rsidP="002E6D20">
      <w:pPr>
        <w:pStyle w:val="Caption"/>
        <w:jc w:val="both"/>
        <w:rPr>
          <w:sz w:val="22"/>
          <w:szCs w:val="22"/>
        </w:rPr>
      </w:pPr>
      <w:bookmarkStart w:id="11" w:name="_Toc128735617"/>
      <w:r w:rsidRPr="00C0258B">
        <w:rPr>
          <w:sz w:val="22"/>
          <w:szCs w:val="22"/>
        </w:rPr>
        <w:t xml:space="preserve">Figure </w:t>
      </w:r>
      <w:r w:rsidR="00D72AEB" w:rsidRPr="00C0258B">
        <w:rPr>
          <w:sz w:val="22"/>
          <w:szCs w:val="22"/>
        </w:rPr>
        <w:fldChar w:fldCharType="begin"/>
      </w:r>
      <w:r w:rsidR="00D72AEB" w:rsidRPr="00C0258B">
        <w:rPr>
          <w:sz w:val="22"/>
          <w:szCs w:val="22"/>
        </w:rPr>
        <w:instrText xml:space="preserve"> SEQ Figure \* ARABIC </w:instrText>
      </w:r>
      <w:r w:rsidR="00D72AEB" w:rsidRPr="00C0258B">
        <w:rPr>
          <w:sz w:val="22"/>
          <w:szCs w:val="22"/>
        </w:rPr>
        <w:fldChar w:fldCharType="separate"/>
      </w:r>
      <w:r w:rsidR="001F7B33">
        <w:rPr>
          <w:noProof/>
          <w:sz w:val="22"/>
          <w:szCs w:val="22"/>
        </w:rPr>
        <w:t>4</w:t>
      </w:r>
      <w:r w:rsidR="00D72AEB" w:rsidRPr="00C0258B">
        <w:rPr>
          <w:noProof/>
          <w:sz w:val="22"/>
          <w:szCs w:val="22"/>
        </w:rPr>
        <w:fldChar w:fldCharType="end"/>
      </w:r>
      <w:r w:rsidR="005339EE">
        <w:rPr>
          <w:noProof/>
          <w:sz w:val="22"/>
          <w:szCs w:val="22"/>
        </w:rPr>
        <w:t>.</w:t>
      </w:r>
      <w:r w:rsidRPr="00C0258B">
        <w:rPr>
          <w:sz w:val="22"/>
          <w:szCs w:val="22"/>
        </w:rPr>
        <w:t xml:space="preserve"> Baseline data showing </w:t>
      </w:r>
      <w:r w:rsidR="00A039DE">
        <w:rPr>
          <w:sz w:val="22"/>
          <w:szCs w:val="22"/>
        </w:rPr>
        <w:t xml:space="preserve">the </w:t>
      </w:r>
      <w:r w:rsidRPr="00C0258B">
        <w:rPr>
          <w:sz w:val="22"/>
          <w:szCs w:val="22"/>
        </w:rPr>
        <w:t>time taken to complete a medication round pre-implementation</w:t>
      </w:r>
      <w:bookmarkEnd w:id="11"/>
    </w:p>
    <w:p w14:paraId="3C31443C" w14:textId="77777777" w:rsidR="00143CBE" w:rsidRDefault="00143CBE" w:rsidP="005669ED">
      <w:pPr>
        <w:spacing w:line="360" w:lineRule="auto"/>
        <w:jc w:val="both"/>
      </w:pPr>
    </w:p>
    <w:p w14:paraId="6AF73F88" w14:textId="23A7CF35" w:rsidR="000A324E" w:rsidRDefault="00B56E37" w:rsidP="00B56E37">
      <w:pPr>
        <w:pStyle w:val="Heading3"/>
      </w:pPr>
      <w:bookmarkStart w:id="12" w:name="_Toc128484303"/>
      <w:r>
        <w:t>Post-implementation data collection</w:t>
      </w:r>
      <w:bookmarkEnd w:id="12"/>
      <w:r>
        <w:t xml:space="preserve"> </w:t>
      </w:r>
    </w:p>
    <w:p w14:paraId="057ADDCC" w14:textId="2AEF69ED" w:rsidR="007C0C09" w:rsidRDefault="009044CB" w:rsidP="005669ED">
      <w:pPr>
        <w:spacing w:line="360" w:lineRule="auto"/>
        <w:jc w:val="both"/>
      </w:pPr>
      <w:r>
        <w:t>As</w:t>
      </w:r>
      <w:r w:rsidR="00C52EAF">
        <w:t xml:space="preserve"> users of the ePMA have different tasks associated with the technology, different survey questions were </w:t>
      </w:r>
      <w:r>
        <w:t>issued</w:t>
      </w:r>
      <w:r w:rsidR="00C52EAF">
        <w:t xml:space="preserve"> to </w:t>
      </w:r>
      <w:r w:rsidR="00111F16">
        <w:t xml:space="preserve">each </w:t>
      </w:r>
      <w:r w:rsidR="00194B4C">
        <w:t>user</w:t>
      </w:r>
      <w:r>
        <w:t>,</w:t>
      </w:r>
      <w:r w:rsidR="00C52EAF">
        <w:t xml:space="preserve"> as seen in</w:t>
      </w:r>
      <w:r w:rsidR="00A66D75">
        <w:t xml:space="preserve"> </w:t>
      </w:r>
      <w:r>
        <w:t>Figures</w:t>
      </w:r>
      <w:r w:rsidR="007C0C09">
        <w:t xml:space="preserve"> </w:t>
      </w:r>
      <w:r w:rsidR="001F7B33">
        <w:t>7</w:t>
      </w:r>
      <w:r w:rsidR="00323D09">
        <w:t xml:space="preserve">, </w:t>
      </w:r>
      <w:r w:rsidR="001F7B33">
        <w:t>8</w:t>
      </w:r>
      <w:r w:rsidR="00323D09">
        <w:t xml:space="preserve"> and </w:t>
      </w:r>
      <w:r w:rsidR="001F7B33">
        <w:t>9</w:t>
      </w:r>
      <w:r w:rsidR="007479FA">
        <w:t>.</w:t>
      </w:r>
      <w:r w:rsidR="00811E71">
        <w:t xml:space="preserve"> </w:t>
      </w:r>
      <w:r w:rsidR="007479FA">
        <w:t xml:space="preserve">Users were </w:t>
      </w:r>
      <w:r w:rsidR="001C0781">
        <w:t>categorised</w:t>
      </w:r>
      <w:r w:rsidR="007479FA">
        <w:t xml:space="preserve"> into three groups for qualitative data collection</w:t>
      </w:r>
      <w:r w:rsidR="00143CBE">
        <w:t>;</w:t>
      </w:r>
      <w:r w:rsidR="007479FA">
        <w:t xml:space="preserve"> prescribers (medical and non-medical</w:t>
      </w:r>
      <w:r w:rsidR="00C24D00">
        <w:t>)</w:t>
      </w:r>
      <w:r w:rsidR="007479FA">
        <w:t>, nursing staff and pharmacists.</w:t>
      </w:r>
      <w:r w:rsidR="00811E71">
        <w:t xml:space="preserve"> </w:t>
      </w:r>
      <w:r w:rsidR="00A66D75">
        <w:t xml:space="preserve">Respondents were asked to; strongly agree, agree, neither agree nor disagree, </w:t>
      </w:r>
      <w:r w:rsidR="00EB2A76">
        <w:t>disagree,</w:t>
      </w:r>
      <w:r w:rsidR="00A66D75">
        <w:t xml:space="preserve"> or strongly disagree with the statements and to provide free text feedback</w:t>
      </w:r>
      <w:r w:rsidR="007479FA">
        <w:t xml:space="preserve"> regarding the ePMA system. </w:t>
      </w:r>
      <w:r w:rsidR="00A66D75">
        <w:t xml:space="preserve"> </w:t>
      </w:r>
    </w:p>
    <w:p w14:paraId="3CC96148" w14:textId="1C317545" w:rsidR="00DB0010" w:rsidRDefault="00DB0010" w:rsidP="005669ED">
      <w:pPr>
        <w:spacing w:line="360" w:lineRule="auto"/>
        <w:jc w:val="both"/>
      </w:pPr>
      <w:r>
        <w:lastRenderedPageBreak/>
        <w:t>Quantitative data was collect</w:t>
      </w:r>
      <w:r w:rsidR="00C24D00">
        <w:t>ed</w:t>
      </w:r>
      <w:r>
        <w:t xml:space="preserve"> using the </w:t>
      </w:r>
      <w:r w:rsidR="00C00608">
        <w:t>D</w:t>
      </w:r>
      <w:r>
        <w:t xml:space="preserve">atix incident reporting system to ascertain the baseline number of medication errors </w:t>
      </w:r>
      <w:r w:rsidR="003C54B0">
        <w:t>before</w:t>
      </w:r>
      <w:r>
        <w:t xml:space="preserve"> ePMA </w:t>
      </w:r>
      <w:r w:rsidR="000739AF">
        <w:t>implementation</w:t>
      </w:r>
      <w:r>
        <w:t xml:space="preserve"> and subsequently at agreed intervals following implementation to understand causality</w:t>
      </w:r>
      <w:r w:rsidR="00C00608">
        <w:t xml:space="preserve">, </w:t>
      </w:r>
      <w:r w:rsidR="00C24D00">
        <w:t>changes,</w:t>
      </w:r>
      <w:r>
        <w:t xml:space="preserve"> and trends. </w:t>
      </w:r>
    </w:p>
    <w:p w14:paraId="31724D12" w14:textId="09036C35" w:rsidR="00111F16" w:rsidRDefault="00111F16" w:rsidP="005669ED">
      <w:pPr>
        <w:spacing w:line="360" w:lineRule="auto"/>
        <w:jc w:val="both"/>
      </w:pPr>
    </w:p>
    <w:p w14:paraId="0D73D586" w14:textId="77777777" w:rsidR="00913DB2" w:rsidRDefault="00A66D75" w:rsidP="00913DB2">
      <w:pPr>
        <w:keepNext/>
        <w:spacing w:line="360" w:lineRule="auto"/>
        <w:jc w:val="center"/>
      </w:pPr>
      <w:r w:rsidRPr="00A66D75">
        <w:rPr>
          <w:noProof/>
        </w:rPr>
        <w:drawing>
          <wp:inline distT="0" distB="0" distL="0" distR="0" wp14:anchorId="1D0083D0" wp14:editId="63562C2B">
            <wp:extent cx="2371725" cy="2808424"/>
            <wp:effectExtent l="0" t="0" r="3175" b="0"/>
            <wp:docPr id="9" name="Picture 9"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table&#10;&#10;Description automatically generated with medium confidence"/>
                    <pic:cNvPicPr/>
                  </pic:nvPicPr>
                  <pic:blipFill>
                    <a:blip r:embed="rId16"/>
                    <a:stretch>
                      <a:fillRect/>
                    </a:stretch>
                  </pic:blipFill>
                  <pic:spPr>
                    <a:xfrm>
                      <a:off x="0" y="0"/>
                      <a:ext cx="2420819" cy="2866557"/>
                    </a:xfrm>
                    <a:prstGeom prst="rect">
                      <a:avLst/>
                    </a:prstGeom>
                  </pic:spPr>
                </pic:pic>
              </a:graphicData>
            </a:graphic>
          </wp:inline>
        </w:drawing>
      </w:r>
    </w:p>
    <w:p w14:paraId="56F09BF7" w14:textId="55AEAAFB" w:rsidR="00A66D75" w:rsidRPr="0025409D" w:rsidRDefault="00913DB2" w:rsidP="00913DB2">
      <w:pPr>
        <w:pStyle w:val="Caption"/>
        <w:jc w:val="center"/>
        <w:rPr>
          <w:sz w:val="22"/>
          <w:szCs w:val="22"/>
        </w:rPr>
      </w:pPr>
      <w:bookmarkStart w:id="13" w:name="_Toc128735618"/>
      <w:r w:rsidRPr="0025409D">
        <w:rPr>
          <w:sz w:val="22"/>
          <w:szCs w:val="22"/>
        </w:rPr>
        <w:t xml:space="preserve">Figure </w:t>
      </w:r>
      <w:r w:rsidR="00D72AEB" w:rsidRPr="0025409D">
        <w:rPr>
          <w:sz w:val="22"/>
          <w:szCs w:val="22"/>
        </w:rPr>
        <w:fldChar w:fldCharType="begin"/>
      </w:r>
      <w:r w:rsidR="00D72AEB" w:rsidRPr="0025409D">
        <w:rPr>
          <w:sz w:val="22"/>
          <w:szCs w:val="22"/>
        </w:rPr>
        <w:instrText xml:space="preserve"> SEQ Figure \* ARABIC </w:instrText>
      </w:r>
      <w:r w:rsidR="00D72AEB" w:rsidRPr="0025409D">
        <w:rPr>
          <w:sz w:val="22"/>
          <w:szCs w:val="22"/>
        </w:rPr>
        <w:fldChar w:fldCharType="separate"/>
      </w:r>
      <w:r w:rsidR="001F7B33">
        <w:rPr>
          <w:noProof/>
          <w:sz w:val="22"/>
          <w:szCs w:val="22"/>
        </w:rPr>
        <w:t>5</w:t>
      </w:r>
      <w:r w:rsidR="00D72AEB" w:rsidRPr="0025409D">
        <w:rPr>
          <w:noProof/>
          <w:sz w:val="22"/>
          <w:szCs w:val="22"/>
        </w:rPr>
        <w:fldChar w:fldCharType="end"/>
      </w:r>
      <w:r w:rsidRPr="0025409D">
        <w:rPr>
          <w:sz w:val="22"/>
          <w:szCs w:val="22"/>
        </w:rPr>
        <w:t xml:space="preserve">. Survey questions </w:t>
      </w:r>
      <w:r w:rsidR="004E0C98">
        <w:rPr>
          <w:sz w:val="22"/>
          <w:szCs w:val="22"/>
        </w:rPr>
        <w:t>issued</w:t>
      </w:r>
      <w:r w:rsidRPr="0025409D">
        <w:rPr>
          <w:sz w:val="22"/>
          <w:szCs w:val="22"/>
        </w:rPr>
        <w:t xml:space="preserve"> to prescribers (medical and non-medical)</w:t>
      </w:r>
      <w:bookmarkEnd w:id="13"/>
    </w:p>
    <w:p w14:paraId="4224ABFC" w14:textId="13E6B3FF" w:rsidR="00A66D75" w:rsidRDefault="00A66D75" w:rsidP="005669ED">
      <w:pPr>
        <w:spacing w:line="360" w:lineRule="auto"/>
        <w:jc w:val="both"/>
      </w:pPr>
    </w:p>
    <w:p w14:paraId="73102193" w14:textId="77777777" w:rsidR="00A66D75" w:rsidRDefault="00A66D75" w:rsidP="005669ED">
      <w:pPr>
        <w:spacing w:line="360" w:lineRule="auto"/>
        <w:jc w:val="both"/>
      </w:pPr>
    </w:p>
    <w:p w14:paraId="585F006A" w14:textId="77777777" w:rsidR="00913DB2" w:rsidRPr="0025409D" w:rsidRDefault="00A66D75" w:rsidP="00913DB2">
      <w:pPr>
        <w:keepNext/>
        <w:spacing w:line="360" w:lineRule="auto"/>
        <w:jc w:val="center"/>
        <w:rPr>
          <w:sz w:val="22"/>
          <w:szCs w:val="22"/>
        </w:rPr>
      </w:pPr>
      <w:r w:rsidRPr="0025409D">
        <w:rPr>
          <w:noProof/>
          <w:sz w:val="22"/>
          <w:szCs w:val="22"/>
        </w:rPr>
        <w:drawing>
          <wp:inline distT="0" distB="0" distL="0" distR="0" wp14:anchorId="6E9583BB" wp14:editId="0510E003">
            <wp:extent cx="2352536" cy="2718486"/>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7"/>
                    <a:stretch>
                      <a:fillRect/>
                    </a:stretch>
                  </pic:blipFill>
                  <pic:spPr>
                    <a:xfrm>
                      <a:off x="0" y="0"/>
                      <a:ext cx="2406045" cy="2780319"/>
                    </a:xfrm>
                    <a:prstGeom prst="rect">
                      <a:avLst/>
                    </a:prstGeom>
                  </pic:spPr>
                </pic:pic>
              </a:graphicData>
            </a:graphic>
          </wp:inline>
        </w:drawing>
      </w:r>
    </w:p>
    <w:p w14:paraId="14940220" w14:textId="49C799CE" w:rsidR="00A66D75" w:rsidRPr="0025409D" w:rsidRDefault="00913DB2" w:rsidP="00913DB2">
      <w:pPr>
        <w:pStyle w:val="Caption"/>
        <w:jc w:val="center"/>
        <w:rPr>
          <w:sz w:val="22"/>
          <w:szCs w:val="22"/>
        </w:rPr>
      </w:pPr>
      <w:bookmarkStart w:id="14" w:name="_Toc128735619"/>
      <w:r w:rsidRPr="0025409D">
        <w:rPr>
          <w:sz w:val="22"/>
          <w:szCs w:val="22"/>
        </w:rPr>
        <w:t xml:space="preserve">Figure </w:t>
      </w:r>
      <w:r w:rsidR="00D72AEB" w:rsidRPr="0025409D">
        <w:rPr>
          <w:sz w:val="22"/>
          <w:szCs w:val="22"/>
        </w:rPr>
        <w:fldChar w:fldCharType="begin"/>
      </w:r>
      <w:r w:rsidR="00D72AEB" w:rsidRPr="0025409D">
        <w:rPr>
          <w:sz w:val="22"/>
          <w:szCs w:val="22"/>
        </w:rPr>
        <w:instrText xml:space="preserve"> SEQ Figure \* ARABIC </w:instrText>
      </w:r>
      <w:r w:rsidR="00D72AEB" w:rsidRPr="0025409D">
        <w:rPr>
          <w:sz w:val="22"/>
          <w:szCs w:val="22"/>
        </w:rPr>
        <w:fldChar w:fldCharType="separate"/>
      </w:r>
      <w:r w:rsidR="001F7B33">
        <w:rPr>
          <w:noProof/>
          <w:sz w:val="22"/>
          <w:szCs w:val="22"/>
        </w:rPr>
        <w:t>6</w:t>
      </w:r>
      <w:r w:rsidR="00D72AEB" w:rsidRPr="0025409D">
        <w:rPr>
          <w:noProof/>
          <w:sz w:val="22"/>
          <w:szCs w:val="22"/>
        </w:rPr>
        <w:fldChar w:fldCharType="end"/>
      </w:r>
      <w:r w:rsidRPr="0025409D">
        <w:rPr>
          <w:sz w:val="22"/>
          <w:szCs w:val="22"/>
        </w:rPr>
        <w:t>. Survey questions issue</w:t>
      </w:r>
      <w:r w:rsidR="004D2BA1">
        <w:rPr>
          <w:sz w:val="22"/>
          <w:szCs w:val="22"/>
        </w:rPr>
        <w:t>d</w:t>
      </w:r>
      <w:r w:rsidRPr="0025409D">
        <w:rPr>
          <w:sz w:val="22"/>
          <w:szCs w:val="22"/>
        </w:rPr>
        <w:t xml:space="preserve"> to registered nurses</w:t>
      </w:r>
      <w:bookmarkEnd w:id="14"/>
    </w:p>
    <w:p w14:paraId="2AB73B09" w14:textId="52607F44" w:rsidR="00A66D75" w:rsidRDefault="00A66D75" w:rsidP="005669ED">
      <w:pPr>
        <w:spacing w:line="360" w:lineRule="auto"/>
        <w:jc w:val="both"/>
      </w:pPr>
    </w:p>
    <w:p w14:paraId="212A3BC6" w14:textId="6C43DF7D" w:rsidR="00A66D75" w:rsidRDefault="00A66D75" w:rsidP="005669ED">
      <w:pPr>
        <w:spacing w:line="360" w:lineRule="auto"/>
        <w:jc w:val="both"/>
      </w:pPr>
    </w:p>
    <w:p w14:paraId="7903DEE4" w14:textId="77777777" w:rsidR="009D2F06" w:rsidRPr="0025409D" w:rsidRDefault="00A66D75" w:rsidP="009D2F06">
      <w:pPr>
        <w:keepNext/>
        <w:spacing w:line="360" w:lineRule="auto"/>
        <w:jc w:val="center"/>
        <w:rPr>
          <w:sz w:val="22"/>
          <w:szCs w:val="22"/>
        </w:rPr>
      </w:pPr>
      <w:r w:rsidRPr="00A66D75">
        <w:rPr>
          <w:noProof/>
        </w:rPr>
        <w:lastRenderedPageBreak/>
        <w:drawing>
          <wp:inline distT="0" distB="0" distL="0" distR="0" wp14:anchorId="7AC38FF9" wp14:editId="5D4C2770">
            <wp:extent cx="2298356" cy="3210403"/>
            <wp:effectExtent l="0" t="0" r="635" b="317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8"/>
                    <a:stretch>
                      <a:fillRect/>
                    </a:stretch>
                  </pic:blipFill>
                  <pic:spPr>
                    <a:xfrm>
                      <a:off x="0" y="0"/>
                      <a:ext cx="2381712" cy="3326837"/>
                    </a:xfrm>
                    <a:prstGeom prst="rect">
                      <a:avLst/>
                    </a:prstGeom>
                  </pic:spPr>
                </pic:pic>
              </a:graphicData>
            </a:graphic>
          </wp:inline>
        </w:drawing>
      </w:r>
    </w:p>
    <w:p w14:paraId="03CC419E" w14:textId="1BBF8937" w:rsidR="002F779C" w:rsidRPr="0025409D" w:rsidRDefault="009D2F06" w:rsidP="009D2F06">
      <w:pPr>
        <w:pStyle w:val="Caption"/>
        <w:jc w:val="center"/>
        <w:rPr>
          <w:sz w:val="22"/>
          <w:szCs w:val="22"/>
        </w:rPr>
      </w:pPr>
      <w:bookmarkStart w:id="15" w:name="_Toc128735620"/>
      <w:r w:rsidRPr="0025409D">
        <w:rPr>
          <w:sz w:val="22"/>
          <w:szCs w:val="22"/>
        </w:rPr>
        <w:t xml:space="preserve">Figure </w:t>
      </w:r>
      <w:r w:rsidR="00D72AEB" w:rsidRPr="0025409D">
        <w:rPr>
          <w:sz w:val="22"/>
          <w:szCs w:val="22"/>
        </w:rPr>
        <w:fldChar w:fldCharType="begin"/>
      </w:r>
      <w:r w:rsidR="00D72AEB" w:rsidRPr="0025409D">
        <w:rPr>
          <w:sz w:val="22"/>
          <w:szCs w:val="22"/>
        </w:rPr>
        <w:instrText xml:space="preserve"> SEQ Figure \* ARABIC </w:instrText>
      </w:r>
      <w:r w:rsidR="00D72AEB" w:rsidRPr="0025409D">
        <w:rPr>
          <w:sz w:val="22"/>
          <w:szCs w:val="22"/>
        </w:rPr>
        <w:fldChar w:fldCharType="separate"/>
      </w:r>
      <w:r w:rsidR="001F7B33">
        <w:rPr>
          <w:noProof/>
          <w:sz w:val="22"/>
          <w:szCs w:val="22"/>
        </w:rPr>
        <w:t>7</w:t>
      </w:r>
      <w:r w:rsidR="00D72AEB" w:rsidRPr="0025409D">
        <w:rPr>
          <w:noProof/>
          <w:sz w:val="22"/>
          <w:szCs w:val="22"/>
        </w:rPr>
        <w:fldChar w:fldCharType="end"/>
      </w:r>
      <w:r w:rsidRPr="0025409D">
        <w:rPr>
          <w:sz w:val="22"/>
          <w:szCs w:val="22"/>
        </w:rPr>
        <w:t>. Survey questions issue</w:t>
      </w:r>
      <w:r w:rsidR="004D2BA1">
        <w:rPr>
          <w:sz w:val="22"/>
          <w:szCs w:val="22"/>
        </w:rPr>
        <w:t>d</w:t>
      </w:r>
      <w:r w:rsidRPr="0025409D">
        <w:rPr>
          <w:sz w:val="22"/>
          <w:szCs w:val="22"/>
        </w:rPr>
        <w:t xml:space="preserve"> to pharmacists</w:t>
      </w:r>
      <w:bookmarkEnd w:id="15"/>
    </w:p>
    <w:p w14:paraId="7BE3408E" w14:textId="77777777" w:rsidR="00111F16" w:rsidRDefault="00111F16" w:rsidP="003C39E9">
      <w:pPr>
        <w:spacing w:line="360" w:lineRule="auto"/>
        <w:jc w:val="both"/>
      </w:pPr>
    </w:p>
    <w:p w14:paraId="45C72637" w14:textId="0411EA9E" w:rsidR="00485AC2" w:rsidRDefault="00485AC2" w:rsidP="00FC1399">
      <w:pPr>
        <w:spacing w:line="360" w:lineRule="auto"/>
        <w:jc w:val="both"/>
      </w:pPr>
    </w:p>
    <w:p w14:paraId="21DE44C3" w14:textId="4EFD91AE" w:rsidR="00485AC2" w:rsidRDefault="004C0E17" w:rsidP="00485AC2">
      <w:pPr>
        <w:pStyle w:val="Heading3"/>
      </w:pPr>
      <w:bookmarkStart w:id="16" w:name="_Toc128484304"/>
      <w:r>
        <w:t>Literature Review, Search Strategy</w:t>
      </w:r>
      <w:bookmarkEnd w:id="16"/>
    </w:p>
    <w:p w14:paraId="1F9A0383" w14:textId="3C944333" w:rsidR="00485AC2" w:rsidRDefault="00485AC2" w:rsidP="004C0E17">
      <w:pPr>
        <w:spacing w:line="360" w:lineRule="auto"/>
        <w:jc w:val="both"/>
      </w:pPr>
      <w:r>
        <w:t xml:space="preserve">The initial search was carried out using google scholar, using the phrase "electronic medicines management systems". A further search was </w:t>
      </w:r>
      <w:r w:rsidR="00E52948">
        <w:t xml:space="preserve">conducted </w:t>
      </w:r>
      <w:r>
        <w:t xml:space="preserve">using PubMed, Embase and Medline, using the keywords; "prescribing', "admin*", "midic*", and "health information system" truncation technique was used to broaden the search, and Boolean operators were utilised to enhance the specificity. Exclusion criteria were </w:t>
      </w:r>
      <w:r w:rsidR="007F1DCC">
        <w:t>applied,</w:t>
      </w:r>
      <w:r w:rsidR="000D1DB3">
        <w:t xml:space="preserve"> </w:t>
      </w:r>
      <w:r w:rsidR="00B741F3">
        <w:t xml:space="preserve">with </w:t>
      </w:r>
      <w:r w:rsidR="000D1DB3">
        <w:t>a</w:t>
      </w:r>
      <w:r>
        <w:t xml:space="preserve">rticles not published in English, relevant, duplicated or written before 2012 excluded. </w:t>
      </w:r>
    </w:p>
    <w:p w14:paraId="10D938BF" w14:textId="77777777" w:rsidR="00FD4194" w:rsidRDefault="00FD4194" w:rsidP="005E10B5">
      <w:pPr>
        <w:pStyle w:val="Heading2"/>
      </w:pPr>
    </w:p>
    <w:p w14:paraId="3CCC8528" w14:textId="0AB65B4C" w:rsidR="00CD3BF4" w:rsidRPr="00FD4194" w:rsidRDefault="00CD3BF4" w:rsidP="00FD4194">
      <w:pPr>
        <w:pStyle w:val="Heading2"/>
      </w:pPr>
      <w:bookmarkStart w:id="17" w:name="_Toc128484305"/>
      <w:r w:rsidRPr="00FD4194">
        <w:t>Results</w:t>
      </w:r>
      <w:bookmarkEnd w:id="17"/>
    </w:p>
    <w:p w14:paraId="0836832E" w14:textId="2E533C60" w:rsidR="00045F07" w:rsidRDefault="00045F07"/>
    <w:p w14:paraId="670D1F97" w14:textId="3796230E" w:rsidR="00FC1399" w:rsidRPr="00FC1399" w:rsidRDefault="00045F07" w:rsidP="004C0E17">
      <w:pPr>
        <w:spacing w:line="360" w:lineRule="auto"/>
        <w:jc w:val="both"/>
      </w:pPr>
      <w:r>
        <w:t xml:space="preserve">The FITT framework was applied to </w:t>
      </w:r>
      <w:r w:rsidR="008E50C6">
        <w:t xml:space="preserve">the findings from the evaluation </w:t>
      </w:r>
      <w:r w:rsidR="00F93B6E">
        <w:t xml:space="preserve">and literature review </w:t>
      </w:r>
      <w:r w:rsidR="008E50C6">
        <w:t xml:space="preserve">(Thomas, 2022) to </w:t>
      </w:r>
      <w:r>
        <w:t xml:space="preserve">assess the relationships between users, </w:t>
      </w:r>
      <w:r w:rsidR="003C54B0">
        <w:t>tasks</w:t>
      </w:r>
      <w:r>
        <w:t>, and technology</w:t>
      </w:r>
      <w:r w:rsidR="00C52EAF">
        <w:t xml:space="preserve"> based on the responses to the survey</w:t>
      </w:r>
      <w:r w:rsidR="00F93B6E">
        <w:t>,</w:t>
      </w:r>
      <w:r w:rsidR="00E169B9">
        <w:t xml:space="preserve"> free text feedback</w:t>
      </w:r>
      <w:r w:rsidR="00F93B6E">
        <w:t xml:space="preserve"> and relevant literature</w:t>
      </w:r>
      <w:r>
        <w:t>.</w:t>
      </w:r>
      <w:r w:rsidR="00811E71">
        <w:t xml:space="preserve"> </w:t>
      </w:r>
      <w:r w:rsidR="0030113C">
        <w:t>The author acknowledges the diverse role of the users discussed</w:t>
      </w:r>
      <w:r w:rsidR="003C54B0">
        <w:t>.</w:t>
      </w:r>
      <w:r w:rsidR="00811E71">
        <w:t xml:space="preserve"> </w:t>
      </w:r>
      <w:r w:rsidR="003C54B0">
        <w:t>However</w:t>
      </w:r>
      <w:r w:rsidR="0030113C">
        <w:t xml:space="preserve">, discussing the full </w:t>
      </w:r>
      <w:r w:rsidR="003C54B0">
        <w:t>function</w:t>
      </w:r>
      <w:r w:rsidR="0030113C">
        <w:t xml:space="preserve"> of any clinical professional is beyond the remit of this assignment</w:t>
      </w:r>
      <w:r w:rsidR="003C54B0">
        <w:t>.</w:t>
      </w:r>
      <w:r w:rsidR="00811E71">
        <w:t xml:space="preserve"> </w:t>
      </w:r>
      <w:r w:rsidR="003C54B0">
        <w:t>It, therefore, will</w:t>
      </w:r>
      <w:r w:rsidR="0030113C">
        <w:t xml:space="preserve"> focus on the </w:t>
      </w:r>
      <w:r w:rsidR="00811E71">
        <w:t>user's</w:t>
      </w:r>
      <w:r w:rsidR="003C54B0">
        <w:t xml:space="preserve"> role relevant to</w:t>
      </w:r>
      <w:r w:rsidR="0030113C">
        <w:t xml:space="preserve"> using the ePMA system and associated technology.</w:t>
      </w:r>
    </w:p>
    <w:p w14:paraId="1446C1D0" w14:textId="79861330" w:rsidR="00045F07" w:rsidRDefault="00045F07" w:rsidP="00045F07">
      <w:pPr>
        <w:spacing w:line="360" w:lineRule="auto"/>
        <w:jc w:val="both"/>
      </w:pPr>
    </w:p>
    <w:p w14:paraId="279B1558" w14:textId="694143F2" w:rsidR="00045F07" w:rsidRDefault="00045F07" w:rsidP="00FC1399">
      <w:pPr>
        <w:pStyle w:val="Heading3"/>
        <w:rPr>
          <w:i/>
          <w:iCs/>
        </w:rPr>
      </w:pPr>
      <w:bookmarkStart w:id="18" w:name="_Toc128484306"/>
      <w:r w:rsidRPr="00FC1399">
        <w:rPr>
          <w:i/>
          <w:iCs/>
        </w:rPr>
        <w:lastRenderedPageBreak/>
        <w:t>FITT: Prescribers (medical and non-medical), task and technology</w:t>
      </w:r>
      <w:bookmarkEnd w:id="18"/>
    </w:p>
    <w:p w14:paraId="07D87EF2" w14:textId="77777777" w:rsidR="009D2F06" w:rsidRPr="009D2F06" w:rsidRDefault="009D2F06" w:rsidP="009D2F06"/>
    <w:p w14:paraId="638AC7BF" w14:textId="77777777" w:rsidR="009D2F06" w:rsidRDefault="00120949" w:rsidP="009D2F06">
      <w:pPr>
        <w:keepNext/>
        <w:spacing w:line="360" w:lineRule="auto"/>
        <w:jc w:val="center"/>
      </w:pPr>
      <w:r w:rsidRPr="00120949">
        <w:rPr>
          <w:noProof/>
        </w:rPr>
        <w:drawing>
          <wp:inline distT="0" distB="0" distL="0" distR="0" wp14:anchorId="51E6E0E2" wp14:editId="12362FFA">
            <wp:extent cx="4767943" cy="2767914"/>
            <wp:effectExtent l="0" t="0" r="0" b="127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9"/>
                    <a:stretch>
                      <a:fillRect/>
                    </a:stretch>
                  </pic:blipFill>
                  <pic:spPr>
                    <a:xfrm>
                      <a:off x="0" y="0"/>
                      <a:ext cx="4877477" cy="2831501"/>
                    </a:xfrm>
                    <a:prstGeom prst="rect">
                      <a:avLst/>
                    </a:prstGeom>
                  </pic:spPr>
                </pic:pic>
              </a:graphicData>
            </a:graphic>
          </wp:inline>
        </w:drawing>
      </w:r>
    </w:p>
    <w:p w14:paraId="40BDB930" w14:textId="0AD75A37" w:rsidR="00120949" w:rsidRPr="00D97E7E" w:rsidRDefault="009D2F06" w:rsidP="009D2F06">
      <w:pPr>
        <w:pStyle w:val="Caption"/>
        <w:jc w:val="center"/>
        <w:rPr>
          <w:sz w:val="22"/>
          <w:szCs w:val="22"/>
        </w:rPr>
      </w:pPr>
      <w:bookmarkStart w:id="19" w:name="_Toc128735621"/>
      <w:r w:rsidRPr="00D97E7E">
        <w:rPr>
          <w:sz w:val="22"/>
          <w:szCs w:val="22"/>
        </w:rPr>
        <w:t xml:space="preserve">Figure </w:t>
      </w:r>
      <w:r w:rsidR="00D72AEB" w:rsidRPr="00D97E7E">
        <w:rPr>
          <w:sz w:val="22"/>
          <w:szCs w:val="22"/>
        </w:rPr>
        <w:fldChar w:fldCharType="begin"/>
      </w:r>
      <w:r w:rsidR="00D72AEB" w:rsidRPr="00D97E7E">
        <w:rPr>
          <w:sz w:val="22"/>
          <w:szCs w:val="22"/>
        </w:rPr>
        <w:instrText xml:space="preserve"> SEQ Figure \* ARABIC </w:instrText>
      </w:r>
      <w:r w:rsidR="00D72AEB" w:rsidRPr="00D97E7E">
        <w:rPr>
          <w:sz w:val="22"/>
          <w:szCs w:val="22"/>
        </w:rPr>
        <w:fldChar w:fldCharType="separate"/>
      </w:r>
      <w:r w:rsidR="001F7B33">
        <w:rPr>
          <w:noProof/>
          <w:sz w:val="22"/>
          <w:szCs w:val="22"/>
        </w:rPr>
        <w:t>8</w:t>
      </w:r>
      <w:r w:rsidR="00D72AEB" w:rsidRPr="00D97E7E">
        <w:rPr>
          <w:noProof/>
          <w:sz w:val="22"/>
          <w:szCs w:val="22"/>
        </w:rPr>
        <w:fldChar w:fldCharType="end"/>
      </w:r>
      <w:r w:rsidRPr="00D97E7E">
        <w:rPr>
          <w:sz w:val="22"/>
          <w:szCs w:val="22"/>
        </w:rPr>
        <w:t xml:space="preserve">. </w:t>
      </w:r>
      <w:r w:rsidR="00D97E7E" w:rsidRPr="00D97E7E">
        <w:rPr>
          <w:sz w:val="22"/>
          <w:szCs w:val="22"/>
        </w:rPr>
        <w:t>Prescribers’</w:t>
      </w:r>
      <w:r w:rsidRPr="00D97E7E">
        <w:rPr>
          <w:sz w:val="22"/>
          <w:szCs w:val="22"/>
        </w:rPr>
        <w:t xml:space="preserve"> response to </w:t>
      </w:r>
      <w:r w:rsidR="00194B4C">
        <w:rPr>
          <w:sz w:val="22"/>
          <w:szCs w:val="22"/>
        </w:rPr>
        <w:t xml:space="preserve">the </w:t>
      </w:r>
      <w:r w:rsidRPr="00D97E7E">
        <w:rPr>
          <w:sz w:val="22"/>
          <w:szCs w:val="22"/>
        </w:rPr>
        <w:t>survey</w:t>
      </w:r>
      <w:bookmarkEnd w:id="19"/>
    </w:p>
    <w:p w14:paraId="3A3517B3" w14:textId="68B667EB" w:rsidR="00771850" w:rsidRDefault="00234368" w:rsidP="00045F07">
      <w:pPr>
        <w:spacing w:line="360" w:lineRule="auto"/>
        <w:jc w:val="both"/>
      </w:pPr>
      <w:r>
        <w:t xml:space="preserve">The main types of tasks conducted by medical and non-medical prescribers </w:t>
      </w:r>
      <w:r w:rsidR="0030113C">
        <w:t xml:space="preserve">as users of the ePMA system </w:t>
      </w:r>
      <w:r w:rsidR="00771850">
        <w:t xml:space="preserve">include reviewing </w:t>
      </w:r>
      <w:r w:rsidR="00E52948">
        <w:t>the patient’s condition, their</w:t>
      </w:r>
      <w:r w:rsidR="00771850">
        <w:t xml:space="preserve"> medical notes, medication records and test results </w:t>
      </w:r>
      <w:r w:rsidR="003C54B0">
        <w:t xml:space="preserve">to </w:t>
      </w:r>
      <w:r w:rsidR="00E52948">
        <w:t xml:space="preserve">appropriately </w:t>
      </w:r>
      <w:r w:rsidR="003C54B0">
        <w:t>prescribe medication for the patient</w:t>
      </w:r>
      <w:r w:rsidR="00771850">
        <w:t>.</w:t>
      </w:r>
      <w:r w:rsidR="00E52948">
        <w:t xml:space="preserve"> </w:t>
      </w:r>
      <w:r w:rsidR="007B04CA">
        <w:t>A hybrid information system</w:t>
      </w:r>
      <w:r w:rsidR="00E52948">
        <w:t xml:space="preserve"> requiring prescribers to access </w:t>
      </w:r>
      <w:r w:rsidR="00771850">
        <w:t>computer devices and paper-based records</w:t>
      </w:r>
      <w:r w:rsidR="00561054">
        <w:t xml:space="preserve"> </w:t>
      </w:r>
      <w:r w:rsidR="007B04CA">
        <w:t xml:space="preserve">introduces </w:t>
      </w:r>
      <w:r w:rsidR="00771850">
        <w:t>confusion a</w:t>
      </w:r>
      <w:r w:rsidR="00561054">
        <w:t>bout</w:t>
      </w:r>
      <w:r w:rsidR="00771850">
        <w:t xml:space="preserve"> where information is accessed or documented, </w:t>
      </w:r>
      <w:r w:rsidR="00561054">
        <w:t xml:space="preserve">which can result in </w:t>
      </w:r>
      <w:r w:rsidR="00771850">
        <w:t>omission</w:t>
      </w:r>
      <w:r w:rsidR="00561054">
        <w:t>s</w:t>
      </w:r>
      <w:r w:rsidR="00771850">
        <w:t xml:space="preserve"> or duplication</w:t>
      </w:r>
      <w:r w:rsidR="00561054">
        <w:t xml:space="preserve">s </w:t>
      </w:r>
      <w:r w:rsidR="00E52948">
        <w:t xml:space="preserve">that </w:t>
      </w:r>
      <w:r w:rsidR="00D97E7E">
        <w:t>adversely affect</w:t>
      </w:r>
      <w:r w:rsidR="00561054">
        <w:t xml:space="preserve"> </w:t>
      </w:r>
      <w:r w:rsidR="00771850">
        <w:t xml:space="preserve">patient safety. </w:t>
      </w:r>
    </w:p>
    <w:p w14:paraId="5584AEB7" w14:textId="25E71533" w:rsidR="00771850" w:rsidRDefault="00771850" w:rsidP="00045F07">
      <w:pPr>
        <w:spacing w:line="360" w:lineRule="auto"/>
        <w:jc w:val="both"/>
      </w:pPr>
      <w:r>
        <w:t xml:space="preserve">Prescriber feedback also revealed that </w:t>
      </w:r>
      <w:r w:rsidR="00C65C4D">
        <w:t xml:space="preserve">the implementation of ePMA did not offer any </w:t>
      </w:r>
      <w:r w:rsidR="007B04CA">
        <w:t>timesaving</w:t>
      </w:r>
      <w:r w:rsidR="00C65C4D">
        <w:t xml:space="preserve"> efficiencies</w:t>
      </w:r>
      <w:r w:rsidR="003C54B0">
        <w:t xml:space="preserve"> due to the hybrid nature of the information available.</w:t>
      </w:r>
      <w:r w:rsidR="00811E71">
        <w:t xml:space="preserve"> </w:t>
      </w:r>
      <w:r w:rsidR="003C54B0">
        <w:t>However</w:t>
      </w:r>
      <w:r w:rsidR="00C65C4D">
        <w:t xml:space="preserve">, the lack of </w:t>
      </w:r>
      <w:r w:rsidR="000739AF">
        <w:t>timesaving</w:t>
      </w:r>
      <w:r w:rsidR="00C65C4D">
        <w:t xml:space="preserve"> is not uncommon in the early stages of a new clinical information system (</w:t>
      </w:r>
      <w:r w:rsidR="00047EDD">
        <w:t xml:space="preserve">Miller </w:t>
      </w:r>
      <w:r w:rsidR="00047EDD" w:rsidRPr="00DB3DAA">
        <w:rPr>
          <w:i/>
          <w:iCs/>
        </w:rPr>
        <w:t>et al</w:t>
      </w:r>
      <w:r w:rsidR="00047EDD">
        <w:t xml:space="preserve">. 2016; Atun </w:t>
      </w:r>
      <w:r w:rsidR="00047EDD" w:rsidRPr="00DB3DAA">
        <w:rPr>
          <w:i/>
          <w:iCs/>
        </w:rPr>
        <w:t>et al</w:t>
      </w:r>
      <w:r w:rsidR="00047EDD">
        <w:t xml:space="preserve">. 2015; and Kulkarni </w:t>
      </w:r>
      <w:r w:rsidR="00047EDD" w:rsidRPr="00DB3DAA">
        <w:rPr>
          <w:i/>
          <w:iCs/>
        </w:rPr>
        <w:t>et a</w:t>
      </w:r>
      <w:r w:rsidR="00800756" w:rsidRPr="00DB3DAA">
        <w:rPr>
          <w:i/>
          <w:iCs/>
        </w:rPr>
        <w:t>l</w:t>
      </w:r>
      <w:r w:rsidR="00047EDD">
        <w:t xml:space="preserve">. 2020). </w:t>
      </w:r>
      <w:r w:rsidR="00C65C4D">
        <w:t xml:space="preserve"> </w:t>
      </w:r>
    </w:p>
    <w:p w14:paraId="449BF5C0" w14:textId="13069059" w:rsidR="008067CF" w:rsidRDefault="008067CF" w:rsidP="00045F07">
      <w:pPr>
        <w:spacing w:line="360" w:lineRule="auto"/>
        <w:jc w:val="both"/>
      </w:pPr>
    </w:p>
    <w:p w14:paraId="7DDC5F0D" w14:textId="0A3762D2" w:rsidR="005339EE" w:rsidRDefault="005339EE" w:rsidP="00045F07">
      <w:pPr>
        <w:spacing w:line="360" w:lineRule="auto"/>
        <w:jc w:val="both"/>
      </w:pPr>
    </w:p>
    <w:p w14:paraId="09D6D7C0" w14:textId="19F76918" w:rsidR="005339EE" w:rsidRDefault="005339EE" w:rsidP="00045F07">
      <w:pPr>
        <w:spacing w:line="360" w:lineRule="auto"/>
        <w:jc w:val="both"/>
      </w:pPr>
    </w:p>
    <w:p w14:paraId="43878846" w14:textId="14480008" w:rsidR="005339EE" w:rsidRDefault="005339EE" w:rsidP="00045F07">
      <w:pPr>
        <w:spacing w:line="360" w:lineRule="auto"/>
        <w:jc w:val="both"/>
      </w:pPr>
    </w:p>
    <w:p w14:paraId="2935F42C" w14:textId="19D6F0D3" w:rsidR="005339EE" w:rsidRDefault="005339EE" w:rsidP="00045F07">
      <w:pPr>
        <w:spacing w:line="360" w:lineRule="auto"/>
        <w:jc w:val="both"/>
      </w:pPr>
    </w:p>
    <w:p w14:paraId="65E19E99" w14:textId="33B89B4C" w:rsidR="005339EE" w:rsidRDefault="005339EE" w:rsidP="00045F07">
      <w:pPr>
        <w:spacing w:line="360" w:lineRule="auto"/>
        <w:jc w:val="both"/>
      </w:pPr>
    </w:p>
    <w:p w14:paraId="4C2A82DB" w14:textId="115CB7E5" w:rsidR="005339EE" w:rsidRDefault="005339EE" w:rsidP="00045F07">
      <w:pPr>
        <w:spacing w:line="360" w:lineRule="auto"/>
        <w:jc w:val="both"/>
      </w:pPr>
    </w:p>
    <w:p w14:paraId="2D078E5B" w14:textId="77777777" w:rsidR="005339EE" w:rsidRDefault="005339EE" w:rsidP="00045F07">
      <w:pPr>
        <w:spacing w:line="360" w:lineRule="auto"/>
        <w:jc w:val="both"/>
      </w:pPr>
    </w:p>
    <w:p w14:paraId="6B09D351" w14:textId="1B83E8BD" w:rsidR="00AE4F4F" w:rsidRDefault="00AE4F4F" w:rsidP="00AE4F4F">
      <w:pPr>
        <w:pStyle w:val="Heading3"/>
      </w:pPr>
      <w:bookmarkStart w:id="20" w:name="_Toc128484307"/>
      <w:r>
        <w:lastRenderedPageBreak/>
        <w:t>FITT: Registered nurse, task, and technology</w:t>
      </w:r>
      <w:bookmarkEnd w:id="20"/>
    </w:p>
    <w:p w14:paraId="54EDB103" w14:textId="3DACA744" w:rsidR="00FA7F06" w:rsidRDefault="00FA7F06" w:rsidP="00AE4F4F"/>
    <w:p w14:paraId="3517B173" w14:textId="77777777" w:rsidR="009D2F06" w:rsidRDefault="00FA7F06" w:rsidP="009D2F06">
      <w:pPr>
        <w:keepNext/>
        <w:jc w:val="center"/>
      </w:pPr>
      <w:r w:rsidRPr="00FA7F06">
        <w:rPr>
          <w:noProof/>
        </w:rPr>
        <w:drawing>
          <wp:inline distT="0" distB="0" distL="0" distR="0" wp14:anchorId="4B0C511D" wp14:editId="37EF3D19">
            <wp:extent cx="5165124" cy="3101020"/>
            <wp:effectExtent l="0" t="0" r="381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0"/>
                    <a:stretch>
                      <a:fillRect/>
                    </a:stretch>
                  </pic:blipFill>
                  <pic:spPr>
                    <a:xfrm>
                      <a:off x="0" y="0"/>
                      <a:ext cx="5192576" cy="3117502"/>
                    </a:xfrm>
                    <a:prstGeom prst="rect">
                      <a:avLst/>
                    </a:prstGeom>
                  </pic:spPr>
                </pic:pic>
              </a:graphicData>
            </a:graphic>
          </wp:inline>
        </w:drawing>
      </w:r>
    </w:p>
    <w:p w14:paraId="7F2D6547" w14:textId="5B001A10" w:rsidR="00A762B3" w:rsidRDefault="009D2F06" w:rsidP="00D93E6B">
      <w:pPr>
        <w:pStyle w:val="Caption"/>
        <w:jc w:val="center"/>
        <w:rPr>
          <w:sz w:val="22"/>
          <w:szCs w:val="22"/>
        </w:rPr>
      </w:pPr>
      <w:bookmarkStart w:id="21" w:name="_Toc128735622"/>
      <w:r w:rsidRPr="008067CF">
        <w:rPr>
          <w:sz w:val="22"/>
          <w:szCs w:val="22"/>
        </w:rPr>
        <w:t xml:space="preserve">Figure </w:t>
      </w:r>
      <w:r w:rsidR="00D72AEB" w:rsidRPr="008067CF">
        <w:rPr>
          <w:sz w:val="22"/>
          <w:szCs w:val="22"/>
        </w:rPr>
        <w:fldChar w:fldCharType="begin"/>
      </w:r>
      <w:r w:rsidR="00D72AEB" w:rsidRPr="008067CF">
        <w:rPr>
          <w:sz w:val="22"/>
          <w:szCs w:val="22"/>
        </w:rPr>
        <w:instrText xml:space="preserve"> SEQ Figure \* ARABIC </w:instrText>
      </w:r>
      <w:r w:rsidR="00D72AEB" w:rsidRPr="008067CF">
        <w:rPr>
          <w:sz w:val="22"/>
          <w:szCs w:val="22"/>
        </w:rPr>
        <w:fldChar w:fldCharType="separate"/>
      </w:r>
      <w:r w:rsidR="001F7B33">
        <w:rPr>
          <w:noProof/>
          <w:sz w:val="22"/>
          <w:szCs w:val="22"/>
        </w:rPr>
        <w:t>9</w:t>
      </w:r>
      <w:r w:rsidR="00D72AEB" w:rsidRPr="008067CF">
        <w:rPr>
          <w:noProof/>
          <w:sz w:val="22"/>
          <w:szCs w:val="22"/>
        </w:rPr>
        <w:fldChar w:fldCharType="end"/>
      </w:r>
      <w:r w:rsidRPr="008067CF">
        <w:rPr>
          <w:sz w:val="22"/>
          <w:szCs w:val="22"/>
        </w:rPr>
        <w:t xml:space="preserve">. Registered nurse response to </w:t>
      </w:r>
      <w:r w:rsidR="00194B4C">
        <w:rPr>
          <w:sz w:val="22"/>
          <w:szCs w:val="22"/>
        </w:rPr>
        <w:t xml:space="preserve">the </w:t>
      </w:r>
      <w:r w:rsidRPr="008067CF">
        <w:rPr>
          <w:sz w:val="22"/>
          <w:szCs w:val="22"/>
        </w:rPr>
        <w:t>survey</w:t>
      </w:r>
      <w:bookmarkEnd w:id="21"/>
    </w:p>
    <w:p w14:paraId="353D7D8E" w14:textId="77777777" w:rsidR="005339EE" w:rsidRPr="005339EE" w:rsidRDefault="005339EE" w:rsidP="005339EE"/>
    <w:p w14:paraId="29F0663C" w14:textId="14E21D65" w:rsidR="008843DF" w:rsidRDefault="0037453A" w:rsidP="0037453A">
      <w:pPr>
        <w:spacing w:line="360" w:lineRule="auto"/>
        <w:jc w:val="both"/>
      </w:pPr>
      <w:r>
        <w:t xml:space="preserve">The tasks carried out by registered nurses </w:t>
      </w:r>
      <w:r w:rsidR="0030113C">
        <w:t>as user</w:t>
      </w:r>
      <w:r w:rsidR="00F31F19">
        <w:t>s</w:t>
      </w:r>
      <w:r w:rsidR="0030113C">
        <w:t xml:space="preserve"> of the ePMA system </w:t>
      </w:r>
      <w:r>
        <w:t xml:space="preserve">include accessing information to prepare medication, documenting </w:t>
      </w:r>
      <w:r w:rsidR="003C54B0">
        <w:t>medication administration</w:t>
      </w:r>
      <w:r>
        <w:t>, reviewing patient notes and</w:t>
      </w:r>
      <w:r w:rsidR="008067CF">
        <w:t xml:space="preserve"> administering and</w:t>
      </w:r>
      <w:r>
        <w:t xml:space="preserve"> observing that the patient has taken their medication </w:t>
      </w:r>
      <w:r w:rsidR="00977597">
        <w:t xml:space="preserve">safely and </w:t>
      </w:r>
      <w:r>
        <w:t>as prescribed with appropriate consent.</w:t>
      </w:r>
      <w:r w:rsidR="00811E71">
        <w:t xml:space="preserve"> </w:t>
      </w:r>
      <w:r w:rsidR="00AC75B0">
        <w:t>However, during their medication rounds</w:t>
      </w:r>
      <w:r w:rsidR="003C54B0">
        <w:t>,</w:t>
      </w:r>
      <w:r w:rsidR="00AC75B0">
        <w:t xml:space="preserve"> registered nurses are frequently required to complete additional tasks, often going from </w:t>
      </w:r>
      <w:r w:rsidR="00811E71">
        <w:t>patients'</w:t>
      </w:r>
      <w:r w:rsidR="00AC75B0">
        <w:t xml:space="preserve"> bedsides to attend to another </w:t>
      </w:r>
      <w:r w:rsidR="00811E71">
        <w:t>patient's</w:t>
      </w:r>
      <w:r w:rsidR="00AC75B0">
        <w:t xml:space="preserve"> needs or to the medication room to obtain medications that are </w:t>
      </w:r>
      <w:r w:rsidR="003C54B0">
        <w:t>unavailable</w:t>
      </w:r>
      <w:r w:rsidR="00AC75B0">
        <w:t xml:space="preserve"> at the </w:t>
      </w:r>
      <w:r w:rsidR="00811E71">
        <w:t>patient's</w:t>
      </w:r>
      <w:r w:rsidR="00AC75B0">
        <w:t xml:space="preserve"> bedside.</w:t>
      </w:r>
      <w:r w:rsidR="00811E71">
        <w:t xml:space="preserve"> </w:t>
      </w:r>
      <w:r w:rsidR="00C52EAF">
        <w:t>Like</w:t>
      </w:r>
      <w:r w:rsidR="00150778">
        <w:t xml:space="preserve"> prescribers, nurses require access to hybrid information systems using computer devices and paper-based records.</w:t>
      </w:r>
      <w:r w:rsidR="00811E71">
        <w:t xml:space="preserve"> </w:t>
      </w:r>
      <w:r w:rsidR="00150778">
        <w:t xml:space="preserve">Nurses reported that mobile devices supported them </w:t>
      </w:r>
      <w:r w:rsidR="003C54B0">
        <w:t>in moving</w:t>
      </w:r>
      <w:r w:rsidR="00150778">
        <w:t xml:space="preserve"> around the ward as </w:t>
      </w:r>
      <w:r w:rsidR="003C54B0">
        <w:t>needed</w:t>
      </w:r>
      <w:r w:rsidR="00150778">
        <w:t xml:space="preserve"> during their medication rounds and that fixed computing devices would not be</w:t>
      </w:r>
      <w:r w:rsidR="007B04CA">
        <w:t xml:space="preserve"> suitable for </w:t>
      </w:r>
      <w:r w:rsidR="00150778">
        <w:t xml:space="preserve">medication administration. </w:t>
      </w:r>
    </w:p>
    <w:p w14:paraId="40D19B40" w14:textId="0C228B82" w:rsidR="008067CF" w:rsidRDefault="00150778" w:rsidP="0037453A">
      <w:pPr>
        <w:spacing w:line="360" w:lineRule="auto"/>
        <w:jc w:val="both"/>
      </w:pPr>
      <w:r>
        <w:t>Some nurses reported that they found it quicker and easier to complete tasks using paper charts</w:t>
      </w:r>
      <w:r w:rsidR="003C54B0">
        <w:t>.</w:t>
      </w:r>
      <w:r w:rsidR="00811E71">
        <w:t xml:space="preserve"> </w:t>
      </w:r>
      <w:r w:rsidR="003C54B0">
        <w:t>However</w:t>
      </w:r>
      <w:r>
        <w:t xml:space="preserve">, the </w:t>
      </w:r>
      <w:r w:rsidR="00C52EAF">
        <w:t>consensus</w:t>
      </w:r>
      <w:r>
        <w:t xml:space="preserve"> was that mobile devices provided several benefits over paper-based charts. </w:t>
      </w:r>
    </w:p>
    <w:p w14:paraId="7D038E37" w14:textId="6276C05A" w:rsidR="005339EE" w:rsidRDefault="005339EE" w:rsidP="00150778">
      <w:pPr>
        <w:pStyle w:val="Heading3"/>
      </w:pPr>
      <w:bookmarkStart w:id="22" w:name="_Toc128484308"/>
    </w:p>
    <w:p w14:paraId="520D4757" w14:textId="18988A41" w:rsidR="005339EE" w:rsidRDefault="005339EE" w:rsidP="00150778">
      <w:pPr>
        <w:pStyle w:val="Heading3"/>
      </w:pPr>
    </w:p>
    <w:p w14:paraId="2EFC944A" w14:textId="77777777" w:rsidR="005339EE" w:rsidRPr="005339EE" w:rsidRDefault="005339EE" w:rsidP="005339EE"/>
    <w:p w14:paraId="32BB4D16" w14:textId="0C73D05D" w:rsidR="00150778" w:rsidRDefault="00150778" w:rsidP="00150778">
      <w:pPr>
        <w:pStyle w:val="Heading3"/>
      </w:pPr>
      <w:r>
        <w:lastRenderedPageBreak/>
        <w:t>FITT: Pharmacist, task, and technology</w:t>
      </w:r>
      <w:bookmarkEnd w:id="22"/>
      <w:r>
        <w:t xml:space="preserve"> </w:t>
      </w:r>
    </w:p>
    <w:p w14:paraId="4E57AAEC" w14:textId="1444F8AD" w:rsidR="00E169B9" w:rsidRDefault="00E169B9" w:rsidP="00150778"/>
    <w:p w14:paraId="551571D0" w14:textId="77777777" w:rsidR="009D2F06" w:rsidRDefault="00E169B9" w:rsidP="009D2F06">
      <w:pPr>
        <w:keepNext/>
        <w:jc w:val="center"/>
      </w:pPr>
      <w:r w:rsidRPr="00E169B9">
        <w:rPr>
          <w:noProof/>
        </w:rPr>
        <w:drawing>
          <wp:inline distT="0" distB="0" distL="0" distR="0" wp14:anchorId="4436D9E3" wp14:editId="38EE45BB">
            <wp:extent cx="5305168" cy="3923332"/>
            <wp:effectExtent l="0" t="0" r="3810" b="127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1"/>
                    <a:stretch>
                      <a:fillRect/>
                    </a:stretch>
                  </pic:blipFill>
                  <pic:spPr>
                    <a:xfrm>
                      <a:off x="0" y="0"/>
                      <a:ext cx="5332332" cy="3943421"/>
                    </a:xfrm>
                    <a:prstGeom prst="rect">
                      <a:avLst/>
                    </a:prstGeom>
                  </pic:spPr>
                </pic:pic>
              </a:graphicData>
            </a:graphic>
          </wp:inline>
        </w:drawing>
      </w:r>
    </w:p>
    <w:p w14:paraId="3504CFA1" w14:textId="1F5FE2FB" w:rsidR="00E169B9" w:rsidRPr="008067CF" w:rsidRDefault="009D2F06" w:rsidP="009D2F06">
      <w:pPr>
        <w:pStyle w:val="Caption"/>
        <w:jc w:val="center"/>
        <w:rPr>
          <w:sz w:val="22"/>
          <w:szCs w:val="22"/>
        </w:rPr>
      </w:pPr>
      <w:bookmarkStart w:id="23" w:name="_Toc128735623"/>
      <w:r w:rsidRPr="008067CF">
        <w:rPr>
          <w:sz w:val="22"/>
          <w:szCs w:val="22"/>
        </w:rPr>
        <w:t xml:space="preserve">Figure </w:t>
      </w:r>
      <w:r w:rsidR="00D72AEB" w:rsidRPr="008067CF">
        <w:rPr>
          <w:sz w:val="22"/>
          <w:szCs w:val="22"/>
        </w:rPr>
        <w:fldChar w:fldCharType="begin"/>
      </w:r>
      <w:r w:rsidR="00D72AEB" w:rsidRPr="008067CF">
        <w:rPr>
          <w:sz w:val="22"/>
          <w:szCs w:val="22"/>
        </w:rPr>
        <w:instrText xml:space="preserve"> SEQ Figure \* ARABIC </w:instrText>
      </w:r>
      <w:r w:rsidR="00D72AEB" w:rsidRPr="008067CF">
        <w:rPr>
          <w:sz w:val="22"/>
          <w:szCs w:val="22"/>
        </w:rPr>
        <w:fldChar w:fldCharType="separate"/>
      </w:r>
      <w:r w:rsidR="001F7B33">
        <w:rPr>
          <w:noProof/>
          <w:sz w:val="22"/>
          <w:szCs w:val="22"/>
        </w:rPr>
        <w:t>10</w:t>
      </w:r>
      <w:r w:rsidR="00D72AEB" w:rsidRPr="008067CF">
        <w:rPr>
          <w:noProof/>
          <w:sz w:val="22"/>
          <w:szCs w:val="22"/>
        </w:rPr>
        <w:fldChar w:fldCharType="end"/>
      </w:r>
      <w:r w:rsidRPr="008067CF">
        <w:rPr>
          <w:sz w:val="22"/>
          <w:szCs w:val="22"/>
        </w:rPr>
        <w:t>. Pharmacist response to</w:t>
      </w:r>
      <w:r w:rsidR="00194B4C">
        <w:rPr>
          <w:sz w:val="22"/>
          <w:szCs w:val="22"/>
        </w:rPr>
        <w:t xml:space="preserve"> </w:t>
      </w:r>
      <w:r w:rsidR="004E0C98">
        <w:rPr>
          <w:sz w:val="22"/>
          <w:szCs w:val="22"/>
        </w:rPr>
        <w:t xml:space="preserve">the </w:t>
      </w:r>
      <w:r w:rsidRPr="008067CF">
        <w:rPr>
          <w:sz w:val="22"/>
          <w:szCs w:val="22"/>
        </w:rPr>
        <w:t>survey</w:t>
      </w:r>
      <w:bookmarkEnd w:id="23"/>
    </w:p>
    <w:p w14:paraId="16F88B6B" w14:textId="58094C81" w:rsidR="00E169B9" w:rsidRDefault="00E169B9" w:rsidP="00150778"/>
    <w:p w14:paraId="2DD6ABE5" w14:textId="2F2F55E7" w:rsidR="008843DF" w:rsidRDefault="005877A4" w:rsidP="00841EF6">
      <w:pPr>
        <w:spacing w:line="360" w:lineRule="auto"/>
        <w:jc w:val="both"/>
      </w:pPr>
      <w:r>
        <w:t xml:space="preserve">The </w:t>
      </w:r>
      <w:r w:rsidR="00A039DE">
        <w:t>pharmacist’s</w:t>
      </w:r>
      <w:r w:rsidR="003C54B0">
        <w:t xml:space="preserve"> role differs from that</w:t>
      </w:r>
      <w:r>
        <w:t xml:space="preserve"> of the registered nurse and prescriber within the hospital environment</w:t>
      </w:r>
      <w:r w:rsidR="0030113C">
        <w:t>.</w:t>
      </w:r>
      <w:r w:rsidR="00811E71">
        <w:t xml:space="preserve"> </w:t>
      </w:r>
      <w:r>
        <w:t xml:space="preserve">The </w:t>
      </w:r>
      <w:r w:rsidR="003C54B0">
        <w:t>primary</w:t>
      </w:r>
      <w:r>
        <w:t xml:space="preserve"> role of the hospital pharmacist as a user of the ePMA system is to complete medicines reconciliation, perform regular reviews to identify and address </w:t>
      </w:r>
      <w:r w:rsidR="00755587">
        <w:t>medicine-related</w:t>
      </w:r>
      <w:r>
        <w:t xml:space="preserve"> issues</w:t>
      </w:r>
      <w:r w:rsidR="00C62529">
        <w:t xml:space="preserve">, </w:t>
      </w:r>
      <w:r w:rsidR="003C54B0">
        <w:t>support</w:t>
      </w:r>
      <w:r w:rsidR="00C62529">
        <w:t xml:space="preserve"> patients to get the best outcomes from their </w:t>
      </w:r>
      <w:r w:rsidR="00BE092F">
        <w:t>medications</w:t>
      </w:r>
      <w:r w:rsidR="00561054">
        <w:t>, and</w:t>
      </w:r>
      <w:r w:rsidR="00C62529">
        <w:t xml:space="preserve"> reduce inappropriate prescribing of medicines</w:t>
      </w:r>
      <w:r w:rsidR="00561054">
        <w:t>.</w:t>
      </w:r>
      <w:r w:rsidR="00811E71">
        <w:t xml:space="preserve"> </w:t>
      </w:r>
      <w:r w:rsidR="00561054">
        <w:t xml:space="preserve">The pharmacist will </w:t>
      </w:r>
      <w:r w:rsidR="00755587">
        <w:t>liaise</w:t>
      </w:r>
      <w:r w:rsidR="00C62529">
        <w:t xml:space="preserve"> </w:t>
      </w:r>
      <w:r w:rsidR="00841EF6">
        <w:t>with</w:t>
      </w:r>
      <w:r w:rsidR="00C62529">
        <w:t xml:space="preserve"> </w:t>
      </w:r>
      <w:r w:rsidR="001C0781">
        <w:t>multidisciplinary</w:t>
      </w:r>
      <w:r w:rsidR="00C62529">
        <w:t xml:space="preserve"> teams to ensure that </w:t>
      </w:r>
      <w:r w:rsidR="00755587">
        <w:t>patients have the necessary medicines</w:t>
      </w:r>
      <w:r w:rsidR="00C62529">
        <w:t>.</w:t>
      </w:r>
      <w:r w:rsidR="00811E71">
        <w:t xml:space="preserve"> </w:t>
      </w:r>
      <w:r w:rsidR="00C62529">
        <w:t xml:space="preserve">Traditionally the pharmacist will not be part of the regular medication </w:t>
      </w:r>
      <w:r w:rsidR="00827D22">
        <w:t>rounds but</w:t>
      </w:r>
      <w:r w:rsidR="00C62529">
        <w:t xml:space="preserve"> will be part of a weekly ward round to ascertain the information they need from the </w:t>
      </w:r>
      <w:r w:rsidR="001C0781">
        <w:t>multidisciplinary</w:t>
      </w:r>
      <w:r w:rsidR="00C62529">
        <w:t xml:space="preserve"> team.</w:t>
      </w:r>
      <w:r w:rsidR="00811E71">
        <w:t xml:space="preserve"> </w:t>
      </w:r>
      <w:r w:rsidR="008032CF">
        <w:t>Like</w:t>
      </w:r>
      <w:r w:rsidR="00C62529">
        <w:t xml:space="preserve"> the nurse and the prescriber</w:t>
      </w:r>
      <w:r w:rsidR="003C54B0">
        <w:t>,</w:t>
      </w:r>
      <w:r w:rsidR="00C62529">
        <w:t xml:space="preserve"> the pharmacist will need access to paper-based and </w:t>
      </w:r>
      <w:r w:rsidR="00841EF6">
        <w:t>computer-based</w:t>
      </w:r>
      <w:r w:rsidR="00C62529">
        <w:t xml:space="preserve"> information simultaneously</w:t>
      </w:r>
      <w:r w:rsidR="003C54B0">
        <w:t>.</w:t>
      </w:r>
      <w:r w:rsidR="00811E71">
        <w:t xml:space="preserve"> </w:t>
      </w:r>
      <w:r w:rsidR="003C54B0">
        <w:t>However</w:t>
      </w:r>
      <w:r w:rsidR="00C62529">
        <w:t>, the results of the free text survey reported</w:t>
      </w:r>
      <w:r w:rsidR="00561054">
        <w:t xml:space="preserve"> </w:t>
      </w:r>
      <w:r w:rsidR="00A039DE">
        <w:t xml:space="preserve">that </w:t>
      </w:r>
      <w:r w:rsidR="00561054">
        <w:t>a</w:t>
      </w:r>
      <w:r w:rsidR="00C62529">
        <w:t xml:space="preserve"> key </w:t>
      </w:r>
      <w:r w:rsidR="003C54B0">
        <w:t>benefit</w:t>
      </w:r>
      <w:r w:rsidR="00C62529">
        <w:t xml:space="preserve"> for pharmacists </w:t>
      </w:r>
      <w:r w:rsidR="00827D22">
        <w:t xml:space="preserve">is the </w:t>
      </w:r>
      <w:r w:rsidR="008E7606">
        <w:t>accessibility</w:t>
      </w:r>
      <w:r w:rsidR="00C62529">
        <w:t xml:space="preserve"> of the ePMA, as they </w:t>
      </w:r>
      <w:r w:rsidR="004E0C98">
        <w:t>could</w:t>
      </w:r>
      <w:r w:rsidR="003C54B0">
        <w:t xml:space="preserve"> access the ePMA system </w:t>
      </w:r>
      <w:r w:rsidR="00561054">
        <w:t>before and</w:t>
      </w:r>
      <w:r w:rsidR="00C62529">
        <w:t xml:space="preserve"> after attending the </w:t>
      </w:r>
      <w:r w:rsidR="003C54B0">
        <w:t>ward/patient</w:t>
      </w:r>
      <w:r w:rsidR="00C62529">
        <w:t xml:space="preserve"> bedside using fixed devices (including laptops and desktop computers in their department)</w:t>
      </w:r>
      <w:r w:rsidR="00827D22">
        <w:t>.</w:t>
      </w:r>
      <w:r w:rsidR="00811E71">
        <w:t xml:space="preserve"> </w:t>
      </w:r>
      <w:r w:rsidR="00827D22">
        <w:t>T</w:t>
      </w:r>
      <w:r w:rsidR="00C62529">
        <w:t>herefore</w:t>
      </w:r>
      <w:r w:rsidR="00827D22">
        <w:t>,</w:t>
      </w:r>
      <w:r w:rsidR="00C62529">
        <w:t xml:space="preserve"> they could </w:t>
      </w:r>
      <w:r w:rsidR="00C62529">
        <w:lastRenderedPageBreak/>
        <w:t xml:space="preserve">focus their interventions, did not </w:t>
      </w:r>
      <w:r w:rsidR="00827D22">
        <w:t>need</w:t>
      </w:r>
      <w:r w:rsidR="00C62529">
        <w:t xml:space="preserve"> to compete for devices, and were not affected by interruptions </w:t>
      </w:r>
      <w:r w:rsidR="003C54B0">
        <w:t>in</w:t>
      </w:r>
      <w:r w:rsidR="00C62529">
        <w:t xml:space="preserve"> a busy clinical environment.   </w:t>
      </w:r>
    </w:p>
    <w:p w14:paraId="0A95279E" w14:textId="77777777" w:rsidR="004C0E17" w:rsidRDefault="004C0E17" w:rsidP="004C0E17">
      <w:pPr>
        <w:spacing w:line="360" w:lineRule="auto"/>
        <w:jc w:val="both"/>
      </w:pPr>
    </w:p>
    <w:p w14:paraId="6651E21A" w14:textId="2DC19103" w:rsidR="004C0E17" w:rsidRDefault="004C0E17" w:rsidP="004C0E17">
      <w:pPr>
        <w:pStyle w:val="Heading3"/>
      </w:pPr>
      <w:bookmarkStart w:id="24" w:name="_Toc128484309"/>
      <w:r>
        <w:t>Literature Review Results</w:t>
      </w:r>
      <w:bookmarkEnd w:id="24"/>
      <w:r>
        <w:t xml:space="preserve"> </w:t>
      </w:r>
    </w:p>
    <w:p w14:paraId="6C3582FF" w14:textId="259977B6" w:rsidR="004C0E17" w:rsidRDefault="004C0E17" w:rsidP="008F3804">
      <w:pPr>
        <w:spacing w:line="360" w:lineRule="auto"/>
        <w:jc w:val="both"/>
      </w:pPr>
      <w:r>
        <w:t>The final number of articles included was 18</w:t>
      </w:r>
      <w:r w:rsidR="00A039DE">
        <w:t>,</w:t>
      </w:r>
      <w:r w:rsidR="000739AF">
        <w:t xml:space="preserve"> as detailed in </w:t>
      </w:r>
      <w:r w:rsidR="00E3597C">
        <w:t>Figure</w:t>
      </w:r>
      <w:r w:rsidR="009D2F06">
        <w:t xml:space="preserve"> </w:t>
      </w:r>
      <w:r w:rsidR="001F7B33">
        <w:t>13</w:t>
      </w:r>
      <w:r w:rsidR="009D2F06">
        <w:t>.</w:t>
      </w:r>
    </w:p>
    <w:p w14:paraId="624910E0" w14:textId="28193EF6" w:rsidR="009D2F06" w:rsidRDefault="009D2F06" w:rsidP="00B33992">
      <w:pPr>
        <w:spacing w:line="360" w:lineRule="auto"/>
        <w:jc w:val="both"/>
      </w:pPr>
    </w:p>
    <w:p w14:paraId="3D1CE64D" w14:textId="528943A9" w:rsidR="009D2F06" w:rsidRDefault="00E215BB" w:rsidP="008F3804">
      <w:pPr>
        <w:keepNext/>
        <w:spacing w:line="360" w:lineRule="auto"/>
        <w:jc w:val="center"/>
      </w:pPr>
      <w:r>
        <w:rPr>
          <w:noProof/>
        </w:rPr>
        <w:drawing>
          <wp:inline distT="0" distB="0" distL="0" distR="0" wp14:anchorId="76F59D55" wp14:editId="5DAF5883">
            <wp:extent cx="5284381" cy="467140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92918" cy="4678949"/>
                    </a:xfrm>
                    <a:prstGeom prst="rect">
                      <a:avLst/>
                    </a:prstGeom>
                  </pic:spPr>
                </pic:pic>
              </a:graphicData>
            </a:graphic>
          </wp:inline>
        </w:drawing>
      </w:r>
    </w:p>
    <w:p w14:paraId="18BBE800" w14:textId="27E8EAD2" w:rsidR="009D2F06" w:rsidRPr="008067CF" w:rsidRDefault="009D2F06" w:rsidP="009D2F06">
      <w:pPr>
        <w:pStyle w:val="Caption"/>
        <w:jc w:val="both"/>
        <w:rPr>
          <w:sz w:val="22"/>
          <w:szCs w:val="22"/>
        </w:rPr>
      </w:pPr>
      <w:bookmarkStart w:id="25" w:name="_Toc128735624"/>
      <w:r w:rsidRPr="008067CF">
        <w:rPr>
          <w:sz w:val="22"/>
          <w:szCs w:val="22"/>
        </w:rPr>
        <w:t xml:space="preserve">Figure </w:t>
      </w:r>
      <w:r w:rsidR="00D72AEB" w:rsidRPr="008067CF">
        <w:rPr>
          <w:sz w:val="22"/>
          <w:szCs w:val="22"/>
        </w:rPr>
        <w:fldChar w:fldCharType="begin"/>
      </w:r>
      <w:r w:rsidR="00D72AEB" w:rsidRPr="008067CF">
        <w:rPr>
          <w:sz w:val="22"/>
          <w:szCs w:val="22"/>
        </w:rPr>
        <w:instrText xml:space="preserve"> SEQ Figure \* ARABIC </w:instrText>
      </w:r>
      <w:r w:rsidR="00D72AEB" w:rsidRPr="008067CF">
        <w:rPr>
          <w:sz w:val="22"/>
          <w:szCs w:val="22"/>
        </w:rPr>
        <w:fldChar w:fldCharType="separate"/>
      </w:r>
      <w:r w:rsidR="001F7B33">
        <w:rPr>
          <w:noProof/>
          <w:sz w:val="22"/>
          <w:szCs w:val="22"/>
        </w:rPr>
        <w:t>11</w:t>
      </w:r>
      <w:r w:rsidR="00D72AEB" w:rsidRPr="008067CF">
        <w:rPr>
          <w:noProof/>
          <w:sz w:val="22"/>
          <w:szCs w:val="22"/>
        </w:rPr>
        <w:fldChar w:fldCharType="end"/>
      </w:r>
      <w:r w:rsidRPr="008067CF">
        <w:rPr>
          <w:sz w:val="22"/>
          <w:szCs w:val="22"/>
        </w:rPr>
        <w:t>. PRISMA flow diagram showing literature search and inclusion/exclusion process</w:t>
      </w:r>
      <w:bookmarkEnd w:id="25"/>
    </w:p>
    <w:p w14:paraId="6B91382F" w14:textId="24391665" w:rsidR="009D2F06" w:rsidRDefault="009D2F06" w:rsidP="00B33992">
      <w:pPr>
        <w:spacing w:line="360" w:lineRule="auto"/>
        <w:jc w:val="both"/>
      </w:pPr>
    </w:p>
    <w:p w14:paraId="68A45B4B" w14:textId="03F61BE9" w:rsidR="004C0E17" w:rsidRDefault="004C0E17" w:rsidP="00B33992">
      <w:pPr>
        <w:spacing w:line="360" w:lineRule="auto"/>
        <w:jc w:val="both"/>
      </w:pPr>
      <w:r>
        <w:t>A review of the full-text articles revealed several key themes associated with implementing ePMA systems</w:t>
      </w:r>
      <w:r w:rsidR="00194B4C">
        <w:t>,</w:t>
      </w:r>
      <w:r w:rsidR="005D332E">
        <w:t xml:space="preserve"> as discussed in the next section. </w:t>
      </w:r>
      <w:r>
        <w:t xml:space="preserve"> </w:t>
      </w:r>
    </w:p>
    <w:p w14:paraId="40B5E11B" w14:textId="77777777" w:rsidR="004C0E17" w:rsidRDefault="004C0E17" w:rsidP="008843DF">
      <w:pPr>
        <w:pStyle w:val="Heading3"/>
      </w:pPr>
    </w:p>
    <w:p w14:paraId="0B36E934" w14:textId="15CBA642" w:rsidR="008843DF" w:rsidRDefault="008843DF" w:rsidP="008843DF">
      <w:pPr>
        <w:pStyle w:val="Heading3"/>
      </w:pPr>
      <w:bookmarkStart w:id="26" w:name="_Toc128484310"/>
      <w:r>
        <w:t>Qualitative Themes</w:t>
      </w:r>
      <w:bookmarkEnd w:id="26"/>
    </w:p>
    <w:p w14:paraId="19C0B0DA" w14:textId="7E050690" w:rsidR="008F4C5F" w:rsidRDefault="005D332E" w:rsidP="00B33992">
      <w:pPr>
        <w:spacing w:line="360" w:lineRule="auto"/>
        <w:jc w:val="both"/>
      </w:pPr>
      <w:r>
        <w:t>Qualitative themes were identified through a review of the literature sourced and the</w:t>
      </w:r>
      <w:r w:rsidR="00841EF6">
        <w:t xml:space="preserve"> responses to the survey</w:t>
      </w:r>
      <w:r>
        <w:t>.</w:t>
      </w:r>
      <w:r w:rsidR="00841EF6">
        <w:t xml:space="preserve"> </w:t>
      </w:r>
      <w:r w:rsidR="00194B4C">
        <w:t>Key</w:t>
      </w:r>
      <w:r w:rsidR="00841EF6">
        <w:t xml:space="preserve"> themes </w:t>
      </w:r>
      <w:r w:rsidR="00B33992">
        <w:t xml:space="preserve">are </w:t>
      </w:r>
      <w:r w:rsidR="00841EF6">
        <w:t xml:space="preserve">as follows: </w:t>
      </w:r>
      <w:r w:rsidR="005E3462">
        <w:t>workflow and time, medication safety, data availability, accessibility</w:t>
      </w:r>
      <w:r w:rsidR="00A447E3">
        <w:t xml:space="preserve">, </w:t>
      </w:r>
      <w:r w:rsidR="008E50C6">
        <w:t>confidence,</w:t>
      </w:r>
      <w:r w:rsidR="00A447E3">
        <w:t xml:space="preserve"> and competence</w:t>
      </w:r>
      <w:r w:rsidR="005E3462">
        <w:t xml:space="preserve">. </w:t>
      </w:r>
    </w:p>
    <w:p w14:paraId="03DAEB1D" w14:textId="0FE4A42D" w:rsidR="008F4C5F" w:rsidRDefault="008F4C5F" w:rsidP="00A447E3">
      <w:pPr>
        <w:pStyle w:val="Heading4"/>
      </w:pPr>
      <w:r>
        <w:lastRenderedPageBreak/>
        <w:t>Workflow and time</w:t>
      </w:r>
    </w:p>
    <w:p w14:paraId="1249D8A4" w14:textId="4F22E2C2" w:rsidR="008F4C5F" w:rsidRDefault="008F4C5F" w:rsidP="00493525">
      <w:pPr>
        <w:spacing w:line="360" w:lineRule="auto"/>
        <w:jc w:val="both"/>
      </w:pPr>
      <w:r>
        <w:t xml:space="preserve">The most negative response received across the prescriber user and registered nurse user concepts </w:t>
      </w:r>
      <w:r w:rsidR="003C54B0">
        <w:t>were</w:t>
      </w:r>
      <w:r>
        <w:t xml:space="preserve"> </w:t>
      </w:r>
      <w:r w:rsidR="003C54B0">
        <w:t>related</w:t>
      </w:r>
      <w:r>
        <w:t xml:space="preserve"> to releasing time to care and </w:t>
      </w:r>
      <w:r w:rsidR="00AD6B26">
        <w:t xml:space="preserve">overall </w:t>
      </w:r>
      <w:r w:rsidR="007B04CA">
        <w:t>timesaving</w:t>
      </w:r>
      <w:r w:rsidR="00493525">
        <w:t>.</w:t>
      </w:r>
      <w:r w:rsidR="00811E71">
        <w:t xml:space="preserve"> </w:t>
      </w:r>
      <w:r w:rsidR="00493525">
        <w:t>I</w:t>
      </w:r>
      <w:r w:rsidR="00AD6B26">
        <w:t xml:space="preserve">nitial results suggested less efficiency and </w:t>
      </w:r>
      <w:r w:rsidR="00811E71">
        <w:t>'</w:t>
      </w:r>
      <w:r w:rsidR="00AD6B26">
        <w:t>time wasting</w:t>
      </w:r>
      <w:r w:rsidR="00811E71">
        <w:t>'</w:t>
      </w:r>
      <w:r w:rsidR="00AD6B26">
        <w:t xml:space="preserve"> while using the ePMA.</w:t>
      </w:r>
      <w:r w:rsidR="00811E71">
        <w:t xml:space="preserve"> </w:t>
      </w:r>
      <w:r w:rsidR="00AD6B26">
        <w:t xml:space="preserve">Similarly, the pharmacist users reported a lack of </w:t>
      </w:r>
      <w:r w:rsidR="007B04CA">
        <w:t>timesaving</w:t>
      </w:r>
      <w:r w:rsidR="00AD6B26">
        <w:t xml:space="preserve"> due to processes relating to discharge advice taking longer since the implementation of ePMA.</w:t>
      </w:r>
      <w:r w:rsidR="00811E71">
        <w:t xml:space="preserve"> </w:t>
      </w:r>
      <w:r w:rsidR="00AD6B26">
        <w:t>However, it can be anticipated that as changes to process</w:t>
      </w:r>
      <w:r w:rsidR="00194B4C">
        <w:t>,</w:t>
      </w:r>
      <w:r w:rsidR="00AD6B26">
        <w:t xml:space="preserve"> and workflow </w:t>
      </w:r>
      <w:r w:rsidR="00194B4C">
        <w:t>are</w:t>
      </w:r>
      <w:r w:rsidR="00AD6B26">
        <w:t xml:space="preserve"> embedded</w:t>
      </w:r>
      <w:r w:rsidR="00CB4C3B">
        <w:t>,</w:t>
      </w:r>
      <w:r w:rsidR="00AD6B26">
        <w:t xml:space="preserve"> it will become more streamlined</w:t>
      </w:r>
      <w:r w:rsidR="00CB4C3B">
        <w:t>,</w:t>
      </w:r>
      <w:r w:rsidR="00AD6B26">
        <w:t xml:space="preserve"> and </w:t>
      </w:r>
      <w:r w:rsidR="007B04CA">
        <w:t>timesaving</w:t>
      </w:r>
      <w:r w:rsidR="00AD6B26">
        <w:t xml:space="preserve"> benefits and workflow efficiencies will be </w:t>
      </w:r>
      <w:r w:rsidR="001C0781">
        <w:t>realised</w:t>
      </w:r>
      <w:r w:rsidR="00AD6B26">
        <w:t xml:space="preserve"> </w:t>
      </w:r>
      <w:r w:rsidR="00D27C1A">
        <w:t xml:space="preserve">according to the evidence available </w:t>
      </w:r>
      <w:r w:rsidR="00AD6B26">
        <w:t xml:space="preserve">in the literature relating to the benefits of ePMA systems (Porterfield, Engleber and Coustasse, 2014; Armada </w:t>
      </w:r>
      <w:r w:rsidR="00AD6B26" w:rsidRPr="00DB3DAA">
        <w:rPr>
          <w:i/>
          <w:iCs/>
        </w:rPr>
        <w:t>et al</w:t>
      </w:r>
      <w:r w:rsidR="00AD6B26">
        <w:t xml:space="preserve">. 2014; and Moore at al. 2020). </w:t>
      </w:r>
    </w:p>
    <w:p w14:paraId="7781E81E" w14:textId="4DB2C108" w:rsidR="00CE59EE" w:rsidRDefault="00CE59EE" w:rsidP="00493525">
      <w:pPr>
        <w:spacing w:line="360" w:lineRule="auto"/>
        <w:jc w:val="both"/>
      </w:pPr>
    </w:p>
    <w:p w14:paraId="0BB40232" w14:textId="77777777" w:rsidR="00633E25" w:rsidRDefault="00CE59EE" w:rsidP="00633E25">
      <w:pPr>
        <w:pStyle w:val="Heading4"/>
      </w:pPr>
      <w:r>
        <w:t xml:space="preserve">Medication Safety </w:t>
      </w:r>
    </w:p>
    <w:p w14:paraId="555F5104" w14:textId="46E2F3E9" w:rsidR="00CE59EE" w:rsidRPr="00E3597C" w:rsidRDefault="00E3597C" w:rsidP="00633E25">
      <w:pPr>
        <w:spacing w:line="360" w:lineRule="auto"/>
        <w:jc w:val="both"/>
      </w:pPr>
      <w:r w:rsidRPr="00E3597C">
        <w:t>There was a strong consensus among pharmacists, nurses, and prescribers that the ePMA supports safe practice and medication safety</w:t>
      </w:r>
      <w:r>
        <w:t xml:space="preserve">. </w:t>
      </w:r>
      <w:r w:rsidR="00D27C1A" w:rsidRPr="00E3597C">
        <w:t xml:space="preserve">Users reported improved medication safety through legible and complete prescription information and </w:t>
      </w:r>
      <w:r w:rsidR="00CB4C3B" w:rsidRPr="00E3597C">
        <w:t>safely sharing relevant information across clinical settings</w:t>
      </w:r>
      <w:r w:rsidR="00C64AB7" w:rsidRPr="00E3597C">
        <w:t xml:space="preserve">, consistent with the </w:t>
      </w:r>
      <w:r w:rsidR="00CB4C3B" w:rsidRPr="00E3597C">
        <w:t>relevant literature findings</w:t>
      </w:r>
      <w:r w:rsidR="00C64AB7" w:rsidRPr="00E3597C">
        <w:t xml:space="preserve"> (Moore </w:t>
      </w:r>
      <w:r w:rsidR="00CB4C3B" w:rsidRPr="00E3597C">
        <w:t>et</w:t>
      </w:r>
      <w:r w:rsidR="00C64AB7" w:rsidRPr="00E3597C">
        <w:t xml:space="preserve"> al</w:t>
      </w:r>
      <w:r w:rsidR="00D27C1A" w:rsidRPr="00E3597C">
        <w:t>.</w:t>
      </w:r>
      <w:r w:rsidR="00C64AB7" w:rsidRPr="00E3597C">
        <w:t xml:space="preserve"> 20</w:t>
      </w:r>
      <w:r w:rsidR="000741B0" w:rsidRPr="00E3597C">
        <w:t>20</w:t>
      </w:r>
      <w:r w:rsidR="00C64AB7" w:rsidRPr="00E3597C">
        <w:t>).</w:t>
      </w:r>
      <w:r w:rsidR="00811E71" w:rsidRPr="00E3597C">
        <w:t xml:space="preserve"> </w:t>
      </w:r>
      <w:r w:rsidR="00C64AB7" w:rsidRPr="00E3597C">
        <w:t xml:space="preserve">The aspect of patient safety is further discussed in the quantitative </w:t>
      </w:r>
      <w:r w:rsidR="00CB4C3B" w:rsidRPr="00E3597C">
        <w:t>rating</w:t>
      </w:r>
      <w:r w:rsidR="00C64AB7" w:rsidRPr="00E3597C">
        <w:t xml:space="preserve"> section, as it is possible to </w:t>
      </w:r>
      <w:r w:rsidR="008067CF" w:rsidRPr="00E3597C">
        <w:t xml:space="preserve">see </w:t>
      </w:r>
      <w:r w:rsidR="00C64AB7" w:rsidRPr="00E3597C">
        <w:t xml:space="preserve">the exact numbers of </w:t>
      </w:r>
      <w:r w:rsidR="00CB4C3B" w:rsidRPr="00E3597C">
        <w:t>medication-related</w:t>
      </w:r>
      <w:r w:rsidR="00C64AB7" w:rsidRPr="00E3597C">
        <w:t xml:space="preserve"> incidents </w:t>
      </w:r>
      <w:r w:rsidR="005B1BE9" w:rsidRPr="00E3597C">
        <w:t>reported using the D</w:t>
      </w:r>
      <w:r w:rsidR="00C64AB7" w:rsidRPr="00E3597C">
        <w:t xml:space="preserve">atix incident reporting system for quantitative review. </w:t>
      </w:r>
      <w:r w:rsidR="00D27C1A" w:rsidRPr="00E3597C">
        <w:t xml:space="preserve"> </w:t>
      </w:r>
    </w:p>
    <w:p w14:paraId="15A7BF4E" w14:textId="5F62C5D6" w:rsidR="00A447E3" w:rsidRDefault="00A447E3" w:rsidP="008843DF"/>
    <w:p w14:paraId="6B4C8CEA" w14:textId="56662427" w:rsidR="00A447E3" w:rsidRDefault="00A447E3" w:rsidP="00A447E3">
      <w:pPr>
        <w:pStyle w:val="Heading4"/>
      </w:pPr>
      <w:r>
        <w:t xml:space="preserve">Accessibility </w:t>
      </w:r>
    </w:p>
    <w:p w14:paraId="2785E09C" w14:textId="2C2E801C" w:rsidR="00CF5DEF" w:rsidRPr="00CF5DEF" w:rsidRDefault="00CF5DEF" w:rsidP="00FF0250">
      <w:pPr>
        <w:spacing w:line="360" w:lineRule="auto"/>
        <w:jc w:val="both"/>
      </w:pPr>
      <w:r>
        <w:t xml:space="preserve">Pharmacist users reported the benefit of accessibility, as they </w:t>
      </w:r>
      <w:r w:rsidR="00CB4C3B">
        <w:t>could</w:t>
      </w:r>
      <w:r>
        <w:t xml:space="preserve"> access the ePMA system away from the clinical area and</w:t>
      </w:r>
      <w:r w:rsidR="00CB4C3B">
        <w:t>,</w:t>
      </w:r>
      <w:r>
        <w:t xml:space="preserve"> as a result</w:t>
      </w:r>
      <w:r w:rsidR="00CB4C3B">
        <w:t>,</w:t>
      </w:r>
      <w:r>
        <w:t xml:space="preserve"> could focus their intervention at the </w:t>
      </w:r>
      <w:r w:rsidR="00811E71">
        <w:t>patient's</w:t>
      </w:r>
      <w:r>
        <w:t xml:space="preserve"> bedside.</w:t>
      </w:r>
      <w:r w:rsidR="00811E71">
        <w:t xml:space="preserve"> </w:t>
      </w:r>
      <w:r>
        <w:t xml:space="preserve">In </w:t>
      </w:r>
      <w:r w:rsidR="00FF0250">
        <w:t>addition,</w:t>
      </w:r>
      <w:r>
        <w:t xml:space="preserve"> they did not have to compete for an available device on the ward and were not subject to multiple interruptions as they would be at the </w:t>
      </w:r>
      <w:r w:rsidR="00811E71">
        <w:t>patient's</w:t>
      </w:r>
      <w:r>
        <w:t xml:space="preserve"> bedside.</w:t>
      </w:r>
      <w:r w:rsidR="00811E71">
        <w:t xml:space="preserve"> </w:t>
      </w:r>
      <w:r w:rsidR="00FF0250">
        <w:t xml:space="preserve">In </w:t>
      </w:r>
      <w:r w:rsidR="00235787">
        <w:t>addition,</w:t>
      </w:r>
      <w:r w:rsidR="00FF0250">
        <w:t xml:space="preserve"> given the timing of implementation, the added benefit of accessibility during the covid19 pandemic made it possible to reduce footfall on the ward and reduce the likelihood of transmission</w:t>
      </w:r>
      <w:r w:rsidR="00CC5AF2">
        <w:t xml:space="preserve"> aligned to infection prevention and control procedures</w:t>
      </w:r>
      <w:r w:rsidR="00FF0250">
        <w:t xml:space="preserve">. </w:t>
      </w:r>
    </w:p>
    <w:p w14:paraId="5A8363C5" w14:textId="7D976D68" w:rsidR="00A447E3" w:rsidRDefault="00A447E3" w:rsidP="00A447E3"/>
    <w:p w14:paraId="354D1DC0" w14:textId="558A2A9A" w:rsidR="00A447E3" w:rsidRPr="00A447E3" w:rsidRDefault="00A447E3" w:rsidP="00A447E3">
      <w:pPr>
        <w:pStyle w:val="Heading4"/>
      </w:pPr>
      <w:r>
        <w:t xml:space="preserve">Confidence and Competence </w:t>
      </w:r>
    </w:p>
    <w:p w14:paraId="4E97F009" w14:textId="09AB50E3" w:rsidR="00A447E3" w:rsidRDefault="007B04CA" w:rsidP="00A447E3">
      <w:pPr>
        <w:spacing w:line="360" w:lineRule="auto"/>
        <w:jc w:val="both"/>
      </w:pPr>
      <w:r>
        <w:t xml:space="preserve">Respondents to the survey gave </w:t>
      </w:r>
      <w:r w:rsidR="00A447E3">
        <w:t xml:space="preserve">feedback </w:t>
      </w:r>
      <w:r w:rsidR="00CB4C3B">
        <w:t>about</w:t>
      </w:r>
      <w:r w:rsidR="00A447E3">
        <w:t xml:space="preserve"> confidence and competence within the free text feedback.</w:t>
      </w:r>
      <w:r w:rsidR="00811E71">
        <w:t xml:space="preserve"> </w:t>
      </w:r>
      <w:r w:rsidR="00A447E3">
        <w:t>Specifically</w:t>
      </w:r>
      <w:r w:rsidR="00CB4C3B">
        <w:t>,</w:t>
      </w:r>
      <w:r w:rsidR="00A447E3">
        <w:t xml:space="preserve"> registered nurse users expressed concerns as they had not previously use</w:t>
      </w:r>
      <w:r>
        <w:t>d</w:t>
      </w:r>
      <w:r w:rsidR="00A447E3">
        <w:t xml:space="preserve"> an electronic device as part of their role.</w:t>
      </w:r>
      <w:r w:rsidR="00811E71">
        <w:t xml:space="preserve"> </w:t>
      </w:r>
      <w:r w:rsidR="00A447E3">
        <w:t xml:space="preserve">Prescribers also described a lack of </w:t>
      </w:r>
      <w:r w:rsidR="00A447E3">
        <w:lastRenderedPageBreak/>
        <w:t>confidence in using the ePMA system without additional training</w:t>
      </w:r>
      <w:r w:rsidR="00CB4C3B">
        <w:t>,</w:t>
      </w:r>
      <w:r w:rsidR="00A447E3">
        <w:t xml:space="preserve"> and pharmacists requested further training to improve their confidence and competence. </w:t>
      </w:r>
    </w:p>
    <w:p w14:paraId="7A52D158" w14:textId="77777777" w:rsidR="00A447E3" w:rsidRDefault="00A447E3" w:rsidP="008843DF">
      <w:pPr>
        <w:pStyle w:val="Heading3"/>
      </w:pPr>
    </w:p>
    <w:p w14:paraId="52F5BBEF" w14:textId="4B3FF4E0" w:rsidR="008843DF" w:rsidRDefault="008843DF" w:rsidP="008843DF">
      <w:pPr>
        <w:pStyle w:val="Heading3"/>
      </w:pPr>
      <w:bookmarkStart w:id="27" w:name="_Toc128484311"/>
      <w:r>
        <w:t>Quantitative Ratings</w:t>
      </w:r>
      <w:bookmarkEnd w:id="27"/>
    </w:p>
    <w:p w14:paraId="6FA218A7" w14:textId="3898B25C" w:rsidR="008E50C6" w:rsidRDefault="008E50C6" w:rsidP="008E50C6"/>
    <w:p w14:paraId="54FF3848" w14:textId="0479AB91" w:rsidR="008E50C6" w:rsidRDefault="007B04CA" w:rsidP="002939CF">
      <w:pPr>
        <w:spacing w:line="360" w:lineRule="auto"/>
        <w:jc w:val="both"/>
      </w:pPr>
      <w:r>
        <w:t xml:space="preserve">A time-in-motion study focused on three elements of the users' tasks to determine the maximum amount of time that could be released to patient care by implementing an ePMA system. </w:t>
      </w:r>
      <w:r w:rsidR="00632873">
        <w:t>A</w:t>
      </w:r>
      <w:r w:rsidR="002939CF">
        <w:t xml:space="preserve"> summary of the findings is illustrated in </w:t>
      </w:r>
      <w:r w:rsidR="000739AF">
        <w:t>F</w:t>
      </w:r>
      <w:r w:rsidR="002939CF">
        <w:t xml:space="preserve">igure </w:t>
      </w:r>
      <w:r w:rsidR="00323D09">
        <w:t>1</w:t>
      </w:r>
      <w:r w:rsidR="001F7B33">
        <w:t>4</w:t>
      </w:r>
      <w:r w:rsidR="002939CF">
        <w:t>.</w:t>
      </w:r>
    </w:p>
    <w:p w14:paraId="46A74226" w14:textId="19A182A6" w:rsidR="002939CF" w:rsidRDefault="002939CF" w:rsidP="008E50C6"/>
    <w:p w14:paraId="0AE92CF0" w14:textId="2E6D9FC5" w:rsidR="00260553" w:rsidRDefault="00260553" w:rsidP="008E50C6"/>
    <w:p w14:paraId="4A1F29DB" w14:textId="77777777" w:rsidR="00B10C0A" w:rsidRDefault="00260553" w:rsidP="00B10C0A">
      <w:pPr>
        <w:keepNext/>
      </w:pPr>
      <w:r w:rsidRPr="00260553">
        <w:rPr>
          <w:noProof/>
        </w:rPr>
        <w:drawing>
          <wp:inline distT="0" distB="0" distL="0" distR="0" wp14:anchorId="614C0825" wp14:editId="46972837">
            <wp:extent cx="5731510" cy="2680335"/>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23"/>
                    <a:stretch>
                      <a:fillRect/>
                    </a:stretch>
                  </pic:blipFill>
                  <pic:spPr>
                    <a:xfrm>
                      <a:off x="0" y="0"/>
                      <a:ext cx="5731510" cy="2680335"/>
                    </a:xfrm>
                    <a:prstGeom prst="rect">
                      <a:avLst/>
                    </a:prstGeom>
                  </pic:spPr>
                </pic:pic>
              </a:graphicData>
            </a:graphic>
          </wp:inline>
        </w:drawing>
      </w:r>
    </w:p>
    <w:p w14:paraId="3E972554" w14:textId="09765D06" w:rsidR="00260553" w:rsidRPr="001B2942" w:rsidRDefault="00B10C0A" w:rsidP="001B2942">
      <w:pPr>
        <w:pStyle w:val="Caption"/>
        <w:jc w:val="center"/>
        <w:rPr>
          <w:sz w:val="22"/>
          <w:szCs w:val="22"/>
        </w:rPr>
      </w:pPr>
      <w:bookmarkStart w:id="28" w:name="_Toc128735625"/>
      <w:r w:rsidRPr="001B2942">
        <w:rPr>
          <w:sz w:val="22"/>
          <w:szCs w:val="22"/>
        </w:rPr>
        <w:t xml:space="preserve">Figure </w:t>
      </w:r>
      <w:r w:rsidR="00D72AEB" w:rsidRPr="001B2942">
        <w:rPr>
          <w:sz w:val="22"/>
          <w:szCs w:val="22"/>
        </w:rPr>
        <w:fldChar w:fldCharType="begin"/>
      </w:r>
      <w:r w:rsidR="00D72AEB" w:rsidRPr="001B2942">
        <w:rPr>
          <w:sz w:val="22"/>
          <w:szCs w:val="22"/>
        </w:rPr>
        <w:instrText xml:space="preserve"> SEQ Figure \* ARABIC </w:instrText>
      </w:r>
      <w:r w:rsidR="00D72AEB" w:rsidRPr="001B2942">
        <w:rPr>
          <w:sz w:val="22"/>
          <w:szCs w:val="22"/>
        </w:rPr>
        <w:fldChar w:fldCharType="separate"/>
      </w:r>
      <w:r w:rsidR="001F7B33">
        <w:rPr>
          <w:noProof/>
          <w:sz w:val="22"/>
          <w:szCs w:val="22"/>
        </w:rPr>
        <w:t>12</w:t>
      </w:r>
      <w:r w:rsidR="00D72AEB" w:rsidRPr="001B2942">
        <w:rPr>
          <w:noProof/>
          <w:sz w:val="22"/>
          <w:szCs w:val="22"/>
        </w:rPr>
        <w:fldChar w:fldCharType="end"/>
      </w:r>
      <w:r w:rsidRPr="001B2942">
        <w:rPr>
          <w:sz w:val="22"/>
          <w:szCs w:val="22"/>
        </w:rPr>
        <w:t>. Summary of findings, time in motion studies</w:t>
      </w:r>
      <w:bookmarkEnd w:id="28"/>
    </w:p>
    <w:p w14:paraId="7B55C7CE" w14:textId="12B351B5" w:rsidR="002939CF" w:rsidRDefault="002939CF" w:rsidP="008E50C6"/>
    <w:p w14:paraId="3035CBDB" w14:textId="244EB8A5" w:rsidR="0059188C" w:rsidRDefault="007B04CA" w:rsidP="00F838E1">
      <w:pPr>
        <w:spacing w:line="360" w:lineRule="auto"/>
        <w:jc w:val="both"/>
      </w:pPr>
      <w:r>
        <w:t xml:space="preserve">Approximately </w:t>
      </w:r>
      <w:r w:rsidR="00DD1D46">
        <w:t xml:space="preserve">10,167 hours were released to care at </w:t>
      </w:r>
      <w:r w:rsidR="0002379C">
        <w:t>Singleton</w:t>
      </w:r>
      <w:r w:rsidR="00DD1D46">
        <w:t xml:space="preserve"> and </w:t>
      </w:r>
      <w:r w:rsidR="00F838E1">
        <w:t xml:space="preserve">7,000 hours at NPTH. </w:t>
      </w:r>
    </w:p>
    <w:p w14:paraId="3CF499D3" w14:textId="7C58FDBC" w:rsidR="0059188C" w:rsidRDefault="0059188C" w:rsidP="00F838E1">
      <w:pPr>
        <w:spacing w:line="360" w:lineRule="auto"/>
        <w:jc w:val="both"/>
      </w:pPr>
      <w:r>
        <w:t xml:space="preserve">Data were obtained from the </w:t>
      </w:r>
      <w:r w:rsidR="001B2942">
        <w:t>Datix</w:t>
      </w:r>
      <w:r>
        <w:t xml:space="preserve"> incident reporting system </w:t>
      </w:r>
      <w:r w:rsidR="00632873">
        <w:t>concerning</w:t>
      </w:r>
      <w:r>
        <w:t xml:space="preserve"> the number of incidents relating to the medicines management process, </w:t>
      </w:r>
      <w:r w:rsidR="00194B4C">
        <w:t>focusing</w:t>
      </w:r>
      <w:r>
        <w:t xml:space="preserve"> on three elements</w:t>
      </w:r>
      <w:r w:rsidR="00194B4C">
        <w:t>,</w:t>
      </w:r>
      <w:r>
        <w:t xml:space="preserve"> as illustrated in </w:t>
      </w:r>
      <w:r w:rsidR="000739AF">
        <w:t>F</w:t>
      </w:r>
      <w:r>
        <w:t xml:space="preserve">igure </w:t>
      </w:r>
      <w:r w:rsidR="00323D09">
        <w:t>1</w:t>
      </w:r>
      <w:r w:rsidR="001F7B33">
        <w:t>5</w:t>
      </w:r>
      <w:r>
        <w:t xml:space="preserve">. </w:t>
      </w:r>
    </w:p>
    <w:p w14:paraId="118B876C" w14:textId="30D6F128" w:rsidR="0059188C" w:rsidRDefault="0059188C" w:rsidP="00F838E1">
      <w:pPr>
        <w:spacing w:line="360" w:lineRule="auto"/>
        <w:jc w:val="both"/>
      </w:pPr>
    </w:p>
    <w:p w14:paraId="3A7AE600" w14:textId="77777777" w:rsidR="00B10C0A" w:rsidRDefault="00260553" w:rsidP="00B10C0A">
      <w:pPr>
        <w:keepNext/>
        <w:spacing w:line="360" w:lineRule="auto"/>
        <w:jc w:val="both"/>
      </w:pPr>
      <w:r w:rsidRPr="00260553">
        <w:rPr>
          <w:noProof/>
        </w:rPr>
        <w:lastRenderedPageBreak/>
        <w:drawing>
          <wp:inline distT="0" distB="0" distL="0" distR="0" wp14:anchorId="3D33037E" wp14:editId="5C3776E5">
            <wp:extent cx="5731510" cy="1671320"/>
            <wp:effectExtent l="0" t="0" r="0" b="508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4"/>
                    <a:stretch>
                      <a:fillRect/>
                    </a:stretch>
                  </pic:blipFill>
                  <pic:spPr>
                    <a:xfrm>
                      <a:off x="0" y="0"/>
                      <a:ext cx="5731510" cy="1671320"/>
                    </a:xfrm>
                    <a:prstGeom prst="rect">
                      <a:avLst/>
                    </a:prstGeom>
                  </pic:spPr>
                </pic:pic>
              </a:graphicData>
            </a:graphic>
          </wp:inline>
        </w:drawing>
      </w:r>
    </w:p>
    <w:p w14:paraId="46A6CE72" w14:textId="0C53C13C" w:rsidR="0059188C" w:rsidRPr="001B2942" w:rsidRDefault="00B10C0A" w:rsidP="001B2942">
      <w:pPr>
        <w:pStyle w:val="Caption"/>
        <w:jc w:val="center"/>
        <w:rPr>
          <w:sz w:val="22"/>
          <w:szCs w:val="22"/>
        </w:rPr>
      </w:pPr>
      <w:bookmarkStart w:id="29" w:name="_Toc128735626"/>
      <w:r w:rsidRPr="001B2942">
        <w:rPr>
          <w:sz w:val="22"/>
          <w:szCs w:val="22"/>
        </w:rPr>
        <w:t xml:space="preserve">Figure </w:t>
      </w:r>
      <w:r w:rsidR="00D72AEB" w:rsidRPr="001B2942">
        <w:rPr>
          <w:sz w:val="22"/>
          <w:szCs w:val="22"/>
        </w:rPr>
        <w:fldChar w:fldCharType="begin"/>
      </w:r>
      <w:r w:rsidR="00D72AEB" w:rsidRPr="001B2942">
        <w:rPr>
          <w:sz w:val="22"/>
          <w:szCs w:val="22"/>
        </w:rPr>
        <w:instrText xml:space="preserve"> SEQ Figure \* ARABIC </w:instrText>
      </w:r>
      <w:r w:rsidR="00D72AEB" w:rsidRPr="001B2942">
        <w:rPr>
          <w:sz w:val="22"/>
          <w:szCs w:val="22"/>
        </w:rPr>
        <w:fldChar w:fldCharType="separate"/>
      </w:r>
      <w:r w:rsidR="001F7B33">
        <w:rPr>
          <w:noProof/>
          <w:sz w:val="22"/>
          <w:szCs w:val="22"/>
        </w:rPr>
        <w:t>13</w:t>
      </w:r>
      <w:r w:rsidR="00D72AEB" w:rsidRPr="001B2942">
        <w:rPr>
          <w:noProof/>
          <w:sz w:val="22"/>
          <w:szCs w:val="22"/>
        </w:rPr>
        <w:fldChar w:fldCharType="end"/>
      </w:r>
      <w:r w:rsidRPr="001B2942">
        <w:rPr>
          <w:sz w:val="22"/>
          <w:szCs w:val="22"/>
        </w:rPr>
        <w:t>. Errors in Prescribing and medicines administration</w:t>
      </w:r>
      <w:bookmarkEnd w:id="29"/>
    </w:p>
    <w:p w14:paraId="2AC066DF" w14:textId="3614A9D1" w:rsidR="00CD3BF4" w:rsidRDefault="00245BD0" w:rsidP="003C5561">
      <w:pPr>
        <w:spacing w:line="360" w:lineRule="auto"/>
        <w:jc w:val="both"/>
      </w:pPr>
      <w:r>
        <w:t>The data captured from the Datix incident reporting system relies upon individuals to recognise that they have made an error and to self-report.</w:t>
      </w:r>
    </w:p>
    <w:p w14:paraId="429E0F79" w14:textId="12CC11FC" w:rsidR="00CD3BF4" w:rsidRDefault="00CD3BF4" w:rsidP="00CE2113">
      <w:pPr>
        <w:pStyle w:val="Heading1"/>
      </w:pPr>
      <w:bookmarkStart w:id="30" w:name="_Toc128484312"/>
      <w:r>
        <w:t>Discussion</w:t>
      </w:r>
      <w:r w:rsidR="006B0EF5">
        <w:t xml:space="preserve"> and Conclusion</w:t>
      </w:r>
      <w:bookmarkEnd w:id="30"/>
      <w:r w:rsidR="006B0EF5">
        <w:t xml:space="preserve"> </w:t>
      </w:r>
      <w:r>
        <w:t xml:space="preserve"> </w:t>
      </w:r>
    </w:p>
    <w:p w14:paraId="6CAA9FAB" w14:textId="68BC480C" w:rsidR="0005072D" w:rsidRDefault="0005072D"/>
    <w:p w14:paraId="2F1E1987" w14:textId="37094BEF" w:rsidR="00405CA5" w:rsidRDefault="00A039DE" w:rsidP="00405CA5">
      <w:pPr>
        <w:spacing w:line="360" w:lineRule="auto"/>
        <w:jc w:val="both"/>
      </w:pPr>
      <w:r>
        <w:t>Using</w:t>
      </w:r>
      <w:r w:rsidR="00405CA5">
        <w:t xml:space="preserve"> the FITT framework has enabled the author to critically analyse how well the ePMA system</w:t>
      </w:r>
      <w:r w:rsidR="006B0EF5">
        <w:t xml:space="preserve"> </w:t>
      </w:r>
      <w:r w:rsidR="00405CA5">
        <w:t xml:space="preserve">aligns with the needs of the individual (users of the ePMA) and the tasks (medicines management tasks) they are performing. However, there are several limitations to the FITT framework for consideration. </w:t>
      </w:r>
      <w:r w:rsidR="00800756">
        <w:t xml:space="preserve">Davidoff et al. (2015) </w:t>
      </w:r>
      <w:r>
        <w:t>support</w:t>
      </w:r>
      <w:r w:rsidR="00405CA5">
        <w:t xml:space="preserve"> that the FITT framework does not provide a standard set of criteria for evaluating the fit between the individual, </w:t>
      </w:r>
      <w:r w:rsidR="00EB2A76">
        <w:t>task,</w:t>
      </w:r>
      <w:r w:rsidR="00405CA5">
        <w:t xml:space="preserve"> and technology concepts</w:t>
      </w:r>
      <w:r w:rsidR="00194B4C">
        <w:t xml:space="preserve">. </w:t>
      </w:r>
      <w:r w:rsidR="000C7DBD">
        <w:t>Since other evaluations may have used a different set of criteria</w:t>
      </w:r>
      <w:r w:rsidR="007B04CA">
        <w:t xml:space="preserve">, </w:t>
      </w:r>
      <w:r w:rsidR="00405CA5">
        <w:t xml:space="preserve">the </w:t>
      </w:r>
      <w:r w:rsidR="000C7DBD">
        <w:t xml:space="preserve">conclusion that </w:t>
      </w:r>
      <w:r w:rsidR="00405CA5">
        <w:t xml:space="preserve">the ePMA system </w:t>
      </w:r>
      <w:r w:rsidR="000C7DBD">
        <w:t>is</w:t>
      </w:r>
      <w:r w:rsidR="00605CC8">
        <w:t xml:space="preserve"> a </w:t>
      </w:r>
      <w:r w:rsidR="00B066F3">
        <w:t xml:space="preserve">suitable solution </w:t>
      </w:r>
      <w:r w:rsidR="00405CA5">
        <w:t>align</w:t>
      </w:r>
      <w:r w:rsidR="00C4766D">
        <w:t>ed</w:t>
      </w:r>
      <w:r w:rsidR="00405CA5">
        <w:t xml:space="preserve"> with the</w:t>
      </w:r>
      <w:r w:rsidR="000C7DBD">
        <w:t xml:space="preserve"> users' needs and</w:t>
      </w:r>
      <w:r w:rsidR="00405CA5">
        <w:t xml:space="preserve"> tasks associated with </w:t>
      </w:r>
      <w:r w:rsidR="00C4766D">
        <w:t xml:space="preserve">the </w:t>
      </w:r>
      <w:r w:rsidR="00405CA5">
        <w:t>medication management processes may not be comparable to other evaluation</w:t>
      </w:r>
      <w:r w:rsidR="000C7DBD">
        <w:t>s</w:t>
      </w:r>
      <w:r w:rsidR="00405CA5">
        <w:t xml:space="preserve">. The FITT framework also requires an understanding of the complex interactions between individuals, </w:t>
      </w:r>
      <w:r w:rsidR="00605CC8">
        <w:t>tasks,</w:t>
      </w:r>
      <w:r w:rsidR="00405CA5">
        <w:t xml:space="preserve"> and technology and</w:t>
      </w:r>
      <w:r w:rsidR="00702850">
        <w:t>,</w:t>
      </w:r>
      <w:r w:rsidR="00405CA5">
        <w:t xml:space="preserve"> therefore, can be </w:t>
      </w:r>
      <w:r w:rsidR="00702850">
        <w:t>challenging</w:t>
      </w:r>
      <w:r w:rsidR="00405CA5">
        <w:t xml:space="preserve"> to </w:t>
      </w:r>
      <w:r w:rsidR="00702850">
        <w:t>use</w:t>
      </w:r>
      <w:r w:rsidR="00405CA5">
        <w:t xml:space="preserve"> when </w:t>
      </w:r>
      <w:r w:rsidR="00605CC8">
        <w:t>many</w:t>
      </w:r>
      <w:r w:rsidR="00405CA5">
        <w:t xml:space="preserve"> individuals and tasks are involved </w:t>
      </w:r>
      <w:r w:rsidR="00800756">
        <w:t xml:space="preserve">(Greenhalgh </w:t>
      </w:r>
      <w:r w:rsidR="00800756" w:rsidRPr="00DB3DAA">
        <w:rPr>
          <w:i/>
          <w:iCs/>
        </w:rPr>
        <w:t>et al</w:t>
      </w:r>
      <w:r w:rsidR="00800756">
        <w:t>. 2017)</w:t>
      </w:r>
      <w:r w:rsidR="00405CA5">
        <w:t xml:space="preserve">. </w:t>
      </w:r>
      <w:r w:rsidR="0032341B">
        <w:t>However,</w:t>
      </w:r>
      <w:r w:rsidR="002C5C39">
        <w:t xml:space="preserve"> although</w:t>
      </w:r>
      <w:r w:rsidR="00405CA5">
        <w:t xml:space="preserve"> the FITT framework </w:t>
      </w:r>
      <w:r w:rsidR="00702850">
        <w:t>was an appropriate tool</w:t>
      </w:r>
      <w:r w:rsidR="00405CA5">
        <w:t xml:space="preserve"> to guide the evaluation of the ePMA implementation at NPTH and </w:t>
      </w:r>
      <w:r w:rsidR="0002379C">
        <w:t>Singleton</w:t>
      </w:r>
      <w:r w:rsidR="002C5C39">
        <w:t>, d</w:t>
      </w:r>
      <w:r w:rsidR="00702850">
        <w:t xml:space="preserve">ue to its lack of standard criteria, </w:t>
      </w:r>
      <w:r w:rsidR="00405CA5">
        <w:t>the complexity of relationships between users, tasks, and technology</w:t>
      </w:r>
      <w:r w:rsidR="0032341B">
        <w:t xml:space="preserve">, as well as </w:t>
      </w:r>
      <w:r w:rsidR="00702850">
        <w:t>its</w:t>
      </w:r>
      <w:r w:rsidR="00405CA5">
        <w:t xml:space="preserve"> limited scope</w:t>
      </w:r>
      <w:r w:rsidR="0032341B">
        <w:t>, it is unlikely to be an appropriate tool to support a more extensive evaluation. In addition to organisational culture and external factors like regulatory and environmental constraints, other factors influencing technology adoption and use are not considered</w:t>
      </w:r>
      <w:r w:rsidR="000C7DBD">
        <w:t xml:space="preserve"> in the FITT framework</w:t>
      </w:r>
      <w:r w:rsidR="0032341B">
        <w:t xml:space="preserve">. </w:t>
      </w:r>
      <w:r w:rsidR="00405CA5">
        <w:t xml:space="preserve"> </w:t>
      </w:r>
    </w:p>
    <w:p w14:paraId="30C62ED4" w14:textId="77777777" w:rsidR="00405CA5" w:rsidRDefault="00405CA5" w:rsidP="00405CA5">
      <w:pPr>
        <w:spacing w:line="360" w:lineRule="auto"/>
        <w:jc w:val="both"/>
      </w:pPr>
      <w:r>
        <w:t xml:space="preserve"> </w:t>
      </w:r>
    </w:p>
    <w:p w14:paraId="3DFF4C3D" w14:textId="60EBD9E7" w:rsidR="00405CA5" w:rsidRDefault="00405CA5" w:rsidP="00405CA5">
      <w:pPr>
        <w:spacing w:line="360" w:lineRule="auto"/>
        <w:jc w:val="both"/>
      </w:pPr>
      <w:r>
        <w:t xml:space="preserve">An alternative framework to evaluate the implementation of the ePMA system on a national scale is the Technology, People, Organisations and Macroenvironmental (TPOM) framework. </w:t>
      </w:r>
      <w:r>
        <w:lastRenderedPageBreak/>
        <w:t>The TPOM framework (</w:t>
      </w:r>
      <w:r w:rsidR="000739AF">
        <w:t>F</w:t>
      </w:r>
      <w:r>
        <w:t>igure 1</w:t>
      </w:r>
      <w:r w:rsidR="002C5C39">
        <w:t>6</w:t>
      </w:r>
      <w:r>
        <w:t xml:space="preserve">.) </w:t>
      </w:r>
      <w:r w:rsidR="000C7DBD">
        <w:t xml:space="preserve">was </w:t>
      </w:r>
      <w:r>
        <w:t xml:space="preserve">developed by Creswell, </w:t>
      </w:r>
      <w:r w:rsidR="006B0EF5">
        <w:t>Williams,</w:t>
      </w:r>
      <w:r>
        <w:t xml:space="preserve"> and sheikh (2020) specifically for health information technology implementers</w:t>
      </w:r>
      <w:r w:rsidR="006B0EF5">
        <w:t>.</w:t>
      </w:r>
      <w:r>
        <w:t xml:space="preserve"> </w:t>
      </w:r>
      <w:r w:rsidR="006B0EF5">
        <w:t>W</w:t>
      </w:r>
      <w:r>
        <w:t>ithin this framework</w:t>
      </w:r>
      <w:r w:rsidR="0032341B">
        <w:t>,</w:t>
      </w:r>
      <w:r>
        <w:t xml:space="preserve"> all dimensions are equally important and illustrate the interdependencies of the components. </w:t>
      </w:r>
    </w:p>
    <w:p w14:paraId="061C961B" w14:textId="77777777" w:rsidR="00405CA5" w:rsidRDefault="00405CA5" w:rsidP="00405CA5">
      <w:pPr>
        <w:spacing w:line="360" w:lineRule="auto"/>
        <w:jc w:val="both"/>
      </w:pPr>
    </w:p>
    <w:p w14:paraId="11B74A66" w14:textId="77777777" w:rsidR="00405CA5" w:rsidRDefault="00405CA5" w:rsidP="00405CA5">
      <w:pPr>
        <w:keepNext/>
        <w:spacing w:line="360" w:lineRule="auto"/>
        <w:jc w:val="center"/>
      </w:pPr>
      <w:r>
        <w:rPr>
          <w:noProof/>
        </w:rPr>
        <w:drawing>
          <wp:inline distT="0" distB="0" distL="0" distR="0" wp14:anchorId="692667D8" wp14:editId="016AB0CD">
            <wp:extent cx="3455581" cy="3046700"/>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465856" cy="3055759"/>
                    </a:xfrm>
                    <a:prstGeom prst="rect">
                      <a:avLst/>
                    </a:prstGeom>
                  </pic:spPr>
                </pic:pic>
              </a:graphicData>
            </a:graphic>
          </wp:inline>
        </w:drawing>
      </w:r>
    </w:p>
    <w:p w14:paraId="3FADF48F" w14:textId="009088E4" w:rsidR="00405CA5" w:rsidRPr="0020521B" w:rsidRDefault="00405CA5" w:rsidP="00405CA5">
      <w:pPr>
        <w:pStyle w:val="Caption"/>
        <w:jc w:val="center"/>
        <w:rPr>
          <w:sz w:val="22"/>
          <w:szCs w:val="22"/>
        </w:rPr>
      </w:pPr>
      <w:bookmarkStart w:id="31" w:name="_Toc128735627"/>
      <w:r w:rsidRPr="0020521B">
        <w:rPr>
          <w:sz w:val="22"/>
          <w:szCs w:val="22"/>
        </w:rPr>
        <w:t xml:space="preserve">Figure </w:t>
      </w:r>
      <w:r w:rsidRPr="0020521B">
        <w:rPr>
          <w:sz w:val="22"/>
          <w:szCs w:val="22"/>
        </w:rPr>
        <w:fldChar w:fldCharType="begin"/>
      </w:r>
      <w:r w:rsidRPr="0020521B">
        <w:rPr>
          <w:sz w:val="22"/>
          <w:szCs w:val="22"/>
        </w:rPr>
        <w:instrText xml:space="preserve"> SEQ Figure \* ARABIC </w:instrText>
      </w:r>
      <w:r w:rsidRPr="0020521B">
        <w:rPr>
          <w:sz w:val="22"/>
          <w:szCs w:val="22"/>
        </w:rPr>
        <w:fldChar w:fldCharType="separate"/>
      </w:r>
      <w:r w:rsidR="001F7B33">
        <w:rPr>
          <w:noProof/>
          <w:sz w:val="22"/>
          <w:szCs w:val="22"/>
        </w:rPr>
        <w:t>14</w:t>
      </w:r>
      <w:r w:rsidRPr="0020521B">
        <w:rPr>
          <w:sz w:val="22"/>
          <w:szCs w:val="22"/>
        </w:rPr>
        <w:fldChar w:fldCharType="end"/>
      </w:r>
      <w:r w:rsidR="005339EE">
        <w:rPr>
          <w:sz w:val="22"/>
          <w:szCs w:val="22"/>
        </w:rPr>
        <w:t>.</w:t>
      </w:r>
      <w:r w:rsidRPr="0020521B">
        <w:rPr>
          <w:sz w:val="22"/>
          <w:szCs w:val="22"/>
        </w:rPr>
        <w:t xml:space="preserve"> The TPOM framework (Creswell, </w:t>
      </w:r>
      <w:proofErr w:type="gramStart"/>
      <w:r w:rsidRPr="0020521B">
        <w:rPr>
          <w:sz w:val="22"/>
          <w:szCs w:val="22"/>
        </w:rPr>
        <w:t>Williams</w:t>
      </w:r>
      <w:proofErr w:type="gramEnd"/>
      <w:r w:rsidRPr="0020521B">
        <w:rPr>
          <w:sz w:val="22"/>
          <w:szCs w:val="22"/>
        </w:rPr>
        <w:t xml:space="preserve"> and Sheikh, 2020)</w:t>
      </w:r>
      <w:bookmarkEnd w:id="31"/>
    </w:p>
    <w:p w14:paraId="0F8BF30F" w14:textId="77777777" w:rsidR="00405CA5" w:rsidRDefault="00405CA5" w:rsidP="00405CA5">
      <w:pPr>
        <w:spacing w:line="360" w:lineRule="auto"/>
        <w:jc w:val="both"/>
      </w:pPr>
    </w:p>
    <w:p w14:paraId="06F84984" w14:textId="142DCC70" w:rsidR="00405CA5" w:rsidRDefault="00405CA5" w:rsidP="00405CA5">
      <w:pPr>
        <w:spacing w:line="360" w:lineRule="auto"/>
        <w:jc w:val="both"/>
      </w:pPr>
      <w:r>
        <w:t xml:space="preserve">While the TPOM framework and the FITT framework share some similarities in assessing the fit between technology, tasks, and individuals, there are some important differences between the two frameworks </w:t>
      </w:r>
      <w:r w:rsidR="00C92511">
        <w:t>(Gehman, 2018)</w:t>
      </w:r>
      <w:r>
        <w:t xml:space="preserve">. </w:t>
      </w:r>
      <w:r w:rsidR="00C92511">
        <w:t>Cram, Proudfoot and D’arcy (2017)</w:t>
      </w:r>
      <w:r>
        <w:t xml:space="preserve"> </w:t>
      </w:r>
      <w:r w:rsidR="00C92511">
        <w:t>s</w:t>
      </w:r>
      <w:r>
        <w:t>tate that the main difference is that the TPOM framework takes a broader organisational perspective</w:t>
      </w:r>
      <w:r w:rsidR="006B0EF5">
        <w:t xml:space="preserve"> and includes the Person-Organisation Fit (POF) and Management of Change (MOC) components</w:t>
      </w:r>
      <w:r w:rsidR="0032341B">
        <w:t>. In contrast,</w:t>
      </w:r>
      <w:r>
        <w:t xml:space="preserve"> the FITT framework </w:t>
      </w:r>
      <w:r w:rsidR="0032341B">
        <w:t>primarily focuses</w:t>
      </w:r>
      <w:r>
        <w:t xml:space="preserve"> on the fit between individuals, tasks, and technology</w:t>
      </w:r>
      <w:r w:rsidR="006B0EF5">
        <w:t xml:space="preserve"> without considering the organisational context as </w:t>
      </w:r>
      <w:r w:rsidR="0032341B">
        <w:t>its own concept</w:t>
      </w:r>
      <w:r>
        <w:t xml:space="preserve">. </w:t>
      </w:r>
    </w:p>
    <w:p w14:paraId="7E28EFDE" w14:textId="77777777" w:rsidR="00405CA5" w:rsidRDefault="00405CA5" w:rsidP="00405CA5">
      <w:pPr>
        <w:spacing w:line="360" w:lineRule="auto"/>
        <w:jc w:val="both"/>
      </w:pPr>
    </w:p>
    <w:p w14:paraId="7F1BD0CE" w14:textId="1C050D2E" w:rsidR="00405CA5" w:rsidRDefault="00405CA5" w:rsidP="00405CA5">
      <w:pPr>
        <w:spacing w:line="360" w:lineRule="auto"/>
        <w:jc w:val="both"/>
      </w:pPr>
      <w:r>
        <w:t>In contrast to the FITT framework</w:t>
      </w:r>
      <w:r w:rsidR="0032341B">
        <w:t>,</w:t>
      </w:r>
      <w:r>
        <w:t xml:space="preserve"> which is primarily a tool for describing the fit between the individual, task, and technology concepts and does not provide specific recommendations for improving the fit </w:t>
      </w:r>
      <w:r w:rsidR="00696A46">
        <w:t xml:space="preserve">(Davidoff </w:t>
      </w:r>
      <w:r w:rsidR="00696A46" w:rsidRPr="00DB3DAA">
        <w:rPr>
          <w:i/>
          <w:iCs/>
        </w:rPr>
        <w:t>et al</w:t>
      </w:r>
      <w:r w:rsidR="00696A46">
        <w:t>. 2015)</w:t>
      </w:r>
      <w:r>
        <w:t>, the TPOM framework is more prescriptive</w:t>
      </w:r>
      <w:r w:rsidR="000C7DBD">
        <w:t>. It offers</w:t>
      </w:r>
      <w:r w:rsidR="0032341B">
        <w:t xml:space="preserve"> a structured approach for</w:t>
      </w:r>
      <w:r>
        <w:t xml:space="preserve"> assessing and improving the fit between technology, tasks, individuals, and the broader organisational context, including specific strategies for managing change (</w:t>
      </w:r>
      <w:r w:rsidR="00153048">
        <w:t>Hanelt, Bohnsack, Marz and Antunes Marante, 2021</w:t>
      </w:r>
      <w:r>
        <w:t xml:space="preserve">). Overall, while the TPOM and </w:t>
      </w:r>
      <w:r>
        <w:lastRenderedPageBreak/>
        <w:t>FITT frameworks</w:t>
      </w:r>
      <w:r w:rsidR="0032341B">
        <w:t xml:space="preserve"> are</w:t>
      </w:r>
      <w:r>
        <w:t xml:space="preserve"> useful tools for assessing and improving the fit between technology, tasks, and individuals, they have different areas of focus and different levels of prescriptiveness, and the choice of </w:t>
      </w:r>
      <w:r w:rsidR="0032341B">
        <w:t xml:space="preserve">the </w:t>
      </w:r>
      <w:r>
        <w:t>framework will depend on the specific research question or organisational context (</w:t>
      </w:r>
      <w:r w:rsidR="0075224B">
        <w:t>Pfadenhauer, 2017)</w:t>
      </w:r>
      <w:r>
        <w:t>.</w:t>
      </w:r>
    </w:p>
    <w:p w14:paraId="1A3CCB6B" w14:textId="77777777" w:rsidR="00405CA5" w:rsidRDefault="00405CA5" w:rsidP="00DB7CD1">
      <w:pPr>
        <w:spacing w:line="360" w:lineRule="auto"/>
        <w:jc w:val="both"/>
      </w:pPr>
    </w:p>
    <w:p w14:paraId="2BD2F6E7" w14:textId="7D006306" w:rsidR="00DB7CD1" w:rsidRDefault="00B33229" w:rsidP="00DB7CD1">
      <w:pPr>
        <w:spacing w:line="360" w:lineRule="auto"/>
        <w:jc w:val="both"/>
      </w:pPr>
      <w:r>
        <w:t>The expected impact of implementing ePMA systems is improving patient safety by digitalising the medicines management process and removing variation in paper-based practices. Applying the FITT framework to evaluate t</w:t>
      </w:r>
      <w:r w:rsidR="00DB7CD1">
        <w:t xml:space="preserve">he </w:t>
      </w:r>
      <w:r w:rsidR="000C7DBD">
        <w:t xml:space="preserve">data available in the </w:t>
      </w:r>
      <w:r>
        <w:t xml:space="preserve">SBUHB evaluation and the evidence sourced through the literature review suggest that the ePMA system </w:t>
      </w:r>
      <w:r w:rsidR="0080566F">
        <w:t xml:space="preserve">is a good fit </w:t>
      </w:r>
      <w:r>
        <w:t>aligned with the individual task and technology</w:t>
      </w:r>
      <w:r w:rsidR="0080566F" w:rsidRPr="00B33229">
        <w:t>, as it</w:t>
      </w:r>
      <w:r w:rsidRPr="00B33229">
        <w:t xml:space="preserve"> facilitates increased accuracy, improved </w:t>
      </w:r>
      <w:r w:rsidR="00A343DD" w:rsidRPr="00B33229">
        <w:t>efficiency,</w:t>
      </w:r>
      <w:r w:rsidRPr="00B33229">
        <w:t xml:space="preserve"> and patient safety </w:t>
      </w:r>
      <w:r w:rsidR="0075224B">
        <w:t>(</w:t>
      </w:r>
      <w:r w:rsidR="00CF037F">
        <w:t xml:space="preserve">Porterfield, Engelbert and Coutasse, 2014; Kweon and Lee, 2021; and Vaghasiya </w:t>
      </w:r>
      <w:r w:rsidR="00CF037F" w:rsidRPr="00DB3DAA">
        <w:rPr>
          <w:i/>
          <w:iCs/>
        </w:rPr>
        <w:t>et al</w:t>
      </w:r>
      <w:r w:rsidR="00CF037F">
        <w:t>. 2021</w:t>
      </w:r>
      <w:r w:rsidR="0075224B">
        <w:t>)</w:t>
      </w:r>
      <w:r>
        <w:t>.</w:t>
      </w:r>
      <w:r w:rsidR="00811E71">
        <w:t xml:space="preserve"> </w:t>
      </w:r>
      <w:r w:rsidR="00632873">
        <w:t>However,</w:t>
      </w:r>
      <w:r w:rsidR="00DB7CD1">
        <w:t xml:space="preserve"> </w:t>
      </w:r>
      <w:r w:rsidR="00A343DD">
        <w:t>there is a perception by some users that the ePMA system</w:t>
      </w:r>
      <w:r w:rsidR="00DB7CD1">
        <w:t xml:space="preserve"> may not be considered a good fit, specifically relating to time saved and the ability </w:t>
      </w:r>
      <w:r w:rsidR="0032341B">
        <w:t>to prioritise patient care better</w:t>
      </w:r>
      <w:r w:rsidR="00A343DD">
        <w:t xml:space="preserve"> (Thomas, 2022)</w:t>
      </w:r>
      <w:r w:rsidR="00DB7CD1">
        <w:t>.</w:t>
      </w:r>
      <w:r w:rsidR="00811E71">
        <w:t xml:space="preserve"> </w:t>
      </w:r>
      <w:r w:rsidR="00DB7CD1">
        <w:t xml:space="preserve">The lack of agreement with the statements around </w:t>
      </w:r>
      <w:r w:rsidR="007B04CA">
        <w:t>timesaving</w:t>
      </w:r>
      <w:r w:rsidR="00DB7CD1">
        <w:t xml:space="preserve"> and prioritising patient care may be attributed to the requirement to continue to work in a hybrid fashion</w:t>
      </w:r>
      <w:r w:rsidR="00632873">
        <w:t>,</w:t>
      </w:r>
      <w:r w:rsidR="00DB7CD1">
        <w:t xml:space="preserve"> as not all medicine charts are within the scope of the ePMA system</w:t>
      </w:r>
      <w:r w:rsidR="0032341B">
        <w:t>,</w:t>
      </w:r>
      <w:r w:rsidR="004E7B77">
        <w:t xml:space="preserve"> and medical notes remain </w:t>
      </w:r>
      <w:proofErr w:type="gramStart"/>
      <w:r w:rsidR="0032341B">
        <w:t>paper-based</w:t>
      </w:r>
      <w:proofErr w:type="gramEnd"/>
      <w:r w:rsidR="000C7DBD">
        <w:t>. C</w:t>
      </w:r>
      <w:r w:rsidR="00DB7CD1">
        <w:t xml:space="preserve">onsistent with the findings of the literature review, where multiple sources (Westbrook </w:t>
      </w:r>
      <w:r w:rsidR="00DB7CD1" w:rsidRPr="00DB3DAA">
        <w:rPr>
          <w:i/>
          <w:iCs/>
        </w:rPr>
        <w:t>et al</w:t>
      </w:r>
      <w:r w:rsidR="00DB7CD1">
        <w:t xml:space="preserve">. 2013; Lau </w:t>
      </w:r>
      <w:r w:rsidR="00DB7CD1" w:rsidRPr="00DB3DAA">
        <w:rPr>
          <w:i/>
          <w:iCs/>
        </w:rPr>
        <w:t>et al</w:t>
      </w:r>
      <w:r w:rsidR="00DB7CD1">
        <w:t xml:space="preserve">. 2019) reported an increase in </w:t>
      </w:r>
      <w:r w:rsidR="00811E71">
        <w:t>clinicians'</w:t>
      </w:r>
      <w:r w:rsidR="004D33EF">
        <w:t xml:space="preserve"> time</w:t>
      </w:r>
      <w:r w:rsidR="00DB7CD1">
        <w:t xml:space="preserve"> to generate prescriptions using an electronic system.  </w:t>
      </w:r>
      <w:r w:rsidR="00A343DD">
        <w:t xml:space="preserve">Although, the ability to keep patient information safe, to have a clear audit trail and to have accurate patient information </w:t>
      </w:r>
      <w:r w:rsidR="0032341B">
        <w:t>is</w:t>
      </w:r>
      <w:r w:rsidR="00A343DD">
        <w:t xml:space="preserve"> highlighted as </w:t>
      </w:r>
      <w:r w:rsidR="0032341B">
        <w:t xml:space="preserve">a </w:t>
      </w:r>
      <w:r w:rsidR="00A343DD">
        <w:t>benefit to the users of the ePMA system.</w:t>
      </w:r>
    </w:p>
    <w:p w14:paraId="32171D69" w14:textId="77777777" w:rsidR="00D81349" w:rsidRDefault="00D81349" w:rsidP="00DB7CD1">
      <w:pPr>
        <w:spacing w:line="360" w:lineRule="auto"/>
        <w:jc w:val="both"/>
      </w:pPr>
    </w:p>
    <w:p w14:paraId="386F5638" w14:textId="7118D78E" w:rsidR="005E10B5" w:rsidRDefault="005E10B5" w:rsidP="005E10B5">
      <w:pPr>
        <w:spacing w:line="360" w:lineRule="auto"/>
        <w:jc w:val="both"/>
      </w:pPr>
      <w:r>
        <w:t xml:space="preserve">The survey responses by registered nurses </w:t>
      </w:r>
      <w:r w:rsidR="004D33EF">
        <w:t>suggest</w:t>
      </w:r>
      <w:r>
        <w:t xml:space="preserve"> </w:t>
      </w:r>
      <w:r w:rsidR="008D6623">
        <w:t>that the implementation of ePMA aligned with the needs of the user (registered nurse), task and technology</w:t>
      </w:r>
      <w:r>
        <w:t>.</w:t>
      </w:r>
      <w:r w:rsidR="00811E71">
        <w:t xml:space="preserve"> </w:t>
      </w:r>
      <w:r>
        <w:t>More than 50% of registered nurses strongly agree</w:t>
      </w:r>
      <w:r w:rsidR="008D6623">
        <w:t>d</w:t>
      </w:r>
      <w:r>
        <w:t xml:space="preserve"> or agree</w:t>
      </w:r>
      <w:r w:rsidR="008D6623">
        <w:t>d</w:t>
      </w:r>
      <w:r>
        <w:t xml:space="preserve"> with all statements.</w:t>
      </w:r>
      <w:r w:rsidR="00811E71">
        <w:t xml:space="preserve"> </w:t>
      </w:r>
      <w:r>
        <w:t xml:space="preserve">The </w:t>
      </w:r>
      <w:r w:rsidR="007B04CA">
        <w:t>timesaving</w:t>
      </w:r>
      <w:r>
        <w:t xml:space="preserve"> benefits reported in the </w:t>
      </w:r>
      <w:r w:rsidR="004D33EF">
        <w:t>time-in-motion</w:t>
      </w:r>
      <w:r>
        <w:t xml:space="preserve"> study also </w:t>
      </w:r>
      <w:r w:rsidR="004D33EF">
        <w:t>demonstrate</w:t>
      </w:r>
      <w:r>
        <w:t xml:space="preserve"> the practicality and benefits of implementing the ePMA system to support the medicines management process.</w:t>
      </w:r>
      <w:r w:rsidR="00811E71">
        <w:t xml:space="preserve"> </w:t>
      </w:r>
      <w:r w:rsidR="000C7DBD">
        <w:t xml:space="preserve">The evidence from the </w:t>
      </w:r>
      <w:r>
        <w:t>literature</w:t>
      </w:r>
      <w:r w:rsidR="000C7DBD">
        <w:t xml:space="preserve"> also </w:t>
      </w:r>
      <w:r>
        <w:t xml:space="preserve">suggests that the introduction of health information systems reduced documentation time, allowing nurses to spend more time on care activities (Moore </w:t>
      </w:r>
      <w:r w:rsidRPr="00DB3DAA">
        <w:rPr>
          <w:i/>
          <w:iCs/>
        </w:rPr>
        <w:t>et al</w:t>
      </w:r>
      <w:r>
        <w:t>. 2020).</w:t>
      </w:r>
      <w:r w:rsidR="00811E71">
        <w:t xml:space="preserve"> </w:t>
      </w:r>
      <w:r>
        <w:t xml:space="preserve">Lau </w:t>
      </w:r>
      <w:r w:rsidRPr="00DB3DAA">
        <w:rPr>
          <w:i/>
          <w:iCs/>
        </w:rPr>
        <w:t>et al</w:t>
      </w:r>
      <w:r>
        <w:t xml:space="preserve">. (2019) argue that disadvantages associated with increased prescribing </w:t>
      </w:r>
      <w:r>
        <w:lastRenderedPageBreak/>
        <w:t xml:space="preserve">time can be counteracted by fewer orders needing clarification and saving time on other </w:t>
      </w:r>
      <w:r w:rsidR="004D33EF">
        <w:t>medication-related</w:t>
      </w:r>
      <w:r>
        <w:t xml:space="preserve"> tasks. </w:t>
      </w:r>
    </w:p>
    <w:p w14:paraId="57057283" w14:textId="0706EEB9" w:rsidR="00BE75BC" w:rsidRDefault="00BE75BC" w:rsidP="005E10B5">
      <w:pPr>
        <w:spacing w:line="360" w:lineRule="auto"/>
        <w:jc w:val="both"/>
      </w:pPr>
    </w:p>
    <w:p w14:paraId="3516193D" w14:textId="4220C639" w:rsidR="00DB7CD1" w:rsidRDefault="005B77F9" w:rsidP="0005072D">
      <w:pPr>
        <w:spacing w:line="360" w:lineRule="auto"/>
        <w:jc w:val="both"/>
      </w:pPr>
      <w:r>
        <w:t>There</w:t>
      </w:r>
      <w:r w:rsidR="000C7DBD">
        <w:t xml:space="preserve"> was a</w:t>
      </w:r>
      <w:r w:rsidR="00BE75BC">
        <w:t xml:space="preserve"> reduction in medication administration errors </w:t>
      </w:r>
      <w:r w:rsidR="000C7DBD">
        <w:t xml:space="preserve">reported </w:t>
      </w:r>
      <w:r w:rsidR="00BE75BC">
        <w:t>at NPTH and Singleton,</w:t>
      </w:r>
      <w:r>
        <w:t xml:space="preserve"> but </w:t>
      </w:r>
      <w:r w:rsidR="00BE75BC">
        <w:t xml:space="preserve">a significant increase in </w:t>
      </w:r>
      <w:r w:rsidR="004D33EF">
        <w:t>prescription errors</w:t>
      </w:r>
      <w:r>
        <w:t xml:space="preserve"> was </w:t>
      </w:r>
      <w:r w:rsidR="00BE75BC">
        <w:t>reported.</w:t>
      </w:r>
      <w:r w:rsidR="00811E71">
        <w:t xml:space="preserve"> </w:t>
      </w:r>
      <w:r w:rsidR="00BE75BC">
        <w:t xml:space="preserve">The </w:t>
      </w:r>
      <w:r w:rsidR="004D33EF">
        <w:t>decrease</w:t>
      </w:r>
      <w:r w:rsidR="00BE75BC">
        <w:t xml:space="preserve"> in administration errors is expected</w:t>
      </w:r>
      <w:r w:rsidR="004D33EF">
        <w:t>,</w:t>
      </w:r>
      <w:r w:rsidR="00BE75BC">
        <w:t xml:space="preserve"> consistent with the benefits suggested in the available literature that patient safety will be improved through complete and legible prescription charts (Pontefract </w:t>
      </w:r>
      <w:r w:rsidR="00BE75BC" w:rsidRPr="00DB3DAA">
        <w:rPr>
          <w:i/>
          <w:iCs/>
        </w:rPr>
        <w:t>et al</w:t>
      </w:r>
      <w:r w:rsidR="00BE75BC">
        <w:t xml:space="preserve">. 2018; Van Wilder </w:t>
      </w:r>
      <w:r w:rsidR="00BE75BC" w:rsidRPr="00DB3DAA">
        <w:rPr>
          <w:i/>
          <w:iCs/>
        </w:rPr>
        <w:t>et al</w:t>
      </w:r>
      <w:r w:rsidR="00BE75BC">
        <w:t>. 2020).</w:t>
      </w:r>
      <w:r w:rsidR="00811E71">
        <w:t xml:space="preserve"> </w:t>
      </w:r>
      <w:r w:rsidR="00BE75BC">
        <w:t xml:space="preserve">The increase in prescribing errors captures a limitation of the ePMA system, and Payne </w:t>
      </w:r>
      <w:r w:rsidR="00BE75BC" w:rsidRPr="00DB3DAA">
        <w:rPr>
          <w:i/>
          <w:iCs/>
        </w:rPr>
        <w:t>et al</w:t>
      </w:r>
      <w:r w:rsidR="00BE75BC">
        <w:t xml:space="preserve">. (2015) and Xie </w:t>
      </w:r>
      <w:r w:rsidR="00BE75BC" w:rsidRPr="00DB3DAA">
        <w:rPr>
          <w:i/>
          <w:iCs/>
        </w:rPr>
        <w:t>et al</w:t>
      </w:r>
      <w:r w:rsidR="00BE75BC">
        <w:t>. (2014) report on alert fatigue</w:t>
      </w:r>
      <w:r w:rsidR="004D33EF">
        <w:t>,</w:t>
      </w:r>
      <w:r w:rsidR="00BE75BC">
        <w:t xml:space="preserve"> which could contribute to prescribing errors, Lau </w:t>
      </w:r>
      <w:r w:rsidR="00BE75BC" w:rsidRPr="00DB3DAA">
        <w:rPr>
          <w:i/>
          <w:iCs/>
        </w:rPr>
        <w:t>et al</w:t>
      </w:r>
      <w:r w:rsidR="00BE75BC">
        <w:t xml:space="preserve">. (2019) cautioned </w:t>
      </w:r>
      <w:r w:rsidR="00D81349">
        <w:t>adopters</w:t>
      </w:r>
      <w:r w:rsidR="00BE75BC">
        <w:t xml:space="preserve"> of ePMA systems, to ensure that alerts are relevant and appropriate.</w:t>
      </w:r>
      <w:r w:rsidR="00811E71">
        <w:t xml:space="preserve"> </w:t>
      </w:r>
      <w:r w:rsidR="00BE75BC">
        <w:t xml:space="preserve">In </w:t>
      </w:r>
      <w:r w:rsidR="00076D8A">
        <w:t>addition,</w:t>
      </w:r>
      <w:r w:rsidR="00BE75BC">
        <w:t xml:space="preserve"> it is difficult to ascertain the </w:t>
      </w:r>
      <w:r w:rsidR="004D33EF">
        <w:t>actual</w:t>
      </w:r>
      <w:r w:rsidR="00BE75BC">
        <w:t xml:space="preserve"> increase in prescribing errors and decrease in administration errors</w:t>
      </w:r>
      <w:r w:rsidR="0032341B">
        <w:t>. Before</w:t>
      </w:r>
      <w:r w:rsidR="00BE75BC">
        <w:t xml:space="preserve"> the implementation of ePMA</w:t>
      </w:r>
      <w:r w:rsidR="004D33EF">
        <w:t>,</w:t>
      </w:r>
      <w:r w:rsidR="00BE75BC">
        <w:t xml:space="preserve"> detecting errors was reliant on individuals realising that they had made an error and self-reporting.</w:t>
      </w:r>
      <w:r w:rsidR="00811E71">
        <w:t xml:space="preserve"> </w:t>
      </w:r>
      <w:r w:rsidR="00BE75BC">
        <w:t xml:space="preserve">Another benefit of the ePMA system is the ability to track and audit activity. </w:t>
      </w:r>
    </w:p>
    <w:p w14:paraId="7C2A3513" w14:textId="77777777" w:rsidR="008032CF" w:rsidRDefault="008032CF" w:rsidP="0005072D">
      <w:pPr>
        <w:spacing w:line="360" w:lineRule="auto"/>
        <w:jc w:val="both"/>
      </w:pPr>
    </w:p>
    <w:p w14:paraId="14F18FF0" w14:textId="54F58BDB" w:rsidR="005A59DA" w:rsidRDefault="00645025" w:rsidP="00F411D6">
      <w:pPr>
        <w:spacing w:line="360" w:lineRule="auto"/>
        <w:jc w:val="both"/>
      </w:pPr>
      <w:r>
        <w:t>Implementing</w:t>
      </w:r>
      <w:r w:rsidR="005A59DA">
        <w:t xml:space="preserve"> an ePMA system that aligns with the </w:t>
      </w:r>
      <w:r w:rsidR="0032341B">
        <w:t>users' needs</w:t>
      </w:r>
      <w:r>
        <w:t xml:space="preserve"> has highlighted</w:t>
      </w:r>
      <w:r w:rsidR="005A59DA">
        <w:t xml:space="preserve"> </w:t>
      </w:r>
      <w:r w:rsidR="00F411D6" w:rsidRPr="00110E34">
        <w:t xml:space="preserve">several benefits </w:t>
      </w:r>
      <w:r w:rsidR="005A59DA">
        <w:t xml:space="preserve">contributing to seamless and safe patient care. The benefits </w:t>
      </w:r>
      <w:r w:rsidR="00B066F3">
        <w:t>include</w:t>
      </w:r>
      <w:r w:rsidR="00F411D6">
        <w:t xml:space="preserve"> </w:t>
      </w:r>
      <w:r w:rsidR="00F411D6" w:rsidRPr="00110E34">
        <w:t>Improved patient safety</w:t>
      </w:r>
      <w:r w:rsidR="00F411D6">
        <w:t>, as e</w:t>
      </w:r>
      <w:r w:rsidR="00F411D6" w:rsidRPr="00110E34">
        <w:t xml:space="preserve">lectronic systems can help reduce medication errors by providing decision support tools, </w:t>
      </w:r>
      <w:r w:rsidR="00F411D6">
        <w:t xml:space="preserve">including </w:t>
      </w:r>
      <w:r w:rsidR="00F411D6" w:rsidRPr="00110E34">
        <w:t xml:space="preserve">drug interaction alerts, that can help </w:t>
      </w:r>
      <w:r w:rsidR="00F411D6">
        <w:t xml:space="preserve">users </w:t>
      </w:r>
      <w:r w:rsidR="00F411D6" w:rsidRPr="00110E34">
        <w:t>avoid potentially harmful drug combinations or dosages.</w:t>
      </w:r>
      <w:r>
        <w:t xml:space="preserve"> </w:t>
      </w:r>
      <w:r w:rsidR="00F411D6" w:rsidRPr="00110E34">
        <w:t>Increased</w:t>
      </w:r>
      <w:r w:rsidR="00F411D6">
        <w:t xml:space="preserve"> </w:t>
      </w:r>
      <w:r w:rsidR="00F411D6" w:rsidRPr="00110E34">
        <w:t>efficiency</w:t>
      </w:r>
      <w:r w:rsidR="00F411D6">
        <w:t xml:space="preserve"> </w:t>
      </w:r>
      <w:r>
        <w:t xml:space="preserve">is achieved </w:t>
      </w:r>
      <w:r w:rsidR="00F411D6">
        <w:t xml:space="preserve">by </w:t>
      </w:r>
      <w:r w:rsidR="00F411D6" w:rsidRPr="00110E34">
        <w:t>streamli</w:t>
      </w:r>
      <w:r w:rsidR="00F411D6">
        <w:t>ning</w:t>
      </w:r>
      <w:r w:rsidR="00F411D6" w:rsidRPr="00110E34">
        <w:t xml:space="preserve"> the prescription and medication administration processes</w:t>
      </w:r>
      <w:r>
        <w:t xml:space="preserve"> and </w:t>
      </w:r>
      <w:r w:rsidR="00F411D6" w:rsidRPr="00110E34">
        <w:t>reducing the time and effort required. This can result in improved workflow and reduced wait</w:t>
      </w:r>
      <w:r w:rsidR="00F411D6">
        <w:t>ing</w:t>
      </w:r>
      <w:r w:rsidR="00F411D6" w:rsidRPr="00110E34">
        <w:t xml:space="preserve"> times for patients.</w:t>
      </w:r>
      <w:r w:rsidR="00F411D6">
        <w:t xml:space="preserve"> EPMA </w:t>
      </w:r>
      <w:r w:rsidR="00F411D6" w:rsidRPr="00110E34">
        <w:t xml:space="preserve">systems can facilitate </w:t>
      </w:r>
      <w:r w:rsidR="00F411D6">
        <w:t xml:space="preserve">better </w:t>
      </w:r>
      <w:r w:rsidR="00F411D6" w:rsidRPr="00110E34">
        <w:t xml:space="preserve">communication between healthcare providers, such as physicians and pharmacists, making </w:t>
      </w:r>
      <w:r>
        <w:t>sharing information and coordinating care easier</w:t>
      </w:r>
      <w:r w:rsidR="00F411D6">
        <w:t>. EPMA</w:t>
      </w:r>
      <w:r w:rsidR="00F411D6" w:rsidRPr="00110E34">
        <w:t xml:space="preserve"> systems can help reduce errors associated with manual data entry, such as illegible handwriting or transcription errors.</w:t>
      </w:r>
      <w:r w:rsidR="00F411D6">
        <w:t xml:space="preserve"> </w:t>
      </w:r>
      <w:r w:rsidR="00F411D6" w:rsidRPr="00110E34">
        <w:t>Improve</w:t>
      </w:r>
      <w:r w:rsidR="00F411D6">
        <w:t xml:space="preserve"> </w:t>
      </w:r>
      <w:r w:rsidR="00F411D6" w:rsidRPr="00110E34">
        <w:t>medication adherence</w:t>
      </w:r>
      <w:r w:rsidR="00F411D6">
        <w:t xml:space="preserve"> by</w:t>
      </w:r>
      <w:r w:rsidR="00F411D6" w:rsidRPr="00110E34">
        <w:t xml:space="preserve"> </w:t>
      </w:r>
      <w:r w:rsidR="00F411D6">
        <w:t>generating</w:t>
      </w:r>
      <w:r w:rsidR="00F411D6" w:rsidRPr="00110E34">
        <w:t xml:space="preserve"> reminders and alerts </w:t>
      </w:r>
      <w:r w:rsidR="00F411D6">
        <w:t xml:space="preserve">when a </w:t>
      </w:r>
      <w:r w:rsidR="00F411D6" w:rsidRPr="00110E34">
        <w:t>medication</w:t>
      </w:r>
      <w:r w:rsidR="00F411D6">
        <w:t xml:space="preserve"> is due</w:t>
      </w:r>
      <w:r>
        <w:t>, resulting in improved compliance</w:t>
      </w:r>
      <w:r w:rsidR="00F411D6" w:rsidRPr="00110E34">
        <w:t xml:space="preserve"> </w:t>
      </w:r>
      <w:r w:rsidR="00F411D6">
        <w:t xml:space="preserve">with </w:t>
      </w:r>
      <w:r w:rsidR="00F411D6" w:rsidRPr="00110E34">
        <w:t>treatment plan</w:t>
      </w:r>
      <w:r w:rsidR="00F411D6">
        <w:t>s</w:t>
      </w:r>
      <w:r>
        <w:t xml:space="preserve">. </w:t>
      </w:r>
      <w:r w:rsidR="00F411D6">
        <w:t xml:space="preserve"> </w:t>
      </w:r>
      <w:r>
        <w:t xml:space="preserve">Better </w:t>
      </w:r>
      <w:r w:rsidR="00F411D6" w:rsidRPr="00110E34">
        <w:t>data management</w:t>
      </w:r>
      <w:r w:rsidR="00F411D6">
        <w:t xml:space="preserve"> </w:t>
      </w:r>
      <w:r>
        <w:t>also enables u</w:t>
      </w:r>
      <w:r w:rsidR="00F411D6">
        <w:t>sers to view an audit trail of medication prescribed and administered</w:t>
      </w:r>
      <w:r w:rsidR="00F411D6" w:rsidRPr="00110E34">
        <w:t xml:space="preserve"> and</w:t>
      </w:r>
      <w:r>
        <w:t xml:space="preserve"> to</w:t>
      </w:r>
      <w:r w:rsidR="00F411D6" w:rsidRPr="00110E34">
        <w:t xml:space="preserve"> identify trends or patterns that can help inform clinical decision-</w:t>
      </w:r>
      <w:r w:rsidR="005A59DA" w:rsidRPr="00110E34">
        <w:t>making</w:t>
      </w:r>
      <w:r w:rsidR="005A59DA">
        <w:t xml:space="preserve"> (A Healthier Wales, 2018; Vaghasiya </w:t>
      </w:r>
      <w:r w:rsidR="005A59DA" w:rsidRPr="00DB3DAA">
        <w:rPr>
          <w:i/>
          <w:iCs/>
        </w:rPr>
        <w:t>et al</w:t>
      </w:r>
      <w:r w:rsidR="005A59DA">
        <w:t xml:space="preserve">. 2021; Westbrook </w:t>
      </w:r>
      <w:r w:rsidR="005A59DA" w:rsidRPr="00DB3DAA">
        <w:rPr>
          <w:i/>
          <w:iCs/>
        </w:rPr>
        <w:t>et al</w:t>
      </w:r>
      <w:r w:rsidR="005A59DA">
        <w:t xml:space="preserve">. 2013, </w:t>
      </w:r>
      <w:r>
        <w:t xml:space="preserve">and, </w:t>
      </w:r>
      <w:r w:rsidR="005A59DA">
        <w:t>Thomas, 2022).</w:t>
      </w:r>
      <w:r w:rsidR="00F411D6">
        <w:t xml:space="preserve"> </w:t>
      </w:r>
    </w:p>
    <w:p w14:paraId="2D85FD5B" w14:textId="77777777" w:rsidR="005A59DA" w:rsidRDefault="005A59DA" w:rsidP="00F411D6">
      <w:pPr>
        <w:spacing w:line="360" w:lineRule="auto"/>
        <w:jc w:val="both"/>
      </w:pPr>
    </w:p>
    <w:p w14:paraId="2000191B" w14:textId="77777777" w:rsidR="000739AF" w:rsidRDefault="00250F1F" w:rsidP="00D3045F">
      <w:pPr>
        <w:spacing w:line="360" w:lineRule="auto"/>
        <w:jc w:val="both"/>
      </w:pPr>
      <w:r>
        <w:t xml:space="preserve">Based on the evidence generated in the literature review and the benefits data outlined in the SBUHB evaluation (Thomas, 2022), ePMA systems have been successfully implemented in NHS Wales and worldwide, demonstrating improved patient safety and enhanced efficiency </w:t>
      </w:r>
      <w:r w:rsidR="00645025">
        <w:t xml:space="preserve">(Kweon and Lee, 2021). </w:t>
      </w:r>
    </w:p>
    <w:p w14:paraId="7E866497" w14:textId="77777777" w:rsidR="000739AF" w:rsidRDefault="000739AF" w:rsidP="00D3045F">
      <w:pPr>
        <w:spacing w:line="360" w:lineRule="auto"/>
        <w:jc w:val="both"/>
      </w:pPr>
    </w:p>
    <w:p w14:paraId="0AE2D1F3" w14:textId="0D306995" w:rsidR="005A59DA" w:rsidRDefault="000739AF" w:rsidP="00D3045F">
      <w:pPr>
        <w:spacing w:line="360" w:lineRule="auto"/>
        <w:jc w:val="both"/>
      </w:pPr>
      <w:r>
        <w:t>In conclusion, f</w:t>
      </w:r>
      <w:r w:rsidR="00D3045F">
        <w:t xml:space="preserve">ollowing the successful implementation of an ePMA system at NPTH and Singleton, </w:t>
      </w:r>
      <w:r>
        <w:t xml:space="preserve">the </w:t>
      </w:r>
      <w:r w:rsidR="004E0C98">
        <w:t>author recommends learning from areas that have implemented ePMA and adopting</w:t>
      </w:r>
      <w:r w:rsidR="00F44A03">
        <w:t xml:space="preserve"> a national ePMA system that is interoperable with other systems across NHS Wales</w:t>
      </w:r>
      <w:r w:rsidR="00A039DE">
        <w:t>,</w:t>
      </w:r>
      <w:r>
        <w:t xml:space="preserve"> which will</w:t>
      </w:r>
      <w:r w:rsidR="0096707A">
        <w:t xml:space="preserve"> </w:t>
      </w:r>
      <w:r w:rsidR="002C5C39">
        <w:t>enhance the provision of</w:t>
      </w:r>
      <w:r w:rsidR="00F44A03">
        <w:t xml:space="preserve"> seamless patient care. </w:t>
      </w:r>
    </w:p>
    <w:p w14:paraId="487A0EFA" w14:textId="0E1B8642" w:rsidR="00260553" w:rsidRDefault="00260553" w:rsidP="00260553"/>
    <w:p w14:paraId="7B43339B" w14:textId="5C1FAF27" w:rsidR="00F754A5" w:rsidRDefault="00F754A5"/>
    <w:p w14:paraId="7C7CC7FD" w14:textId="6FCFB7EB" w:rsidR="00433F06" w:rsidRDefault="00433F06" w:rsidP="00642330">
      <w:pPr>
        <w:pStyle w:val="Heading1"/>
      </w:pPr>
    </w:p>
    <w:p w14:paraId="0ECFA7A3" w14:textId="77777777" w:rsidR="00CA1EB8" w:rsidRPr="00CA1EB8" w:rsidRDefault="00CA1EB8" w:rsidP="00CA1EB8"/>
    <w:p w14:paraId="5F3E21BB" w14:textId="77777777" w:rsidR="00433F06" w:rsidRDefault="00433F06" w:rsidP="00642330">
      <w:pPr>
        <w:pStyle w:val="Heading1"/>
      </w:pPr>
    </w:p>
    <w:p w14:paraId="4EE38DDE" w14:textId="77777777" w:rsidR="00433F06" w:rsidRDefault="00433F06" w:rsidP="00642330">
      <w:pPr>
        <w:pStyle w:val="Heading1"/>
      </w:pPr>
    </w:p>
    <w:p w14:paraId="792AC4A5" w14:textId="77777777" w:rsidR="00433F06" w:rsidRDefault="00433F06" w:rsidP="00642330">
      <w:pPr>
        <w:pStyle w:val="Heading1"/>
      </w:pPr>
    </w:p>
    <w:p w14:paraId="17911156" w14:textId="0A00EA20" w:rsidR="00433F06" w:rsidRDefault="00433F06" w:rsidP="00642330">
      <w:pPr>
        <w:pStyle w:val="Heading1"/>
      </w:pPr>
    </w:p>
    <w:p w14:paraId="602294F5" w14:textId="29B951D9" w:rsidR="00CA1EB8" w:rsidRDefault="00CA1EB8" w:rsidP="00CA1EB8"/>
    <w:p w14:paraId="4585B950" w14:textId="362316D8" w:rsidR="00CA1EB8" w:rsidRDefault="00CA1EB8" w:rsidP="00CA1EB8"/>
    <w:p w14:paraId="7B301BB4" w14:textId="77777777" w:rsidR="00CA1EB8" w:rsidRPr="00CA1EB8" w:rsidRDefault="00CA1EB8" w:rsidP="00CA1EB8"/>
    <w:p w14:paraId="080048F8" w14:textId="77777777" w:rsidR="00433F06" w:rsidRDefault="00433F06" w:rsidP="00642330">
      <w:pPr>
        <w:pStyle w:val="Heading1"/>
      </w:pPr>
    </w:p>
    <w:p w14:paraId="70E292DC" w14:textId="7FA3D447" w:rsidR="00CA1EB8" w:rsidRDefault="00CA1EB8" w:rsidP="00642330">
      <w:pPr>
        <w:pStyle w:val="Heading1"/>
      </w:pPr>
    </w:p>
    <w:p w14:paraId="202FBACF" w14:textId="4CD8AB1B" w:rsidR="00CA1EB8" w:rsidRDefault="00CA1EB8" w:rsidP="00642330">
      <w:pPr>
        <w:pStyle w:val="Heading1"/>
      </w:pPr>
    </w:p>
    <w:p w14:paraId="2F290FF7" w14:textId="55563273" w:rsidR="00CA1EB8" w:rsidRDefault="00CA1EB8" w:rsidP="00CA1EB8"/>
    <w:p w14:paraId="429BD88F" w14:textId="5C715175" w:rsidR="00CA1EB8" w:rsidRDefault="00CA1EB8" w:rsidP="00642330">
      <w:pPr>
        <w:pStyle w:val="Heading1"/>
      </w:pPr>
    </w:p>
    <w:p w14:paraId="0445C521" w14:textId="64756E88" w:rsidR="00CA1EB8" w:rsidRDefault="00CA1EB8" w:rsidP="00642330">
      <w:pPr>
        <w:pStyle w:val="Heading1"/>
      </w:pPr>
    </w:p>
    <w:p w14:paraId="081E3931" w14:textId="77777777" w:rsidR="00CA1EB8" w:rsidRPr="00CA1EB8" w:rsidRDefault="00CA1EB8" w:rsidP="00CA1EB8"/>
    <w:sectPr w:rsidR="00CA1EB8" w:rsidRPr="00CA1EB8" w:rsidSect="00F61703">
      <w:footerReference w:type="even"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69169" w14:textId="77777777" w:rsidR="00A45CCF" w:rsidRDefault="00A45CCF" w:rsidP="00442A8C">
      <w:r>
        <w:separator/>
      </w:r>
    </w:p>
  </w:endnote>
  <w:endnote w:type="continuationSeparator" w:id="0">
    <w:p w14:paraId="541D299A" w14:textId="77777777" w:rsidR="00A45CCF" w:rsidRDefault="00A45CCF" w:rsidP="00442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4005032"/>
      <w:docPartObj>
        <w:docPartGallery w:val="Page Numbers (Bottom of Page)"/>
        <w:docPartUnique/>
      </w:docPartObj>
    </w:sdtPr>
    <w:sdtContent>
      <w:p w14:paraId="7877352E" w14:textId="0862CF1A" w:rsidR="00442A8C" w:rsidRDefault="00442A8C" w:rsidP="00E04D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BDDA93" w14:textId="77777777" w:rsidR="00442A8C" w:rsidRDefault="00442A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684327"/>
      <w:docPartObj>
        <w:docPartGallery w:val="Page Numbers (Bottom of Page)"/>
        <w:docPartUnique/>
      </w:docPartObj>
    </w:sdtPr>
    <w:sdtContent>
      <w:p w14:paraId="22C82491" w14:textId="43F820E0" w:rsidR="00442A8C" w:rsidRDefault="00442A8C" w:rsidP="00E04D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A526A3" w14:textId="77777777" w:rsidR="00442A8C" w:rsidRDefault="00442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2BB53" w14:textId="77777777" w:rsidR="00A45CCF" w:rsidRDefault="00A45CCF" w:rsidP="00442A8C">
      <w:r>
        <w:separator/>
      </w:r>
    </w:p>
  </w:footnote>
  <w:footnote w:type="continuationSeparator" w:id="0">
    <w:p w14:paraId="262E5D20" w14:textId="77777777" w:rsidR="00A45CCF" w:rsidRDefault="00A45CCF" w:rsidP="00442A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BF4"/>
    <w:rsid w:val="00000018"/>
    <w:rsid w:val="000170DF"/>
    <w:rsid w:val="00017AF9"/>
    <w:rsid w:val="0002379C"/>
    <w:rsid w:val="000379A5"/>
    <w:rsid w:val="0004239D"/>
    <w:rsid w:val="00044A6E"/>
    <w:rsid w:val="00045F07"/>
    <w:rsid w:val="00047EDD"/>
    <w:rsid w:val="0005072D"/>
    <w:rsid w:val="00053606"/>
    <w:rsid w:val="00057C21"/>
    <w:rsid w:val="0007110D"/>
    <w:rsid w:val="000715CA"/>
    <w:rsid w:val="000739AF"/>
    <w:rsid w:val="000741B0"/>
    <w:rsid w:val="00076D8A"/>
    <w:rsid w:val="00082164"/>
    <w:rsid w:val="00093281"/>
    <w:rsid w:val="000A324E"/>
    <w:rsid w:val="000B1B7B"/>
    <w:rsid w:val="000C7DBD"/>
    <w:rsid w:val="000D104B"/>
    <w:rsid w:val="000D1DB3"/>
    <w:rsid w:val="000D551D"/>
    <w:rsid w:val="000E5B1D"/>
    <w:rsid w:val="000F1D38"/>
    <w:rsid w:val="00102FF2"/>
    <w:rsid w:val="00104BDC"/>
    <w:rsid w:val="00110E34"/>
    <w:rsid w:val="00111F16"/>
    <w:rsid w:val="00111FA2"/>
    <w:rsid w:val="00116E96"/>
    <w:rsid w:val="00120949"/>
    <w:rsid w:val="00121899"/>
    <w:rsid w:val="00121E3C"/>
    <w:rsid w:val="0012593D"/>
    <w:rsid w:val="001314DC"/>
    <w:rsid w:val="00133F45"/>
    <w:rsid w:val="001436CC"/>
    <w:rsid w:val="00143CBE"/>
    <w:rsid w:val="00150778"/>
    <w:rsid w:val="00153048"/>
    <w:rsid w:val="00153607"/>
    <w:rsid w:val="00154852"/>
    <w:rsid w:val="00171055"/>
    <w:rsid w:val="00175A3E"/>
    <w:rsid w:val="001810AB"/>
    <w:rsid w:val="00193EAF"/>
    <w:rsid w:val="00194B4C"/>
    <w:rsid w:val="001A16F7"/>
    <w:rsid w:val="001B0F0F"/>
    <w:rsid w:val="001B2942"/>
    <w:rsid w:val="001B36DF"/>
    <w:rsid w:val="001C0781"/>
    <w:rsid w:val="001E0E6E"/>
    <w:rsid w:val="001E1052"/>
    <w:rsid w:val="001E5BD2"/>
    <w:rsid w:val="001F3496"/>
    <w:rsid w:val="001F7B33"/>
    <w:rsid w:val="0020521B"/>
    <w:rsid w:val="002078F2"/>
    <w:rsid w:val="00217C62"/>
    <w:rsid w:val="00230FD8"/>
    <w:rsid w:val="0023140C"/>
    <w:rsid w:val="00232095"/>
    <w:rsid w:val="00234368"/>
    <w:rsid w:val="00235787"/>
    <w:rsid w:val="002450DA"/>
    <w:rsid w:val="00245BD0"/>
    <w:rsid w:val="00250F1F"/>
    <w:rsid w:val="0025409D"/>
    <w:rsid w:val="00260553"/>
    <w:rsid w:val="00271F2D"/>
    <w:rsid w:val="00276BEF"/>
    <w:rsid w:val="00284589"/>
    <w:rsid w:val="00292C3E"/>
    <w:rsid w:val="002939CF"/>
    <w:rsid w:val="0029451C"/>
    <w:rsid w:val="00296337"/>
    <w:rsid w:val="002A629C"/>
    <w:rsid w:val="002A6F42"/>
    <w:rsid w:val="002B4DE5"/>
    <w:rsid w:val="002B6F5D"/>
    <w:rsid w:val="002C5C39"/>
    <w:rsid w:val="002D6FC9"/>
    <w:rsid w:val="002D79D3"/>
    <w:rsid w:val="002E020A"/>
    <w:rsid w:val="002E0490"/>
    <w:rsid w:val="002E6D20"/>
    <w:rsid w:val="002F2B60"/>
    <w:rsid w:val="002F434C"/>
    <w:rsid w:val="002F779C"/>
    <w:rsid w:val="0030113C"/>
    <w:rsid w:val="00301589"/>
    <w:rsid w:val="00305071"/>
    <w:rsid w:val="00305517"/>
    <w:rsid w:val="003059E1"/>
    <w:rsid w:val="00315986"/>
    <w:rsid w:val="00316356"/>
    <w:rsid w:val="003216B6"/>
    <w:rsid w:val="00322E48"/>
    <w:rsid w:val="0032341B"/>
    <w:rsid w:val="00323D09"/>
    <w:rsid w:val="00326BE2"/>
    <w:rsid w:val="00333111"/>
    <w:rsid w:val="003457B7"/>
    <w:rsid w:val="003514B0"/>
    <w:rsid w:val="003525E5"/>
    <w:rsid w:val="00367EE8"/>
    <w:rsid w:val="0037453A"/>
    <w:rsid w:val="00382237"/>
    <w:rsid w:val="003959F0"/>
    <w:rsid w:val="003B1547"/>
    <w:rsid w:val="003B1A37"/>
    <w:rsid w:val="003B5814"/>
    <w:rsid w:val="003C39E9"/>
    <w:rsid w:val="003C5377"/>
    <w:rsid w:val="003C54B0"/>
    <w:rsid w:val="003C5561"/>
    <w:rsid w:val="003C66E5"/>
    <w:rsid w:val="003D1873"/>
    <w:rsid w:val="003E547A"/>
    <w:rsid w:val="003E6719"/>
    <w:rsid w:val="003E7BDA"/>
    <w:rsid w:val="003F7EB5"/>
    <w:rsid w:val="00405CA5"/>
    <w:rsid w:val="0041153F"/>
    <w:rsid w:val="0041482A"/>
    <w:rsid w:val="004267E9"/>
    <w:rsid w:val="0043069C"/>
    <w:rsid w:val="00433F06"/>
    <w:rsid w:val="00441CFA"/>
    <w:rsid w:val="00442A8C"/>
    <w:rsid w:val="00450525"/>
    <w:rsid w:val="00450AE7"/>
    <w:rsid w:val="00453202"/>
    <w:rsid w:val="00457275"/>
    <w:rsid w:val="0045799E"/>
    <w:rsid w:val="0046769C"/>
    <w:rsid w:val="00480163"/>
    <w:rsid w:val="00485AC2"/>
    <w:rsid w:val="00490304"/>
    <w:rsid w:val="004912F3"/>
    <w:rsid w:val="00493525"/>
    <w:rsid w:val="004B160B"/>
    <w:rsid w:val="004B5F74"/>
    <w:rsid w:val="004C013C"/>
    <w:rsid w:val="004C0E17"/>
    <w:rsid w:val="004C1C87"/>
    <w:rsid w:val="004C4728"/>
    <w:rsid w:val="004C646D"/>
    <w:rsid w:val="004D2BA1"/>
    <w:rsid w:val="004D33EF"/>
    <w:rsid w:val="004E0C98"/>
    <w:rsid w:val="004E6E7C"/>
    <w:rsid w:val="004E7B77"/>
    <w:rsid w:val="00512FFB"/>
    <w:rsid w:val="0051668B"/>
    <w:rsid w:val="00517CE7"/>
    <w:rsid w:val="00523D52"/>
    <w:rsid w:val="005329A6"/>
    <w:rsid w:val="00532C42"/>
    <w:rsid w:val="005339EE"/>
    <w:rsid w:val="00545580"/>
    <w:rsid w:val="00546663"/>
    <w:rsid w:val="00556F43"/>
    <w:rsid w:val="005577D0"/>
    <w:rsid w:val="00561054"/>
    <w:rsid w:val="0056125F"/>
    <w:rsid w:val="00561829"/>
    <w:rsid w:val="00562B5B"/>
    <w:rsid w:val="0056414C"/>
    <w:rsid w:val="005669ED"/>
    <w:rsid w:val="00583FC1"/>
    <w:rsid w:val="005877A4"/>
    <w:rsid w:val="00587DBD"/>
    <w:rsid w:val="0059188C"/>
    <w:rsid w:val="005A20A6"/>
    <w:rsid w:val="005A3242"/>
    <w:rsid w:val="005A511B"/>
    <w:rsid w:val="005A59DA"/>
    <w:rsid w:val="005B1BE9"/>
    <w:rsid w:val="005B5F10"/>
    <w:rsid w:val="005B77F9"/>
    <w:rsid w:val="005D332E"/>
    <w:rsid w:val="005D62EA"/>
    <w:rsid w:val="005D6B22"/>
    <w:rsid w:val="005E10B5"/>
    <w:rsid w:val="005E3462"/>
    <w:rsid w:val="005F175E"/>
    <w:rsid w:val="005F5DD1"/>
    <w:rsid w:val="005F67E2"/>
    <w:rsid w:val="005F71AB"/>
    <w:rsid w:val="00605CC8"/>
    <w:rsid w:val="0061070D"/>
    <w:rsid w:val="006123B2"/>
    <w:rsid w:val="00623C07"/>
    <w:rsid w:val="00627F8D"/>
    <w:rsid w:val="00632873"/>
    <w:rsid w:val="00633E25"/>
    <w:rsid w:val="006408E0"/>
    <w:rsid w:val="00642330"/>
    <w:rsid w:val="00645025"/>
    <w:rsid w:val="00645228"/>
    <w:rsid w:val="0064561B"/>
    <w:rsid w:val="00647AFD"/>
    <w:rsid w:val="00652415"/>
    <w:rsid w:val="00664079"/>
    <w:rsid w:val="00665883"/>
    <w:rsid w:val="00671CC0"/>
    <w:rsid w:val="00676CA5"/>
    <w:rsid w:val="006818E8"/>
    <w:rsid w:val="00681FED"/>
    <w:rsid w:val="006848EC"/>
    <w:rsid w:val="00685338"/>
    <w:rsid w:val="00690390"/>
    <w:rsid w:val="006906EA"/>
    <w:rsid w:val="006908DE"/>
    <w:rsid w:val="00696A46"/>
    <w:rsid w:val="006B0EF5"/>
    <w:rsid w:val="006C372C"/>
    <w:rsid w:val="006D1909"/>
    <w:rsid w:val="006D79DF"/>
    <w:rsid w:val="006E0153"/>
    <w:rsid w:val="006E75C1"/>
    <w:rsid w:val="007027FB"/>
    <w:rsid w:val="00702850"/>
    <w:rsid w:val="00706140"/>
    <w:rsid w:val="00724A89"/>
    <w:rsid w:val="00724BEB"/>
    <w:rsid w:val="00727FBB"/>
    <w:rsid w:val="00733F8B"/>
    <w:rsid w:val="007346A9"/>
    <w:rsid w:val="00740D05"/>
    <w:rsid w:val="00741B63"/>
    <w:rsid w:val="00743312"/>
    <w:rsid w:val="007472E4"/>
    <w:rsid w:val="00747448"/>
    <w:rsid w:val="007479FA"/>
    <w:rsid w:val="0075224B"/>
    <w:rsid w:val="00755587"/>
    <w:rsid w:val="00755646"/>
    <w:rsid w:val="00757691"/>
    <w:rsid w:val="00761408"/>
    <w:rsid w:val="00766377"/>
    <w:rsid w:val="00771850"/>
    <w:rsid w:val="00773A37"/>
    <w:rsid w:val="007749FB"/>
    <w:rsid w:val="00777CFD"/>
    <w:rsid w:val="0079119A"/>
    <w:rsid w:val="007911E1"/>
    <w:rsid w:val="007A1F3D"/>
    <w:rsid w:val="007A5F15"/>
    <w:rsid w:val="007B04CA"/>
    <w:rsid w:val="007B492D"/>
    <w:rsid w:val="007C0A4B"/>
    <w:rsid w:val="007C0C09"/>
    <w:rsid w:val="007C58B8"/>
    <w:rsid w:val="007E250A"/>
    <w:rsid w:val="007E42C0"/>
    <w:rsid w:val="007E4AAB"/>
    <w:rsid w:val="007F1DCC"/>
    <w:rsid w:val="007F5CE3"/>
    <w:rsid w:val="00800756"/>
    <w:rsid w:val="00802630"/>
    <w:rsid w:val="008032CF"/>
    <w:rsid w:val="0080566F"/>
    <w:rsid w:val="008067CF"/>
    <w:rsid w:val="00811E71"/>
    <w:rsid w:val="00827D22"/>
    <w:rsid w:val="00841EF6"/>
    <w:rsid w:val="00845021"/>
    <w:rsid w:val="00846FC3"/>
    <w:rsid w:val="00866923"/>
    <w:rsid w:val="00882B8D"/>
    <w:rsid w:val="008843DF"/>
    <w:rsid w:val="00890101"/>
    <w:rsid w:val="00895B6E"/>
    <w:rsid w:val="008A32BD"/>
    <w:rsid w:val="008B16AA"/>
    <w:rsid w:val="008C41B2"/>
    <w:rsid w:val="008D6432"/>
    <w:rsid w:val="008D6623"/>
    <w:rsid w:val="008E23CA"/>
    <w:rsid w:val="008E27EA"/>
    <w:rsid w:val="008E29B6"/>
    <w:rsid w:val="008E50C6"/>
    <w:rsid w:val="008E5B33"/>
    <w:rsid w:val="008E7606"/>
    <w:rsid w:val="008E79C1"/>
    <w:rsid w:val="008F3804"/>
    <w:rsid w:val="008F4C5F"/>
    <w:rsid w:val="00901D4A"/>
    <w:rsid w:val="009044CB"/>
    <w:rsid w:val="00913DB2"/>
    <w:rsid w:val="00923CEA"/>
    <w:rsid w:val="009431E5"/>
    <w:rsid w:val="00947A89"/>
    <w:rsid w:val="00955836"/>
    <w:rsid w:val="009659F2"/>
    <w:rsid w:val="0096707A"/>
    <w:rsid w:val="009674A0"/>
    <w:rsid w:val="009720B8"/>
    <w:rsid w:val="00974563"/>
    <w:rsid w:val="00977597"/>
    <w:rsid w:val="00980AFC"/>
    <w:rsid w:val="00983EB8"/>
    <w:rsid w:val="0098464A"/>
    <w:rsid w:val="00985CA5"/>
    <w:rsid w:val="0099153F"/>
    <w:rsid w:val="009A26B5"/>
    <w:rsid w:val="009A30F8"/>
    <w:rsid w:val="009A6F5F"/>
    <w:rsid w:val="009A7A65"/>
    <w:rsid w:val="009C0C08"/>
    <w:rsid w:val="009C3418"/>
    <w:rsid w:val="009D2F06"/>
    <w:rsid w:val="009D7351"/>
    <w:rsid w:val="009E415C"/>
    <w:rsid w:val="009E6095"/>
    <w:rsid w:val="009F2233"/>
    <w:rsid w:val="009F6D18"/>
    <w:rsid w:val="00A039DE"/>
    <w:rsid w:val="00A171DE"/>
    <w:rsid w:val="00A23921"/>
    <w:rsid w:val="00A27D0F"/>
    <w:rsid w:val="00A30615"/>
    <w:rsid w:val="00A33C45"/>
    <w:rsid w:val="00A343DD"/>
    <w:rsid w:val="00A3606A"/>
    <w:rsid w:val="00A447E3"/>
    <w:rsid w:val="00A45CCF"/>
    <w:rsid w:val="00A56B88"/>
    <w:rsid w:val="00A60896"/>
    <w:rsid w:val="00A66D75"/>
    <w:rsid w:val="00A714D5"/>
    <w:rsid w:val="00A729B3"/>
    <w:rsid w:val="00A762B3"/>
    <w:rsid w:val="00A81217"/>
    <w:rsid w:val="00A8204D"/>
    <w:rsid w:val="00A83436"/>
    <w:rsid w:val="00A83F6C"/>
    <w:rsid w:val="00A87633"/>
    <w:rsid w:val="00A963C5"/>
    <w:rsid w:val="00AA1C2C"/>
    <w:rsid w:val="00AA29FE"/>
    <w:rsid w:val="00AA380F"/>
    <w:rsid w:val="00AB23E3"/>
    <w:rsid w:val="00AC4C2F"/>
    <w:rsid w:val="00AC75B0"/>
    <w:rsid w:val="00AD1E3D"/>
    <w:rsid w:val="00AD4137"/>
    <w:rsid w:val="00AD6B26"/>
    <w:rsid w:val="00AE10F9"/>
    <w:rsid w:val="00AE4F4F"/>
    <w:rsid w:val="00AE647A"/>
    <w:rsid w:val="00AF2201"/>
    <w:rsid w:val="00B066F3"/>
    <w:rsid w:val="00B06783"/>
    <w:rsid w:val="00B10C0A"/>
    <w:rsid w:val="00B12B25"/>
    <w:rsid w:val="00B13C38"/>
    <w:rsid w:val="00B14544"/>
    <w:rsid w:val="00B175C2"/>
    <w:rsid w:val="00B17F65"/>
    <w:rsid w:val="00B20605"/>
    <w:rsid w:val="00B22446"/>
    <w:rsid w:val="00B33229"/>
    <w:rsid w:val="00B33992"/>
    <w:rsid w:val="00B343E9"/>
    <w:rsid w:val="00B35F24"/>
    <w:rsid w:val="00B4221D"/>
    <w:rsid w:val="00B42C77"/>
    <w:rsid w:val="00B4509B"/>
    <w:rsid w:val="00B54510"/>
    <w:rsid w:val="00B56E37"/>
    <w:rsid w:val="00B60498"/>
    <w:rsid w:val="00B60F1D"/>
    <w:rsid w:val="00B6155C"/>
    <w:rsid w:val="00B63B24"/>
    <w:rsid w:val="00B649FF"/>
    <w:rsid w:val="00B741F3"/>
    <w:rsid w:val="00B75664"/>
    <w:rsid w:val="00B836D4"/>
    <w:rsid w:val="00BB7BC7"/>
    <w:rsid w:val="00BC06AF"/>
    <w:rsid w:val="00BD0417"/>
    <w:rsid w:val="00BD1BE3"/>
    <w:rsid w:val="00BD1F53"/>
    <w:rsid w:val="00BE092F"/>
    <w:rsid w:val="00BE269D"/>
    <w:rsid w:val="00BE4B1C"/>
    <w:rsid w:val="00BE516F"/>
    <w:rsid w:val="00BE75BC"/>
    <w:rsid w:val="00BF0374"/>
    <w:rsid w:val="00BF284A"/>
    <w:rsid w:val="00BF3392"/>
    <w:rsid w:val="00BF4917"/>
    <w:rsid w:val="00C00608"/>
    <w:rsid w:val="00C0258B"/>
    <w:rsid w:val="00C04339"/>
    <w:rsid w:val="00C11B64"/>
    <w:rsid w:val="00C24D00"/>
    <w:rsid w:val="00C25BF7"/>
    <w:rsid w:val="00C267DC"/>
    <w:rsid w:val="00C32328"/>
    <w:rsid w:val="00C359AE"/>
    <w:rsid w:val="00C375E9"/>
    <w:rsid w:val="00C41F33"/>
    <w:rsid w:val="00C43304"/>
    <w:rsid w:val="00C43431"/>
    <w:rsid w:val="00C4766D"/>
    <w:rsid w:val="00C501EC"/>
    <w:rsid w:val="00C52A07"/>
    <w:rsid w:val="00C52EAF"/>
    <w:rsid w:val="00C551D5"/>
    <w:rsid w:val="00C60FD5"/>
    <w:rsid w:val="00C62529"/>
    <w:rsid w:val="00C64AB7"/>
    <w:rsid w:val="00C65C4D"/>
    <w:rsid w:val="00C66A03"/>
    <w:rsid w:val="00C71F34"/>
    <w:rsid w:val="00C82F5F"/>
    <w:rsid w:val="00C92511"/>
    <w:rsid w:val="00C94EBF"/>
    <w:rsid w:val="00C950C4"/>
    <w:rsid w:val="00C9790C"/>
    <w:rsid w:val="00CA1A49"/>
    <w:rsid w:val="00CA1EB8"/>
    <w:rsid w:val="00CA5ADF"/>
    <w:rsid w:val="00CB4C3B"/>
    <w:rsid w:val="00CC5AF2"/>
    <w:rsid w:val="00CD2C42"/>
    <w:rsid w:val="00CD3BF4"/>
    <w:rsid w:val="00CE0EDD"/>
    <w:rsid w:val="00CE2113"/>
    <w:rsid w:val="00CE59EE"/>
    <w:rsid w:val="00CF037F"/>
    <w:rsid w:val="00CF27CC"/>
    <w:rsid w:val="00CF5DEF"/>
    <w:rsid w:val="00D007EE"/>
    <w:rsid w:val="00D026ED"/>
    <w:rsid w:val="00D275F1"/>
    <w:rsid w:val="00D27C1A"/>
    <w:rsid w:val="00D3045F"/>
    <w:rsid w:val="00D3091C"/>
    <w:rsid w:val="00D540B3"/>
    <w:rsid w:val="00D5643B"/>
    <w:rsid w:val="00D6007A"/>
    <w:rsid w:val="00D60AF2"/>
    <w:rsid w:val="00D647BF"/>
    <w:rsid w:val="00D729DC"/>
    <w:rsid w:val="00D72AEB"/>
    <w:rsid w:val="00D758F9"/>
    <w:rsid w:val="00D81349"/>
    <w:rsid w:val="00D83E46"/>
    <w:rsid w:val="00D859E6"/>
    <w:rsid w:val="00D93E6B"/>
    <w:rsid w:val="00D97E7E"/>
    <w:rsid w:val="00DA007E"/>
    <w:rsid w:val="00DB0010"/>
    <w:rsid w:val="00DB172E"/>
    <w:rsid w:val="00DB3880"/>
    <w:rsid w:val="00DB3DAA"/>
    <w:rsid w:val="00DB7CD1"/>
    <w:rsid w:val="00DC563F"/>
    <w:rsid w:val="00DD114D"/>
    <w:rsid w:val="00DD1A0F"/>
    <w:rsid w:val="00DD1D46"/>
    <w:rsid w:val="00DD408F"/>
    <w:rsid w:val="00DD7551"/>
    <w:rsid w:val="00DE24E8"/>
    <w:rsid w:val="00DE6D39"/>
    <w:rsid w:val="00E05F2F"/>
    <w:rsid w:val="00E169B9"/>
    <w:rsid w:val="00E215BB"/>
    <w:rsid w:val="00E358E7"/>
    <w:rsid w:val="00E3597C"/>
    <w:rsid w:val="00E42AFA"/>
    <w:rsid w:val="00E46641"/>
    <w:rsid w:val="00E51C69"/>
    <w:rsid w:val="00E52948"/>
    <w:rsid w:val="00E545B8"/>
    <w:rsid w:val="00E56F1E"/>
    <w:rsid w:val="00E61F91"/>
    <w:rsid w:val="00E73FE9"/>
    <w:rsid w:val="00E76A00"/>
    <w:rsid w:val="00E801D8"/>
    <w:rsid w:val="00EA4E28"/>
    <w:rsid w:val="00EA526B"/>
    <w:rsid w:val="00EA5663"/>
    <w:rsid w:val="00EA6103"/>
    <w:rsid w:val="00EB0E47"/>
    <w:rsid w:val="00EB2340"/>
    <w:rsid w:val="00EB2A76"/>
    <w:rsid w:val="00EB5212"/>
    <w:rsid w:val="00EB6343"/>
    <w:rsid w:val="00EC270E"/>
    <w:rsid w:val="00EC3D52"/>
    <w:rsid w:val="00ED5B01"/>
    <w:rsid w:val="00ED7C90"/>
    <w:rsid w:val="00EE29D0"/>
    <w:rsid w:val="00EF1639"/>
    <w:rsid w:val="00EF1CD2"/>
    <w:rsid w:val="00EF207F"/>
    <w:rsid w:val="00EF2DBB"/>
    <w:rsid w:val="00EF5CBA"/>
    <w:rsid w:val="00EF7122"/>
    <w:rsid w:val="00F0016A"/>
    <w:rsid w:val="00F16315"/>
    <w:rsid w:val="00F17252"/>
    <w:rsid w:val="00F2504F"/>
    <w:rsid w:val="00F267FE"/>
    <w:rsid w:val="00F27CFB"/>
    <w:rsid w:val="00F31F19"/>
    <w:rsid w:val="00F36F22"/>
    <w:rsid w:val="00F36F62"/>
    <w:rsid w:val="00F40C10"/>
    <w:rsid w:val="00F411D6"/>
    <w:rsid w:val="00F418CC"/>
    <w:rsid w:val="00F41967"/>
    <w:rsid w:val="00F421A8"/>
    <w:rsid w:val="00F44A03"/>
    <w:rsid w:val="00F469EB"/>
    <w:rsid w:val="00F52AC9"/>
    <w:rsid w:val="00F55A54"/>
    <w:rsid w:val="00F61703"/>
    <w:rsid w:val="00F62821"/>
    <w:rsid w:val="00F754A5"/>
    <w:rsid w:val="00F77BF2"/>
    <w:rsid w:val="00F81397"/>
    <w:rsid w:val="00F838E1"/>
    <w:rsid w:val="00F93B6E"/>
    <w:rsid w:val="00FA21E1"/>
    <w:rsid w:val="00FA51AC"/>
    <w:rsid w:val="00FA5E6B"/>
    <w:rsid w:val="00FA7F06"/>
    <w:rsid w:val="00FB0640"/>
    <w:rsid w:val="00FC1399"/>
    <w:rsid w:val="00FC5053"/>
    <w:rsid w:val="00FC67B2"/>
    <w:rsid w:val="00FD4194"/>
    <w:rsid w:val="00FD49DD"/>
    <w:rsid w:val="00FE4E5B"/>
    <w:rsid w:val="00FF0250"/>
    <w:rsid w:val="00FF1550"/>
    <w:rsid w:val="00FF7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324B2"/>
  <w15:chartTrackingRefBased/>
  <w15:docId w15:val="{C8AA29A7-437B-6C44-AE17-134CBA84F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21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59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5F0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447E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33E25"/>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3BF4"/>
    <w:rPr>
      <w:color w:val="0563C1" w:themeColor="hyperlink"/>
      <w:u w:val="single"/>
    </w:rPr>
  </w:style>
  <w:style w:type="character" w:styleId="UnresolvedMention">
    <w:name w:val="Unresolved Mention"/>
    <w:basedOn w:val="DefaultParagraphFont"/>
    <w:uiPriority w:val="99"/>
    <w:semiHidden/>
    <w:unhideWhenUsed/>
    <w:rsid w:val="00CD3BF4"/>
    <w:rPr>
      <w:color w:val="605E5C"/>
      <w:shd w:val="clear" w:color="auto" w:fill="E1DFDD"/>
    </w:rPr>
  </w:style>
  <w:style w:type="character" w:customStyle="1" w:styleId="Heading1Char">
    <w:name w:val="Heading 1 Char"/>
    <w:basedOn w:val="DefaultParagraphFont"/>
    <w:link w:val="Heading1"/>
    <w:uiPriority w:val="9"/>
    <w:rsid w:val="00CE21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359AE"/>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F2504F"/>
    <w:rPr>
      <w:color w:val="954F72" w:themeColor="followedHyperlink"/>
      <w:u w:val="single"/>
    </w:rPr>
  </w:style>
  <w:style w:type="paragraph" w:styleId="NoSpacing">
    <w:name w:val="No Spacing"/>
    <w:link w:val="NoSpacingChar"/>
    <w:uiPriority w:val="1"/>
    <w:qFormat/>
    <w:rsid w:val="00F61703"/>
    <w:rPr>
      <w:rFonts w:eastAsiaTheme="minorEastAsia"/>
      <w:sz w:val="22"/>
      <w:szCs w:val="22"/>
      <w:lang w:val="en-US" w:eastAsia="zh-CN"/>
    </w:rPr>
  </w:style>
  <w:style w:type="character" w:customStyle="1" w:styleId="NoSpacingChar">
    <w:name w:val="No Spacing Char"/>
    <w:basedOn w:val="DefaultParagraphFont"/>
    <w:link w:val="NoSpacing"/>
    <w:uiPriority w:val="1"/>
    <w:rsid w:val="00F61703"/>
    <w:rPr>
      <w:rFonts w:eastAsiaTheme="minorEastAsia"/>
      <w:sz w:val="22"/>
      <w:szCs w:val="22"/>
      <w:lang w:val="en-US" w:eastAsia="zh-CN"/>
    </w:rPr>
  </w:style>
  <w:style w:type="paragraph" w:styleId="TOCHeading">
    <w:name w:val="TOC Heading"/>
    <w:basedOn w:val="Heading1"/>
    <w:next w:val="Normal"/>
    <w:uiPriority w:val="39"/>
    <w:unhideWhenUsed/>
    <w:qFormat/>
    <w:rsid w:val="0030507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05071"/>
    <w:pPr>
      <w:spacing w:before="120"/>
    </w:pPr>
    <w:rPr>
      <w:rFonts w:cstheme="minorHAnsi"/>
      <w:b/>
      <w:bCs/>
      <w:i/>
      <w:iCs/>
    </w:rPr>
  </w:style>
  <w:style w:type="paragraph" w:styleId="TOC2">
    <w:name w:val="toc 2"/>
    <w:basedOn w:val="Normal"/>
    <w:next w:val="Normal"/>
    <w:autoRedefine/>
    <w:uiPriority w:val="39"/>
    <w:unhideWhenUsed/>
    <w:rsid w:val="00305071"/>
    <w:pPr>
      <w:spacing w:before="120"/>
      <w:ind w:left="240"/>
    </w:pPr>
    <w:rPr>
      <w:rFonts w:cstheme="minorHAnsi"/>
      <w:b/>
      <w:bCs/>
      <w:sz w:val="22"/>
      <w:szCs w:val="22"/>
    </w:rPr>
  </w:style>
  <w:style w:type="paragraph" w:styleId="TOC3">
    <w:name w:val="toc 3"/>
    <w:basedOn w:val="Normal"/>
    <w:next w:val="Normal"/>
    <w:autoRedefine/>
    <w:uiPriority w:val="39"/>
    <w:unhideWhenUsed/>
    <w:rsid w:val="00305071"/>
    <w:pPr>
      <w:ind w:left="480"/>
    </w:pPr>
    <w:rPr>
      <w:rFonts w:cstheme="minorHAnsi"/>
      <w:sz w:val="20"/>
      <w:szCs w:val="20"/>
    </w:rPr>
  </w:style>
  <w:style w:type="paragraph" w:styleId="TOC4">
    <w:name w:val="toc 4"/>
    <w:basedOn w:val="Normal"/>
    <w:next w:val="Normal"/>
    <w:autoRedefine/>
    <w:uiPriority w:val="39"/>
    <w:semiHidden/>
    <w:unhideWhenUsed/>
    <w:rsid w:val="00305071"/>
    <w:pPr>
      <w:ind w:left="720"/>
    </w:pPr>
    <w:rPr>
      <w:rFonts w:cstheme="minorHAnsi"/>
      <w:sz w:val="20"/>
      <w:szCs w:val="20"/>
    </w:rPr>
  </w:style>
  <w:style w:type="paragraph" w:styleId="TOC5">
    <w:name w:val="toc 5"/>
    <w:basedOn w:val="Normal"/>
    <w:next w:val="Normal"/>
    <w:autoRedefine/>
    <w:uiPriority w:val="39"/>
    <w:semiHidden/>
    <w:unhideWhenUsed/>
    <w:rsid w:val="00305071"/>
    <w:pPr>
      <w:ind w:left="960"/>
    </w:pPr>
    <w:rPr>
      <w:rFonts w:cstheme="minorHAnsi"/>
      <w:sz w:val="20"/>
      <w:szCs w:val="20"/>
    </w:rPr>
  </w:style>
  <w:style w:type="paragraph" w:styleId="TOC6">
    <w:name w:val="toc 6"/>
    <w:basedOn w:val="Normal"/>
    <w:next w:val="Normal"/>
    <w:autoRedefine/>
    <w:uiPriority w:val="39"/>
    <w:semiHidden/>
    <w:unhideWhenUsed/>
    <w:rsid w:val="00305071"/>
    <w:pPr>
      <w:ind w:left="1200"/>
    </w:pPr>
    <w:rPr>
      <w:rFonts w:cstheme="minorHAnsi"/>
      <w:sz w:val="20"/>
      <w:szCs w:val="20"/>
    </w:rPr>
  </w:style>
  <w:style w:type="paragraph" w:styleId="TOC7">
    <w:name w:val="toc 7"/>
    <w:basedOn w:val="Normal"/>
    <w:next w:val="Normal"/>
    <w:autoRedefine/>
    <w:uiPriority w:val="39"/>
    <w:semiHidden/>
    <w:unhideWhenUsed/>
    <w:rsid w:val="00305071"/>
    <w:pPr>
      <w:ind w:left="1440"/>
    </w:pPr>
    <w:rPr>
      <w:rFonts w:cstheme="minorHAnsi"/>
      <w:sz w:val="20"/>
      <w:szCs w:val="20"/>
    </w:rPr>
  </w:style>
  <w:style w:type="paragraph" w:styleId="TOC8">
    <w:name w:val="toc 8"/>
    <w:basedOn w:val="Normal"/>
    <w:next w:val="Normal"/>
    <w:autoRedefine/>
    <w:uiPriority w:val="39"/>
    <w:semiHidden/>
    <w:unhideWhenUsed/>
    <w:rsid w:val="00305071"/>
    <w:pPr>
      <w:ind w:left="1680"/>
    </w:pPr>
    <w:rPr>
      <w:rFonts w:cstheme="minorHAnsi"/>
      <w:sz w:val="20"/>
      <w:szCs w:val="20"/>
    </w:rPr>
  </w:style>
  <w:style w:type="paragraph" w:styleId="TOC9">
    <w:name w:val="toc 9"/>
    <w:basedOn w:val="Normal"/>
    <w:next w:val="Normal"/>
    <w:autoRedefine/>
    <w:uiPriority w:val="39"/>
    <w:semiHidden/>
    <w:unhideWhenUsed/>
    <w:rsid w:val="00305071"/>
    <w:pPr>
      <w:ind w:left="1920"/>
    </w:pPr>
    <w:rPr>
      <w:rFonts w:cstheme="minorHAnsi"/>
      <w:sz w:val="20"/>
      <w:szCs w:val="20"/>
    </w:rPr>
  </w:style>
  <w:style w:type="paragraph" w:styleId="Footer">
    <w:name w:val="footer"/>
    <w:basedOn w:val="Normal"/>
    <w:link w:val="FooterChar"/>
    <w:uiPriority w:val="99"/>
    <w:unhideWhenUsed/>
    <w:rsid w:val="00442A8C"/>
    <w:pPr>
      <w:tabs>
        <w:tab w:val="center" w:pos="4513"/>
        <w:tab w:val="right" w:pos="9026"/>
      </w:tabs>
    </w:pPr>
  </w:style>
  <w:style w:type="character" w:customStyle="1" w:styleId="FooterChar">
    <w:name w:val="Footer Char"/>
    <w:basedOn w:val="DefaultParagraphFont"/>
    <w:link w:val="Footer"/>
    <w:uiPriority w:val="99"/>
    <w:rsid w:val="00442A8C"/>
  </w:style>
  <w:style w:type="character" w:styleId="PageNumber">
    <w:name w:val="page number"/>
    <w:basedOn w:val="DefaultParagraphFont"/>
    <w:uiPriority w:val="99"/>
    <w:semiHidden/>
    <w:unhideWhenUsed/>
    <w:rsid w:val="00442A8C"/>
  </w:style>
  <w:style w:type="character" w:customStyle="1" w:styleId="ui-provider">
    <w:name w:val="ui-provider"/>
    <w:basedOn w:val="DefaultParagraphFont"/>
    <w:rsid w:val="008E29B6"/>
  </w:style>
  <w:style w:type="table" w:styleId="TableGrid">
    <w:name w:val="Table Grid"/>
    <w:basedOn w:val="TableNormal"/>
    <w:uiPriority w:val="39"/>
    <w:rsid w:val="003514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514B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rsid w:val="00045F0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A447E3"/>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743312"/>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A83F6C"/>
    <w:rPr>
      <w:sz w:val="16"/>
      <w:szCs w:val="16"/>
    </w:rPr>
  </w:style>
  <w:style w:type="paragraph" w:styleId="CommentText">
    <w:name w:val="annotation text"/>
    <w:basedOn w:val="Normal"/>
    <w:link w:val="CommentTextChar"/>
    <w:uiPriority w:val="99"/>
    <w:semiHidden/>
    <w:unhideWhenUsed/>
    <w:rsid w:val="00A83F6C"/>
    <w:rPr>
      <w:sz w:val="20"/>
      <w:szCs w:val="20"/>
    </w:rPr>
  </w:style>
  <w:style w:type="character" w:customStyle="1" w:styleId="CommentTextChar">
    <w:name w:val="Comment Text Char"/>
    <w:basedOn w:val="DefaultParagraphFont"/>
    <w:link w:val="CommentText"/>
    <w:uiPriority w:val="99"/>
    <w:semiHidden/>
    <w:rsid w:val="00A83F6C"/>
    <w:rPr>
      <w:sz w:val="20"/>
      <w:szCs w:val="20"/>
    </w:rPr>
  </w:style>
  <w:style w:type="paragraph" w:styleId="CommentSubject">
    <w:name w:val="annotation subject"/>
    <w:basedOn w:val="CommentText"/>
    <w:next w:val="CommentText"/>
    <w:link w:val="CommentSubjectChar"/>
    <w:uiPriority w:val="99"/>
    <w:semiHidden/>
    <w:unhideWhenUsed/>
    <w:rsid w:val="00A83F6C"/>
    <w:rPr>
      <w:b/>
      <w:bCs/>
    </w:rPr>
  </w:style>
  <w:style w:type="character" w:customStyle="1" w:styleId="CommentSubjectChar">
    <w:name w:val="Comment Subject Char"/>
    <w:basedOn w:val="CommentTextChar"/>
    <w:link w:val="CommentSubject"/>
    <w:uiPriority w:val="99"/>
    <w:semiHidden/>
    <w:rsid w:val="00A83F6C"/>
    <w:rPr>
      <w:b/>
      <w:bCs/>
      <w:sz w:val="20"/>
      <w:szCs w:val="20"/>
    </w:rPr>
  </w:style>
  <w:style w:type="paragraph" w:styleId="Caption">
    <w:name w:val="caption"/>
    <w:basedOn w:val="Normal"/>
    <w:next w:val="Normal"/>
    <w:uiPriority w:val="35"/>
    <w:unhideWhenUsed/>
    <w:qFormat/>
    <w:rsid w:val="00DD408F"/>
    <w:pPr>
      <w:spacing w:after="200"/>
    </w:pPr>
    <w:rPr>
      <w:i/>
      <w:iCs/>
      <w:color w:val="44546A" w:themeColor="text2"/>
      <w:sz w:val="18"/>
      <w:szCs w:val="18"/>
    </w:rPr>
  </w:style>
  <w:style w:type="paragraph" w:styleId="TableofFigures">
    <w:name w:val="table of figures"/>
    <w:basedOn w:val="Normal"/>
    <w:next w:val="Normal"/>
    <w:uiPriority w:val="99"/>
    <w:unhideWhenUsed/>
    <w:rsid w:val="00664079"/>
  </w:style>
  <w:style w:type="character" w:styleId="Strong">
    <w:name w:val="Strong"/>
    <w:basedOn w:val="DefaultParagraphFont"/>
    <w:uiPriority w:val="22"/>
    <w:qFormat/>
    <w:rsid w:val="00E56F1E"/>
    <w:rPr>
      <w:b/>
      <w:bCs/>
    </w:rPr>
  </w:style>
  <w:style w:type="paragraph" w:styleId="Revision">
    <w:name w:val="Revision"/>
    <w:hidden/>
    <w:uiPriority w:val="99"/>
    <w:semiHidden/>
    <w:rsid w:val="00B741F3"/>
  </w:style>
  <w:style w:type="character" w:customStyle="1" w:styleId="issue-underline">
    <w:name w:val="issue-underline"/>
    <w:basedOn w:val="DefaultParagraphFont"/>
    <w:rsid w:val="00E3597C"/>
  </w:style>
  <w:style w:type="character" w:customStyle="1" w:styleId="Heading5Char">
    <w:name w:val="Heading 5 Char"/>
    <w:basedOn w:val="DefaultParagraphFont"/>
    <w:link w:val="Heading5"/>
    <w:uiPriority w:val="9"/>
    <w:rsid w:val="00633E25"/>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91379">
      <w:bodyDiv w:val="1"/>
      <w:marLeft w:val="0"/>
      <w:marRight w:val="0"/>
      <w:marTop w:val="0"/>
      <w:marBottom w:val="0"/>
      <w:divBdr>
        <w:top w:val="none" w:sz="0" w:space="0" w:color="auto"/>
        <w:left w:val="none" w:sz="0" w:space="0" w:color="auto"/>
        <w:bottom w:val="none" w:sz="0" w:space="0" w:color="auto"/>
        <w:right w:val="none" w:sz="0" w:space="0" w:color="auto"/>
      </w:divBdr>
    </w:div>
    <w:div w:id="47457514">
      <w:bodyDiv w:val="1"/>
      <w:marLeft w:val="0"/>
      <w:marRight w:val="0"/>
      <w:marTop w:val="0"/>
      <w:marBottom w:val="0"/>
      <w:divBdr>
        <w:top w:val="none" w:sz="0" w:space="0" w:color="auto"/>
        <w:left w:val="none" w:sz="0" w:space="0" w:color="auto"/>
        <w:bottom w:val="none" w:sz="0" w:space="0" w:color="auto"/>
        <w:right w:val="none" w:sz="0" w:space="0" w:color="auto"/>
      </w:divBdr>
    </w:div>
    <w:div w:id="118652628">
      <w:bodyDiv w:val="1"/>
      <w:marLeft w:val="0"/>
      <w:marRight w:val="0"/>
      <w:marTop w:val="0"/>
      <w:marBottom w:val="0"/>
      <w:divBdr>
        <w:top w:val="none" w:sz="0" w:space="0" w:color="auto"/>
        <w:left w:val="none" w:sz="0" w:space="0" w:color="auto"/>
        <w:bottom w:val="none" w:sz="0" w:space="0" w:color="auto"/>
        <w:right w:val="none" w:sz="0" w:space="0" w:color="auto"/>
      </w:divBdr>
    </w:div>
    <w:div w:id="457645602">
      <w:bodyDiv w:val="1"/>
      <w:marLeft w:val="0"/>
      <w:marRight w:val="0"/>
      <w:marTop w:val="0"/>
      <w:marBottom w:val="0"/>
      <w:divBdr>
        <w:top w:val="none" w:sz="0" w:space="0" w:color="auto"/>
        <w:left w:val="none" w:sz="0" w:space="0" w:color="auto"/>
        <w:bottom w:val="none" w:sz="0" w:space="0" w:color="auto"/>
        <w:right w:val="none" w:sz="0" w:space="0" w:color="auto"/>
      </w:divBdr>
    </w:div>
    <w:div w:id="485165457">
      <w:bodyDiv w:val="1"/>
      <w:marLeft w:val="0"/>
      <w:marRight w:val="0"/>
      <w:marTop w:val="0"/>
      <w:marBottom w:val="0"/>
      <w:divBdr>
        <w:top w:val="none" w:sz="0" w:space="0" w:color="auto"/>
        <w:left w:val="none" w:sz="0" w:space="0" w:color="auto"/>
        <w:bottom w:val="none" w:sz="0" w:space="0" w:color="auto"/>
        <w:right w:val="none" w:sz="0" w:space="0" w:color="auto"/>
      </w:divBdr>
    </w:div>
    <w:div w:id="111019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6D07A2C2-F602-8E42-99DB-6C5AAB898638}">
  <we:reference id="wa104382081" version="1.46.0.0" store="en-GB" storeType="OMEX"/>
  <we:alternateReferences>
    <we:reference id="wa104382081" version="1.46.0.0" store="wa104382081" storeType="OMEX"/>
  </we:alternateReferences>
  <we:properties>
    <we:property name="MENDELEY_CITATIONS" value="[]"/>
  </we:properties>
  <we:bindings/>
  <we:snapshot xmlns:r="http://schemas.openxmlformats.org/officeDocument/2006/relationships"/>
</we:webextension>
</file>

<file path=word/webextensions/webextension2.xml><?xml version="1.0" encoding="utf-8"?>
<we:webextension xmlns:we="http://schemas.microsoft.com/office/webextensions/webextension/2010/11" id="{510B4331-DA42-E445-9F63-732B9B179654}">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9A396-A1F7-D944-872C-BDD58A25A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5060</Words>
  <Characters>28844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Programme Improvement Project</vt:lpstr>
    </vt:vector>
  </TitlesOfParts>
  <Company/>
  <LinksUpToDate>false</LinksUpToDate>
  <CharactersWithSpaces>33837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ID: 2218340                              Word Count: 4,781                        Submission Date: 3rd March 2023</dc:creator>
  <cp:keywords/>
  <dc:description/>
  <cp:lastModifiedBy>Amy Mumford (DHCW - Health &amp; Social Care)</cp:lastModifiedBy>
  <cp:revision>2</cp:revision>
  <cp:lastPrinted>2023-02-10T13:01:00Z</cp:lastPrinted>
  <dcterms:created xsi:type="dcterms:W3CDTF">2023-03-03T11:36:00Z</dcterms:created>
  <dcterms:modified xsi:type="dcterms:W3CDTF">2023-03-03T11:36:00Z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documentId_9522</vt:lpwstr>
  </property>
  <property fmtid="{D5CDD505-2E9C-101B-9397-08002B2CF9AE}" pid="3" name="grammarly_documentContext">
    <vt:lpwstr>{"goals":[],"domain":"general","emotions":[],"dialect":"british"}</vt:lpwstr>
  </property>
</Properties>
</file>