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D57D4" w14:textId="77777777" w:rsidR="00E753E4" w:rsidRDefault="00E753E4" w:rsidP="00E753E4">
      <w:pPr>
        <w:pStyle w:val="NormalWeb"/>
        <w:spacing w:before="0" w:beforeAutospacing="0" w:after="0" w:afterAutospacing="0" w:line="480" w:lineRule="auto"/>
        <w:ind w:firstLine="720"/>
        <w:rPr>
          <w:color w:val="0E101A"/>
        </w:rPr>
      </w:pPr>
    </w:p>
    <w:p w14:paraId="717F379B" w14:textId="77777777" w:rsidR="00E753E4" w:rsidRDefault="00E753E4" w:rsidP="00E753E4">
      <w:pPr>
        <w:pStyle w:val="NormalWeb"/>
        <w:spacing w:before="0" w:beforeAutospacing="0" w:after="0" w:afterAutospacing="0" w:line="480" w:lineRule="auto"/>
        <w:ind w:firstLine="720"/>
        <w:rPr>
          <w:color w:val="0E101A"/>
        </w:rPr>
      </w:pPr>
    </w:p>
    <w:p w14:paraId="38851C1C" w14:textId="77777777" w:rsidR="00E753E4" w:rsidRDefault="00E753E4" w:rsidP="00E753E4">
      <w:pPr>
        <w:pStyle w:val="NormalWeb"/>
        <w:spacing w:before="0" w:beforeAutospacing="0" w:after="0" w:afterAutospacing="0" w:line="480" w:lineRule="auto"/>
        <w:ind w:firstLine="720"/>
        <w:rPr>
          <w:color w:val="0E101A"/>
        </w:rPr>
      </w:pPr>
    </w:p>
    <w:p w14:paraId="6594401A" w14:textId="77777777" w:rsidR="00E753E4" w:rsidRDefault="00E753E4" w:rsidP="00E753E4">
      <w:pPr>
        <w:pStyle w:val="NormalWeb"/>
        <w:spacing w:before="0" w:beforeAutospacing="0" w:after="0" w:afterAutospacing="0" w:line="480" w:lineRule="auto"/>
        <w:ind w:firstLine="720"/>
        <w:rPr>
          <w:color w:val="0E101A"/>
        </w:rPr>
      </w:pPr>
    </w:p>
    <w:p w14:paraId="036C0ECC" w14:textId="77777777" w:rsidR="00E753E4" w:rsidRDefault="00E753E4" w:rsidP="00E753E4">
      <w:pPr>
        <w:pStyle w:val="NormalWeb"/>
        <w:spacing w:before="0" w:beforeAutospacing="0" w:after="0" w:afterAutospacing="0" w:line="480" w:lineRule="auto"/>
        <w:ind w:firstLine="720"/>
        <w:jc w:val="center"/>
        <w:rPr>
          <w:color w:val="0E101A"/>
          <w:lang w:val="en-US"/>
        </w:rPr>
      </w:pPr>
      <w:r>
        <w:rPr>
          <w:color w:val="0E101A"/>
          <w:lang w:val="en-US"/>
        </w:rPr>
        <w:t xml:space="preserve">Diminished Responsibility </w:t>
      </w:r>
    </w:p>
    <w:p w14:paraId="63806A6B" w14:textId="77777777" w:rsidR="00E753E4" w:rsidRDefault="00E753E4" w:rsidP="00E753E4">
      <w:pPr>
        <w:pStyle w:val="NormalWeb"/>
        <w:spacing w:before="0" w:beforeAutospacing="0" w:after="0" w:afterAutospacing="0" w:line="480" w:lineRule="auto"/>
        <w:ind w:firstLine="720"/>
        <w:jc w:val="center"/>
        <w:rPr>
          <w:color w:val="0E101A"/>
          <w:lang w:val="en-US"/>
        </w:rPr>
      </w:pPr>
    </w:p>
    <w:p w14:paraId="507F818F" w14:textId="42C8F7AD" w:rsidR="00BA148A" w:rsidRPr="00BA148A" w:rsidRDefault="00BA148A" w:rsidP="00BA148A">
      <w:pPr>
        <w:pStyle w:val="NormalWeb"/>
        <w:spacing w:before="0" w:beforeAutospacing="0" w:after="0" w:afterAutospacing="0" w:line="480" w:lineRule="auto"/>
        <w:ind w:firstLine="720"/>
        <w:jc w:val="center"/>
        <w:rPr>
          <w:color w:val="0E101A"/>
          <w:lang w:val="en-US"/>
        </w:rPr>
      </w:pPr>
      <w:r w:rsidRPr="00BA148A">
        <w:rPr>
          <w:color w:val="0E101A"/>
          <w:lang w:val="en-US"/>
        </w:rPr>
        <w:t>Nam</w:t>
      </w:r>
      <w:r w:rsidR="007E29A4">
        <w:rPr>
          <w:color w:val="0E101A"/>
          <w:lang w:val="en-US"/>
        </w:rPr>
        <w:t>e: Shamim Iqbal  2217669</w:t>
      </w:r>
    </w:p>
    <w:p w14:paraId="7CC07879" w14:textId="77777777" w:rsidR="00E753E4" w:rsidRDefault="00E753E4" w:rsidP="00E753E4">
      <w:pPr>
        <w:pStyle w:val="NormalWeb"/>
        <w:spacing w:before="0" w:beforeAutospacing="0" w:after="0" w:afterAutospacing="0" w:line="480" w:lineRule="auto"/>
        <w:ind w:firstLine="720"/>
        <w:rPr>
          <w:color w:val="0E101A"/>
        </w:rPr>
      </w:pPr>
    </w:p>
    <w:p w14:paraId="7EDAB97B" w14:textId="77777777" w:rsidR="00E753E4" w:rsidRDefault="00E753E4" w:rsidP="00E753E4">
      <w:pPr>
        <w:pStyle w:val="NormalWeb"/>
        <w:spacing w:before="0" w:beforeAutospacing="0" w:after="0" w:afterAutospacing="0" w:line="480" w:lineRule="auto"/>
        <w:ind w:firstLine="720"/>
        <w:rPr>
          <w:color w:val="0E101A"/>
        </w:rPr>
      </w:pPr>
    </w:p>
    <w:p w14:paraId="280AA9E2" w14:textId="77777777" w:rsidR="00E753E4" w:rsidRDefault="00E753E4" w:rsidP="00E753E4">
      <w:pPr>
        <w:pStyle w:val="NormalWeb"/>
        <w:spacing w:before="0" w:beforeAutospacing="0" w:after="0" w:afterAutospacing="0" w:line="480" w:lineRule="auto"/>
        <w:ind w:firstLine="720"/>
        <w:rPr>
          <w:color w:val="0E101A"/>
        </w:rPr>
      </w:pPr>
    </w:p>
    <w:p w14:paraId="3C2402DE" w14:textId="77777777" w:rsidR="00E753E4" w:rsidRDefault="00E753E4" w:rsidP="00E753E4">
      <w:pPr>
        <w:pStyle w:val="NormalWeb"/>
        <w:spacing w:before="0" w:beforeAutospacing="0" w:after="0" w:afterAutospacing="0" w:line="480" w:lineRule="auto"/>
        <w:ind w:firstLine="720"/>
        <w:rPr>
          <w:color w:val="0E101A"/>
        </w:rPr>
      </w:pPr>
    </w:p>
    <w:p w14:paraId="4C8EC83A" w14:textId="77777777" w:rsidR="00E753E4" w:rsidRDefault="00E753E4" w:rsidP="00E753E4">
      <w:pPr>
        <w:pStyle w:val="NormalWeb"/>
        <w:spacing w:before="0" w:beforeAutospacing="0" w:after="0" w:afterAutospacing="0" w:line="480" w:lineRule="auto"/>
        <w:ind w:firstLine="720"/>
        <w:rPr>
          <w:color w:val="0E101A"/>
        </w:rPr>
      </w:pPr>
    </w:p>
    <w:p w14:paraId="1CA44126" w14:textId="77777777" w:rsidR="00E753E4" w:rsidRDefault="00E753E4" w:rsidP="00E753E4">
      <w:pPr>
        <w:pStyle w:val="NormalWeb"/>
        <w:spacing w:before="0" w:beforeAutospacing="0" w:after="0" w:afterAutospacing="0" w:line="480" w:lineRule="auto"/>
        <w:ind w:firstLine="720"/>
        <w:rPr>
          <w:color w:val="0E101A"/>
        </w:rPr>
      </w:pPr>
    </w:p>
    <w:p w14:paraId="64640DBE" w14:textId="77777777" w:rsidR="00E753E4" w:rsidRDefault="00E753E4" w:rsidP="00E753E4">
      <w:pPr>
        <w:pStyle w:val="NormalWeb"/>
        <w:spacing w:before="0" w:beforeAutospacing="0" w:after="0" w:afterAutospacing="0" w:line="480" w:lineRule="auto"/>
        <w:ind w:firstLine="720"/>
        <w:rPr>
          <w:color w:val="0E101A"/>
        </w:rPr>
      </w:pPr>
    </w:p>
    <w:p w14:paraId="6D70220A" w14:textId="77777777" w:rsidR="00E753E4" w:rsidRDefault="00E753E4" w:rsidP="00E753E4">
      <w:pPr>
        <w:pStyle w:val="NormalWeb"/>
        <w:spacing w:before="0" w:beforeAutospacing="0" w:after="0" w:afterAutospacing="0" w:line="480" w:lineRule="auto"/>
        <w:ind w:firstLine="720"/>
        <w:rPr>
          <w:color w:val="0E101A"/>
        </w:rPr>
      </w:pPr>
    </w:p>
    <w:p w14:paraId="01D6C8AE" w14:textId="77777777" w:rsidR="00E753E4" w:rsidRDefault="00E753E4" w:rsidP="00E753E4">
      <w:pPr>
        <w:pStyle w:val="NormalWeb"/>
        <w:spacing w:before="0" w:beforeAutospacing="0" w:after="0" w:afterAutospacing="0" w:line="480" w:lineRule="auto"/>
        <w:ind w:firstLine="720"/>
        <w:rPr>
          <w:color w:val="0E101A"/>
        </w:rPr>
      </w:pPr>
    </w:p>
    <w:p w14:paraId="27DD762E" w14:textId="77777777" w:rsidR="00E753E4" w:rsidRDefault="00E753E4" w:rsidP="00E753E4">
      <w:pPr>
        <w:pStyle w:val="NormalWeb"/>
        <w:spacing w:before="0" w:beforeAutospacing="0" w:after="0" w:afterAutospacing="0" w:line="480" w:lineRule="auto"/>
        <w:ind w:firstLine="720"/>
        <w:rPr>
          <w:color w:val="0E101A"/>
        </w:rPr>
      </w:pPr>
    </w:p>
    <w:p w14:paraId="760B9AAD" w14:textId="77777777" w:rsidR="00E753E4" w:rsidRDefault="00E753E4" w:rsidP="00E753E4">
      <w:pPr>
        <w:pStyle w:val="NormalWeb"/>
        <w:spacing w:before="0" w:beforeAutospacing="0" w:after="0" w:afterAutospacing="0" w:line="480" w:lineRule="auto"/>
        <w:ind w:firstLine="720"/>
        <w:rPr>
          <w:color w:val="0E101A"/>
        </w:rPr>
      </w:pPr>
    </w:p>
    <w:p w14:paraId="3639D922" w14:textId="77777777" w:rsidR="00E753E4" w:rsidRDefault="00E753E4" w:rsidP="00BA148A">
      <w:pPr>
        <w:pStyle w:val="NormalWeb"/>
        <w:spacing w:before="0" w:beforeAutospacing="0" w:after="0" w:afterAutospacing="0" w:line="480" w:lineRule="auto"/>
        <w:rPr>
          <w:color w:val="0E101A"/>
        </w:rPr>
      </w:pPr>
    </w:p>
    <w:p w14:paraId="644BB19C" w14:textId="77777777" w:rsidR="00BA148A" w:rsidRPr="00BA148A" w:rsidRDefault="00BA148A" w:rsidP="00E753E4">
      <w:pPr>
        <w:pStyle w:val="NormalWeb"/>
        <w:spacing w:before="0" w:beforeAutospacing="0" w:after="0" w:afterAutospacing="0" w:line="480" w:lineRule="auto"/>
        <w:ind w:firstLine="720"/>
        <w:rPr>
          <w:b/>
          <w:bCs/>
          <w:color w:val="0E101A"/>
          <w:lang w:val="en-US"/>
        </w:rPr>
      </w:pPr>
      <w:r w:rsidRPr="00BA148A">
        <w:rPr>
          <w:b/>
          <w:bCs/>
          <w:color w:val="0E101A"/>
          <w:lang w:val="en-US"/>
        </w:rPr>
        <w:t xml:space="preserve">Introduction </w:t>
      </w:r>
    </w:p>
    <w:p w14:paraId="46E999B8" w14:textId="77777777" w:rsidR="00E753E4" w:rsidRDefault="00B60252" w:rsidP="00E753E4">
      <w:pPr>
        <w:pStyle w:val="NormalWeb"/>
        <w:spacing w:before="0" w:beforeAutospacing="0" w:after="0" w:afterAutospacing="0" w:line="480" w:lineRule="auto"/>
        <w:ind w:firstLine="720"/>
        <w:rPr>
          <w:color w:val="0E101A"/>
        </w:rPr>
      </w:pPr>
      <w:r>
        <w:rPr>
          <w:color w:val="0E101A"/>
        </w:rPr>
        <w:t xml:space="preserve">Significant legislative modifications were made to the defence of diminished responsibility in England, Wales, and Northern Ireland due to the Coroners and Justice Act (2009). By providing a more thorough description of the defence and outlining the requirements </w:t>
      </w:r>
      <w:r>
        <w:rPr>
          <w:color w:val="0E101A"/>
        </w:rPr>
        <w:lastRenderedPageBreak/>
        <w:t xml:space="preserve">for using it, this Act </w:t>
      </w:r>
      <w:r w:rsidRPr="00417680">
        <w:rPr>
          <w:color w:val="0E101A"/>
          <w:lang w:val="en-GB"/>
        </w:rPr>
        <w:t>improved</w:t>
      </w:r>
      <w:r>
        <w:rPr>
          <w:color w:val="0E101A"/>
        </w:rPr>
        <w:t xml:space="preserve"> the consistency and predictability of the judicial system. It also gave the court a clearer framework when deciding whether the defendant was legitimate. Even if this Law's revision has resulted in some positive developments, it's necessary to consider any potential negative effects. This essay examines the modifications made to the diminished responsibility defence by the Coroners and Justice Act of 2009 and assesses whether they have improved the Law in this area. </w:t>
      </w:r>
    </w:p>
    <w:p w14:paraId="0ABAFED7" w14:textId="77777777" w:rsidR="00B60252" w:rsidRDefault="00B60252" w:rsidP="00E753E4">
      <w:pPr>
        <w:pStyle w:val="NormalWeb"/>
        <w:spacing w:before="0" w:beforeAutospacing="0" w:after="0" w:afterAutospacing="0" w:line="480" w:lineRule="auto"/>
        <w:ind w:firstLine="720"/>
        <w:rPr>
          <w:color w:val="0E101A"/>
        </w:rPr>
      </w:pPr>
      <w:r>
        <w:rPr>
          <w:color w:val="0E101A"/>
        </w:rPr>
        <w:t>In response to many high-profile cases where the defence of reduced responsibility had been utilised, the Coroners and Justice Act (2009) was introduced. Tony Martin and Robert Stewart were found guilty of manslaughter after killing two inmates in a mental hospital. Tony Martin shot an intruder in his home and was convicted. Robert Stewart killed two people in a mental hospital. The Act was designed to create a more thorough and modern defence of diminished responsibility, including the defence's social, moral, ethical, and philosophical ramifications. </w:t>
      </w:r>
    </w:p>
    <w:p w14:paraId="42CF2D29" w14:textId="77777777" w:rsidR="00B60252" w:rsidRDefault="00B60252" w:rsidP="00E753E4">
      <w:pPr>
        <w:pStyle w:val="NormalWeb"/>
        <w:spacing w:before="0" w:beforeAutospacing="0" w:after="0" w:afterAutospacing="0" w:line="480" w:lineRule="auto"/>
        <w:ind w:firstLine="720"/>
        <w:rPr>
          <w:color w:val="0E101A"/>
        </w:rPr>
      </w:pPr>
      <w:r>
        <w:rPr>
          <w:color w:val="0E101A"/>
        </w:rPr>
        <w:t>The Act attempted to give a more thorough and modern defence while also considering reduced liability's social, moral, ethical, and philosophical ramifications. The concept of "abnormality of mental functioning" was one of the main improvements to the defence of diminished responsibility</w:t>
      </w:r>
      <w:r w:rsidR="007004DE">
        <w:rPr>
          <w:color w:val="0E101A"/>
          <w:lang w:val="en-US"/>
        </w:rPr>
        <w:t xml:space="preserve"> (</w:t>
      </w:r>
      <w:r w:rsidR="007004DE" w:rsidRPr="00161AD1">
        <w:rPr>
          <w:shd w:val="clear" w:color="auto" w:fill="FFFFFF"/>
        </w:rPr>
        <w:t>Crofts,</w:t>
      </w:r>
      <w:r w:rsidR="007004DE">
        <w:rPr>
          <w:shd w:val="clear" w:color="auto" w:fill="FFFFFF"/>
          <w:lang w:val="en-US"/>
        </w:rPr>
        <w:t xml:space="preserve"> 2021, p 343)</w:t>
      </w:r>
      <w:r>
        <w:rPr>
          <w:color w:val="0E101A"/>
        </w:rPr>
        <w:t>. For the defence to be effective, it was necessary to consider the accused's mental condition at the time of the crime. The appropriate way to assess a person's mental condition and whether or not this assessment should be based on medical or psychological evaluations were highlighted by this requirement, along with related social, moral, ethical, and philosophical issues. </w:t>
      </w:r>
    </w:p>
    <w:p w14:paraId="21045A6F" w14:textId="77777777" w:rsidR="00B60252" w:rsidRDefault="00B60252" w:rsidP="00E753E4">
      <w:pPr>
        <w:pStyle w:val="NormalWeb"/>
        <w:spacing w:before="0" w:beforeAutospacing="0" w:after="0" w:afterAutospacing="0" w:line="480" w:lineRule="auto"/>
        <w:ind w:firstLine="720"/>
        <w:rPr>
          <w:color w:val="0E101A"/>
        </w:rPr>
      </w:pPr>
      <w:r>
        <w:rPr>
          <w:color w:val="0E101A"/>
        </w:rPr>
        <w:t xml:space="preserve">The standards for diminished responsibility were further changed by the Act to include the idea of "grave abnormality of mind." For the defence to be successful, the defendant's mental </w:t>
      </w:r>
      <w:r>
        <w:rPr>
          <w:color w:val="0E101A"/>
        </w:rPr>
        <w:lastRenderedPageBreak/>
        <w:t>state had to be incredibly uncommon; This led to new concerns regarding the definition of abnormality and the criteria used to assess mental states. The moral and ethical ramifications of sentencing those with decreased responsibility and the possibility of injustice were also discussed. The Coroners and Justice Act of 2009 also adjusted how persons determined to have diminished culpability are sentenced. A hospital direction, which mandates that the accused be held in a hospital rather than a prison, is a sentencing permissible under the Act; This sparked concerns about the justice of such a sentence and the possibility of prejudice against those with mental illnesses.</w:t>
      </w:r>
    </w:p>
    <w:p w14:paraId="3F0E1450"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The requirements of Diminished Responsibility under S.2 Homicide Act 1957</w:t>
      </w:r>
    </w:p>
    <w:p w14:paraId="1A2E1F8D" w14:textId="77777777" w:rsidR="00B60252" w:rsidRDefault="00B60252" w:rsidP="00E753E4">
      <w:pPr>
        <w:pStyle w:val="NormalWeb"/>
        <w:spacing w:before="0" w:beforeAutospacing="0" w:after="0" w:afterAutospacing="0" w:line="480" w:lineRule="auto"/>
        <w:ind w:firstLine="720"/>
        <w:rPr>
          <w:color w:val="0E101A"/>
        </w:rPr>
      </w:pPr>
      <w:r>
        <w:rPr>
          <w:color w:val="0E101A"/>
        </w:rPr>
        <w:t>The Murder Act of 1957 included the diminished responsibility defence as a strategy to lessen murder convictions. A person may be found guilty of manslaughter rather than murder under Section 2 of this Act if they can demonstrate that their responsibility for the crime was lessened due to abnormal mental functioning or mental disease. </w:t>
      </w:r>
    </w:p>
    <w:p w14:paraId="767D1992" w14:textId="77777777" w:rsidR="00E753E4" w:rsidRDefault="00B60252" w:rsidP="00E753E4">
      <w:pPr>
        <w:pStyle w:val="NormalWeb"/>
        <w:spacing w:before="0" w:beforeAutospacing="0" w:after="0" w:afterAutospacing="0" w:line="480" w:lineRule="auto"/>
        <w:ind w:firstLine="720"/>
        <w:rPr>
          <w:color w:val="0E101A"/>
        </w:rPr>
      </w:pPr>
      <w:r>
        <w:rPr>
          <w:color w:val="0E101A"/>
        </w:rPr>
        <w:t>The offender had to show that their responsibility for the crime had been lowered because of an anomaly in mental functioning or a mental disorder to qualify for a reduction in punishment from murder to manslaughter. This anomaly needed to be "substantial," meaning that it had to be either long-lasting or permanent and represent the root of the defendant's unlawful behaviour. Additionally, the abnormality had to be of a nature or severity that would seriously hinder the defendant's capacity to comprehend the purpose of their conduct or exert control over their behaviour. In other words, the defendant must have had a mental illness or other anomalies that impeded their capacity to understand or control their behaviour. </w:t>
      </w:r>
    </w:p>
    <w:p w14:paraId="384ADC78" w14:textId="77777777" w:rsidR="00B60252" w:rsidRDefault="00B60252" w:rsidP="00E753E4">
      <w:pPr>
        <w:pStyle w:val="NormalWeb"/>
        <w:spacing w:before="0" w:beforeAutospacing="0" w:after="0" w:afterAutospacing="0" w:line="480" w:lineRule="auto"/>
        <w:ind w:firstLine="720"/>
        <w:rPr>
          <w:color w:val="0E101A"/>
        </w:rPr>
      </w:pPr>
      <w:r>
        <w:rPr>
          <w:color w:val="0E101A"/>
        </w:rPr>
        <w:t xml:space="preserve">The defendant was required to demonstrate that they had not been too enthusiastic; This would lead to the defence being denied since it would imply that the defendant, despite their </w:t>
      </w:r>
      <w:r>
        <w:rPr>
          <w:color w:val="0E101A"/>
        </w:rPr>
        <w:lastRenderedPageBreak/>
        <w:t>mental disease or abnormality, was still able to make logical decisions and understand the repercussions of their acts</w:t>
      </w:r>
      <w:r w:rsidR="007004DE">
        <w:rPr>
          <w:color w:val="0E101A"/>
          <w:lang w:val="en-US"/>
        </w:rPr>
        <w:t xml:space="preserve"> (</w:t>
      </w:r>
      <w:r w:rsidR="007004DE" w:rsidRPr="00161AD1">
        <w:rPr>
          <w:shd w:val="clear" w:color="auto" w:fill="FFFFFF"/>
        </w:rPr>
        <w:t>Reed,</w:t>
      </w:r>
      <w:r w:rsidR="007004DE">
        <w:rPr>
          <w:shd w:val="clear" w:color="auto" w:fill="FFFFFF"/>
          <w:lang w:val="en-US"/>
        </w:rPr>
        <w:t xml:space="preserve"> 2021,p 87)</w:t>
      </w:r>
      <w:r>
        <w:rPr>
          <w:color w:val="0E101A"/>
        </w:rPr>
        <w:t>. The defendant had to show that their responsibility for the Act had been lessened due to an abnormality of mental functioning or a mental disorder, that this abnormality had been of a kind or degree that would considerably impair the defendant's ability to understand the nature of their actions or to control their behaviour, and that they had not been in an abnormally excited state of mind. </w:t>
      </w:r>
    </w:p>
    <w:p w14:paraId="2AF8A6C3"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The importance of the Act </w:t>
      </w:r>
    </w:p>
    <w:p w14:paraId="20223F0A" w14:textId="77777777" w:rsidR="00B60252" w:rsidRDefault="00B60252" w:rsidP="00E753E4">
      <w:pPr>
        <w:pStyle w:val="NormalWeb"/>
        <w:spacing w:before="0" w:beforeAutospacing="0" w:after="0" w:afterAutospacing="0" w:line="480" w:lineRule="auto"/>
        <w:ind w:firstLine="720"/>
        <w:rPr>
          <w:color w:val="0E101A"/>
        </w:rPr>
      </w:pPr>
      <w:r>
        <w:rPr>
          <w:color w:val="0E101A"/>
        </w:rPr>
        <w:t>The previous legislation's obsolete nature, the evolving nature of criminal investigations, and the desire to increase access to justice made the Act necessary. By making reforms to how inquests are conducted and the kinds of evidence that can be used in criminal proceedings, the Act aimed to modernise the coroner system. Additionally, it granted coroners more authority regarding the breadth of their inquiries and their capacity to consult witnesses and make document requests. </w:t>
      </w:r>
    </w:p>
    <w:p w14:paraId="5CD91EF3" w14:textId="77777777" w:rsidR="00B60252" w:rsidRDefault="00B60252" w:rsidP="00E753E4">
      <w:pPr>
        <w:pStyle w:val="NormalWeb"/>
        <w:spacing w:before="0" w:beforeAutospacing="0" w:after="0" w:afterAutospacing="0" w:line="480" w:lineRule="auto"/>
        <w:ind w:firstLine="720"/>
        <w:rPr>
          <w:color w:val="0E101A"/>
        </w:rPr>
      </w:pPr>
      <w:r>
        <w:rPr>
          <w:color w:val="0E101A"/>
        </w:rPr>
        <w:t>By expanding the pool of those who are eligible to apply to be represented at inquests and permitting third-party interventions in inquests, the Act also increased access to justice</w:t>
      </w:r>
      <w:r w:rsidR="007004DE">
        <w:rPr>
          <w:color w:val="0E101A"/>
          <w:lang w:val="en-US"/>
        </w:rPr>
        <w:t xml:space="preserve"> (</w:t>
      </w:r>
      <w:r w:rsidR="007004DE" w:rsidRPr="00161AD1">
        <w:rPr>
          <w:shd w:val="clear" w:color="auto" w:fill="FFFFFF"/>
        </w:rPr>
        <w:t>Crofts,</w:t>
      </w:r>
      <w:r w:rsidR="007004DE">
        <w:rPr>
          <w:shd w:val="clear" w:color="auto" w:fill="FFFFFF"/>
          <w:lang w:val="en-US"/>
        </w:rPr>
        <w:t xml:space="preserve"> 2021, p 336)</w:t>
      </w:r>
      <w:r>
        <w:rPr>
          <w:color w:val="0E101A"/>
        </w:rPr>
        <w:t>. By mandating more information to be shared regarding the circumstances surrounding a death, the Act aimed to increase the transparency of inquests. </w:t>
      </w:r>
    </w:p>
    <w:p w14:paraId="10853296" w14:textId="77777777" w:rsidR="00E753E4" w:rsidRDefault="00E753E4" w:rsidP="00E753E4">
      <w:pPr>
        <w:pStyle w:val="NormalWeb"/>
        <w:spacing w:before="0" w:beforeAutospacing="0" w:after="0" w:afterAutospacing="0" w:line="480" w:lineRule="auto"/>
        <w:ind w:firstLine="720"/>
        <w:rPr>
          <w:color w:val="0E101A"/>
        </w:rPr>
      </w:pPr>
    </w:p>
    <w:p w14:paraId="60F263F4" w14:textId="77777777" w:rsidR="00E753E4" w:rsidRDefault="00E753E4" w:rsidP="00E753E4">
      <w:pPr>
        <w:pStyle w:val="NormalWeb"/>
        <w:spacing w:before="0" w:beforeAutospacing="0" w:after="0" w:afterAutospacing="0" w:line="480" w:lineRule="auto"/>
        <w:ind w:firstLine="720"/>
        <w:rPr>
          <w:color w:val="0E101A"/>
        </w:rPr>
      </w:pPr>
    </w:p>
    <w:p w14:paraId="4DF18213"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How Act 2009 changed the Law </w:t>
      </w:r>
    </w:p>
    <w:p w14:paraId="4517E519" w14:textId="77777777" w:rsidR="00B60252" w:rsidRDefault="00B60252" w:rsidP="00E753E4">
      <w:pPr>
        <w:pStyle w:val="NormalWeb"/>
        <w:spacing w:before="0" w:beforeAutospacing="0" w:after="0" w:afterAutospacing="0" w:line="480" w:lineRule="auto"/>
        <w:ind w:firstLine="720"/>
        <w:rPr>
          <w:color w:val="0E101A"/>
        </w:rPr>
      </w:pPr>
      <w:r>
        <w:rPr>
          <w:color w:val="0E101A"/>
        </w:rPr>
        <w:t xml:space="preserve">The Act brought about a number of reforms, including making it simpler for coroners to initiate inquests, enabling them to conduct cause-of-death investigations even when no inquest has been initiated, and enabling them to look into unexpected and unusual deaths in the lack of a </w:t>
      </w:r>
      <w:r>
        <w:rPr>
          <w:color w:val="0E101A"/>
        </w:rPr>
        <w:lastRenderedPageBreak/>
        <w:t>medical certificate. The statute also expanded the coroners' authority to look into deaths while the police, the government, or the jail held someone. </w:t>
      </w:r>
    </w:p>
    <w:p w14:paraId="40BCD3E3" w14:textId="77777777" w:rsidR="00B60252" w:rsidRDefault="00B60252" w:rsidP="00E753E4">
      <w:pPr>
        <w:pStyle w:val="NormalWeb"/>
        <w:spacing w:before="0" w:beforeAutospacing="0" w:after="0" w:afterAutospacing="0" w:line="480" w:lineRule="auto"/>
        <w:ind w:firstLine="720"/>
        <w:rPr>
          <w:color w:val="0E101A"/>
        </w:rPr>
      </w:pPr>
      <w:r>
        <w:rPr>
          <w:color w:val="0E101A"/>
        </w:rPr>
        <w:t>The statute permitted the coroner to investigate a death that had happened in custody, while in police or jail custody, and to take into account any medical advice provided by a doctor in doing so. The statute improved the rights of the bereaved families by allowing them to summon witnesses and provide other evidence during the inquest process and by ensuring that they were properly informed about the deceased's condition</w:t>
      </w:r>
      <w:r w:rsidR="007004DE">
        <w:rPr>
          <w:color w:val="0E101A"/>
          <w:lang w:val="en-US"/>
        </w:rPr>
        <w:t xml:space="preserve"> (</w:t>
      </w:r>
      <w:r w:rsidR="007004DE" w:rsidRPr="00161AD1">
        <w:rPr>
          <w:shd w:val="clear" w:color="auto" w:fill="FFFFFF"/>
        </w:rPr>
        <w:t>Reed,</w:t>
      </w:r>
      <w:r w:rsidR="007004DE">
        <w:rPr>
          <w:shd w:val="clear" w:color="auto" w:fill="FFFFFF"/>
          <w:lang w:val="en-US"/>
        </w:rPr>
        <w:t xml:space="preserve"> 2021,p 80)</w:t>
      </w:r>
      <w:r>
        <w:rPr>
          <w:color w:val="0E101A"/>
        </w:rPr>
        <w:t>. Pre-inquest reviews were also made possible by the legislation, enabling the coroner to conduct a more extensive examination into the death and come to findings that may be presented as evidence in court.</w:t>
      </w:r>
    </w:p>
    <w:p w14:paraId="27198335" w14:textId="77777777" w:rsidR="00055B64" w:rsidRDefault="00B60252" w:rsidP="00E753E4">
      <w:pPr>
        <w:pStyle w:val="NormalWeb"/>
        <w:spacing w:before="0" w:beforeAutospacing="0" w:after="0" w:afterAutospacing="0" w:line="480" w:lineRule="auto"/>
        <w:ind w:firstLine="720"/>
        <w:rPr>
          <w:color w:val="0E101A"/>
        </w:rPr>
      </w:pPr>
      <w:r>
        <w:rPr>
          <w:color w:val="0E101A"/>
        </w:rPr>
        <w:t>The Act also altered the Law regarding the inquest procedure, introducing new guidelines that made it simpler to call witnesses and provide additional evidence as well as improved information for relatives regarding the deceased's condition</w:t>
      </w:r>
      <w:r w:rsidR="007004DE">
        <w:rPr>
          <w:color w:val="0E101A"/>
          <w:lang w:val="en-US"/>
        </w:rPr>
        <w:t xml:space="preserve"> (</w:t>
      </w:r>
      <w:r w:rsidR="007004DE" w:rsidRPr="00161AD1">
        <w:rPr>
          <w:shd w:val="clear" w:color="auto" w:fill="FFFFFF"/>
        </w:rPr>
        <w:t>Storey,</w:t>
      </w:r>
      <w:r w:rsidR="007004DE">
        <w:rPr>
          <w:shd w:val="clear" w:color="auto" w:fill="FFFFFF"/>
          <w:lang w:val="en-US"/>
        </w:rPr>
        <w:t xml:space="preserve"> 2019, p 514)</w:t>
      </w:r>
      <w:r>
        <w:rPr>
          <w:color w:val="0E101A"/>
        </w:rPr>
        <w:t xml:space="preserve">. The Act also permitted pre-inquest reviews, which permitted a more extensive inquiry into the decedent's death and allowed the coroner to make judgements about the decedent's death that may be utilised in criminal prosecutions. </w:t>
      </w:r>
    </w:p>
    <w:p w14:paraId="18CB56A2" w14:textId="77777777" w:rsidR="00055B64" w:rsidRDefault="00055B64" w:rsidP="00E753E4">
      <w:pPr>
        <w:pStyle w:val="NormalWeb"/>
        <w:spacing w:before="0" w:beforeAutospacing="0" w:after="0" w:afterAutospacing="0" w:line="480" w:lineRule="auto"/>
        <w:ind w:firstLine="720"/>
        <w:rPr>
          <w:color w:val="0E101A"/>
        </w:rPr>
      </w:pPr>
    </w:p>
    <w:p w14:paraId="4BC7382D" w14:textId="77777777" w:rsidR="00055B64" w:rsidRDefault="00055B64" w:rsidP="00E753E4">
      <w:pPr>
        <w:pStyle w:val="NormalWeb"/>
        <w:spacing w:before="0" w:beforeAutospacing="0" w:after="0" w:afterAutospacing="0" w:line="480" w:lineRule="auto"/>
        <w:ind w:firstLine="720"/>
        <w:rPr>
          <w:color w:val="0E101A"/>
        </w:rPr>
      </w:pPr>
    </w:p>
    <w:p w14:paraId="34C30072" w14:textId="77777777" w:rsidR="00E753E4" w:rsidRDefault="00B60252" w:rsidP="00055B64">
      <w:pPr>
        <w:pStyle w:val="NormalWeb"/>
        <w:spacing w:before="0" w:beforeAutospacing="0" w:after="0" w:afterAutospacing="0" w:line="480" w:lineRule="auto"/>
        <w:rPr>
          <w:color w:val="0E101A"/>
        </w:rPr>
      </w:pPr>
      <w:r>
        <w:rPr>
          <w:color w:val="0E101A"/>
        </w:rPr>
        <w:t>The 2009 Coroners and Justice Act significantly advanced the England and Wales coronial law system</w:t>
      </w:r>
      <w:r w:rsidR="007004DE">
        <w:rPr>
          <w:color w:val="0E101A"/>
          <w:lang w:val="en-US"/>
        </w:rPr>
        <w:t xml:space="preserve"> (</w:t>
      </w:r>
      <w:r w:rsidR="007004DE" w:rsidRPr="00161AD1">
        <w:rPr>
          <w:shd w:val="clear" w:color="auto" w:fill="FFFFFF"/>
        </w:rPr>
        <w:t>Eastman,</w:t>
      </w:r>
      <w:r w:rsidR="007004DE">
        <w:rPr>
          <w:shd w:val="clear" w:color="auto" w:fill="FFFFFF"/>
          <w:lang w:val="en-US"/>
        </w:rPr>
        <w:t xml:space="preserve"> 2020, p 338)</w:t>
      </w:r>
      <w:r>
        <w:rPr>
          <w:color w:val="0E101A"/>
        </w:rPr>
        <w:t>. The Coroners and Justice Act of 2009 was a significant piece of legislation that aimed to modernise England and Wales' coronial law system, among other things.</w:t>
      </w:r>
    </w:p>
    <w:p w14:paraId="37F4F70C"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Merits and Demerits of the Act </w:t>
      </w:r>
    </w:p>
    <w:p w14:paraId="4BB654D6" w14:textId="77777777" w:rsidR="00B60252" w:rsidRDefault="00B60252" w:rsidP="00E753E4">
      <w:pPr>
        <w:pStyle w:val="NormalWeb"/>
        <w:spacing w:before="0" w:beforeAutospacing="0" w:after="0" w:afterAutospacing="0" w:line="480" w:lineRule="auto"/>
        <w:ind w:firstLine="720"/>
        <w:rPr>
          <w:color w:val="0E101A"/>
        </w:rPr>
      </w:pPr>
      <w:r>
        <w:rPr>
          <w:color w:val="0E101A"/>
        </w:rPr>
        <w:lastRenderedPageBreak/>
        <w:t>As a key component of legislation, the Coroners and Justice Act of 2009 (s. 52) gives police investigators and coroners the authority to handle cases involving fatalities. While this Act is being applied, its benefits and drawbacks must be considered. This Act's main benefit is that it enables more extensive examinations into causes of death and a more open inquiry procedure for all parties concerned</w:t>
      </w:r>
      <w:r w:rsidR="007004DE">
        <w:rPr>
          <w:color w:val="0E101A"/>
          <w:lang w:val="en-US"/>
        </w:rPr>
        <w:t xml:space="preserve"> (</w:t>
      </w:r>
      <w:r w:rsidR="007004DE" w:rsidRPr="00161AD1">
        <w:rPr>
          <w:shd w:val="clear" w:color="auto" w:fill="FFFFFF"/>
        </w:rPr>
        <w:t>Mackay,</w:t>
      </w:r>
      <w:r w:rsidR="007004DE">
        <w:rPr>
          <w:shd w:val="clear" w:color="auto" w:fill="FFFFFF"/>
          <w:lang w:val="en-US"/>
        </w:rPr>
        <w:t xml:space="preserve"> 2021,p 232)</w:t>
      </w:r>
      <w:r>
        <w:rPr>
          <w:color w:val="0E101A"/>
        </w:rPr>
        <w:t>. Additionally, it lays out a precise set of guidelines that coroners and police must adhere to, providing a more uniform approach to investigations. Also, it enables more communication between the family of the deceased and the coroner, enabling a more considerate and humane approach to the investigation.</w:t>
      </w:r>
    </w:p>
    <w:p w14:paraId="2CE1688A" w14:textId="77777777" w:rsidR="00B60252" w:rsidRDefault="00B60252" w:rsidP="00E753E4">
      <w:pPr>
        <w:pStyle w:val="NormalWeb"/>
        <w:spacing w:before="0" w:beforeAutospacing="0" w:after="0" w:afterAutospacing="0" w:line="480" w:lineRule="auto"/>
        <w:ind w:firstLine="720"/>
        <w:rPr>
          <w:color w:val="0E101A"/>
        </w:rPr>
      </w:pPr>
      <w:r>
        <w:rPr>
          <w:color w:val="0E101A"/>
        </w:rPr>
        <w:t xml:space="preserve">One of the </w:t>
      </w:r>
      <w:r w:rsidR="00BA148A">
        <w:rPr>
          <w:color w:val="0E101A"/>
          <w:lang w:val="en-US"/>
        </w:rPr>
        <w:t>S</w:t>
      </w:r>
      <w:r>
        <w:rPr>
          <w:color w:val="0E101A"/>
        </w:rPr>
        <w:t>. 52's key drawback is that it can be challenging to comprehend, which makes it challenging for those participating in the investigation to apply it correctly. Due to the lengthy nature of the studies, the implementation might also be time-consuming and costly. It can also be challenging to implement in some situations because each person's death can have very different circumstances, necessitating a different method of investigation</w:t>
      </w:r>
      <w:r w:rsidR="007004DE">
        <w:rPr>
          <w:color w:val="0E101A"/>
          <w:lang w:val="en-US"/>
        </w:rPr>
        <w:t xml:space="preserve"> (</w:t>
      </w:r>
      <w:r w:rsidR="007004DE" w:rsidRPr="00161AD1">
        <w:rPr>
          <w:shd w:val="clear" w:color="auto" w:fill="FFFFFF"/>
        </w:rPr>
        <w:t>Eastman,</w:t>
      </w:r>
      <w:r w:rsidR="007004DE">
        <w:rPr>
          <w:shd w:val="clear" w:color="auto" w:fill="FFFFFF"/>
          <w:lang w:val="en-US"/>
        </w:rPr>
        <w:t xml:space="preserve"> 2020, p 348)</w:t>
      </w:r>
      <w:r>
        <w:rPr>
          <w:color w:val="0E101A"/>
        </w:rPr>
        <w:t>. Also, it may be challenging for the families to comprehend the investigation's methodology and accept the findings. </w:t>
      </w:r>
    </w:p>
    <w:p w14:paraId="5E7444F5" w14:textId="77777777" w:rsidR="00055B64" w:rsidRDefault="00055B64" w:rsidP="00E753E4">
      <w:pPr>
        <w:pStyle w:val="NormalWeb"/>
        <w:spacing w:before="0" w:beforeAutospacing="0" w:after="0" w:afterAutospacing="0" w:line="480" w:lineRule="auto"/>
        <w:ind w:firstLine="720"/>
        <w:rPr>
          <w:color w:val="0E101A"/>
        </w:rPr>
      </w:pPr>
    </w:p>
    <w:p w14:paraId="2D864824" w14:textId="77777777" w:rsidR="00055B64" w:rsidRDefault="00055B64" w:rsidP="00E753E4">
      <w:pPr>
        <w:pStyle w:val="NormalWeb"/>
        <w:spacing w:before="0" w:beforeAutospacing="0" w:after="0" w:afterAutospacing="0" w:line="480" w:lineRule="auto"/>
        <w:ind w:firstLine="720"/>
        <w:rPr>
          <w:color w:val="0E101A"/>
        </w:rPr>
      </w:pPr>
    </w:p>
    <w:p w14:paraId="138A5E74" w14:textId="77777777" w:rsidR="00055B64" w:rsidRDefault="00055B64" w:rsidP="00E753E4">
      <w:pPr>
        <w:pStyle w:val="NormalWeb"/>
        <w:spacing w:before="0" w:beforeAutospacing="0" w:after="0" w:afterAutospacing="0" w:line="480" w:lineRule="auto"/>
        <w:ind w:firstLine="720"/>
        <w:rPr>
          <w:color w:val="0E101A"/>
        </w:rPr>
      </w:pPr>
    </w:p>
    <w:p w14:paraId="3E5645A8" w14:textId="77777777" w:rsidR="00055B64" w:rsidRDefault="00055B64" w:rsidP="00055B64">
      <w:pPr>
        <w:pStyle w:val="NormalWeb"/>
        <w:spacing w:before="0" w:beforeAutospacing="0" w:after="0" w:afterAutospacing="0" w:line="480" w:lineRule="auto"/>
        <w:rPr>
          <w:color w:val="0E101A"/>
        </w:rPr>
      </w:pPr>
    </w:p>
    <w:p w14:paraId="0EBB1CBE"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Recommendation on Act 2009</w:t>
      </w:r>
    </w:p>
    <w:p w14:paraId="3B4A6F47" w14:textId="77777777" w:rsidR="00B60252" w:rsidRDefault="00B60252" w:rsidP="00E753E4">
      <w:pPr>
        <w:pStyle w:val="NormalWeb"/>
        <w:spacing w:before="0" w:beforeAutospacing="0" w:after="0" w:afterAutospacing="0" w:line="480" w:lineRule="auto"/>
        <w:ind w:firstLine="720"/>
        <w:rPr>
          <w:color w:val="0E101A"/>
        </w:rPr>
      </w:pPr>
      <w:r>
        <w:rPr>
          <w:color w:val="0E101A"/>
        </w:rPr>
        <w:t xml:space="preserve">The first suggestion is to raise awareness of the Coroners and Justice Act and public participation in it (2009). To enlighten the people about the laws and their rights, distributing informational pamphlets and public gatherings could be accomplished. The second suggestion is </w:t>
      </w:r>
      <w:r>
        <w:rPr>
          <w:color w:val="0E101A"/>
        </w:rPr>
        <w:lastRenderedPageBreak/>
        <w:t>to create a clear appeals procedure for coroner rulings; This would guarantee rulings are impartial and fair and allow people to contest a decision if they believe it is unfair. The third suggestion is to give coroners more education and assistance; This would guarantee that coroners are knowledgeable about and skilled enough to make decisions following the rules of the Coroners and Justice Act (2009). </w:t>
      </w:r>
    </w:p>
    <w:p w14:paraId="319BD0DC" w14:textId="77777777" w:rsidR="00B60252" w:rsidRDefault="00B60252" w:rsidP="00E753E4">
      <w:pPr>
        <w:pStyle w:val="NormalWeb"/>
        <w:spacing w:before="0" w:beforeAutospacing="0" w:after="0" w:afterAutospacing="0" w:line="480" w:lineRule="auto"/>
        <w:ind w:firstLine="720"/>
        <w:rPr>
          <w:color w:val="0E101A"/>
        </w:rPr>
      </w:pPr>
      <w:r>
        <w:rPr>
          <w:rStyle w:val="Strong"/>
          <w:color w:val="0E101A"/>
        </w:rPr>
        <w:t>Conclusion</w:t>
      </w:r>
    </w:p>
    <w:p w14:paraId="41A84823" w14:textId="77777777" w:rsidR="00B60252" w:rsidRDefault="00B60252" w:rsidP="00E753E4">
      <w:pPr>
        <w:pStyle w:val="NormalWeb"/>
        <w:spacing w:before="0" w:beforeAutospacing="0" w:after="0" w:afterAutospacing="0" w:line="480" w:lineRule="auto"/>
        <w:ind w:firstLine="720"/>
        <w:rPr>
          <w:color w:val="0E101A"/>
        </w:rPr>
      </w:pPr>
      <w:r>
        <w:rPr>
          <w:color w:val="0E101A"/>
        </w:rPr>
        <w:t>The Coroners and Justice Act (2009) significantly impacted the defence of reduced responsibility. It has replaced the prior definition, based on case law, with a new definition of diminished responsibility. Many people have embraced this new definition because it gives the defence more assurance and clarity. Also, it gives the court more leeway when examining the defence because it recognises that some traits may lessen an accused person's accountability for their conduct. It also permits a limited defence, resulting in the prisoner receiving a lighter punishment. The statute has improved the defence's certainty and clarity while enabling the court to consider a larger variety of considerations when evaluating the defence; This has benefited both persons charged with crimes and the criminal justice system as a whole. </w:t>
      </w:r>
    </w:p>
    <w:p w14:paraId="6FE433BD" w14:textId="77777777" w:rsidR="00055B64" w:rsidRDefault="00055B64" w:rsidP="00E753E4">
      <w:pPr>
        <w:pStyle w:val="NormalWeb"/>
        <w:spacing w:before="0" w:beforeAutospacing="0" w:after="0" w:afterAutospacing="0" w:line="480" w:lineRule="auto"/>
        <w:ind w:firstLine="720"/>
        <w:rPr>
          <w:color w:val="0E101A"/>
        </w:rPr>
      </w:pPr>
    </w:p>
    <w:p w14:paraId="20A1CF60" w14:textId="77777777" w:rsidR="00055B64" w:rsidRDefault="00055B64" w:rsidP="00E753E4">
      <w:pPr>
        <w:pStyle w:val="NormalWeb"/>
        <w:spacing w:before="0" w:beforeAutospacing="0" w:after="0" w:afterAutospacing="0" w:line="480" w:lineRule="auto"/>
        <w:ind w:firstLine="720"/>
        <w:rPr>
          <w:color w:val="0E101A"/>
        </w:rPr>
      </w:pPr>
    </w:p>
    <w:p w14:paraId="7A9D5722" w14:textId="77777777" w:rsidR="00055B64" w:rsidRDefault="00055B64" w:rsidP="00E753E4">
      <w:pPr>
        <w:pStyle w:val="NormalWeb"/>
        <w:spacing w:before="0" w:beforeAutospacing="0" w:after="0" w:afterAutospacing="0" w:line="480" w:lineRule="auto"/>
        <w:ind w:firstLine="720"/>
        <w:rPr>
          <w:color w:val="0E101A"/>
        </w:rPr>
      </w:pPr>
    </w:p>
    <w:p w14:paraId="0124BB93" w14:textId="77777777" w:rsidR="00055B64" w:rsidRDefault="00055B64" w:rsidP="00E753E4">
      <w:pPr>
        <w:pStyle w:val="NormalWeb"/>
        <w:spacing w:before="0" w:beforeAutospacing="0" w:after="0" w:afterAutospacing="0" w:line="480" w:lineRule="auto"/>
        <w:ind w:firstLine="720"/>
        <w:rPr>
          <w:color w:val="0E101A"/>
        </w:rPr>
      </w:pPr>
    </w:p>
    <w:p w14:paraId="793CB291" w14:textId="77777777" w:rsidR="00161AD1" w:rsidRPr="00161AD1" w:rsidRDefault="00055B64" w:rsidP="00161AD1">
      <w:pPr>
        <w:pStyle w:val="NormalWeb"/>
        <w:spacing w:before="0" w:beforeAutospacing="0" w:after="0" w:afterAutospacing="0" w:line="480" w:lineRule="auto"/>
        <w:ind w:firstLine="720"/>
        <w:jc w:val="center"/>
        <w:rPr>
          <w:color w:val="0E101A"/>
          <w:lang w:val="en-US"/>
        </w:rPr>
      </w:pPr>
      <w:r>
        <w:rPr>
          <w:color w:val="0E101A"/>
          <w:lang w:val="en-US"/>
        </w:rPr>
        <w:t>Reference</w:t>
      </w:r>
    </w:p>
    <w:p w14:paraId="289B5F69" w14:textId="77777777" w:rsidR="00161AD1" w:rsidRPr="00161AD1" w:rsidRDefault="00161AD1" w:rsidP="00161AD1">
      <w:pPr>
        <w:pStyle w:val="NormalWeb"/>
        <w:spacing w:before="0" w:beforeAutospacing="0" w:after="0" w:afterAutospacing="0" w:line="480" w:lineRule="auto"/>
        <w:ind w:left="720" w:hanging="720"/>
        <w:rPr>
          <w:shd w:val="clear" w:color="auto" w:fill="FFFFFF"/>
          <w:lang w:val="en-US"/>
        </w:rPr>
      </w:pPr>
      <w:r w:rsidRPr="00161AD1">
        <w:rPr>
          <w:shd w:val="clear" w:color="auto" w:fill="FFFFFF"/>
        </w:rPr>
        <w:t>Crofts, T. and Wake, N., 2021. Diminished responsibility determinations in England and Wales and New South Wales: whose role is it anyway?. </w:t>
      </w:r>
      <w:r w:rsidRPr="00161AD1">
        <w:rPr>
          <w:i/>
          <w:iCs/>
          <w:shd w:val="clear" w:color="auto" w:fill="FFFFFF"/>
        </w:rPr>
        <w:t>Northern Ireland Legal Quarterly</w:t>
      </w:r>
      <w:r w:rsidRPr="00161AD1">
        <w:rPr>
          <w:shd w:val="clear" w:color="auto" w:fill="FFFFFF"/>
        </w:rPr>
        <w:t>, </w:t>
      </w:r>
      <w:r w:rsidRPr="00161AD1">
        <w:rPr>
          <w:i/>
          <w:iCs/>
          <w:shd w:val="clear" w:color="auto" w:fill="FFFFFF"/>
        </w:rPr>
        <w:t>72</w:t>
      </w:r>
      <w:r w:rsidRPr="00161AD1">
        <w:rPr>
          <w:shd w:val="clear" w:color="auto" w:fill="FFFFFF"/>
        </w:rPr>
        <w:t>(2), pp.324-362.</w:t>
      </w:r>
      <w:r w:rsidRPr="00161AD1">
        <w:rPr>
          <w:shd w:val="clear" w:color="auto" w:fill="FFFFFF"/>
          <w:lang w:val="en-US"/>
        </w:rPr>
        <w:t xml:space="preserve"> </w:t>
      </w:r>
    </w:p>
    <w:p w14:paraId="6BA81263" w14:textId="77777777" w:rsidR="00161AD1" w:rsidRPr="00161AD1" w:rsidRDefault="00161AD1" w:rsidP="00161AD1">
      <w:pPr>
        <w:pStyle w:val="NormalWeb"/>
        <w:spacing w:before="0" w:beforeAutospacing="0" w:after="0" w:afterAutospacing="0" w:line="480" w:lineRule="auto"/>
        <w:ind w:left="720" w:hanging="720"/>
        <w:rPr>
          <w:shd w:val="clear" w:color="auto" w:fill="FFFFFF"/>
        </w:rPr>
      </w:pPr>
      <w:r w:rsidRPr="00161AD1">
        <w:rPr>
          <w:shd w:val="clear" w:color="auto" w:fill="FFFFFF"/>
        </w:rPr>
        <w:lastRenderedPageBreak/>
        <w:t>Eastman, N. and Grubin, D., 2020. Insanity, Diminished Responsibility, and Personality Disorder in England and Wales. </w:t>
      </w:r>
      <w:r w:rsidRPr="00161AD1">
        <w:rPr>
          <w:i/>
          <w:iCs/>
          <w:shd w:val="clear" w:color="auto" w:fill="FFFFFF"/>
        </w:rPr>
        <w:t>The Wiley International Handbook on Psychopathic Disorders and the Law</w:t>
      </w:r>
      <w:r w:rsidRPr="00161AD1">
        <w:rPr>
          <w:shd w:val="clear" w:color="auto" w:fill="FFFFFF"/>
        </w:rPr>
        <w:t>, pp.339-358.</w:t>
      </w:r>
    </w:p>
    <w:p w14:paraId="29D6589A" w14:textId="77777777" w:rsidR="00161AD1" w:rsidRPr="00161AD1" w:rsidRDefault="00161AD1" w:rsidP="00161AD1">
      <w:pPr>
        <w:pStyle w:val="NormalWeb"/>
        <w:spacing w:before="0" w:beforeAutospacing="0" w:after="0" w:afterAutospacing="0" w:line="480" w:lineRule="auto"/>
        <w:ind w:left="720" w:hanging="720"/>
        <w:rPr>
          <w:lang w:val="en-US"/>
        </w:rPr>
      </w:pPr>
      <w:r w:rsidRPr="00161AD1">
        <w:rPr>
          <w:shd w:val="clear" w:color="auto" w:fill="FFFFFF"/>
        </w:rPr>
        <w:t>Mackay, R., 2021. What’s happening with the reformed diminished responsibility plea?. </w:t>
      </w:r>
      <w:r w:rsidRPr="00161AD1">
        <w:rPr>
          <w:i/>
          <w:iCs/>
          <w:shd w:val="clear" w:color="auto" w:fill="FFFFFF"/>
        </w:rPr>
        <w:t>Northern Ireland Legal Quarterly</w:t>
      </w:r>
      <w:r w:rsidRPr="00161AD1">
        <w:rPr>
          <w:shd w:val="clear" w:color="auto" w:fill="FFFFFF"/>
        </w:rPr>
        <w:t>, </w:t>
      </w:r>
      <w:r w:rsidRPr="00161AD1">
        <w:rPr>
          <w:i/>
          <w:iCs/>
          <w:shd w:val="clear" w:color="auto" w:fill="FFFFFF"/>
        </w:rPr>
        <w:t>72</w:t>
      </w:r>
      <w:r w:rsidRPr="00161AD1">
        <w:rPr>
          <w:shd w:val="clear" w:color="auto" w:fill="FFFFFF"/>
        </w:rPr>
        <w:t>(2), pp.224-244.</w:t>
      </w:r>
    </w:p>
    <w:p w14:paraId="1F11D082" w14:textId="77777777" w:rsidR="00161AD1" w:rsidRPr="00161AD1" w:rsidRDefault="00161AD1" w:rsidP="00161AD1">
      <w:pPr>
        <w:pStyle w:val="NormalWeb"/>
        <w:spacing w:before="0" w:beforeAutospacing="0" w:after="0" w:afterAutospacing="0" w:line="480" w:lineRule="auto"/>
        <w:ind w:left="720" w:hanging="720"/>
        <w:rPr>
          <w:shd w:val="clear" w:color="auto" w:fill="FFFFFF"/>
        </w:rPr>
      </w:pPr>
      <w:r w:rsidRPr="00161AD1">
        <w:rPr>
          <w:shd w:val="clear" w:color="auto" w:fill="FFFFFF"/>
        </w:rPr>
        <w:t>Reed, A., Wake, N. and Simpson, B., 2021. 'Domestic and Comparative Perspectives on Loss of Self-Control and Diminished Responsibility as Partial Defences to Murder: A 10-Year Review of the Coroners and Justice Act 2009 Reform Framework'. </w:t>
      </w:r>
      <w:r w:rsidRPr="00161AD1">
        <w:rPr>
          <w:i/>
          <w:iCs/>
          <w:shd w:val="clear" w:color="auto" w:fill="FFFFFF"/>
        </w:rPr>
        <w:t>N. Ir. Legal Q.</w:t>
      </w:r>
      <w:r w:rsidRPr="00161AD1">
        <w:rPr>
          <w:shd w:val="clear" w:color="auto" w:fill="FFFFFF"/>
        </w:rPr>
        <w:t>, </w:t>
      </w:r>
      <w:r w:rsidRPr="00161AD1">
        <w:rPr>
          <w:i/>
          <w:iCs/>
          <w:shd w:val="clear" w:color="auto" w:fill="FFFFFF"/>
        </w:rPr>
        <w:t>72</w:t>
      </w:r>
      <w:r w:rsidRPr="00161AD1">
        <w:rPr>
          <w:shd w:val="clear" w:color="auto" w:fill="FFFFFF"/>
        </w:rPr>
        <w:t>, p.161.</w:t>
      </w:r>
    </w:p>
    <w:p w14:paraId="0978C66C" w14:textId="77777777" w:rsidR="00161AD1" w:rsidRPr="00161AD1" w:rsidRDefault="00161AD1" w:rsidP="00161AD1">
      <w:pPr>
        <w:pStyle w:val="NormalWeb"/>
        <w:spacing w:before="0" w:beforeAutospacing="0" w:after="0" w:afterAutospacing="0" w:line="480" w:lineRule="auto"/>
        <w:ind w:left="720" w:hanging="720"/>
        <w:rPr>
          <w:shd w:val="clear" w:color="auto" w:fill="FFFFFF"/>
          <w:lang w:val="en-US"/>
        </w:rPr>
      </w:pPr>
      <w:r w:rsidRPr="00161AD1">
        <w:rPr>
          <w:shd w:val="clear" w:color="auto" w:fill="FFFFFF"/>
        </w:rPr>
        <w:t>Storey, T., 2019. Coercive Control: An Offence But Not a Defence: R v Challen [2019] EWCA Crim 916, Court of Appeal. </w:t>
      </w:r>
      <w:r w:rsidRPr="00161AD1">
        <w:rPr>
          <w:i/>
          <w:iCs/>
          <w:shd w:val="clear" w:color="auto" w:fill="FFFFFF"/>
        </w:rPr>
        <w:t>The Journal of Criminal Law</w:t>
      </w:r>
      <w:r w:rsidRPr="00161AD1">
        <w:rPr>
          <w:shd w:val="clear" w:color="auto" w:fill="FFFFFF"/>
        </w:rPr>
        <w:t>, </w:t>
      </w:r>
      <w:r w:rsidRPr="00161AD1">
        <w:rPr>
          <w:i/>
          <w:iCs/>
          <w:shd w:val="clear" w:color="auto" w:fill="FFFFFF"/>
        </w:rPr>
        <w:t>83</w:t>
      </w:r>
      <w:r w:rsidRPr="00161AD1">
        <w:rPr>
          <w:shd w:val="clear" w:color="auto" w:fill="FFFFFF"/>
        </w:rPr>
        <w:t>(6), pp.513-515.</w:t>
      </w:r>
      <w:r w:rsidRPr="00161AD1">
        <w:rPr>
          <w:shd w:val="clear" w:color="auto" w:fill="FFFFFF"/>
          <w:lang w:val="en-US"/>
        </w:rPr>
        <w:t xml:space="preserve"> </w:t>
      </w:r>
    </w:p>
    <w:sectPr w:rsidR="00161AD1" w:rsidRPr="00161AD1" w:rsidSect="00BA148A">
      <w:headerReference w:type="default" r:id="rId6"/>
      <w:headerReference w:type="first" r:id="rId7"/>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7DF06" w14:textId="77777777" w:rsidR="00AF0C9C" w:rsidRDefault="00AF0C9C" w:rsidP="00E753E4">
      <w:pPr>
        <w:spacing w:after="0" w:line="240" w:lineRule="auto"/>
      </w:pPr>
      <w:r>
        <w:separator/>
      </w:r>
    </w:p>
  </w:endnote>
  <w:endnote w:type="continuationSeparator" w:id="0">
    <w:p w14:paraId="48FB8160" w14:textId="77777777" w:rsidR="00AF0C9C" w:rsidRDefault="00AF0C9C" w:rsidP="00E75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4B4D4E" w14:textId="77777777" w:rsidR="00AF0C9C" w:rsidRDefault="00AF0C9C" w:rsidP="00E753E4">
      <w:pPr>
        <w:spacing w:after="0" w:line="240" w:lineRule="auto"/>
      </w:pPr>
      <w:r>
        <w:separator/>
      </w:r>
    </w:p>
  </w:footnote>
  <w:footnote w:type="continuationSeparator" w:id="0">
    <w:p w14:paraId="772F0515" w14:textId="77777777" w:rsidR="00AF0C9C" w:rsidRDefault="00AF0C9C" w:rsidP="00E75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47867"/>
      <w:docPartObj>
        <w:docPartGallery w:val="Page Numbers (Top of Page)"/>
        <w:docPartUnique/>
      </w:docPartObj>
    </w:sdtPr>
    <w:sdtEndPr>
      <w:rPr>
        <w:rFonts w:ascii="Times New Roman" w:hAnsi="Times New Roman" w:cs="Times New Roman"/>
        <w:noProof/>
        <w:sz w:val="24"/>
        <w:szCs w:val="24"/>
      </w:rPr>
    </w:sdtEndPr>
    <w:sdtContent>
      <w:p w14:paraId="39799789" w14:textId="77777777" w:rsidR="00E753E4" w:rsidRPr="00E753E4" w:rsidRDefault="00E753E4" w:rsidP="00BA148A">
        <w:pPr>
          <w:pStyle w:val="Header"/>
          <w:jc w:val="center"/>
          <w:rPr>
            <w:rFonts w:ascii="Times New Roman" w:hAnsi="Times New Roman" w:cs="Times New Roman"/>
            <w:sz w:val="24"/>
            <w:szCs w:val="24"/>
          </w:rPr>
        </w:pPr>
        <w:r w:rsidRPr="00E753E4">
          <w:rPr>
            <w:rFonts w:ascii="Times New Roman" w:hAnsi="Times New Roman" w:cs="Times New Roman"/>
            <w:sz w:val="24"/>
            <w:szCs w:val="24"/>
          </w:rPr>
          <w:t xml:space="preserve"> DIMINISHED RESPONSIBILITY</w:t>
        </w:r>
        <w:r>
          <w:t xml:space="preserve">              </w:t>
        </w:r>
        <w:r w:rsidR="00BA148A">
          <w:t xml:space="preserve">                                    </w:t>
        </w:r>
        <w:r>
          <w:rPr>
            <w:rFonts w:ascii="Times New Roman" w:hAnsi="Times New Roman" w:cs="Times New Roman"/>
            <w:sz w:val="24"/>
            <w:szCs w:val="24"/>
          </w:rPr>
          <w:t xml:space="preserve">            </w:t>
        </w:r>
        <w:r w:rsidRPr="00E753E4">
          <w:rPr>
            <w:rFonts w:ascii="Times New Roman" w:hAnsi="Times New Roman" w:cs="Times New Roman"/>
            <w:sz w:val="24"/>
            <w:szCs w:val="24"/>
          </w:rPr>
          <w:t xml:space="preserve">                                          </w:t>
        </w:r>
        <w:r w:rsidRPr="00E753E4">
          <w:rPr>
            <w:rFonts w:ascii="Times New Roman" w:hAnsi="Times New Roman" w:cs="Times New Roman"/>
            <w:sz w:val="24"/>
            <w:szCs w:val="24"/>
          </w:rPr>
          <w:fldChar w:fldCharType="begin"/>
        </w:r>
        <w:r w:rsidRPr="00E753E4">
          <w:rPr>
            <w:rFonts w:ascii="Times New Roman" w:hAnsi="Times New Roman" w:cs="Times New Roman"/>
            <w:sz w:val="24"/>
            <w:szCs w:val="24"/>
          </w:rPr>
          <w:instrText xml:space="preserve"> PAGE   \* MERGEFORMAT </w:instrText>
        </w:r>
        <w:r w:rsidRPr="00E753E4">
          <w:rPr>
            <w:rFonts w:ascii="Times New Roman" w:hAnsi="Times New Roman" w:cs="Times New Roman"/>
            <w:sz w:val="24"/>
            <w:szCs w:val="24"/>
          </w:rPr>
          <w:fldChar w:fldCharType="separate"/>
        </w:r>
        <w:r w:rsidRPr="00E753E4">
          <w:rPr>
            <w:rFonts w:ascii="Times New Roman" w:hAnsi="Times New Roman" w:cs="Times New Roman"/>
            <w:noProof/>
            <w:sz w:val="24"/>
            <w:szCs w:val="24"/>
          </w:rPr>
          <w:t>2</w:t>
        </w:r>
        <w:r w:rsidRPr="00E753E4">
          <w:rPr>
            <w:rFonts w:ascii="Times New Roman" w:hAnsi="Times New Roman" w:cs="Times New Roman"/>
            <w:noProof/>
            <w:sz w:val="24"/>
            <w:szCs w:val="24"/>
          </w:rPr>
          <w:fldChar w:fldCharType="end"/>
        </w:r>
      </w:p>
    </w:sdtContent>
  </w:sdt>
  <w:p w14:paraId="08B72E4D" w14:textId="77777777" w:rsidR="00E753E4" w:rsidRDefault="00E753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4D4E3D" w14:textId="77777777" w:rsidR="00BA148A" w:rsidRPr="00BA148A" w:rsidRDefault="00BA148A">
    <w:pPr>
      <w:pStyle w:val="Header"/>
      <w:jc w:val="right"/>
      <w:rPr>
        <w:rFonts w:ascii="Times New Roman" w:hAnsi="Times New Roman" w:cs="Times New Roman"/>
        <w:sz w:val="24"/>
        <w:szCs w:val="24"/>
      </w:rPr>
    </w:pPr>
    <w:r w:rsidRPr="00BA148A">
      <w:rPr>
        <w:rFonts w:ascii="Times New Roman" w:hAnsi="Times New Roman" w:cs="Times New Roman"/>
        <w:sz w:val="24"/>
        <w:szCs w:val="24"/>
      </w:rPr>
      <w:t xml:space="preserve">Running Head: DIMINISHED RESPONSIBILITY        </w:t>
    </w:r>
    <w:r>
      <w:rPr>
        <w:rFonts w:ascii="Times New Roman" w:hAnsi="Times New Roman" w:cs="Times New Roman"/>
        <w:sz w:val="24"/>
        <w:szCs w:val="24"/>
      </w:rPr>
      <w:t xml:space="preserve">                 </w:t>
    </w:r>
    <w:r w:rsidRPr="00BA148A">
      <w:rPr>
        <w:rFonts w:ascii="Times New Roman" w:hAnsi="Times New Roman" w:cs="Times New Roman"/>
        <w:sz w:val="24"/>
        <w:szCs w:val="24"/>
      </w:rPr>
      <w:t xml:space="preserve">                                       </w:t>
    </w:r>
    <w:sdt>
      <w:sdtPr>
        <w:rPr>
          <w:rFonts w:ascii="Times New Roman" w:hAnsi="Times New Roman" w:cs="Times New Roman"/>
          <w:sz w:val="24"/>
          <w:szCs w:val="24"/>
        </w:rPr>
        <w:id w:val="1326943442"/>
        <w:docPartObj>
          <w:docPartGallery w:val="Page Numbers (Top of Page)"/>
          <w:docPartUnique/>
        </w:docPartObj>
      </w:sdtPr>
      <w:sdtEndPr>
        <w:rPr>
          <w:noProof/>
        </w:rPr>
      </w:sdtEndPr>
      <w:sdtContent>
        <w:r w:rsidRPr="00BA148A">
          <w:rPr>
            <w:rFonts w:ascii="Times New Roman" w:hAnsi="Times New Roman" w:cs="Times New Roman"/>
            <w:sz w:val="24"/>
            <w:szCs w:val="24"/>
          </w:rPr>
          <w:fldChar w:fldCharType="begin"/>
        </w:r>
        <w:r w:rsidRPr="00BA148A">
          <w:rPr>
            <w:rFonts w:ascii="Times New Roman" w:hAnsi="Times New Roman" w:cs="Times New Roman"/>
            <w:sz w:val="24"/>
            <w:szCs w:val="24"/>
          </w:rPr>
          <w:instrText xml:space="preserve"> PAGE   \* MERGEFORMAT </w:instrText>
        </w:r>
        <w:r w:rsidRPr="00BA148A">
          <w:rPr>
            <w:rFonts w:ascii="Times New Roman" w:hAnsi="Times New Roman" w:cs="Times New Roman"/>
            <w:sz w:val="24"/>
            <w:szCs w:val="24"/>
          </w:rPr>
          <w:fldChar w:fldCharType="separate"/>
        </w:r>
        <w:r w:rsidRPr="00BA148A">
          <w:rPr>
            <w:rFonts w:ascii="Times New Roman" w:hAnsi="Times New Roman" w:cs="Times New Roman"/>
            <w:noProof/>
            <w:sz w:val="24"/>
            <w:szCs w:val="24"/>
          </w:rPr>
          <w:t>2</w:t>
        </w:r>
        <w:r w:rsidRPr="00BA148A">
          <w:rPr>
            <w:rFonts w:ascii="Times New Roman" w:hAnsi="Times New Roman" w:cs="Times New Roman"/>
            <w:noProof/>
            <w:sz w:val="24"/>
            <w:szCs w:val="24"/>
          </w:rPr>
          <w:fldChar w:fldCharType="end"/>
        </w:r>
      </w:sdtContent>
    </w:sdt>
  </w:p>
  <w:p w14:paraId="77BF7411" w14:textId="77777777" w:rsidR="00BA148A" w:rsidRPr="00BA148A" w:rsidRDefault="00BA148A">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D03"/>
    <w:rsid w:val="00055B64"/>
    <w:rsid w:val="000B2415"/>
    <w:rsid w:val="00161AD1"/>
    <w:rsid w:val="00204C84"/>
    <w:rsid w:val="0023184A"/>
    <w:rsid w:val="00417680"/>
    <w:rsid w:val="00513D03"/>
    <w:rsid w:val="0057085B"/>
    <w:rsid w:val="007004DE"/>
    <w:rsid w:val="007E29A4"/>
    <w:rsid w:val="009B4DE9"/>
    <w:rsid w:val="00AF0C9C"/>
    <w:rsid w:val="00B60252"/>
    <w:rsid w:val="00BA148A"/>
    <w:rsid w:val="00E753E4"/>
    <w:rsid w:val="00EA307F"/>
    <w:rsid w:val="00F867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EAEB8"/>
  <w15:chartTrackingRefBased/>
  <w15:docId w15:val="{DF345D20-36B1-447B-B999-BAE152B2FA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0252"/>
    <w:pPr>
      <w:spacing w:before="100" w:beforeAutospacing="1" w:after="100" w:afterAutospacing="1" w:line="240" w:lineRule="auto"/>
    </w:pPr>
    <w:rPr>
      <w:rFonts w:ascii="Times New Roman" w:eastAsia="Times New Roman" w:hAnsi="Times New Roman" w:cs="Times New Roman"/>
      <w:kern w:val="0"/>
      <w:sz w:val="24"/>
      <w:szCs w:val="24"/>
      <w:lang/>
      <w14:ligatures w14:val="none"/>
    </w:rPr>
  </w:style>
  <w:style w:type="character" w:styleId="Strong">
    <w:name w:val="Strong"/>
    <w:basedOn w:val="DefaultParagraphFont"/>
    <w:uiPriority w:val="22"/>
    <w:qFormat/>
    <w:rsid w:val="00B60252"/>
    <w:rPr>
      <w:b/>
      <w:bCs/>
    </w:rPr>
  </w:style>
  <w:style w:type="paragraph" w:styleId="Header">
    <w:name w:val="header"/>
    <w:basedOn w:val="Normal"/>
    <w:link w:val="HeaderChar"/>
    <w:uiPriority w:val="99"/>
    <w:unhideWhenUsed/>
    <w:rsid w:val="00E753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53E4"/>
    <w:rPr>
      <w:lang w:val="en-GB"/>
    </w:rPr>
  </w:style>
  <w:style w:type="paragraph" w:styleId="Footer">
    <w:name w:val="footer"/>
    <w:basedOn w:val="Normal"/>
    <w:link w:val="FooterChar"/>
    <w:uiPriority w:val="99"/>
    <w:unhideWhenUsed/>
    <w:rsid w:val="00E753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53E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7011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1712</Words>
  <Characters>9759</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Samina iqbal</cp:lastModifiedBy>
  <cp:revision>2</cp:revision>
  <dcterms:created xsi:type="dcterms:W3CDTF">2023-03-10T10:39:00Z</dcterms:created>
  <dcterms:modified xsi:type="dcterms:W3CDTF">2023-03-10T10:39:00Z</dcterms:modified>
</cp:coreProperties>
</file>