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05891" w14:textId="0E4465BB" w:rsidR="003E6350" w:rsidRDefault="00721497" w:rsidP="001769F4">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name: Richard Kanjoma</w:t>
      </w:r>
    </w:p>
    <w:p w14:paraId="6C17061B" w14:textId="6725CF5D" w:rsidR="00721497" w:rsidRDefault="00721497" w:rsidP="001769F4">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Student ID: </w:t>
      </w:r>
      <w:r w:rsidR="00C751F5">
        <w:rPr>
          <w:rFonts w:ascii="Times New Roman" w:hAnsi="Times New Roman" w:cs="Times New Roman"/>
          <w:b/>
          <w:color w:val="000000" w:themeColor="text1"/>
          <w:sz w:val="24"/>
          <w:szCs w:val="24"/>
        </w:rPr>
        <w:t>1916228</w:t>
      </w:r>
    </w:p>
    <w:p w14:paraId="5790654B" w14:textId="598AC89C" w:rsidR="00721497" w:rsidRDefault="00721497" w:rsidP="001769F4">
      <w:pPr>
        <w:spacing w:line="360" w:lineRule="auto"/>
        <w:jc w:val="both"/>
        <w:rPr>
          <w:rFonts w:ascii="Times New Roman" w:hAnsi="Times New Roman" w:cs="Times New Roman"/>
          <w:b/>
          <w:color w:val="000000" w:themeColor="text1"/>
          <w:sz w:val="24"/>
          <w:szCs w:val="24"/>
        </w:rPr>
      </w:pPr>
    </w:p>
    <w:p w14:paraId="3C3EE4C2" w14:textId="2BAD767D" w:rsidR="00721497" w:rsidRDefault="00721497" w:rsidP="001769F4">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Module name: Complimentary Thera</w:t>
      </w:r>
      <w:r w:rsidR="00C751F5">
        <w:rPr>
          <w:rFonts w:ascii="Times New Roman" w:hAnsi="Times New Roman" w:cs="Times New Roman"/>
          <w:b/>
          <w:color w:val="000000" w:themeColor="text1"/>
          <w:sz w:val="24"/>
          <w:szCs w:val="24"/>
        </w:rPr>
        <w:t>pies</w:t>
      </w:r>
    </w:p>
    <w:p w14:paraId="6FD52CBC" w14:textId="50533E8B" w:rsidR="00721497" w:rsidRDefault="00721497" w:rsidP="001769F4">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Module </w:t>
      </w:r>
      <w:proofErr w:type="gramStart"/>
      <w:r>
        <w:rPr>
          <w:rFonts w:ascii="Times New Roman" w:hAnsi="Times New Roman" w:cs="Times New Roman"/>
          <w:b/>
          <w:color w:val="000000" w:themeColor="text1"/>
          <w:sz w:val="24"/>
          <w:szCs w:val="24"/>
        </w:rPr>
        <w:t>code:</w:t>
      </w:r>
      <w:r w:rsidR="00C751F5">
        <w:rPr>
          <w:rFonts w:ascii="Times New Roman" w:hAnsi="Times New Roman" w:cs="Times New Roman"/>
          <w:b/>
          <w:color w:val="000000" w:themeColor="text1"/>
          <w:sz w:val="24"/>
          <w:szCs w:val="24"/>
        </w:rPr>
        <w:t>BMHP</w:t>
      </w:r>
      <w:proofErr w:type="gramEnd"/>
      <w:r w:rsidR="00C751F5">
        <w:rPr>
          <w:rFonts w:ascii="Times New Roman" w:hAnsi="Times New Roman" w:cs="Times New Roman"/>
          <w:b/>
          <w:color w:val="000000" w:themeColor="text1"/>
          <w:sz w:val="24"/>
          <w:szCs w:val="24"/>
        </w:rPr>
        <w:t>5001</w:t>
      </w:r>
    </w:p>
    <w:p w14:paraId="589D802C" w14:textId="221BB8E3" w:rsidR="00721497" w:rsidRDefault="00721497" w:rsidP="001769F4">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Lecture name: </w:t>
      </w:r>
      <w:r w:rsidR="00C751F5">
        <w:rPr>
          <w:rFonts w:ascii="Times New Roman" w:hAnsi="Times New Roman" w:cs="Times New Roman"/>
          <w:b/>
          <w:color w:val="000000" w:themeColor="text1"/>
          <w:sz w:val="24"/>
          <w:szCs w:val="24"/>
        </w:rPr>
        <w:t xml:space="preserve">Eleni </w:t>
      </w:r>
      <w:proofErr w:type="spellStart"/>
      <w:r w:rsidR="00C751F5">
        <w:rPr>
          <w:rFonts w:ascii="Times New Roman" w:hAnsi="Times New Roman" w:cs="Times New Roman"/>
          <w:b/>
          <w:color w:val="000000" w:themeColor="text1"/>
          <w:sz w:val="24"/>
          <w:szCs w:val="24"/>
        </w:rPr>
        <w:t>Koutsogeorgou</w:t>
      </w:r>
      <w:proofErr w:type="spellEnd"/>
    </w:p>
    <w:p w14:paraId="35483023"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1173C07C"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60BE66A0"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107F8918"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30052C06"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533A5BEF"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0C159222"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6F8CE002" w14:textId="77777777" w:rsidR="003E6350" w:rsidRDefault="003E6350" w:rsidP="001769F4">
      <w:pPr>
        <w:spacing w:line="360" w:lineRule="auto"/>
        <w:jc w:val="both"/>
        <w:rPr>
          <w:rFonts w:ascii="Times New Roman" w:hAnsi="Times New Roman" w:cs="Times New Roman"/>
          <w:b/>
          <w:color w:val="000000" w:themeColor="text1"/>
          <w:sz w:val="24"/>
          <w:szCs w:val="24"/>
        </w:rPr>
      </w:pPr>
    </w:p>
    <w:p w14:paraId="2C9825A1" w14:textId="3293EA36" w:rsidR="000C18AA" w:rsidRPr="001769F4" w:rsidRDefault="003303C8" w:rsidP="001769F4">
      <w:pPr>
        <w:spacing w:line="360" w:lineRule="auto"/>
        <w:jc w:val="both"/>
        <w:rPr>
          <w:rFonts w:ascii="Times New Roman" w:hAnsi="Times New Roman" w:cs="Times New Roman"/>
          <w:b/>
          <w:color w:val="000000" w:themeColor="text1"/>
          <w:sz w:val="24"/>
          <w:szCs w:val="24"/>
        </w:rPr>
      </w:pPr>
      <w:r w:rsidRPr="001769F4">
        <w:rPr>
          <w:rFonts w:ascii="Times New Roman" w:hAnsi="Times New Roman" w:cs="Times New Roman"/>
          <w:b/>
          <w:color w:val="000000" w:themeColor="text1"/>
          <w:sz w:val="24"/>
          <w:szCs w:val="24"/>
        </w:rPr>
        <w:t>Assessment Component 2 – 50% (Written Assignment) 2500 words You are required to select one complementary therapy that you have been taught during the term and write an academic report of 2500 words that details the principles behind its current use, how it compares to more traditional treatments and the effectiveness of the therapy.</w:t>
      </w:r>
    </w:p>
    <w:p w14:paraId="63E8518D" w14:textId="77777777" w:rsidR="00915EDC" w:rsidRPr="001769F4" w:rsidRDefault="00915EDC" w:rsidP="001769F4">
      <w:pPr>
        <w:spacing w:line="360" w:lineRule="auto"/>
        <w:jc w:val="both"/>
        <w:rPr>
          <w:rFonts w:ascii="Times New Roman" w:hAnsi="Times New Roman" w:cs="Times New Roman"/>
          <w:b/>
          <w:color w:val="000000" w:themeColor="text1"/>
          <w:sz w:val="24"/>
          <w:szCs w:val="24"/>
        </w:rPr>
      </w:pPr>
      <w:r w:rsidRPr="001769F4">
        <w:rPr>
          <w:rFonts w:ascii="Times New Roman" w:hAnsi="Times New Roman" w:cs="Times New Roman"/>
          <w:b/>
          <w:color w:val="000000" w:themeColor="text1"/>
          <w:sz w:val="24"/>
          <w:szCs w:val="24"/>
        </w:rPr>
        <w:t xml:space="preserve">Introduction (An overview of complementary therapies and the current systems utilised to regulate the treatments). </w:t>
      </w:r>
    </w:p>
    <w:p w14:paraId="628D73AC" w14:textId="77777777" w:rsidR="007A63F5" w:rsidRPr="001769F4" w:rsidRDefault="007A63F5"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Alternative medicine, which covers anything from herbal medications to acupuncture, is widely used by those who are unable to use traditional therapy. Many people, however, are turning to alternative medicine because they are terrified of powerful pharmaceutical treatments or because they cannot afford the rising cost of healthcare.</w:t>
      </w:r>
    </w:p>
    <w:p w14:paraId="679B8B70" w14:textId="77777777" w:rsidR="00CF4F1D" w:rsidRPr="001769F4" w:rsidRDefault="00CF4F1D" w:rsidP="001769F4">
      <w:pPr>
        <w:spacing w:line="360" w:lineRule="auto"/>
        <w:jc w:val="both"/>
        <w:rPr>
          <w:rFonts w:ascii="Times New Roman" w:hAnsi="Times New Roman" w:cs="Times New Roman"/>
          <w:sz w:val="24"/>
          <w:szCs w:val="24"/>
        </w:rPr>
      </w:pPr>
      <w:r w:rsidRPr="001769F4">
        <w:rPr>
          <w:rFonts w:ascii="Times New Roman" w:hAnsi="Times New Roman" w:cs="Times New Roman"/>
          <w:sz w:val="24"/>
          <w:szCs w:val="24"/>
        </w:rPr>
        <w:lastRenderedPageBreak/>
        <w:t xml:space="preserve">According to </w:t>
      </w:r>
      <w:proofErr w:type="spellStart"/>
      <w:r w:rsidRPr="001769F4">
        <w:rPr>
          <w:rFonts w:ascii="Times New Roman" w:hAnsi="Times New Roman" w:cs="Times New Roman"/>
          <w:sz w:val="24"/>
          <w:szCs w:val="24"/>
        </w:rPr>
        <w:t>Bodeker</w:t>
      </w:r>
      <w:proofErr w:type="spellEnd"/>
      <w:r w:rsidRPr="001769F4">
        <w:rPr>
          <w:rFonts w:ascii="Times New Roman" w:hAnsi="Times New Roman" w:cs="Times New Roman"/>
          <w:sz w:val="24"/>
          <w:szCs w:val="24"/>
        </w:rPr>
        <w:t xml:space="preserve"> (2000), the relationship between traditional/complementary medicine and conventional medicine has historically been classified as monopolistic (where modern medical doctors have had the sole right to practice medicine, as in the Netherlands), tolerant (</w:t>
      </w:r>
      <w:proofErr w:type="gramStart"/>
      <w:r w:rsidRPr="001769F4">
        <w:rPr>
          <w:rFonts w:ascii="Times New Roman" w:hAnsi="Times New Roman" w:cs="Times New Roman"/>
          <w:sz w:val="24"/>
          <w:szCs w:val="24"/>
        </w:rPr>
        <w:t>where</w:t>
      </w:r>
      <w:proofErr w:type="gramEnd"/>
      <w:r w:rsidRPr="001769F4">
        <w:rPr>
          <w:rFonts w:ascii="Times New Roman" w:hAnsi="Times New Roman" w:cs="Times New Roman"/>
          <w:sz w:val="24"/>
          <w:szCs w:val="24"/>
        </w:rPr>
        <w:t xml:space="preserve"> traditional medical practitioners, while not formally recognized, are legally allowed to practice, as in many African countries), and parallel (where both modern and traditional medical practitioners practice) (where modern and traditional medicine are integrated at the level of medical education, research and practice, such as in China, the Republic of Korea and Vietnam).</w:t>
      </w:r>
    </w:p>
    <w:p w14:paraId="55412E7D" w14:textId="77777777" w:rsidR="007A63F5" w:rsidRPr="001769F4" w:rsidRDefault="007A63F5"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Acupuncture has been utilized in traditional Chinese medicine for thousands of years (TCM). It comprises inserting tiny needles into certain regions of the skin or a variety of different therapies to restore balance and aid the body's natural healing process.</w:t>
      </w:r>
    </w:p>
    <w:p w14:paraId="40A15357" w14:textId="77777777" w:rsidR="009006B3" w:rsidRPr="001769F4" w:rsidRDefault="009006B3"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According to a recent poll, over 40% of Americans use one or more of the alternative medicine categories of mind-body treatments, physiologically based therapies, body-based techniques, or energy procedures. These treatments were popular among adults in the early to mid-nineteenth century because they were advertised as "safe" and "natural." At the time, alternative medicine and traditional medicine were at conflict.</w:t>
      </w:r>
    </w:p>
    <w:p w14:paraId="080719F5" w14:textId="77777777" w:rsidR="00021895" w:rsidRPr="001769F4" w:rsidRDefault="009006B3"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Alternative remedies, on the other hand, were abandoned by the end of the nineteenth century as medical knowledge of the human body advanced. For two reasons, alternative remedies have emerged in popular culture. The first is that they are marketed as "risk-free" due to concerns about vaccines and the advent of superbugs as a result of past treatments (Ventola). Another factor is the existing schism that exists between doctors and the general people. Since health-care costs in the United States are so high, many people look for lower-cost options. Americans also have access to the internet, allowing them to spread false information about traditional health care. Many people believe that vaccines and antibiotics cause cancer and, as a result, prefer alternative therapies to orthodox ones.</w:t>
      </w:r>
    </w:p>
    <w:p w14:paraId="137B8E52" w14:textId="77777777" w:rsidR="009006B3" w:rsidRPr="001769F4" w:rsidRDefault="009006B3" w:rsidP="001769F4">
      <w:pPr>
        <w:spacing w:line="360" w:lineRule="auto"/>
        <w:jc w:val="both"/>
        <w:rPr>
          <w:rFonts w:ascii="Times New Roman" w:hAnsi="Times New Roman" w:cs="Times New Roman"/>
          <w:color w:val="000000" w:themeColor="text1"/>
          <w:sz w:val="24"/>
          <w:szCs w:val="24"/>
          <w:shd w:val="clear" w:color="auto" w:fill="FFFFFF"/>
        </w:rPr>
      </w:pPr>
    </w:p>
    <w:p w14:paraId="060F89C1" w14:textId="77777777" w:rsidR="009006B3" w:rsidRPr="001769F4" w:rsidRDefault="009006B3" w:rsidP="001769F4">
      <w:pPr>
        <w:spacing w:line="360" w:lineRule="auto"/>
        <w:jc w:val="both"/>
        <w:rPr>
          <w:rFonts w:ascii="Times New Roman" w:hAnsi="Times New Roman" w:cs="Times New Roman"/>
          <w:color w:val="000000" w:themeColor="text1"/>
          <w:sz w:val="24"/>
          <w:szCs w:val="24"/>
          <w:shd w:val="clear" w:color="auto" w:fill="FFFFFF"/>
        </w:rPr>
      </w:pPr>
    </w:p>
    <w:p w14:paraId="1D2459CD" w14:textId="77777777" w:rsidR="00915EDC" w:rsidRPr="001769F4" w:rsidRDefault="00915EDC" w:rsidP="001769F4">
      <w:pPr>
        <w:spacing w:line="360" w:lineRule="auto"/>
        <w:jc w:val="both"/>
        <w:rPr>
          <w:rFonts w:ascii="Times New Roman" w:hAnsi="Times New Roman" w:cs="Times New Roman"/>
          <w:b/>
          <w:color w:val="000000" w:themeColor="text1"/>
          <w:sz w:val="24"/>
          <w:szCs w:val="24"/>
        </w:rPr>
      </w:pPr>
      <w:r w:rsidRPr="001769F4">
        <w:rPr>
          <w:rFonts w:ascii="Times New Roman" w:hAnsi="Times New Roman" w:cs="Times New Roman"/>
          <w:b/>
          <w:color w:val="000000" w:themeColor="text1"/>
          <w:sz w:val="24"/>
          <w:szCs w:val="24"/>
        </w:rPr>
        <w:t xml:space="preserve">The history, uses, efficacy and contraindications of your chosen complementary therapy and how it compares to more traditional treatments. </w:t>
      </w:r>
    </w:p>
    <w:p w14:paraId="1695D927" w14:textId="77777777" w:rsidR="00DC5446" w:rsidRPr="001769F4" w:rsidRDefault="009006B3"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lastRenderedPageBreak/>
        <w:t>Alternative medicine is a broad term that refers to a variety of therapies. Hypnosis, meditation, yoga, biofeedback, and tai chi are examples of mind-body therapies. According to a 2002 study, 62 percent of respondents in the United States employ mind-body therapy. However, this treatment is often reserved for individuals who are in good physical and mental health and whose disease is made worse by stress (Wahbeh). As a result, mind-body treatments fall short of orthodox medicine when it comes to physical problems rather than emotional concerns</w:t>
      </w:r>
      <w:r w:rsidR="00DC5446" w:rsidRPr="001769F4">
        <w:rPr>
          <w:rFonts w:ascii="Times New Roman" w:hAnsi="Times New Roman" w:cs="Times New Roman"/>
          <w:color w:val="000000" w:themeColor="text1"/>
          <w:sz w:val="24"/>
          <w:szCs w:val="24"/>
          <w:shd w:val="clear" w:color="auto" w:fill="FFFFFF"/>
        </w:rPr>
        <w:t>.</w:t>
      </w:r>
    </w:p>
    <w:p w14:paraId="0DB8722E" w14:textId="77777777" w:rsidR="00F3407E" w:rsidRPr="001769F4" w:rsidRDefault="00F3407E" w:rsidP="001769F4">
      <w:pPr>
        <w:spacing w:line="360" w:lineRule="auto"/>
        <w:jc w:val="both"/>
        <w:rPr>
          <w:rFonts w:ascii="Times New Roman" w:hAnsi="Times New Roman" w:cs="Times New Roman"/>
          <w:sz w:val="24"/>
          <w:szCs w:val="24"/>
        </w:rPr>
      </w:pPr>
      <w:r w:rsidRPr="001769F4">
        <w:rPr>
          <w:rFonts w:ascii="Times New Roman" w:hAnsi="Times New Roman" w:cs="Times New Roman"/>
          <w:sz w:val="24"/>
          <w:szCs w:val="24"/>
        </w:rPr>
        <w:t xml:space="preserve">Several World Health Organization studies have described the present state of policy in traditional and complementary medicine across the world (World Health Organization 2001; </w:t>
      </w:r>
      <w:proofErr w:type="spellStart"/>
      <w:r w:rsidRPr="001769F4">
        <w:rPr>
          <w:rFonts w:ascii="Times New Roman" w:hAnsi="Times New Roman" w:cs="Times New Roman"/>
          <w:sz w:val="24"/>
          <w:szCs w:val="24"/>
        </w:rPr>
        <w:t>Bodeker</w:t>
      </w:r>
      <w:proofErr w:type="spellEnd"/>
      <w:r w:rsidRPr="001769F4">
        <w:rPr>
          <w:rFonts w:ascii="Times New Roman" w:hAnsi="Times New Roman" w:cs="Times New Roman"/>
          <w:sz w:val="24"/>
          <w:szCs w:val="24"/>
        </w:rPr>
        <w:t xml:space="preserve"> et al 2005; Ong et al 2005; World Health Organization 2005</w:t>
      </w:r>
      <w:proofErr w:type="gramStart"/>
      <w:r w:rsidRPr="001769F4">
        <w:rPr>
          <w:rFonts w:ascii="Times New Roman" w:hAnsi="Times New Roman" w:cs="Times New Roman"/>
          <w:sz w:val="24"/>
          <w:szCs w:val="24"/>
        </w:rPr>
        <w:t>b )</w:t>
      </w:r>
      <w:proofErr w:type="gramEnd"/>
      <w:r w:rsidRPr="001769F4">
        <w:rPr>
          <w:rFonts w:ascii="Times New Roman" w:hAnsi="Times New Roman" w:cs="Times New Roman"/>
          <w:sz w:val="24"/>
          <w:szCs w:val="24"/>
        </w:rPr>
        <w:t>. Furthermore, as part of the process of developing their own rules and regulations, national governments have commissioned a number of studies on the regulation of traditional/complementary medicine. The Australians conducted an assessment of occupational regulation of traditional/complementary medicine in a number of different nations (</w:t>
      </w:r>
      <w:proofErr w:type="spellStart"/>
      <w:r w:rsidRPr="001769F4">
        <w:rPr>
          <w:rFonts w:ascii="Times New Roman" w:hAnsi="Times New Roman" w:cs="Times New Roman"/>
          <w:sz w:val="24"/>
          <w:szCs w:val="24"/>
        </w:rPr>
        <w:t>Bensoussan</w:t>
      </w:r>
      <w:proofErr w:type="spellEnd"/>
      <w:r w:rsidRPr="001769F4">
        <w:rPr>
          <w:rFonts w:ascii="Times New Roman" w:hAnsi="Times New Roman" w:cs="Times New Roman"/>
          <w:sz w:val="24"/>
          <w:szCs w:val="24"/>
        </w:rPr>
        <w:t xml:space="preserve"> and Myers 1996). In 2002, the Irish government commissioned a study that included a look at complementary medicine practitioner regulation in several countries (O'Sullivan 2002).</w:t>
      </w:r>
    </w:p>
    <w:p w14:paraId="78010D59" w14:textId="77777777" w:rsidR="00F3407E" w:rsidRPr="001769F4" w:rsidRDefault="00F3407E"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The European Union supported the Council of Science and Technology (COST) Action on "Unconventional Medicine" (1993–98) to study regulation in member countries. The legal ramifications of regulation, as well as acupuncture, homeopathy, manipulation, and herbalism, were examined (Monckton 1998). Recently, information on how European Union member states regulate practitioners of traditional/complementary medicine has become public (</w:t>
      </w:r>
      <w:proofErr w:type="spellStart"/>
      <w:r w:rsidRPr="001769F4">
        <w:rPr>
          <w:rFonts w:ascii="Times New Roman" w:hAnsi="Times New Roman" w:cs="Times New Roman"/>
          <w:color w:val="000000" w:themeColor="text1"/>
          <w:sz w:val="24"/>
          <w:szCs w:val="24"/>
          <w:shd w:val="clear" w:color="auto" w:fill="FFFFFF"/>
        </w:rPr>
        <w:t>Erdsal</w:t>
      </w:r>
      <w:proofErr w:type="spellEnd"/>
      <w:r w:rsidRPr="001769F4">
        <w:rPr>
          <w:rFonts w:ascii="Times New Roman" w:hAnsi="Times New Roman" w:cs="Times New Roman"/>
          <w:color w:val="000000" w:themeColor="text1"/>
          <w:sz w:val="24"/>
          <w:szCs w:val="24"/>
          <w:shd w:val="clear" w:color="auto" w:fill="FFFFFF"/>
        </w:rPr>
        <w:t xml:space="preserve"> and Ramstad 2005).</w:t>
      </w:r>
    </w:p>
    <w:p w14:paraId="5B6A09D7" w14:textId="77777777" w:rsidR="005B0B85" w:rsidRPr="001769F4" w:rsidRDefault="003E4063"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Biologically based therapy includes herbs, meals, nutritional supplements, and natural products (Ventola). The plan is based on the idea of eating vitamin and mineral-rich foods to improve your health. Despite the fact that many drug tests have been performed throughout the years, only a few have been completely successful. Herbal teas and shark cartilage, for example, can help you feel better by supplementing vitamins and minerals that you might be lacking.</w:t>
      </w:r>
      <w:r w:rsidR="00CF0B09" w:rsidRPr="001769F4">
        <w:rPr>
          <w:rFonts w:ascii="Times New Roman" w:hAnsi="Times New Roman" w:cs="Times New Roman"/>
          <w:sz w:val="24"/>
          <w:szCs w:val="24"/>
        </w:rPr>
        <w:t xml:space="preserve"> </w:t>
      </w:r>
      <w:r w:rsidR="00CF0B09" w:rsidRPr="001769F4">
        <w:rPr>
          <w:rFonts w:ascii="Times New Roman" w:hAnsi="Times New Roman" w:cs="Times New Roman"/>
          <w:color w:val="000000" w:themeColor="text1"/>
          <w:sz w:val="24"/>
          <w:szCs w:val="24"/>
          <w:shd w:val="clear" w:color="auto" w:fill="FFFFFF"/>
        </w:rPr>
        <w:t>As a consequence, complementary therapy may prove to be beneficial in the long term. Traditional medicine, on the other hand, would be more useful in terms of treating a health problem more quickly. Body-based methods such as massage, chiropractic, and osteopathic manipulation have all been found to be as successful as orthodox therapy.</w:t>
      </w:r>
    </w:p>
    <w:p w14:paraId="0E085659" w14:textId="77777777" w:rsidR="00CF0B09" w:rsidRPr="001769F4" w:rsidRDefault="00CF0B09"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 xml:space="preserve">This method focuses on allowing the body to heal itself by applying pressure and massage to the bones, joints, and tissues. Patients of chiropractors and massage therapists have been </w:t>
      </w:r>
      <w:r w:rsidRPr="001769F4">
        <w:rPr>
          <w:rFonts w:ascii="Times New Roman" w:hAnsi="Times New Roman" w:cs="Times New Roman"/>
          <w:color w:val="000000" w:themeColor="text1"/>
          <w:sz w:val="24"/>
          <w:szCs w:val="24"/>
          <w:shd w:val="clear" w:color="auto" w:fill="FFFFFF"/>
        </w:rPr>
        <w:lastRenderedPageBreak/>
        <w:t>completely satisfied when it comes to back pain or other concerns. The problem with this technique is that many hospitals do not offer manual treatment for specific ailments, and cutting-edge therapeutic equipment is hard to come by (Rosenheck). Body-based therapies help patients all across the world and, in some situations, surpass traditional medicine. When it comes to energy treatment, people are the most suspicious of alternative medicine.</w:t>
      </w:r>
    </w:p>
    <w:p w14:paraId="70E5549E" w14:textId="77777777" w:rsidR="00CF0B09" w:rsidRPr="001769F4" w:rsidRDefault="00CF0B09"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Reiki, therapeutic touch, and exposure to electromagnetic fields are all part of the procedure. Each session includes someone touching or moving their hands over your body. Although the science underlying the specific technique of attempting to repair someone's body is questionable, the treatments allow you to relax. As a result, the treatments may be beneficial, as relaxing has been shown to aid with a number of health issues, including disease. While the methods of these alternative remedies are usually questioned, they can create calm, which is quite beneficial when it comes to health issues.</w:t>
      </w:r>
    </w:p>
    <w:p w14:paraId="28EC2BC2" w14:textId="77777777" w:rsidR="00CF0B09" w:rsidRPr="001769F4" w:rsidRDefault="00CF0B09" w:rsidP="001769F4">
      <w:pPr>
        <w:shd w:val="clear" w:color="auto" w:fill="FFFFFF"/>
        <w:spacing w:before="100" w:beforeAutospacing="1" w:after="100" w:afterAutospacing="1" w:line="360" w:lineRule="auto"/>
        <w:jc w:val="both"/>
        <w:outlineLvl w:val="1"/>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Complementary and alternative medicine's effectiveness is debatable. When compared to well-known therapy, many of its methods lack scientific backing. As a result, some individuals prefer traditional medicine and believe in it. The ability to relax is the most important factor in the success of alternative treatments. Each approach is easy to apply and usually needs the person to remain motionless. Traditional methods, for example, might be time-consuming and complicated, but alternative methods are usually easy and quick. Alternative medicine allows for relaxation, which is extremely beneficial to the human body.</w:t>
      </w:r>
    </w:p>
    <w:p w14:paraId="07577CC9" w14:textId="77777777" w:rsidR="00CF0B09" w:rsidRPr="001769F4" w:rsidRDefault="00CF0B09" w:rsidP="001769F4">
      <w:pPr>
        <w:shd w:val="clear" w:color="auto" w:fill="FFFFFF"/>
        <w:spacing w:before="100" w:beforeAutospacing="1" w:after="100" w:afterAutospacing="1" w:line="360" w:lineRule="auto"/>
        <w:jc w:val="both"/>
        <w:outlineLvl w:val="1"/>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 xml:space="preserve">However, both mental and physical health must be considered when evaluating the efficacy of alternative and standard treatment in a person. If someone believes therapeutic touch can heal them, they will almost certainly be cured; but, if someone believes in physicians, any prescription given to them will almost certainly heal them. Alternative drugs that may be taken at home are often advised since the atmosphere of a hospital can interfere with a person's ability to recuperate efficiently. The patient's </w:t>
      </w:r>
      <w:r w:rsidR="001C64BF" w:rsidRPr="001769F4">
        <w:rPr>
          <w:rFonts w:ascii="Times New Roman" w:hAnsi="Times New Roman" w:cs="Times New Roman"/>
          <w:color w:val="000000" w:themeColor="text1"/>
          <w:sz w:val="24"/>
          <w:szCs w:val="24"/>
          <w:shd w:val="clear" w:color="auto" w:fill="FFFFFF"/>
        </w:rPr>
        <w:t>desire to be treated, as well as his or her beliefs, is</w:t>
      </w:r>
      <w:r w:rsidRPr="001769F4">
        <w:rPr>
          <w:rFonts w:ascii="Times New Roman" w:hAnsi="Times New Roman" w:cs="Times New Roman"/>
          <w:color w:val="000000" w:themeColor="text1"/>
          <w:sz w:val="24"/>
          <w:szCs w:val="24"/>
          <w:shd w:val="clear" w:color="auto" w:fill="FFFFFF"/>
        </w:rPr>
        <w:t xml:space="preserve"> important considerations in evaluating the efficacy of any therapy.</w:t>
      </w:r>
    </w:p>
    <w:p w14:paraId="425ACD30" w14:textId="77777777" w:rsidR="00CF0B09" w:rsidRPr="001769F4" w:rsidRDefault="00CF0B09" w:rsidP="001769F4">
      <w:pPr>
        <w:shd w:val="clear" w:color="auto" w:fill="FFFFFF"/>
        <w:spacing w:before="100" w:beforeAutospacing="1" w:after="100" w:afterAutospacing="1" w:line="360" w:lineRule="auto"/>
        <w:jc w:val="both"/>
        <w:outlineLvl w:val="1"/>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The patient's condition is particularly important since some illnesses may demand immediate therapy that can only be determined by traditional medicine. Traditional techniques are preferable in treating serious diseases when compared to alternative therapies. Finally, the patient has the option of how they want to be treated.</w:t>
      </w:r>
    </w:p>
    <w:p w14:paraId="307E7DAF" w14:textId="77777777" w:rsidR="003E70D9" w:rsidRPr="001769F4" w:rsidRDefault="003E70D9" w:rsidP="001769F4">
      <w:pPr>
        <w:shd w:val="clear" w:color="auto" w:fill="FFFFFF"/>
        <w:spacing w:before="100" w:beforeAutospacing="1" w:after="100" w:afterAutospacing="1" w:line="360" w:lineRule="auto"/>
        <w:jc w:val="both"/>
        <w:outlineLvl w:val="1"/>
        <w:rPr>
          <w:rFonts w:ascii="Times New Roman" w:eastAsia="Times New Roman" w:hAnsi="Times New Roman" w:cs="Times New Roman"/>
          <w:b/>
          <w:color w:val="000000" w:themeColor="text1"/>
          <w:sz w:val="24"/>
          <w:szCs w:val="24"/>
          <w:lang w:eastAsia="en-GB"/>
        </w:rPr>
      </w:pPr>
      <w:r w:rsidRPr="001769F4">
        <w:rPr>
          <w:rFonts w:ascii="Times New Roman" w:eastAsia="Times New Roman" w:hAnsi="Times New Roman" w:cs="Times New Roman"/>
          <w:b/>
          <w:color w:val="000000" w:themeColor="text1"/>
          <w:sz w:val="24"/>
          <w:szCs w:val="24"/>
          <w:lang w:eastAsia="en-GB"/>
        </w:rPr>
        <w:lastRenderedPageBreak/>
        <w:t>Evidence of effectiveness of acupuncture</w:t>
      </w:r>
      <w:r w:rsidR="00DC5446" w:rsidRPr="001769F4">
        <w:rPr>
          <w:rFonts w:ascii="Times New Roman" w:eastAsia="Times New Roman" w:hAnsi="Times New Roman" w:cs="Times New Roman"/>
          <w:b/>
          <w:color w:val="000000" w:themeColor="text1"/>
          <w:sz w:val="24"/>
          <w:szCs w:val="24"/>
          <w:lang w:eastAsia="en-GB"/>
        </w:rPr>
        <w:t>s</w:t>
      </w:r>
    </w:p>
    <w:p w14:paraId="7FA874D8"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When performed by a skilled practitioner, acupuncture has been demonstrated in scientific trials across the world to be a safe and effective therapy for a wide range of ailments.</w:t>
      </w:r>
    </w:p>
    <w:p w14:paraId="7C976D3D"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The evidence for using acupuncture to treat or manage a number of conditions was thoroughly evaluated by the British National Health Service. During surgery and chemotherapy, they identified evidence that acupuncture can aid with tooth pain, jaw discomfort, and nausea.</w:t>
      </w:r>
    </w:p>
    <w:p w14:paraId="5846B738"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When performed by a skilled practitioner, acupuncture has been demonstrated in scientific trials across the world to be a safe and effective therapy for a wide range of ailments.</w:t>
      </w:r>
    </w:p>
    <w:p w14:paraId="2BEFB523"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The evidence for using acupuncture to treat or manage a number of conditions was thoroughly evaluated by the British National Health Service. During surgery and chemotherapy, they identified evidence that acupuncture can aid with tooth pain, jaw discomfort, and nausea.</w:t>
      </w:r>
    </w:p>
    <w:p w14:paraId="2604D8BB" w14:textId="77777777" w:rsidR="00B73733" w:rsidRPr="001769F4" w:rsidRDefault="00B73733"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hAnsi="Times New Roman" w:cs="Times New Roman"/>
          <w:sz w:val="24"/>
          <w:szCs w:val="24"/>
        </w:rPr>
        <w:t xml:space="preserve">At the time of the WHO survey, 92 countries (65 per cent of responding countries) reported that they had a law or regulation on herbal medicine in place in 2003 (World Health Organization 2005a). Within the European Union, product regulation is being addressed through the implementation of the Directive on Traditional Herbal Medicinal Products. The Directive covers only manufactured products and leaves the regulation of dispensing of unlicensed herbal products to national determination (Ernst and Dixon 2004). There have been a number of high-profile cases where products of traditional/complementary medicine have threatened public health. For example, Australian authorities audited the manufacturing quality control standards of Pan Pharmaceuticals following reports of serious adverse reactions to one of its products. As a result, it recalled more than 1,500 products from worldwide distribution (Burton 2003; </w:t>
      </w:r>
      <w:proofErr w:type="spellStart"/>
      <w:r w:rsidRPr="001769F4">
        <w:rPr>
          <w:rFonts w:ascii="Times New Roman" w:hAnsi="Times New Roman" w:cs="Times New Roman"/>
          <w:sz w:val="24"/>
          <w:szCs w:val="24"/>
        </w:rPr>
        <w:t>Loff</w:t>
      </w:r>
      <w:proofErr w:type="spellEnd"/>
      <w:r w:rsidRPr="001769F4">
        <w:rPr>
          <w:rFonts w:ascii="Times New Roman" w:hAnsi="Times New Roman" w:cs="Times New Roman"/>
          <w:sz w:val="24"/>
          <w:szCs w:val="24"/>
        </w:rPr>
        <w:t xml:space="preserve"> and </w:t>
      </w:r>
      <w:proofErr w:type="spellStart"/>
      <w:r w:rsidRPr="001769F4">
        <w:rPr>
          <w:rFonts w:ascii="Times New Roman" w:hAnsi="Times New Roman" w:cs="Times New Roman"/>
          <w:sz w:val="24"/>
          <w:szCs w:val="24"/>
        </w:rPr>
        <w:t>McKelvie</w:t>
      </w:r>
      <w:proofErr w:type="spellEnd"/>
      <w:r w:rsidRPr="001769F4">
        <w:rPr>
          <w:rFonts w:ascii="Times New Roman" w:hAnsi="Times New Roman" w:cs="Times New Roman"/>
          <w:sz w:val="24"/>
          <w:szCs w:val="24"/>
        </w:rPr>
        <w:t xml:space="preserve"> 2003). </w:t>
      </w:r>
      <w:proofErr w:type="spellStart"/>
      <w:r w:rsidRPr="001769F4">
        <w:rPr>
          <w:rFonts w:ascii="Times New Roman" w:hAnsi="Times New Roman" w:cs="Times New Roman"/>
          <w:sz w:val="24"/>
          <w:szCs w:val="24"/>
        </w:rPr>
        <w:t>Aristolochia</w:t>
      </w:r>
      <w:proofErr w:type="spellEnd"/>
      <w:r w:rsidRPr="001769F4">
        <w:rPr>
          <w:rFonts w:ascii="Times New Roman" w:hAnsi="Times New Roman" w:cs="Times New Roman"/>
          <w:sz w:val="24"/>
          <w:szCs w:val="24"/>
        </w:rPr>
        <w:t>, a common ingredient in traditional Chinese herbal medicines, caused 70 cases of kidney failure in Belgium in 1996 and has been banned from use in unlicensed herbal medicines in the UK since July 1999 (www.mhra.gov.uk).</w:t>
      </w:r>
    </w:p>
    <w:p w14:paraId="22FB4FAF" w14:textId="77777777" w:rsidR="00915EDC" w:rsidRPr="001769F4" w:rsidRDefault="00915EDC" w:rsidP="001769F4">
      <w:pPr>
        <w:spacing w:line="360" w:lineRule="auto"/>
        <w:jc w:val="both"/>
        <w:rPr>
          <w:rFonts w:ascii="Times New Roman" w:hAnsi="Times New Roman" w:cs="Times New Roman"/>
          <w:b/>
          <w:color w:val="000000" w:themeColor="text1"/>
          <w:sz w:val="24"/>
          <w:szCs w:val="24"/>
        </w:rPr>
      </w:pPr>
      <w:r w:rsidRPr="001769F4">
        <w:rPr>
          <w:rFonts w:ascii="Times New Roman" w:hAnsi="Times New Roman" w:cs="Times New Roman"/>
          <w:b/>
          <w:color w:val="000000" w:themeColor="text1"/>
          <w:sz w:val="24"/>
          <w:szCs w:val="24"/>
        </w:rPr>
        <w:t xml:space="preserve">3. An evaluation of the statutory self-regulation system and the voluntary self-regulation system (membership bodies). </w:t>
      </w:r>
    </w:p>
    <w:p w14:paraId="1E2CA692"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Laws and regulations governing the practice of acupuncture</w:t>
      </w:r>
    </w:p>
    <w:p w14:paraId="31FEF925"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The Australian Health Practitioner Regulation Agency requires acupuncturists to be registered.</w:t>
      </w:r>
    </w:p>
    <w:p w14:paraId="1DA8CC92"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lastRenderedPageBreak/>
        <w:t>Indirect regulations may also apply, such as: • drug and poisoning scheduling, which restricts access to potentially dangerous herbs and herbal compounds.</w:t>
      </w:r>
    </w:p>
    <w:p w14:paraId="6FBCC57E"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 Skin penetration requirements, highlighting the significance of taking adequate hygiene precautions, such as using pre-sterilized, single-use, and disposable acupuncture needles.</w:t>
      </w:r>
    </w:p>
    <w:p w14:paraId="37F1656A" w14:textId="77777777" w:rsidR="00CF0B09" w:rsidRPr="001769F4" w:rsidRDefault="00CF0B09"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t>• Therapeutic Items Administration (TGA) - This federal agency regulates sterile items like acupuncture needles under Good Manufacturing Practice (GMP) guidelines. Before acupuncture needles may be legally marketed, they must be registered with the Australian Register of Therapeutic Goods.</w:t>
      </w:r>
    </w:p>
    <w:p w14:paraId="42CC6A0D" w14:textId="77777777" w:rsidR="00915EDC" w:rsidRPr="001769F4" w:rsidRDefault="00915EDC" w:rsidP="001769F4">
      <w:pPr>
        <w:spacing w:line="360" w:lineRule="auto"/>
        <w:jc w:val="both"/>
        <w:rPr>
          <w:rFonts w:ascii="Times New Roman" w:hAnsi="Times New Roman" w:cs="Times New Roman"/>
          <w:b/>
          <w:color w:val="000000" w:themeColor="text1"/>
          <w:sz w:val="24"/>
          <w:szCs w:val="24"/>
        </w:rPr>
      </w:pPr>
      <w:r w:rsidRPr="001769F4">
        <w:rPr>
          <w:rFonts w:ascii="Times New Roman" w:hAnsi="Times New Roman" w:cs="Times New Roman"/>
          <w:b/>
          <w:color w:val="000000" w:themeColor="text1"/>
          <w:sz w:val="24"/>
          <w:szCs w:val="24"/>
        </w:rPr>
        <w:t xml:space="preserve">Ethical considerations </w:t>
      </w:r>
    </w:p>
    <w:p w14:paraId="370D46B2" w14:textId="77777777" w:rsidR="00CD1B86" w:rsidRPr="001769F4" w:rsidRDefault="00CF0B09"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Quality and honesty, human respect, risk–benefit balance, and fairness are four essential research principles that underpin many ethical issues. These ideas are the bedrock of any debate on human research ethics, and they apply to all fields of research, including acupuncture and Chinese herbal medicine. "Consideration should be given to the various value systems that are involved in human rights, such as social, cultural, and historical issues," according to the World Health Organization's Guidelines for Clinical Research on Acupuncture, and "further studies in relation to ethical issues involved in clinical research on acupuncture" should be conducted. In addition to presenting the four main principles, this study will look into the impact of Asian culture on Western human research ethics and how it may affect themes like informed permission and risk–benefit analysis.</w:t>
      </w:r>
    </w:p>
    <w:p w14:paraId="135DE991" w14:textId="77777777" w:rsidR="00CF0B09" w:rsidRPr="001769F4" w:rsidRDefault="00CF0B09" w:rsidP="001769F4">
      <w:pPr>
        <w:pStyle w:val="NormalWeb"/>
        <w:shd w:val="clear" w:color="auto" w:fill="FFFFFF"/>
        <w:spacing w:before="166" w:after="166" w:line="360" w:lineRule="auto"/>
        <w:jc w:val="both"/>
        <w:rPr>
          <w:color w:val="000000" w:themeColor="text1"/>
        </w:rPr>
      </w:pPr>
      <w:r w:rsidRPr="001769F4">
        <w:rPr>
          <w:color w:val="000000" w:themeColor="text1"/>
        </w:rPr>
        <w:t>The ethical participation of human subjects necessitates the creation of research value and integrity. The study should be designed according to acknowledged research standards and produce measurable, therapeutically useful results. The unique characteristics of CM clinic practice, such as pattern differentiation and therapy individualization, make it difficult to adapt into research models that are acceptable. If the ethics committee is unfamiliar with CM principles, as well as researchers who may present proposals with unique design adjustments to meet such clinical practice features, this might be a concern.</w:t>
      </w:r>
    </w:p>
    <w:p w14:paraId="14D61D6B" w14:textId="77777777" w:rsidR="00CF0B09" w:rsidRPr="001769F4" w:rsidRDefault="00CF0B09" w:rsidP="001769F4">
      <w:pPr>
        <w:pStyle w:val="NormalWeb"/>
        <w:shd w:val="clear" w:color="auto" w:fill="FFFFFF"/>
        <w:spacing w:before="166" w:after="166" w:line="360" w:lineRule="auto"/>
        <w:jc w:val="both"/>
        <w:rPr>
          <w:color w:val="000000" w:themeColor="text1"/>
        </w:rPr>
      </w:pPr>
      <w:r w:rsidRPr="001769F4">
        <w:rPr>
          <w:color w:val="000000" w:themeColor="text1"/>
        </w:rPr>
        <w:t>The second issue of human dignity requires people to make a decision about whether or not to pursue an academic pursuit. This concept relies heavily on the informed consent of the participants.</w:t>
      </w:r>
    </w:p>
    <w:p w14:paraId="75335F1F" w14:textId="77777777" w:rsidR="00CF0B09" w:rsidRPr="001769F4" w:rsidRDefault="00CF0B09" w:rsidP="001769F4">
      <w:pPr>
        <w:pStyle w:val="NormalWeb"/>
        <w:shd w:val="clear" w:color="auto" w:fill="FFFFFF"/>
        <w:spacing w:before="166" w:beforeAutospacing="0" w:after="166" w:afterAutospacing="0" w:line="360" w:lineRule="auto"/>
        <w:jc w:val="both"/>
        <w:rPr>
          <w:color w:val="000000" w:themeColor="text1"/>
        </w:rPr>
      </w:pPr>
      <w:r w:rsidRPr="001769F4">
        <w:rPr>
          <w:color w:val="000000" w:themeColor="text1"/>
        </w:rPr>
        <w:lastRenderedPageBreak/>
        <w:t>• That the participant is not subjected to coercion or inducement, and that participation is clearly established, such as a signed form, survey return, or recorded audio agreement; • That the participant is not subjected to coercion or inducement, and that participation is clearly established, such as a signed form, survey return, or recorded audio agreement.</w:t>
      </w:r>
    </w:p>
    <w:p w14:paraId="4ED50C84" w14:textId="77777777" w:rsidR="00CF0B09" w:rsidRPr="001769F4" w:rsidRDefault="00CF0B09" w:rsidP="001769F4">
      <w:pPr>
        <w:spacing w:line="360" w:lineRule="auto"/>
        <w:jc w:val="both"/>
        <w:rPr>
          <w:rFonts w:ascii="Times New Roman" w:hAnsi="Times New Roman" w:cs="Times New Roman"/>
          <w:color w:val="000000" w:themeColor="text1"/>
          <w:sz w:val="24"/>
          <w:szCs w:val="24"/>
        </w:rPr>
      </w:pPr>
      <w:r w:rsidRPr="001769F4">
        <w:rPr>
          <w:rFonts w:ascii="Times New Roman" w:hAnsi="Times New Roman" w:cs="Times New Roman"/>
          <w:color w:val="000000" w:themeColor="text1"/>
          <w:sz w:val="24"/>
          <w:szCs w:val="24"/>
        </w:rPr>
        <w:t xml:space="preserve">In many Western countries, informed consent is obtained by both the subject and the researcher signing a piece of paper. Only 10 of the 47 published sham-controlled acupuncture trials had information on how participants were informed, according to a recent review of acupuncture research. They also noted that communication tactics varied greatly and were frequently confusing, </w:t>
      </w:r>
      <w:r w:rsidR="001C64BF" w:rsidRPr="001769F4">
        <w:rPr>
          <w:rFonts w:ascii="Times New Roman" w:hAnsi="Times New Roman" w:cs="Times New Roman"/>
          <w:color w:val="000000" w:themeColor="text1"/>
          <w:sz w:val="24"/>
          <w:szCs w:val="24"/>
        </w:rPr>
        <w:t>signalling</w:t>
      </w:r>
      <w:r w:rsidRPr="001769F4">
        <w:rPr>
          <w:rFonts w:ascii="Times New Roman" w:hAnsi="Times New Roman" w:cs="Times New Roman"/>
          <w:color w:val="000000" w:themeColor="text1"/>
          <w:sz w:val="24"/>
          <w:szCs w:val="24"/>
        </w:rPr>
        <w:t xml:space="preserve"> to participants that a sham intervention was taking place.</w:t>
      </w:r>
    </w:p>
    <w:p w14:paraId="5E4DFF4A" w14:textId="77777777" w:rsidR="00CF0B09" w:rsidRPr="001769F4" w:rsidRDefault="00CF0B09" w:rsidP="001769F4">
      <w:pPr>
        <w:spacing w:line="360" w:lineRule="auto"/>
        <w:jc w:val="both"/>
        <w:rPr>
          <w:rFonts w:ascii="Times New Roman" w:hAnsi="Times New Roman" w:cs="Times New Roman"/>
          <w:color w:val="000000" w:themeColor="text1"/>
          <w:sz w:val="24"/>
          <w:szCs w:val="24"/>
        </w:rPr>
      </w:pPr>
      <w:r w:rsidRPr="001769F4">
        <w:rPr>
          <w:rFonts w:ascii="Times New Roman" w:hAnsi="Times New Roman" w:cs="Times New Roman"/>
          <w:color w:val="000000" w:themeColor="text1"/>
          <w:sz w:val="24"/>
          <w:szCs w:val="24"/>
        </w:rPr>
        <w:t xml:space="preserve">Another ethical problem is that randomized controlled trials (RCTs) do not take into account participant preferences. This is particularly true when CM is commonly used. In China and Korea, for example, acupuncture and herbal therapy are considered effective treatments, and patients are unwilling to engage in </w:t>
      </w:r>
      <w:proofErr w:type="gramStart"/>
      <w:r w:rsidRPr="001769F4">
        <w:rPr>
          <w:rFonts w:ascii="Times New Roman" w:hAnsi="Times New Roman" w:cs="Times New Roman"/>
          <w:color w:val="000000" w:themeColor="text1"/>
          <w:sz w:val="24"/>
          <w:szCs w:val="24"/>
        </w:rPr>
        <w:t>a randomized research</w:t>
      </w:r>
      <w:proofErr w:type="gramEnd"/>
      <w:r w:rsidRPr="001769F4">
        <w:rPr>
          <w:rFonts w:ascii="Times New Roman" w:hAnsi="Times New Roman" w:cs="Times New Roman"/>
          <w:color w:val="000000" w:themeColor="text1"/>
          <w:sz w:val="24"/>
          <w:szCs w:val="24"/>
        </w:rPr>
        <w:t xml:space="preserve"> for fear of not receiving their chosen treatment. A variety of modified RCT designs that consider participant preferences have been suggested and tested in the West. Participants had the choice of staying in their allocated group, moving over into the other group, or quitting the trial under the Baskerville design.</w:t>
      </w:r>
    </w:p>
    <w:p w14:paraId="7147A3D4" w14:textId="77777777" w:rsidR="00CF0B09" w:rsidRPr="001769F4" w:rsidRDefault="00CF0B09" w:rsidP="001769F4">
      <w:pPr>
        <w:spacing w:line="360" w:lineRule="auto"/>
        <w:jc w:val="both"/>
        <w:rPr>
          <w:rFonts w:ascii="Times New Roman" w:hAnsi="Times New Roman" w:cs="Times New Roman"/>
          <w:color w:val="000000" w:themeColor="text1"/>
          <w:sz w:val="24"/>
          <w:szCs w:val="24"/>
        </w:rPr>
      </w:pPr>
      <w:r w:rsidRPr="001769F4">
        <w:rPr>
          <w:rFonts w:ascii="Times New Roman" w:hAnsi="Times New Roman" w:cs="Times New Roman"/>
          <w:color w:val="000000" w:themeColor="text1"/>
          <w:sz w:val="24"/>
          <w:szCs w:val="24"/>
        </w:rPr>
        <w:t>Participants can select whether or not they wish to be randomized using the full cohort design prior to randomization. Those who do not want to be allocated at random might choose between the treatment and control groups. Those who agree to be randomly assigned to one of two groups: treatment or control. These two concepts, on the other hand, could only be implemented if participants were informed of their group assignment (</w:t>
      </w:r>
      <w:proofErr w:type="gramStart"/>
      <w:r w:rsidRPr="001769F4">
        <w:rPr>
          <w:rFonts w:ascii="Times New Roman" w:hAnsi="Times New Roman" w:cs="Times New Roman"/>
          <w:color w:val="000000" w:themeColor="text1"/>
          <w:sz w:val="24"/>
          <w:szCs w:val="24"/>
        </w:rPr>
        <w:t>e.g.</w:t>
      </w:r>
      <w:proofErr w:type="gramEnd"/>
      <w:r w:rsidRPr="001769F4">
        <w:rPr>
          <w:rFonts w:ascii="Times New Roman" w:hAnsi="Times New Roman" w:cs="Times New Roman"/>
          <w:color w:val="000000" w:themeColor="text1"/>
          <w:sz w:val="24"/>
          <w:szCs w:val="24"/>
        </w:rPr>
        <w:t xml:space="preserve"> wait list, active control). When a sham or placebo control is applied, they are ineffectual. Furthermore, because the majority of participants are likely to pick the treatment group, recruiting a large number of people for the control group may be difficult.</w:t>
      </w:r>
    </w:p>
    <w:p w14:paraId="6464F612" w14:textId="77777777" w:rsidR="00CF0B09" w:rsidRPr="001769F4" w:rsidRDefault="00CF0B09" w:rsidP="001769F4">
      <w:pPr>
        <w:spacing w:line="360" w:lineRule="auto"/>
        <w:jc w:val="both"/>
        <w:rPr>
          <w:rFonts w:ascii="Times New Roman" w:hAnsi="Times New Roman" w:cs="Times New Roman"/>
          <w:color w:val="000000" w:themeColor="text1"/>
          <w:sz w:val="24"/>
          <w:szCs w:val="24"/>
        </w:rPr>
      </w:pPr>
      <w:r w:rsidRPr="001769F4">
        <w:rPr>
          <w:rFonts w:ascii="Times New Roman" w:hAnsi="Times New Roman" w:cs="Times New Roman"/>
          <w:color w:val="000000" w:themeColor="text1"/>
          <w:sz w:val="24"/>
          <w:szCs w:val="24"/>
        </w:rPr>
        <w:t>The unknown likelihood of allocation bias acting as a confounder when assessing the outcomes of such research is a second key cause of concern. Surprisingly, a recent review of 32 patient preference studies found no indication that such designs had a substantial impact on the internal validity of randomized trials. Before patient preference studies are widely employed, more research must be done to ensure that they do not cause bias.</w:t>
      </w:r>
    </w:p>
    <w:p w14:paraId="10410CB3" w14:textId="77777777" w:rsidR="00915EDC" w:rsidRPr="001769F4" w:rsidRDefault="00915EDC" w:rsidP="001769F4">
      <w:pPr>
        <w:spacing w:line="360" w:lineRule="auto"/>
        <w:jc w:val="both"/>
        <w:rPr>
          <w:rFonts w:ascii="Times New Roman" w:hAnsi="Times New Roman" w:cs="Times New Roman"/>
          <w:b/>
          <w:color w:val="000000" w:themeColor="text1"/>
          <w:sz w:val="24"/>
          <w:szCs w:val="24"/>
        </w:rPr>
      </w:pPr>
      <w:r w:rsidRPr="001769F4">
        <w:rPr>
          <w:rFonts w:ascii="Times New Roman" w:hAnsi="Times New Roman" w:cs="Times New Roman"/>
          <w:b/>
          <w:color w:val="000000" w:themeColor="text1"/>
          <w:sz w:val="24"/>
          <w:szCs w:val="24"/>
        </w:rPr>
        <w:t xml:space="preserve">Recommendations </w:t>
      </w:r>
    </w:p>
    <w:p w14:paraId="2A90E1AE" w14:textId="77777777" w:rsidR="00CF0B09" w:rsidRPr="001769F4" w:rsidRDefault="00CF0B09" w:rsidP="001769F4">
      <w:pPr>
        <w:spacing w:line="360" w:lineRule="auto"/>
        <w:jc w:val="both"/>
        <w:rPr>
          <w:rStyle w:val="Emphasis"/>
          <w:rFonts w:ascii="Times New Roman" w:hAnsi="Times New Roman" w:cs="Times New Roman"/>
          <w:i w:val="0"/>
          <w:color w:val="000000" w:themeColor="text1"/>
          <w:sz w:val="24"/>
          <w:szCs w:val="24"/>
          <w:shd w:val="clear" w:color="auto" w:fill="FFFFFF"/>
        </w:rPr>
      </w:pPr>
      <w:r w:rsidRPr="001769F4">
        <w:rPr>
          <w:rStyle w:val="Emphasis"/>
          <w:rFonts w:ascii="Times New Roman" w:hAnsi="Times New Roman" w:cs="Times New Roman"/>
          <w:i w:val="0"/>
          <w:color w:val="000000" w:themeColor="text1"/>
          <w:sz w:val="24"/>
          <w:szCs w:val="24"/>
          <w:shd w:val="clear" w:color="auto" w:fill="FFFFFF"/>
        </w:rPr>
        <w:lastRenderedPageBreak/>
        <w:t>Acupuncture can aid with stress relief. As a result of the problems of becoming pregnant, psychological stress is not uncommon. Stress causes your body to produce chemicals that can interrupt routine ovulation and menstrual cycle processes, which can have a detrimental impact on fertility. Acupuncture can assist by increasing the synthesis of the hormone beta endorphin, which makes you feel more calm and serene while reducing stress and anxiety. As a result, blood flow to the uterus and oxygen and nutrient delivery to the ovaries both rise. As a consequence, your menstrual periods will become more regular, your ovulation cycles will become more regular, and your fertility will improve.</w:t>
      </w:r>
    </w:p>
    <w:p w14:paraId="132EA1F6" w14:textId="77777777" w:rsidR="00CF0B09" w:rsidRPr="001769F4" w:rsidRDefault="00CF0B09" w:rsidP="001769F4">
      <w:pPr>
        <w:spacing w:line="360" w:lineRule="auto"/>
        <w:jc w:val="both"/>
        <w:rPr>
          <w:rStyle w:val="Emphasis"/>
          <w:rFonts w:ascii="Times New Roman" w:hAnsi="Times New Roman" w:cs="Times New Roman"/>
          <w:i w:val="0"/>
          <w:color w:val="000000" w:themeColor="text1"/>
          <w:sz w:val="24"/>
          <w:szCs w:val="24"/>
          <w:shd w:val="clear" w:color="auto" w:fill="FFFFFF"/>
        </w:rPr>
      </w:pPr>
      <w:r w:rsidRPr="001769F4">
        <w:rPr>
          <w:rStyle w:val="Emphasis"/>
          <w:rFonts w:ascii="Times New Roman" w:hAnsi="Times New Roman" w:cs="Times New Roman"/>
          <w:i w:val="0"/>
          <w:color w:val="000000" w:themeColor="text1"/>
          <w:sz w:val="24"/>
          <w:szCs w:val="24"/>
          <w:shd w:val="clear" w:color="auto" w:fill="FFFFFF"/>
        </w:rPr>
        <w:t>The immune system is boosted by acupuncture. Fertility problems can occasionally be caused by immune system problems, making it less likely for fertility to thrive and conception to occur. Acupuncture treatments can help you repair the underlying cause of immune system problems while also maintaining your body in the best possible shape for conception and pregnancy.</w:t>
      </w:r>
    </w:p>
    <w:p w14:paraId="7F08145C" w14:textId="77777777" w:rsidR="00CF0B09" w:rsidRPr="001769F4" w:rsidRDefault="00CF0B09" w:rsidP="001769F4">
      <w:pPr>
        <w:spacing w:line="360" w:lineRule="auto"/>
        <w:jc w:val="both"/>
        <w:rPr>
          <w:rStyle w:val="Emphasis"/>
          <w:rFonts w:ascii="Times New Roman" w:hAnsi="Times New Roman" w:cs="Times New Roman"/>
          <w:i w:val="0"/>
          <w:color w:val="000000" w:themeColor="text1"/>
          <w:sz w:val="24"/>
          <w:szCs w:val="24"/>
          <w:shd w:val="clear" w:color="auto" w:fill="FFFFFF"/>
        </w:rPr>
      </w:pPr>
      <w:r w:rsidRPr="001769F4">
        <w:rPr>
          <w:rStyle w:val="Emphasis"/>
          <w:rFonts w:ascii="Times New Roman" w:hAnsi="Times New Roman" w:cs="Times New Roman"/>
          <w:i w:val="0"/>
          <w:color w:val="000000" w:themeColor="text1"/>
          <w:sz w:val="24"/>
          <w:szCs w:val="24"/>
          <w:shd w:val="clear" w:color="auto" w:fill="FFFFFF"/>
        </w:rPr>
        <w:t>Acupuncture treatments may aid in the reduction of medication adverse effects. Clomid is one of the most commonly recommended drugs to older women who are trying to conceive. One of the drug's negative effects is a thinning of the uterine lining, which lowers your chances of a safe pregnancy. By thickening your uterine lining and supporting it in maintaining constant in appearance and function, acupuncture acts as a reversal agent. As a result, blood flow to the uterine arteries increases, allowing more oxygen and nutrients to reach the uterus and its linings, so facilitating conception.</w:t>
      </w:r>
    </w:p>
    <w:p w14:paraId="7401FDE3" w14:textId="77777777" w:rsidR="00CF0B09" w:rsidRPr="001769F4" w:rsidRDefault="00CF0B09" w:rsidP="001769F4">
      <w:pPr>
        <w:spacing w:line="360" w:lineRule="auto"/>
        <w:jc w:val="both"/>
        <w:rPr>
          <w:rStyle w:val="Emphasis"/>
          <w:rFonts w:ascii="Times New Roman" w:hAnsi="Times New Roman" w:cs="Times New Roman"/>
          <w:i w:val="0"/>
          <w:color w:val="000000" w:themeColor="text1"/>
          <w:sz w:val="24"/>
          <w:szCs w:val="24"/>
          <w:shd w:val="clear" w:color="auto" w:fill="FFFFFF"/>
        </w:rPr>
      </w:pPr>
      <w:r w:rsidRPr="001769F4">
        <w:rPr>
          <w:rStyle w:val="Emphasis"/>
          <w:rFonts w:ascii="Times New Roman" w:hAnsi="Times New Roman" w:cs="Times New Roman"/>
          <w:i w:val="0"/>
          <w:color w:val="000000" w:themeColor="text1"/>
          <w:sz w:val="24"/>
          <w:szCs w:val="24"/>
          <w:shd w:val="clear" w:color="auto" w:fill="FFFFFF"/>
        </w:rPr>
        <w:t>The uterus' contractions are lessened. Your uterus has a tendency to contract during implantation, which might lead to the loss of the pregnancy. When used on a regular basis, acupuncture treatments may help to reduce these contractions during implantation, enabling the embryo to grow and develop into a baby that can be carried to term.</w:t>
      </w:r>
    </w:p>
    <w:p w14:paraId="0B75E009" w14:textId="77777777" w:rsidR="00CF0B09" w:rsidRPr="001769F4" w:rsidRDefault="00CF0B09" w:rsidP="001769F4">
      <w:pPr>
        <w:spacing w:line="360" w:lineRule="auto"/>
        <w:jc w:val="both"/>
        <w:rPr>
          <w:rStyle w:val="Emphasis"/>
          <w:rFonts w:ascii="Times New Roman" w:hAnsi="Times New Roman" w:cs="Times New Roman"/>
          <w:i w:val="0"/>
          <w:color w:val="000000" w:themeColor="text1"/>
          <w:sz w:val="24"/>
          <w:szCs w:val="24"/>
          <w:shd w:val="clear" w:color="auto" w:fill="FFFFFF"/>
        </w:rPr>
      </w:pPr>
      <w:r w:rsidRPr="001769F4">
        <w:rPr>
          <w:rStyle w:val="Emphasis"/>
          <w:rFonts w:ascii="Times New Roman" w:hAnsi="Times New Roman" w:cs="Times New Roman"/>
          <w:i w:val="0"/>
          <w:color w:val="000000" w:themeColor="text1"/>
          <w:sz w:val="24"/>
          <w:szCs w:val="24"/>
          <w:shd w:val="clear" w:color="auto" w:fill="FFFFFF"/>
        </w:rPr>
        <w:t>Acupuncture can also aid with male fertility. Acupuncture enhances the appearance, count, and motility of sperm.</w:t>
      </w:r>
    </w:p>
    <w:p w14:paraId="44206268" w14:textId="77777777" w:rsidR="006B312E" w:rsidRPr="001769F4" w:rsidRDefault="003C404B" w:rsidP="001769F4">
      <w:pPr>
        <w:spacing w:line="360" w:lineRule="auto"/>
        <w:jc w:val="both"/>
        <w:rPr>
          <w:rFonts w:ascii="Times New Roman" w:hAnsi="Times New Roman" w:cs="Times New Roman"/>
          <w:color w:val="000000" w:themeColor="text1"/>
          <w:sz w:val="24"/>
          <w:szCs w:val="24"/>
        </w:rPr>
      </w:pPr>
      <w:r w:rsidRPr="001769F4">
        <w:rPr>
          <w:rFonts w:ascii="Times New Roman" w:hAnsi="Times New Roman" w:cs="Times New Roman"/>
          <w:color w:val="000000" w:themeColor="text1"/>
          <w:sz w:val="24"/>
          <w:szCs w:val="24"/>
        </w:rPr>
        <w:t>In-vitro fertilization (IVF) can be used with acupuncture to boost success rates. Because of its capacity to augment and enhance blood flow to the uterus, acupuncture is routinely utilized in combination with IVF. Acupuncture has been demonstrated to improve the thickness of the uterine lining, which is rich in oxygen and nutrients, as well as the consistency of the lining's structure. The ovaries' blood supply is also increased, resulting in better egg cell quality.</w:t>
      </w:r>
    </w:p>
    <w:p w14:paraId="296BFEE8" w14:textId="77777777" w:rsidR="009A5644" w:rsidRPr="001769F4" w:rsidRDefault="009A5644" w:rsidP="001769F4">
      <w:pPr>
        <w:spacing w:line="360" w:lineRule="auto"/>
        <w:jc w:val="both"/>
        <w:rPr>
          <w:rFonts w:ascii="Times New Roman" w:hAnsi="Times New Roman" w:cs="Times New Roman"/>
          <w:b/>
          <w:color w:val="000000" w:themeColor="text1"/>
          <w:sz w:val="24"/>
          <w:szCs w:val="24"/>
        </w:rPr>
      </w:pPr>
    </w:p>
    <w:p w14:paraId="2F1EDCEE"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4E0E5759"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1739D6B6"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20EED4BE"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05644196"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7234D2AF"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6F837071"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207D9C68"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0DE61747"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4F17BBEF"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5C91A20E" w14:textId="77777777" w:rsidR="001769F4" w:rsidRPr="001769F4" w:rsidRDefault="001769F4" w:rsidP="001769F4">
      <w:pPr>
        <w:spacing w:line="360" w:lineRule="auto"/>
        <w:jc w:val="both"/>
        <w:rPr>
          <w:rFonts w:ascii="Times New Roman" w:hAnsi="Times New Roman" w:cs="Times New Roman"/>
          <w:b/>
          <w:color w:val="000000" w:themeColor="text1"/>
          <w:sz w:val="24"/>
          <w:szCs w:val="24"/>
        </w:rPr>
      </w:pPr>
    </w:p>
    <w:p w14:paraId="5A02D1F2" w14:textId="77777777" w:rsidR="003303C8" w:rsidRPr="001769F4" w:rsidRDefault="00915EDC" w:rsidP="001769F4">
      <w:pPr>
        <w:spacing w:line="360" w:lineRule="auto"/>
        <w:jc w:val="both"/>
        <w:rPr>
          <w:rFonts w:ascii="Times New Roman" w:hAnsi="Times New Roman" w:cs="Times New Roman"/>
          <w:b/>
          <w:color w:val="000000" w:themeColor="text1"/>
          <w:sz w:val="24"/>
          <w:szCs w:val="24"/>
        </w:rPr>
      </w:pPr>
      <w:r w:rsidRPr="001769F4">
        <w:rPr>
          <w:rFonts w:ascii="Times New Roman" w:hAnsi="Times New Roman" w:cs="Times New Roman"/>
          <w:b/>
          <w:color w:val="000000" w:themeColor="text1"/>
          <w:sz w:val="24"/>
          <w:szCs w:val="24"/>
        </w:rPr>
        <w:t>References</w:t>
      </w:r>
    </w:p>
    <w:p w14:paraId="393D091B" w14:textId="77777777" w:rsidR="00CF4F1D" w:rsidRPr="001769F4" w:rsidRDefault="00CF4F1D" w:rsidP="001769F4">
      <w:pPr>
        <w:shd w:val="clear" w:color="auto" w:fill="FFFFFF"/>
        <w:spacing w:before="100" w:beforeAutospacing="1" w:after="100" w:afterAutospacing="1" w:line="360" w:lineRule="auto"/>
        <w:jc w:val="both"/>
        <w:rPr>
          <w:rFonts w:ascii="Times New Roman" w:hAnsi="Times New Roman" w:cs="Times New Roman"/>
          <w:sz w:val="24"/>
          <w:szCs w:val="24"/>
        </w:rPr>
      </w:pPr>
      <w:r w:rsidRPr="001769F4">
        <w:rPr>
          <w:rFonts w:ascii="Times New Roman" w:hAnsi="Times New Roman" w:cs="Times New Roman"/>
          <w:sz w:val="24"/>
          <w:szCs w:val="24"/>
        </w:rPr>
        <w:t xml:space="preserve">GC </w:t>
      </w:r>
      <w:proofErr w:type="spellStart"/>
      <w:r w:rsidRPr="001769F4">
        <w:rPr>
          <w:rFonts w:ascii="Times New Roman" w:hAnsi="Times New Roman" w:cs="Times New Roman"/>
          <w:sz w:val="24"/>
          <w:szCs w:val="24"/>
        </w:rPr>
        <w:t>Bodeker</w:t>
      </w:r>
      <w:proofErr w:type="spellEnd"/>
      <w:r w:rsidRPr="001769F4">
        <w:rPr>
          <w:rFonts w:ascii="Times New Roman" w:hAnsi="Times New Roman" w:cs="Times New Roman"/>
          <w:sz w:val="24"/>
          <w:szCs w:val="24"/>
        </w:rPr>
        <w:t xml:space="preserve"> (2000). Discussion Paper on Planning for Cost-Effective Traditional Health Services. World Health Organization's Centre for Health Development is located in Kobe.</w:t>
      </w:r>
    </w:p>
    <w:p w14:paraId="759322A1" w14:textId="77777777" w:rsidR="00B06C29" w:rsidRPr="001769F4" w:rsidRDefault="00B06C29" w:rsidP="001769F4">
      <w:pPr>
        <w:shd w:val="clear" w:color="auto" w:fill="FFFFFF"/>
        <w:spacing w:before="100" w:beforeAutospacing="1" w:after="100" w:afterAutospacing="1" w:line="360" w:lineRule="auto"/>
        <w:jc w:val="both"/>
        <w:rPr>
          <w:rFonts w:ascii="Times New Roman" w:hAnsi="Times New Roman" w:cs="Times New Roman"/>
          <w:sz w:val="24"/>
          <w:szCs w:val="24"/>
        </w:rPr>
      </w:pPr>
      <w:r w:rsidRPr="001769F4">
        <w:rPr>
          <w:rFonts w:ascii="Times New Roman" w:hAnsi="Times New Roman" w:cs="Times New Roman"/>
          <w:sz w:val="24"/>
          <w:szCs w:val="24"/>
        </w:rPr>
        <w:t xml:space="preserve">A. </w:t>
      </w:r>
      <w:proofErr w:type="spellStart"/>
      <w:r w:rsidRPr="001769F4">
        <w:rPr>
          <w:rFonts w:ascii="Times New Roman" w:hAnsi="Times New Roman" w:cs="Times New Roman"/>
          <w:sz w:val="24"/>
          <w:szCs w:val="24"/>
        </w:rPr>
        <w:t>Bensoussan</w:t>
      </w:r>
      <w:proofErr w:type="spellEnd"/>
      <w:r w:rsidRPr="001769F4">
        <w:rPr>
          <w:rFonts w:ascii="Times New Roman" w:hAnsi="Times New Roman" w:cs="Times New Roman"/>
          <w:sz w:val="24"/>
          <w:szCs w:val="24"/>
        </w:rPr>
        <w:t xml:space="preserve"> and S. P. Myers (1996). Traditional Chinese medicine practice in Australia: Towards a Safer Option Department of Human Services, Victoria, Australia. www.health.vic.gov.au/archive/archive2006/chinese/report/contents.html (Accessed on August 30, 2007).</w:t>
      </w:r>
    </w:p>
    <w:p w14:paraId="28A461D1" w14:textId="77777777" w:rsidR="00B06C29" w:rsidRPr="001769F4" w:rsidRDefault="00B06C29" w:rsidP="001769F4">
      <w:pPr>
        <w:shd w:val="clear" w:color="auto" w:fill="FFFFFF"/>
        <w:spacing w:before="100" w:beforeAutospacing="1" w:after="100" w:afterAutospacing="1" w:line="360" w:lineRule="auto"/>
        <w:jc w:val="both"/>
        <w:rPr>
          <w:rFonts w:ascii="Times New Roman" w:hAnsi="Times New Roman" w:cs="Times New Roman"/>
          <w:sz w:val="24"/>
          <w:szCs w:val="24"/>
        </w:rPr>
      </w:pPr>
      <w:r w:rsidRPr="001769F4">
        <w:rPr>
          <w:rFonts w:ascii="Times New Roman" w:hAnsi="Times New Roman" w:cs="Times New Roman"/>
          <w:sz w:val="24"/>
          <w:szCs w:val="24"/>
        </w:rPr>
        <w:t>Burton B (2003). 'Complementary medicines business in peril after recall of 1546 items,</w:t>
      </w:r>
      <w:proofErr w:type="gramStart"/>
      <w:r w:rsidRPr="001769F4">
        <w:rPr>
          <w:rFonts w:ascii="Times New Roman" w:hAnsi="Times New Roman" w:cs="Times New Roman"/>
          <w:sz w:val="24"/>
          <w:szCs w:val="24"/>
        </w:rPr>
        <w:t>' .</w:t>
      </w:r>
      <w:proofErr w:type="gramEnd"/>
      <w:r w:rsidRPr="001769F4">
        <w:rPr>
          <w:rFonts w:ascii="Times New Roman" w:hAnsi="Times New Roman" w:cs="Times New Roman"/>
          <w:sz w:val="24"/>
          <w:szCs w:val="24"/>
        </w:rPr>
        <w:t xml:space="preserve"> The British Medical Journal, vol. 326, no. 1001, p. 1001.</w:t>
      </w:r>
    </w:p>
    <w:p w14:paraId="454954FC" w14:textId="77777777" w:rsidR="005E2397" w:rsidRPr="001769F4" w:rsidRDefault="00305BCD" w:rsidP="001769F4">
      <w:pPr>
        <w:shd w:val="clear" w:color="auto" w:fill="FFFFFF"/>
        <w:spacing w:before="100" w:beforeAutospacing="1" w:after="100" w:afterAutospacing="1" w:line="360" w:lineRule="auto"/>
        <w:jc w:val="both"/>
        <w:rPr>
          <w:rFonts w:ascii="Times New Roman" w:hAnsi="Times New Roman" w:cs="Times New Roman"/>
          <w:sz w:val="24"/>
          <w:szCs w:val="24"/>
        </w:rPr>
      </w:pPr>
      <w:r w:rsidRPr="001769F4">
        <w:rPr>
          <w:rFonts w:ascii="Times New Roman" w:hAnsi="Times New Roman" w:cs="Times New Roman"/>
          <w:sz w:val="24"/>
          <w:szCs w:val="24"/>
        </w:rPr>
        <w:t>Dixon A (2006). A High-quality Regulation Perspective for Health Care Delivery. Presentation to OECD Group on Regulatory Policy, Paris, 8 December 2006.</w:t>
      </w:r>
    </w:p>
    <w:p w14:paraId="294E1B05" w14:textId="77777777" w:rsidR="009A5644" w:rsidRPr="001769F4" w:rsidRDefault="009A5644" w:rsidP="001769F4">
      <w:pPr>
        <w:shd w:val="clear" w:color="auto" w:fill="FFFFFF"/>
        <w:spacing w:before="100" w:beforeAutospacing="1" w:after="100" w:afterAutospacing="1" w:line="360" w:lineRule="auto"/>
        <w:jc w:val="both"/>
        <w:rPr>
          <w:rFonts w:ascii="Times New Roman" w:hAnsi="Times New Roman" w:cs="Times New Roman"/>
          <w:sz w:val="24"/>
          <w:szCs w:val="24"/>
        </w:rPr>
      </w:pPr>
      <w:r w:rsidRPr="001769F4">
        <w:rPr>
          <w:rFonts w:ascii="Times New Roman" w:hAnsi="Times New Roman" w:cs="Times New Roman"/>
          <w:sz w:val="24"/>
          <w:szCs w:val="24"/>
        </w:rPr>
        <w:t xml:space="preserve">Acupuncture, National Institutes of Health, National </w:t>
      </w:r>
      <w:r w:rsidR="001C64BF" w:rsidRPr="001769F4">
        <w:rPr>
          <w:rFonts w:ascii="Times New Roman" w:hAnsi="Times New Roman" w:cs="Times New Roman"/>
          <w:sz w:val="24"/>
          <w:szCs w:val="24"/>
        </w:rPr>
        <w:t>Centre</w:t>
      </w:r>
      <w:r w:rsidRPr="001769F4">
        <w:rPr>
          <w:rFonts w:ascii="Times New Roman" w:hAnsi="Times New Roman" w:cs="Times New Roman"/>
          <w:sz w:val="24"/>
          <w:szCs w:val="24"/>
        </w:rPr>
        <w:t xml:space="preserve"> for Complementary and Alternative Medicine, USA</w:t>
      </w:r>
    </w:p>
    <w:p w14:paraId="346F4FA1" w14:textId="77777777" w:rsidR="00826011" w:rsidRPr="001769F4" w:rsidRDefault="00826011" w:rsidP="001769F4">
      <w:pPr>
        <w:spacing w:line="360" w:lineRule="auto"/>
        <w:jc w:val="both"/>
        <w:rPr>
          <w:rFonts w:ascii="Times New Roman" w:eastAsia="Times New Roman" w:hAnsi="Times New Roman" w:cs="Times New Roman"/>
          <w:color w:val="000000" w:themeColor="text1"/>
          <w:sz w:val="24"/>
          <w:szCs w:val="24"/>
          <w:lang w:eastAsia="en-GB"/>
        </w:rPr>
      </w:pPr>
      <w:r w:rsidRPr="001769F4">
        <w:rPr>
          <w:rFonts w:ascii="Times New Roman" w:eastAsia="Times New Roman" w:hAnsi="Times New Roman" w:cs="Times New Roman"/>
          <w:color w:val="000000" w:themeColor="text1"/>
          <w:sz w:val="24"/>
          <w:szCs w:val="24"/>
          <w:lang w:eastAsia="en-GB"/>
        </w:rPr>
        <w:lastRenderedPageBreak/>
        <w:t>Mapping the evidence basis and usage of acupuncture within the NHS, Roberts J, Moore D, Department of Public Health and Epidemiology, University of Birmingham, 2006.</w:t>
      </w:r>
    </w:p>
    <w:p w14:paraId="2D4EB1E6" w14:textId="77777777" w:rsidR="004C2168" w:rsidRPr="001769F4" w:rsidRDefault="004C2168"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 xml:space="preserve">S. Birch. Acupuncture clinical research: part 2. </w:t>
      </w:r>
      <w:proofErr w:type="gramStart"/>
      <w:r w:rsidRPr="001769F4">
        <w:rPr>
          <w:rFonts w:ascii="Times New Roman" w:hAnsi="Times New Roman" w:cs="Times New Roman"/>
          <w:color w:val="000000" w:themeColor="text1"/>
          <w:sz w:val="24"/>
          <w:szCs w:val="24"/>
          <w:shd w:val="clear" w:color="auto" w:fill="FFFFFF"/>
        </w:rPr>
        <w:t>An</w:t>
      </w:r>
      <w:proofErr w:type="gramEnd"/>
      <w:r w:rsidRPr="001769F4">
        <w:rPr>
          <w:rFonts w:ascii="Times New Roman" w:hAnsi="Times New Roman" w:cs="Times New Roman"/>
          <w:color w:val="000000" w:themeColor="text1"/>
          <w:sz w:val="24"/>
          <w:szCs w:val="24"/>
          <w:shd w:val="clear" w:color="auto" w:fill="FFFFFF"/>
        </w:rPr>
        <w:t xml:space="preserve"> summary of the strategies used in controlled clinical studies. Journal of Alternative and Complementary Medicine, 2004.</w:t>
      </w:r>
    </w:p>
    <w:p w14:paraId="3F0B994D" w14:textId="77777777" w:rsidR="004C2168" w:rsidRPr="001769F4" w:rsidRDefault="004C2168"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Emanuel EJ, Rosenstein DL, Strauss SE, Miller FG. Ethical difficulties in complementary and alternative medicine research. The Journal of the American Medical Association published a study in 2004.</w:t>
      </w:r>
    </w:p>
    <w:p w14:paraId="3B04E328" w14:textId="77777777" w:rsidR="004C2168" w:rsidRPr="001769F4" w:rsidRDefault="004C2168"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C. Lee Ventola. "Current Issues in Complementary and Alternative Medicine in the United States." Pharmaceuticals and Therapeutics MediMedia USA, Inc., August 8, 2010. 14th of December, 2016.</w:t>
      </w:r>
    </w:p>
    <w:p w14:paraId="458B5A9C" w14:textId="77777777" w:rsidR="004C2168" w:rsidRPr="001769F4" w:rsidRDefault="004C2168"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"Mind-body Interventions: Applications in Neurology," by Helané Wahbeh, Siegward-M. Elsas, and Barry S. Oken. Neurology, National Library of Medicine of the United States of America, 10 June 2008. Web. January 2, 2017.</w:t>
      </w:r>
    </w:p>
    <w:p w14:paraId="0E1FEDCA" w14:textId="77777777" w:rsidR="00FE6A09" w:rsidRPr="001769F4" w:rsidRDefault="00874606"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"Manipulative and Body-Based Practices: An Overview," Druss Rosenheck. An Overview of Manipulative and Body-Based Practices WETA, 2009. https://doi.org/10.1016/j.weta.2009.01.002.</w:t>
      </w:r>
    </w:p>
    <w:p w14:paraId="79F20D0F" w14:textId="77777777" w:rsidR="00981207" w:rsidRPr="001769F4" w:rsidRDefault="00874606" w:rsidP="001769F4">
      <w:pPr>
        <w:spacing w:line="360" w:lineRule="auto"/>
        <w:jc w:val="both"/>
        <w:rPr>
          <w:rFonts w:ascii="Times New Roman" w:hAnsi="Times New Roman" w:cs="Times New Roman"/>
          <w:color w:val="000000" w:themeColor="text1"/>
          <w:sz w:val="24"/>
          <w:szCs w:val="24"/>
          <w:shd w:val="clear" w:color="auto" w:fill="FFFFFF"/>
        </w:rPr>
      </w:pPr>
      <w:r w:rsidRPr="001769F4">
        <w:rPr>
          <w:rFonts w:ascii="Times New Roman" w:hAnsi="Times New Roman" w:cs="Times New Roman"/>
          <w:color w:val="000000" w:themeColor="text1"/>
          <w:sz w:val="24"/>
          <w:szCs w:val="24"/>
          <w:shd w:val="clear" w:color="auto" w:fill="FFFFFF"/>
        </w:rPr>
        <w:t>Meredith Engel, "Does Energy Healing Really Work?" The New York Daily News The New York Daily News, July 18, 2014. Web. 02 January 2017.</w:t>
      </w:r>
    </w:p>
    <w:sectPr w:rsidR="00981207" w:rsidRPr="001769F4" w:rsidSect="000C18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73C0C"/>
    <w:multiLevelType w:val="hybridMultilevel"/>
    <w:tmpl w:val="02F00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4A533A"/>
    <w:multiLevelType w:val="multilevel"/>
    <w:tmpl w:val="5D40B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F0C1F55"/>
    <w:multiLevelType w:val="multilevel"/>
    <w:tmpl w:val="51BAB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160957"/>
    <w:multiLevelType w:val="multilevel"/>
    <w:tmpl w:val="1E3C3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A40"/>
    <w:rsid w:val="000015A4"/>
    <w:rsid w:val="000202B7"/>
    <w:rsid w:val="0002123E"/>
    <w:rsid w:val="00021895"/>
    <w:rsid w:val="00026C95"/>
    <w:rsid w:val="000545B6"/>
    <w:rsid w:val="00075146"/>
    <w:rsid w:val="000C18AA"/>
    <w:rsid w:val="000D0A92"/>
    <w:rsid w:val="0011270B"/>
    <w:rsid w:val="001274B7"/>
    <w:rsid w:val="00156292"/>
    <w:rsid w:val="0015760B"/>
    <w:rsid w:val="00160FAA"/>
    <w:rsid w:val="001769F4"/>
    <w:rsid w:val="001A6979"/>
    <w:rsid w:val="001C64BF"/>
    <w:rsid w:val="001F1AEB"/>
    <w:rsid w:val="00217264"/>
    <w:rsid w:val="00222A51"/>
    <w:rsid w:val="0023195B"/>
    <w:rsid w:val="00246B99"/>
    <w:rsid w:val="002718F7"/>
    <w:rsid w:val="00275591"/>
    <w:rsid w:val="002F16C8"/>
    <w:rsid w:val="00305BCD"/>
    <w:rsid w:val="00326E3A"/>
    <w:rsid w:val="003303C8"/>
    <w:rsid w:val="0034064C"/>
    <w:rsid w:val="00356482"/>
    <w:rsid w:val="0037777A"/>
    <w:rsid w:val="003854AB"/>
    <w:rsid w:val="003C3022"/>
    <w:rsid w:val="003C404B"/>
    <w:rsid w:val="003C7A8A"/>
    <w:rsid w:val="003E4063"/>
    <w:rsid w:val="003E6350"/>
    <w:rsid w:val="003E70D9"/>
    <w:rsid w:val="003F6B0C"/>
    <w:rsid w:val="00437551"/>
    <w:rsid w:val="00454C57"/>
    <w:rsid w:val="004622BB"/>
    <w:rsid w:val="004A7C3F"/>
    <w:rsid w:val="004C2168"/>
    <w:rsid w:val="004D74DD"/>
    <w:rsid w:val="004F1E40"/>
    <w:rsid w:val="004F6A60"/>
    <w:rsid w:val="0055039A"/>
    <w:rsid w:val="005613A6"/>
    <w:rsid w:val="00567261"/>
    <w:rsid w:val="00593CCB"/>
    <w:rsid w:val="005B0B85"/>
    <w:rsid w:val="005C2EBC"/>
    <w:rsid w:val="005E2397"/>
    <w:rsid w:val="005E5DC6"/>
    <w:rsid w:val="006200C5"/>
    <w:rsid w:val="0063096F"/>
    <w:rsid w:val="006557D4"/>
    <w:rsid w:val="006712ED"/>
    <w:rsid w:val="006878AD"/>
    <w:rsid w:val="006B312E"/>
    <w:rsid w:val="006C3C35"/>
    <w:rsid w:val="006C5A54"/>
    <w:rsid w:val="006D5799"/>
    <w:rsid w:val="00702C40"/>
    <w:rsid w:val="00705C9E"/>
    <w:rsid w:val="007151D2"/>
    <w:rsid w:val="00721497"/>
    <w:rsid w:val="007274F3"/>
    <w:rsid w:val="00775D03"/>
    <w:rsid w:val="007A63F5"/>
    <w:rsid w:val="007C6615"/>
    <w:rsid w:val="007E793C"/>
    <w:rsid w:val="008057C2"/>
    <w:rsid w:val="00826011"/>
    <w:rsid w:val="00874606"/>
    <w:rsid w:val="008F3C0C"/>
    <w:rsid w:val="009006B3"/>
    <w:rsid w:val="009107AA"/>
    <w:rsid w:val="00915EDC"/>
    <w:rsid w:val="00981207"/>
    <w:rsid w:val="009A5644"/>
    <w:rsid w:val="009A7EEB"/>
    <w:rsid w:val="009F50C1"/>
    <w:rsid w:val="00A046B6"/>
    <w:rsid w:val="00A60E15"/>
    <w:rsid w:val="00A9281B"/>
    <w:rsid w:val="00AB3F08"/>
    <w:rsid w:val="00B06C29"/>
    <w:rsid w:val="00B36B8B"/>
    <w:rsid w:val="00B50D0C"/>
    <w:rsid w:val="00B73733"/>
    <w:rsid w:val="00B86623"/>
    <w:rsid w:val="00BA3C97"/>
    <w:rsid w:val="00BD1B5D"/>
    <w:rsid w:val="00BE5ECB"/>
    <w:rsid w:val="00C31EA4"/>
    <w:rsid w:val="00C326AA"/>
    <w:rsid w:val="00C36297"/>
    <w:rsid w:val="00C751F5"/>
    <w:rsid w:val="00C76EDD"/>
    <w:rsid w:val="00CA3E53"/>
    <w:rsid w:val="00CD1B86"/>
    <w:rsid w:val="00CF0B09"/>
    <w:rsid w:val="00CF4F1D"/>
    <w:rsid w:val="00D73D7C"/>
    <w:rsid w:val="00DC5446"/>
    <w:rsid w:val="00DE1DE0"/>
    <w:rsid w:val="00E25122"/>
    <w:rsid w:val="00E42A21"/>
    <w:rsid w:val="00E46457"/>
    <w:rsid w:val="00E775C7"/>
    <w:rsid w:val="00E84CB7"/>
    <w:rsid w:val="00EA0888"/>
    <w:rsid w:val="00EA10C4"/>
    <w:rsid w:val="00EA46C1"/>
    <w:rsid w:val="00EB44B2"/>
    <w:rsid w:val="00F26E2D"/>
    <w:rsid w:val="00F30334"/>
    <w:rsid w:val="00F3407E"/>
    <w:rsid w:val="00F47CB1"/>
    <w:rsid w:val="00F522F4"/>
    <w:rsid w:val="00F83999"/>
    <w:rsid w:val="00F904DF"/>
    <w:rsid w:val="00FA0A40"/>
    <w:rsid w:val="00FE6A09"/>
    <w:rsid w:val="00FF5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127AA"/>
  <w15:docId w15:val="{E15AEC1B-3F70-A241-AD00-7DEE1118B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8AA"/>
  </w:style>
  <w:style w:type="paragraph" w:styleId="Heading2">
    <w:name w:val="heading 2"/>
    <w:basedOn w:val="Normal"/>
    <w:link w:val="Heading2Char"/>
    <w:uiPriority w:val="9"/>
    <w:qFormat/>
    <w:rsid w:val="003E70D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78AD"/>
    <w:pPr>
      <w:ind w:left="720"/>
      <w:contextualSpacing/>
    </w:pPr>
  </w:style>
  <w:style w:type="character" w:customStyle="1" w:styleId="Heading2Char">
    <w:name w:val="Heading 2 Char"/>
    <w:basedOn w:val="DefaultParagraphFont"/>
    <w:link w:val="Heading2"/>
    <w:uiPriority w:val="9"/>
    <w:rsid w:val="003E70D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3E70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pl-text-label">
    <w:name w:val="rpl-text-label"/>
    <w:basedOn w:val="DefaultParagraphFont"/>
    <w:rsid w:val="00454C57"/>
  </w:style>
  <w:style w:type="character" w:customStyle="1" w:styleId="rpl-text-icongroup">
    <w:name w:val="rpl-text-icon__group"/>
    <w:basedOn w:val="DefaultParagraphFont"/>
    <w:rsid w:val="00454C57"/>
  </w:style>
  <w:style w:type="character" w:styleId="Strong">
    <w:name w:val="Strong"/>
    <w:basedOn w:val="DefaultParagraphFont"/>
    <w:uiPriority w:val="22"/>
    <w:qFormat/>
    <w:rsid w:val="00454C57"/>
    <w:rPr>
      <w:b/>
      <w:bCs/>
    </w:rPr>
  </w:style>
  <w:style w:type="character" w:styleId="Emphasis">
    <w:name w:val="Emphasis"/>
    <w:basedOn w:val="DefaultParagraphFont"/>
    <w:uiPriority w:val="20"/>
    <w:qFormat/>
    <w:rsid w:val="0037777A"/>
    <w:rPr>
      <w:i/>
      <w:iCs/>
    </w:rPr>
  </w:style>
  <w:style w:type="paragraph" w:customStyle="1" w:styleId="p">
    <w:name w:val="p"/>
    <w:basedOn w:val="Normal"/>
    <w:rsid w:val="00246B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6B99"/>
    <w:rPr>
      <w:color w:val="0000FF"/>
      <w:u w:val="single"/>
    </w:rPr>
  </w:style>
  <w:style w:type="character" w:customStyle="1" w:styleId="ref-journal">
    <w:name w:val="ref-journal"/>
    <w:basedOn w:val="DefaultParagraphFont"/>
    <w:rsid w:val="00775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272577">
      <w:bodyDiv w:val="1"/>
      <w:marLeft w:val="0"/>
      <w:marRight w:val="0"/>
      <w:marTop w:val="0"/>
      <w:marBottom w:val="0"/>
      <w:divBdr>
        <w:top w:val="none" w:sz="0" w:space="0" w:color="auto"/>
        <w:left w:val="none" w:sz="0" w:space="0" w:color="auto"/>
        <w:bottom w:val="none" w:sz="0" w:space="0" w:color="auto"/>
        <w:right w:val="none" w:sz="0" w:space="0" w:color="auto"/>
      </w:divBdr>
    </w:div>
    <w:div w:id="820779092">
      <w:bodyDiv w:val="1"/>
      <w:marLeft w:val="0"/>
      <w:marRight w:val="0"/>
      <w:marTop w:val="0"/>
      <w:marBottom w:val="0"/>
      <w:divBdr>
        <w:top w:val="none" w:sz="0" w:space="0" w:color="auto"/>
        <w:left w:val="none" w:sz="0" w:space="0" w:color="auto"/>
        <w:bottom w:val="none" w:sz="0" w:space="0" w:color="auto"/>
        <w:right w:val="none" w:sz="0" w:space="0" w:color="auto"/>
      </w:divBdr>
    </w:div>
    <w:div w:id="1305506920">
      <w:bodyDiv w:val="1"/>
      <w:marLeft w:val="0"/>
      <w:marRight w:val="0"/>
      <w:marTop w:val="0"/>
      <w:marBottom w:val="0"/>
      <w:divBdr>
        <w:top w:val="none" w:sz="0" w:space="0" w:color="auto"/>
        <w:left w:val="none" w:sz="0" w:space="0" w:color="auto"/>
        <w:bottom w:val="none" w:sz="0" w:space="0" w:color="auto"/>
        <w:right w:val="none" w:sz="0" w:space="0" w:color="auto"/>
      </w:divBdr>
    </w:div>
    <w:div w:id="1462966559">
      <w:bodyDiv w:val="1"/>
      <w:marLeft w:val="0"/>
      <w:marRight w:val="0"/>
      <w:marTop w:val="0"/>
      <w:marBottom w:val="0"/>
      <w:divBdr>
        <w:top w:val="none" w:sz="0" w:space="0" w:color="auto"/>
        <w:left w:val="none" w:sz="0" w:space="0" w:color="auto"/>
        <w:bottom w:val="none" w:sz="0" w:space="0" w:color="auto"/>
        <w:right w:val="none" w:sz="0" w:space="0" w:color="auto"/>
      </w:divBdr>
    </w:div>
    <w:div w:id="1591742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3087</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Lysh</dc:creator>
  <cp:lastModifiedBy>Richard Kanjoma (1916228)</cp:lastModifiedBy>
  <cp:revision>2</cp:revision>
  <dcterms:created xsi:type="dcterms:W3CDTF">2022-01-04T21:18:00Z</dcterms:created>
  <dcterms:modified xsi:type="dcterms:W3CDTF">2022-01-04T21:18:00Z</dcterms:modified>
</cp:coreProperties>
</file>