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A4E82" w14:textId="5A8B6923" w:rsidR="00266C2F" w:rsidRDefault="00920F8C" w:rsidP="00920F8C">
      <w:pPr>
        <w:pStyle w:val="Heading1"/>
      </w:pPr>
      <w:r>
        <w:t xml:space="preserve">Outdoor Adventure in </w:t>
      </w:r>
      <w:proofErr w:type="spellStart"/>
      <w:r>
        <w:t>Cynefin</w:t>
      </w:r>
      <w:proofErr w:type="spellEnd"/>
    </w:p>
    <w:p w14:paraId="154B0CFD" w14:textId="1977B7BF" w:rsidR="00F760BA" w:rsidRDefault="00920F8C" w:rsidP="00920F8C">
      <w:r>
        <w:t>James Dillon</w:t>
      </w:r>
    </w:p>
    <w:p w14:paraId="1840E445" w14:textId="77777777" w:rsidR="00920F8C" w:rsidRDefault="00920F8C" w:rsidP="00920F8C"/>
    <w:p w14:paraId="638C878F" w14:textId="4B712D35" w:rsidR="00920F8C" w:rsidRPr="00920F8C" w:rsidRDefault="00920F8C" w:rsidP="00053EAB">
      <w:pPr>
        <w:spacing w:line="360" w:lineRule="auto"/>
        <w:rPr>
          <w:b/>
          <w:bCs/>
        </w:rPr>
      </w:pPr>
      <w:r w:rsidRPr="00920F8C">
        <w:rPr>
          <w:b/>
          <w:bCs/>
        </w:rPr>
        <w:t xml:space="preserve">Introduction </w:t>
      </w:r>
    </w:p>
    <w:p w14:paraId="0D5F45CB" w14:textId="20D0D249" w:rsidR="006C22FD" w:rsidRPr="00920F8C" w:rsidRDefault="00583025" w:rsidP="00053EAB">
      <w:pPr>
        <w:spacing w:line="360" w:lineRule="auto"/>
      </w:pPr>
      <w:r>
        <w:t xml:space="preserve">In 2020, Welsh Government brought </w:t>
      </w:r>
      <w:r w:rsidR="00A87F4C">
        <w:t>in</w:t>
      </w:r>
      <w:r>
        <w:t xml:space="preserve"> its new curriculum. ‘Curriculum for </w:t>
      </w:r>
      <w:proofErr w:type="spellStart"/>
      <w:r>
        <w:t>Wale</w:t>
      </w:r>
      <w:r w:rsidR="00D110E1">
        <w:t>s</w:t>
      </w:r>
      <w:r>
        <w:t>’</w:t>
      </w:r>
      <w:proofErr w:type="spellEnd"/>
      <w:r w:rsidR="002D06A4">
        <w:t xml:space="preserve"> changed its view on what education should be, applying a </w:t>
      </w:r>
      <w:r w:rsidR="00914CD0">
        <w:t>holistic</w:t>
      </w:r>
      <w:r w:rsidR="002D06A4">
        <w:t xml:space="preserve"> approach </w:t>
      </w:r>
      <w:r w:rsidR="00914CD0">
        <w:t>by interconnecting the parts that make the ‘whole’</w:t>
      </w:r>
      <w:r w:rsidR="004266E8">
        <w:t xml:space="preserve">. </w:t>
      </w:r>
      <w:r w:rsidR="00A7573A">
        <w:t xml:space="preserve">It scrapped the traditional </w:t>
      </w:r>
      <w:r w:rsidR="00AB4805">
        <w:t xml:space="preserve">departmental style of the previous curriculum (Welsh Government, 2008) </w:t>
      </w:r>
      <w:r w:rsidR="00CB7536">
        <w:t>and looked to 6 key areas of learning</w:t>
      </w:r>
      <w:r w:rsidR="00A03E10">
        <w:t xml:space="preserve"> and experience</w:t>
      </w:r>
      <w:r w:rsidR="00CB7536">
        <w:t>. One of these being Health and Wellbeing, within this area of learning</w:t>
      </w:r>
      <w:r w:rsidR="00A03E10">
        <w:t xml:space="preserve"> and experience</w:t>
      </w:r>
      <w:r w:rsidR="00CB7536">
        <w:t xml:space="preserve"> </w:t>
      </w:r>
      <w:r w:rsidR="00B20BD2">
        <w:t>fall</w:t>
      </w:r>
      <w:r w:rsidR="00A03E10">
        <w:t>s</w:t>
      </w:r>
      <w:r w:rsidR="00B20BD2">
        <w:t xml:space="preserve"> the focus of physical </w:t>
      </w:r>
      <w:r w:rsidR="007D211D">
        <w:t>activity</w:t>
      </w:r>
      <w:r w:rsidR="00B20BD2">
        <w:t>.</w:t>
      </w:r>
      <w:r w:rsidR="007D211D">
        <w:t xml:space="preserve"> With a view to </w:t>
      </w:r>
      <w:r w:rsidR="00D6634B">
        <w:t xml:space="preserve">develop ‘health-promoting behaviours’ </w:t>
      </w:r>
      <w:r w:rsidR="006E035A">
        <w:t xml:space="preserve">and ‘physical competence’ with this area, </w:t>
      </w:r>
      <w:r w:rsidR="00510C10">
        <w:t>Outdoor Adventure Education (OAE), or previously known as Adventurous Activities</w:t>
      </w:r>
      <w:r w:rsidR="00BF5EE3">
        <w:t xml:space="preserve">, has its biggest part to play. </w:t>
      </w:r>
      <w:r w:rsidR="00F15AB2">
        <w:t xml:space="preserve">By incorporating as much of the new curriculum as possible within </w:t>
      </w:r>
      <w:r w:rsidR="00517BBF">
        <w:t xml:space="preserve">OAE, it has an opportunity to provide more of </w:t>
      </w:r>
      <w:r w:rsidR="00041386">
        <w:t>role within this area of learning than previously held</w:t>
      </w:r>
      <w:r w:rsidR="00C276FD">
        <w:t xml:space="preserve">. </w:t>
      </w:r>
      <w:r w:rsidR="005B089D">
        <w:t>In the ‘Statement</w:t>
      </w:r>
      <w:r w:rsidR="0043661C">
        <w:t xml:space="preserve"> of What Matters</w:t>
      </w:r>
      <w:r w:rsidR="005B089D">
        <w:t>’</w:t>
      </w:r>
      <w:r w:rsidR="00B20BD2">
        <w:t xml:space="preserve"> </w:t>
      </w:r>
      <w:r w:rsidR="001E4C9B">
        <w:t>(Welsh Government, 2020)</w:t>
      </w:r>
      <w:r w:rsidR="002D387E">
        <w:t>, the curriculum clearly identifies key areas to focus on. Looking at ‘Developing Health and Wellbeing for lifelong benefits’,</w:t>
      </w:r>
      <w:r w:rsidR="00444FED">
        <w:t xml:space="preserve"> ‘processing how our mental and emotional wellbeing’, </w:t>
      </w:r>
      <w:r w:rsidR="00087982">
        <w:t>‘key decision making for ourselves and others’,</w:t>
      </w:r>
      <w:r w:rsidR="00CA4AAA">
        <w:t xml:space="preserve"> </w:t>
      </w:r>
      <w:r w:rsidR="007C2327">
        <w:t>‘o</w:t>
      </w:r>
      <w:r w:rsidR="00CA4AAA">
        <w:t>ur engagement with social influences’ and finally, developing ‘healthy relationships</w:t>
      </w:r>
      <w:r w:rsidR="00FD71E8">
        <w:t xml:space="preserve">’ (Welsh Government, 2020). By utilising these statements within our </w:t>
      </w:r>
      <w:r w:rsidR="00F67123">
        <w:t>teaching and learning we are affording ourselves an opportunity to</w:t>
      </w:r>
      <w:r w:rsidR="00671115">
        <w:t xml:space="preserve"> </w:t>
      </w:r>
      <w:r w:rsidR="00857F30">
        <w:t xml:space="preserve">align OAE as pivotal tool in the new curriculum. </w:t>
      </w:r>
    </w:p>
    <w:p w14:paraId="30376E5F" w14:textId="77777777" w:rsidR="007B7F9E" w:rsidRDefault="007B7F9E" w:rsidP="00053EAB">
      <w:pPr>
        <w:spacing w:line="360" w:lineRule="auto"/>
        <w:rPr>
          <w:b/>
          <w:bCs/>
        </w:rPr>
      </w:pPr>
    </w:p>
    <w:p w14:paraId="591CBF6D" w14:textId="1D39BF6B" w:rsidR="00920F8C" w:rsidRPr="00920F8C" w:rsidRDefault="00920F8C" w:rsidP="00053EAB">
      <w:pPr>
        <w:spacing w:line="360" w:lineRule="auto"/>
        <w:rPr>
          <w:b/>
          <w:bCs/>
        </w:rPr>
      </w:pPr>
      <w:r w:rsidRPr="00920F8C">
        <w:rPr>
          <w:b/>
          <w:bCs/>
        </w:rPr>
        <w:t xml:space="preserve">Background </w:t>
      </w:r>
    </w:p>
    <w:p w14:paraId="01C5DD27" w14:textId="10D11F35" w:rsidR="00920F8C" w:rsidRDefault="00926C7D" w:rsidP="00053EAB">
      <w:pPr>
        <w:spacing w:line="360" w:lineRule="auto"/>
      </w:pPr>
      <w:r>
        <w:t xml:space="preserve">In order to comply with </w:t>
      </w:r>
      <w:r w:rsidR="00D80A84">
        <w:t>the range of statements made by the Curriculum for Wales</w:t>
      </w:r>
      <w:r w:rsidR="00302E35">
        <w:t xml:space="preserve">, my proposed changes to </w:t>
      </w:r>
      <w:proofErr w:type="spellStart"/>
      <w:r w:rsidR="00302E35">
        <w:t>Cynefin</w:t>
      </w:r>
      <w:proofErr w:type="spellEnd"/>
      <w:r w:rsidR="00302E35">
        <w:t xml:space="preserve"> </w:t>
      </w:r>
      <w:r w:rsidR="00AC2917">
        <w:t>are in</w:t>
      </w:r>
      <w:r w:rsidR="00A81BD5">
        <w:t xml:space="preserve"> conjunction with the changes to the curriculum and the shift in focus to the ‘what matters statements’. </w:t>
      </w:r>
      <w:r w:rsidR="00CD2CC2">
        <w:t>In an article published by Kern and Wakeford (2007), they talk of the importance of supporting children’s play in the outdoors</w:t>
      </w:r>
      <w:r w:rsidR="005363CD">
        <w:t>. By utilisin</w:t>
      </w:r>
      <w:r w:rsidR="008C49A4">
        <w:t xml:space="preserve">g </w:t>
      </w:r>
      <w:r w:rsidR="00752429">
        <w:t>a zonal approach to play in the outdoors</w:t>
      </w:r>
      <w:r w:rsidR="00A30B8F">
        <w:t xml:space="preserve"> </w:t>
      </w:r>
      <w:r w:rsidR="00B94694">
        <w:t>it allows for “</w:t>
      </w:r>
      <w:r w:rsidR="00B94694" w:rsidRPr="00B94694">
        <w:t>teachers observe and interact with the children to support child-initiated play routines but also to scaffold and expand play</w:t>
      </w:r>
      <w:r w:rsidR="00B94694">
        <w:t xml:space="preserve">” (Kern and Wakeford, 2007, p.15). </w:t>
      </w:r>
      <w:r w:rsidR="00954EEC">
        <w:t xml:space="preserve">This would be beneficial to </w:t>
      </w:r>
      <w:r w:rsidR="002D15F2">
        <w:t xml:space="preserve">changes made to the </w:t>
      </w:r>
      <w:proofErr w:type="spellStart"/>
      <w:r w:rsidR="002D15F2">
        <w:t>Cynefin</w:t>
      </w:r>
      <w:proofErr w:type="spellEnd"/>
      <w:r w:rsidR="002D15F2">
        <w:t xml:space="preserve"> site as it would allow for high engagement with activities </w:t>
      </w:r>
      <w:r w:rsidR="009A0CF7">
        <w:t>by both staff and students as well as variety of task to encourage</w:t>
      </w:r>
      <w:r w:rsidR="00D41F48">
        <w:t xml:space="preserve"> </w:t>
      </w:r>
      <w:r w:rsidR="00983DD0">
        <w:t>full participation, as advocated by Kern and Wakeford (2007).</w:t>
      </w:r>
    </w:p>
    <w:p w14:paraId="3B53FFC3" w14:textId="56A240F3" w:rsidR="00983DD0" w:rsidRPr="004D793B" w:rsidRDefault="00983DD0" w:rsidP="00053EAB">
      <w:pPr>
        <w:spacing w:line="360" w:lineRule="auto"/>
      </w:pPr>
      <w:r>
        <w:lastRenderedPageBreak/>
        <w:t xml:space="preserve">The 3 zones I am proposing are a </w:t>
      </w:r>
      <w:r w:rsidR="00320C1E">
        <w:t>Mindfulness</w:t>
      </w:r>
      <w:r w:rsidR="00053EAB">
        <w:t xml:space="preserve"> and Inclusive</w:t>
      </w:r>
      <w:r w:rsidR="00320C1E">
        <w:t xml:space="preserve"> area, </w:t>
      </w:r>
      <w:r w:rsidR="00053EAB">
        <w:t>a Physical Literacy and The Daily Mile</w:t>
      </w:r>
      <w:r w:rsidR="00320C1E">
        <w:t xml:space="preserve"> Area and ‘Green for GO!’ style area. </w:t>
      </w:r>
      <w:r w:rsidR="001D7721">
        <w:t xml:space="preserve">The first of these area’s is targeted at tying together the use of </w:t>
      </w:r>
      <w:r w:rsidR="00853554">
        <w:t xml:space="preserve">an outdoor area and its improvement to </w:t>
      </w:r>
      <w:r w:rsidR="00775A2C">
        <w:t xml:space="preserve">mental health and emotional wellbeing (Gustafsson et al., </w:t>
      </w:r>
      <w:r w:rsidR="000B29BC">
        <w:t>2012)</w:t>
      </w:r>
      <w:r w:rsidR="00775A2C">
        <w:t xml:space="preserve"> in accordance with the </w:t>
      </w:r>
      <w:r w:rsidR="00775A2C">
        <w:rPr>
          <w:i/>
          <w:iCs/>
        </w:rPr>
        <w:t xml:space="preserve">What Matters Statements </w:t>
      </w:r>
      <w:r w:rsidR="00775A2C">
        <w:t>from the Curriculum for Wales (Welsh Government, 2020)</w:t>
      </w:r>
      <w:r w:rsidR="000B29BC">
        <w:t xml:space="preserve">. </w:t>
      </w:r>
      <w:r w:rsidR="009D1732">
        <w:t xml:space="preserve">The second journeying style area is one that promotes </w:t>
      </w:r>
      <w:r w:rsidR="00A961FB">
        <w:t>play and physical literacy in the outdoors (Wainwright and Williams, 2020).</w:t>
      </w:r>
      <w:r w:rsidR="008C289B">
        <w:t xml:space="preserve"> In the final area</w:t>
      </w:r>
      <w:r w:rsidR="001F0123">
        <w:t>,</w:t>
      </w:r>
      <w:r w:rsidR="008C289B">
        <w:t xml:space="preserve"> </w:t>
      </w:r>
      <w:r w:rsidR="0073200B">
        <w:t>‘Green for Go!’</w:t>
      </w:r>
      <w:r w:rsidR="001F0123">
        <w:t xml:space="preserve">, </w:t>
      </w:r>
      <w:r w:rsidR="000620FA">
        <w:t xml:space="preserve">will look </w:t>
      </w:r>
      <w:r w:rsidR="009D0D1D">
        <w:t xml:space="preserve">at a high-intensity activity area with </w:t>
      </w:r>
      <w:r w:rsidR="00466FEA">
        <w:t xml:space="preserve">a focus on Mountain Biking </w:t>
      </w:r>
      <w:r w:rsidR="00DA5F31">
        <w:t xml:space="preserve">(King and Church, 2020) and an incorporation of </w:t>
      </w:r>
      <w:r w:rsidR="00492D7E">
        <w:t xml:space="preserve">a </w:t>
      </w:r>
      <w:proofErr w:type="spellStart"/>
      <w:r w:rsidR="007C5D58">
        <w:t>Treadwall</w:t>
      </w:r>
      <w:proofErr w:type="spellEnd"/>
      <w:r w:rsidR="007C5D58">
        <w:t xml:space="preserve"> </w:t>
      </w:r>
      <w:r w:rsidR="00EB3E27">
        <w:t>and indoor climbing wall (Balas et al.</w:t>
      </w:r>
      <w:r w:rsidR="00E64807">
        <w:t>, 2021)</w:t>
      </w:r>
      <w:r w:rsidR="00EB3E27">
        <w:t xml:space="preserve"> for variety of activity.</w:t>
      </w:r>
      <w:r w:rsidR="0073200B">
        <w:t xml:space="preserve"> </w:t>
      </w:r>
      <w:r w:rsidR="003D3C4B">
        <w:t xml:space="preserve">The overall theme of </w:t>
      </w:r>
      <w:r w:rsidR="002D4478">
        <w:t>these changes is to look at a focus of sustainability</w:t>
      </w:r>
      <w:r w:rsidR="0091082C">
        <w:t xml:space="preserve"> and having an educational setting for a prolonged period of time to </w:t>
      </w:r>
      <w:r w:rsidR="004D793B">
        <w:t>assist in the new curriculum and support students</w:t>
      </w:r>
      <w:r w:rsidR="00A376F6">
        <w:t>’</w:t>
      </w:r>
      <w:r w:rsidR="004D793B">
        <w:t xml:space="preserve"> development within the </w:t>
      </w:r>
      <w:r w:rsidR="004D793B">
        <w:rPr>
          <w:i/>
          <w:iCs/>
        </w:rPr>
        <w:t>What Matters Statements</w:t>
      </w:r>
      <w:r w:rsidR="004D793B">
        <w:t xml:space="preserve"> </w:t>
      </w:r>
      <w:r w:rsidR="00356004">
        <w:t>(Welsh Government, 2020)</w:t>
      </w:r>
      <w:r w:rsidR="00A63BF9">
        <w:t>.</w:t>
      </w:r>
    </w:p>
    <w:p w14:paraId="5875D9A9" w14:textId="77777777" w:rsidR="001E1F1D" w:rsidRDefault="001E1F1D" w:rsidP="00053EAB">
      <w:pPr>
        <w:spacing w:line="360" w:lineRule="auto"/>
      </w:pPr>
    </w:p>
    <w:p w14:paraId="3006DC25" w14:textId="5AC52AAA" w:rsidR="00920F8C" w:rsidRPr="00010223" w:rsidRDefault="00920F8C" w:rsidP="00053EAB">
      <w:pPr>
        <w:spacing w:line="360" w:lineRule="auto"/>
        <w:rPr>
          <w:b/>
          <w:bCs/>
        </w:rPr>
      </w:pPr>
      <w:r w:rsidRPr="00010223">
        <w:rPr>
          <w:b/>
          <w:bCs/>
        </w:rPr>
        <w:t>Mindfulness</w:t>
      </w:r>
      <w:r w:rsidR="00053EAB">
        <w:rPr>
          <w:b/>
          <w:bCs/>
        </w:rPr>
        <w:t xml:space="preserve"> and Inclusive</w:t>
      </w:r>
      <w:r w:rsidRPr="00010223">
        <w:rPr>
          <w:b/>
          <w:bCs/>
        </w:rPr>
        <w:t xml:space="preserve"> Area </w:t>
      </w:r>
    </w:p>
    <w:p w14:paraId="6838692A" w14:textId="77777777" w:rsidR="00283CF3" w:rsidRDefault="00752646" w:rsidP="00053EAB">
      <w:pPr>
        <w:spacing w:line="360" w:lineRule="auto"/>
      </w:pPr>
      <w:r>
        <w:t xml:space="preserve">The first focus area of this report would be to create </w:t>
      </w:r>
      <w:r w:rsidR="00674056">
        <w:t xml:space="preserve">a mindfulness area. This area is </w:t>
      </w:r>
      <w:r w:rsidR="00DD3E27">
        <w:t>targeted for those that cannot access some of the m</w:t>
      </w:r>
      <w:r w:rsidR="00052F19">
        <w:t xml:space="preserve">ore physically demanding activities but instead have a connection to nature through other activities. </w:t>
      </w:r>
    </w:p>
    <w:p w14:paraId="525B9008" w14:textId="6699ABA8" w:rsidR="009D0165" w:rsidRDefault="002B3A39" w:rsidP="00053EAB">
      <w:pPr>
        <w:spacing w:line="360" w:lineRule="auto"/>
        <w:jc w:val="center"/>
      </w:pPr>
      <w:r w:rsidRPr="00283CF3">
        <w:rPr>
          <w:i/>
          <w:iCs/>
        </w:rPr>
        <w:t>“Mindfulness is expressed by actively processing information within one's surrounding context”</w:t>
      </w:r>
      <w:r>
        <w:t xml:space="preserve"> </w:t>
      </w:r>
      <w:r w:rsidRPr="00471360">
        <w:t>(Langer,1989</w:t>
      </w:r>
      <w:r w:rsidR="00283CF3">
        <w:t xml:space="preserve">, </w:t>
      </w:r>
      <w:r w:rsidRPr="00471360">
        <w:t>1997</w:t>
      </w:r>
      <w:r>
        <w:t xml:space="preserve"> cited in </w:t>
      </w:r>
      <w:proofErr w:type="spellStart"/>
      <w:r>
        <w:t>Frauman</w:t>
      </w:r>
      <w:proofErr w:type="spellEnd"/>
      <w:r w:rsidR="00283CF3">
        <w:t>,</w:t>
      </w:r>
      <w:r>
        <w:t xml:space="preserve"> 2010</w:t>
      </w:r>
      <w:r w:rsidR="00432934">
        <w:t>, p.226</w:t>
      </w:r>
      <w:r w:rsidRPr="00471360">
        <w:t>)</w:t>
      </w:r>
    </w:p>
    <w:p w14:paraId="1E7CB744" w14:textId="7B05EAFA" w:rsidR="00283CF3" w:rsidRDefault="00283CF3" w:rsidP="00053EAB">
      <w:pPr>
        <w:spacing w:line="360" w:lineRule="auto"/>
      </w:pPr>
      <w:r>
        <w:t>When thinking about this statement from Langer (</w:t>
      </w:r>
      <w:r w:rsidRPr="00471360">
        <w:t>1989</w:t>
      </w:r>
      <w:r>
        <w:t xml:space="preserve">, </w:t>
      </w:r>
      <w:r w:rsidRPr="00471360">
        <w:t>1997</w:t>
      </w:r>
      <w:r>
        <w:t xml:space="preserve"> cited in </w:t>
      </w:r>
      <w:proofErr w:type="spellStart"/>
      <w:r>
        <w:t>Frauman</w:t>
      </w:r>
      <w:proofErr w:type="spellEnd"/>
      <w:r>
        <w:t>, 2010</w:t>
      </w:r>
      <w:r w:rsidRPr="00471360">
        <w:t>)</w:t>
      </w:r>
      <w:r w:rsidR="00034D18">
        <w:t xml:space="preserve">, students experiences within the outdoors have a direct link to their own mindfulness experiences. </w:t>
      </w:r>
      <w:r w:rsidR="00E86D36">
        <w:t>Students who process their surroundings and affordances</w:t>
      </w:r>
      <w:r w:rsidR="00A7459C">
        <w:t xml:space="preserve">, start to ‘cultivate’ </w:t>
      </w:r>
      <w:r w:rsidR="00432C62">
        <w:t xml:space="preserve">or ‘foster’ this feeling of mindfulness in their own education. </w:t>
      </w:r>
      <w:r w:rsidR="00D76861">
        <w:t>So</w:t>
      </w:r>
      <w:r w:rsidR="007148AA">
        <w:t>,</w:t>
      </w:r>
      <w:r w:rsidR="00D76861">
        <w:t xml:space="preserve"> within high engagement with the outdoors </w:t>
      </w:r>
      <w:r w:rsidR="00D0572E">
        <w:t xml:space="preserve">ultimately begins to show </w:t>
      </w:r>
      <w:r w:rsidR="0084593C">
        <w:t>a high awareness of a student’s own mindfulness experience.</w:t>
      </w:r>
    </w:p>
    <w:p w14:paraId="00477826" w14:textId="5A4F728F" w:rsidR="00471360" w:rsidRDefault="00971095" w:rsidP="00053EAB">
      <w:pPr>
        <w:spacing w:line="360" w:lineRule="auto"/>
      </w:pPr>
      <w:r>
        <w:t xml:space="preserve">An article by Gustafsson et al. (2012) highlighted the need for a ‘microsystem’ for which a student needs to engage with the outdoors with a view to </w:t>
      </w:r>
      <w:r w:rsidR="0068188B">
        <w:t>improve their own mood and approach to learning</w:t>
      </w:r>
      <w:r w:rsidR="00B036D0">
        <w:t xml:space="preserve"> and further need for schools to make this connection with the outdoors.</w:t>
      </w:r>
      <w:r w:rsidR="00FB1C0C">
        <w:t xml:space="preserve"> </w:t>
      </w:r>
      <w:r w:rsidR="0053745B">
        <w:t xml:space="preserve">Gustafsson et al. (2012) </w:t>
      </w:r>
      <w:r w:rsidR="00F74B49">
        <w:t xml:space="preserve">goes further to make links between developing the body as well as the mind during education in the outdoors. </w:t>
      </w:r>
      <w:r w:rsidR="00A363BF">
        <w:t>By utilizing a space for Mental and Emotional wellbeing as well as incorporating</w:t>
      </w:r>
      <w:r w:rsidR="00A234D6">
        <w:t xml:space="preserve"> smaller amounts of physical activity this allows for </w:t>
      </w:r>
      <w:proofErr w:type="gramStart"/>
      <w:r w:rsidR="00A234D6">
        <w:t>a</w:t>
      </w:r>
      <w:proofErr w:type="gramEnd"/>
      <w:r w:rsidR="00A234D6">
        <w:t xml:space="preserve"> ultimately inclusive atmosphere of Outdoor Education whilst </w:t>
      </w:r>
      <w:r w:rsidR="002F465B">
        <w:t xml:space="preserve">adopting the </w:t>
      </w:r>
      <w:r w:rsidR="002F465B">
        <w:rPr>
          <w:i/>
          <w:iCs/>
        </w:rPr>
        <w:t xml:space="preserve">What Matters Statements </w:t>
      </w:r>
      <w:r w:rsidR="002F465B">
        <w:t>of the Curriculum for Wales (Welsh Government, 2020).</w:t>
      </w:r>
    </w:p>
    <w:p w14:paraId="1F043DBB" w14:textId="77777777" w:rsidR="00806E3E" w:rsidRDefault="001E3357" w:rsidP="00053EAB">
      <w:pPr>
        <w:spacing w:line="360" w:lineRule="auto"/>
      </w:pPr>
      <w:r>
        <w:lastRenderedPageBreak/>
        <w:t xml:space="preserve">Another requirement of this space would be able to support neurodiverse students and those with adaptive needs. </w:t>
      </w:r>
      <w:r w:rsidR="00BC5EA9">
        <w:t xml:space="preserve">By </w:t>
      </w:r>
      <w:r w:rsidR="0078781B">
        <w:t xml:space="preserve">adopting this </w:t>
      </w:r>
      <w:r w:rsidR="00EB7667">
        <w:t>philosophy,</w:t>
      </w:r>
      <w:r w:rsidR="0078781B">
        <w:t xml:space="preserve"> it would allow for a wider </w:t>
      </w:r>
      <w:r w:rsidR="001C39AA">
        <w:t>spectrum</w:t>
      </w:r>
      <w:r w:rsidR="0078781B">
        <w:t xml:space="preserve"> of students needs to be met, as stated by </w:t>
      </w:r>
      <w:r w:rsidR="00FA6A24">
        <w:t>Liebermann and Block (20</w:t>
      </w:r>
      <w:r w:rsidR="006159C2">
        <w:t>17</w:t>
      </w:r>
      <w:r w:rsidR="00FA6A24">
        <w:t xml:space="preserve">) </w:t>
      </w:r>
      <w:r w:rsidR="00E1569F">
        <w:t xml:space="preserve">“The inclusion philosophy </w:t>
      </w:r>
      <w:r w:rsidR="005209F6">
        <w:t>suggested that only through the merger of resources, knowledge</w:t>
      </w:r>
      <w:r w:rsidR="002F0B66">
        <w:t>, and talents of the general an</w:t>
      </w:r>
      <w:r w:rsidR="00CC0E15">
        <w:t>d</w:t>
      </w:r>
      <w:r w:rsidR="002F0B66">
        <w:t xml:space="preserve"> special education can both students </w:t>
      </w:r>
      <w:r w:rsidR="00104D82">
        <w:t>with and without disabilities receive a comprehensive</w:t>
      </w:r>
      <w:r w:rsidR="00CC0E15">
        <w:t>, appropriate education” (p.263).</w:t>
      </w:r>
    </w:p>
    <w:p w14:paraId="72EED056" w14:textId="2D1467DE" w:rsidR="00874DC5" w:rsidRPr="001E5F94" w:rsidRDefault="00610B4B" w:rsidP="00053EAB">
      <w:pPr>
        <w:spacing w:line="360" w:lineRule="auto"/>
      </w:pPr>
      <w:r>
        <w:t>It is important that this</w:t>
      </w:r>
      <w:r w:rsidR="00D91974">
        <w:t xml:space="preserve"> presence of mindfulness activities within the outdoors be sustainable for </w:t>
      </w:r>
      <w:proofErr w:type="spellStart"/>
      <w:r w:rsidR="00D91974">
        <w:t>Cynefin</w:t>
      </w:r>
      <w:proofErr w:type="spellEnd"/>
      <w:r w:rsidR="00D91974">
        <w:t xml:space="preserve"> and its surroundings. </w:t>
      </w:r>
      <w:r w:rsidR="00DD6221">
        <w:t xml:space="preserve">Through </w:t>
      </w:r>
      <w:r w:rsidR="00252D41">
        <w:t>daily activities</w:t>
      </w:r>
      <w:r w:rsidR="00B87AA0">
        <w:t>, the affordances and environmental support given to us will change but it is important that us as practitioners acknowledge th</w:t>
      </w:r>
      <w:r w:rsidR="00502C96">
        <w:t>e way we impact our ‘</w:t>
      </w:r>
      <w:proofErr w:type="gramStart"/>
      <w:r w:rsidR="00502C96">
        <w:t>microsystems</w:t>
      </w:r>
      <w:r w:rsidR="008C6DF4">
        <w:t>’</w:t>
      </w:r>
      <w:proofErr w:type="gramEnd"/>
      <w:r w:rsidR="008C6DF4">
        <w:t xml:space="preserve"> and ecosystems</w:t>
      </w:r>
      <w:r w:rsidR="00502C96">
        <w:t>.</w:t>
      </w:r>
      <w:r w:rsidR="008C6DF4">
        <w:t xml:space="preserve"> This is supported by </w:t>
      </w:r>
      <w:r w:rsidR="005D0F4E">
        <w:t>Longshore et al.</w:t>
      </w:r>
      <w:r w:rsidR="008C6DF4">
        <w:t xml:space="preserve"> (201</w:t>
      </w:r>
      <w:r w:rsidR="0089363C">
        <w:t>9)</w:t>
      </w:r>
      <w:r w:rsidR="00502C96">
        <w:t xml:space="preserve"> “</w:t>
      </w:r>
      <w:r w:rsidR="00502C96" w:rsidRPr="00502C96">
        <w:t>examination of the ecosystem and how we support or diminish its health through our daily acts is a great resource and meditation as we seek to practice green, mindfully</w:t>
      </w:r>
      <w:r w:rsidR="00502C96">
        <w:t>”</w:t>
      </w:r>
      <w:r w:rsidR="005D0F4E">
        <w:t xml:space="preserve"> (p.</w:t>
      </w:r>
      <w:r w:rsidR="00EC24E1">
        <w:t>330). Therefore</w:t>
      </w:r>
      <w:r w:rsidR="009C408B">
        <w:t>,</w:t>
      </w:r>
      <w:r w:rsidR="00EC24E1">
        <w:t xml:space="preserve"> my proposal area would be to utilise the area already marked with the Yurt as to not make significant changes to the environment on that side and to make use of the building already in place.</w:t>
      </w:r>
    </w:p>
    <w:p w14:paraId="17A41148" w14:textId="0F0ABD16" w:rsidR="00EB788A" w:rsidRPr="00920F8C" w:rsidRDefault="001E5F94" w:rsidP="00053EAB">
      <w:pPr>
        <w:spacing w:line="360" w:lineRule="auto"/>
        <w:rPr>
          <w:b/>
          <w:bCs/>
        </w:rPr>
      </w:pPr>
      <w:r>
        <w:rPr>
          <w:b/>
          <w:bCs/>
        </w:rPr>
        <w:t xml:space="preserve">Physical Literacy and The Daily Mile </w:t>
      </w:r>
      <w:r w:rsidR="009C408B">
        <w:rPr>
          <w:b/>
          <w:bCs/>
        </w:rPr>
        <w:t>Area</w:t>
      </w:r>
    </w:p>
    <w:p w14:paraId="4CC64653" w14:textId="071BB9AC" w:rsidR="00EB788A" w:rsidRDefault="00C6248E" w:rsidP="00053EAB">
      <w:pPr>
        <w:spacing w:line="360" w:lineRule="auto"/>
      </w:pPr>
      <w:r>
        <w:t>The next focus area to look at would be a</w:t>
      </w:r>
      <w:r w:rsidR="002A3DCC">
        <w:t>n area with a focus of Physical Literacy</w:t>
      </w:r>
      <w:r w:rsidR="00416819">
        <w:t xml:space="preserve"> </w:t>
      </w:r>
      <w:r w:rsidR="007E5B13">
        <w:t xml:space="preserve">with accompanying a Journeying perspective of </w:t>
      </w:r>
      <w:r w:rsidR="00B04B62">
        <w:t>this activity. One thing I would like to</w:t>
      </w:r>
      <w:r w:rsidR="00666F0B">
        <w:t xml:space="preserve"> incorporate is </w:t>
      </w:r>
      <w:r w:rsidR="003024AE">
        <w:t>to make this track a mile in length. This would be in accordance with The Daily Mile initiative</w:t>
      </w:r>
      <w:r w:rsidR="008337F0">
        <w:t xml:space="preserve">. </w:t>
      </w:r>
      <w:r w:rsidR="005D5712">
        <w:t xml:space="preserve">In a study by Breslin et al. (2023) </w:t>
      </w:r>
      <w:r w:rsidR="006311D0">
        <w:t xml:space="preserve">showed that there were numerous </w:t>
      </w:r>
      <w:r w:rsidR="0082517A">
        <w:t xml:space="preserve">physical </w:t>
      </w:r>
      <w:r w:rsidR="006311D0">
        <w:t>benefits to children completing The Daily Mile such as “</w:t>
      </w:r>
      <w:r w:rsidR="006311D0" w:rsidRPr="006311D0">
        <w:t>improving children’s fitness, maintaining healthy weight, strengthening muscles and bones, improving sleep quality, and mental health and wellbeing enhancements</w:t>
      </w:r>
      <w:r w:rsidR="006311D0">
        <w:t xml:space="preserve">” (p.2) to name a few. </w:t>
      </w:r>
      <w:r w:rsidR="0083468E">
        <w:t xml:space="preserve">Whilst highlighting the physical benefits </w:t>
      </w:r>
      <w:r w:rsidR="004911BF">
        <w:t xml:space="preserve">Breslin et al (2023) also stated that </w:t>
      </w:r>
      <w:r w:rsidR="000E7911">
        <w:t xml:space="preserve">improvements to mental health and wellbeing were </w:t>
      </w:r>
      <w:r w:rsidR="00D710F2">
        <w:t>something that needed further exploration. In this area, I would propose</w:t>
      </w:r>
      <w:r w:rsidR="00F56B94">
        <w:t xml:space="preserve"> by making a</w:t>
      </w:r>
      <w:r w:rsidR="00C97952">
        <w:t xml:space="preserve"> track in the outdoors that engaged with nature along the way whilst also </w:t>
      </w:r>
      <w:r w:rsidR="00F420AF">
        <w:t>being in accordance with The Daily Mile</w:t>
      </w:r>
      <w:r w:rsidR="007148AA">
        <w:t xml:space="preserve"> would allow students to gain the benefits from engaging with the outdoors (Gustafsson et al., 2012) whilst improving the physical also.</w:t>
      </w:r>
    </w:p>
    <w:p w14:paraId="3482B8BF" w14:textId="3A0A61F9" w:rsidR="005661B0" w:rsidRDefault="005661B0" w:rsidP="00053EAB">
      <w:pPr>
        <w:spacing w:line="360" w:lineRule="auto"/>
      </w:pPr>
      <w:r>
        <w:t>Another aspect of this area would be high in engagement with Physical Literacy.</w:t>
      </w:r>
      <w:r w:rsidR="00541F4F">
        <w:t xml:space="preserve"> </w:t>
      </w:r>
      <w:r w:rsidR="00F2756C">
        <w:t>Wainwright and Williams</w:t>
      </w:r>
      <w:r w:rsidR="00A61E7E">
        <w:t xml:space="preserve"> (2021)</w:t>
      </w:r>
      <w:r w:rsidR="00F2756C">
        <w:t xml:space="preserve"> highlighted the </w:t>
      </w:r>
      <w:r w:rsidR="00A61E7E">
        <w:t xml:space="preserve">importance of </w:t>
      </w:r>
      <w:r w:rsidR="006333C8">
        <w:t xml:space="preserve">engagement of Physical Literacy in an outdoor setting and its benefits for Child Development. </w:t>
      </w:r>
      <w:r w:rsidR="004A2B8E">
        <w:t>Stating that “</w:t>
      </w:r>
      <w:r w:rsidR="00E54018">
        <w:t xml:space="preserve">Children need to develop good gravitational awareness in order to be able to sit, walk run and move with competence. This development of balance and postural control is supported by visual and motor systems.” </w:t>
      </w:r>
      <w:r w:rsidR="00E54018">
        <w:lastRenderedPageBreak/>
        <w:t>(Wainwright and Williams, 2021, p.</w:t>
      </w:r>
      <w:r w:rsidR="00E841C1">
        <w:t>2). To support this</w:t>
      </w:r>
      <w:r w:rsidR="00854C9D">
        <w:t xml:space="preserve">, </w:t>
      </w:r>
      <w:r w:rsidR="003D5AF1">
        <w:t xml:space="preserve">I propose to incorporate a variety of </w:t>
      </w:r>
      <w:r w:rsidR="006D242A">
        <w:t>‘</w:t>
      </w:r>
      <w:r w:rsidR="003D5AF1">
        <w:t>challenge</w:t>
      </w:r>
      <w:r w:rsidR="006D242A">
        <w:t>s’</w:t>
      </w:r>
      <w:r w:rsidR="00E54018">
        <w:t xml:space="preserve"> </w:t>
      </w:r>
      <w:r w:rsidR="006D242A">
        <w:t xml:space="preserve">or ‘tasks’ set to challenge students to engage with the outdoors whilst developing key skills within this area of development. </w:t>
      </w:r>
    </w:p>
    <w:p w14:paraId="6AE8C97D" w14:textId="6191B37E" w:rsidR="003A3FFB" w:rsidRPr="00771DEE" w:rsidRDefault="00EE07F9" w:rsidP="00053EAB">
      <w:pPr>
        <w:spacing w:line="360" w:lineRule="auto"/>
      </w:pPr>
      <w:r>
        <w:t xml:space="preserve">To utilise this effectively on the </w:t>
      </w:r>
      <w:proofErr w:type="spellStart"/>
      <w:r>
        <w:t>Cynefin</w:t>
      </w:r>
      <w:proofErr w:type="spellEnd"/>
      <w:r>
        <w:t xml:space="preserve"> site, I propose to </w:t>
      </w:r>
      <w:r w:rsidR="00EE6774">
        <w:t>map this track along the perimeter of the site. This will allow for a series of different affordances and environments to engage with that can promote</w:t>
      </w:r>
      <w:r w:rsidR="00C77AF5">
        <w:t xml:space="preserve"> the ‘training of different systems’ (Wainwright and Williams, 2021) </w:t>
      </w:r>
      <w:r w:rsidR="007440AB">
        <w:t xml:space="preserve">within an outdoor setting. </w:t>
      </w:r>
      <w:r w:rsidR="00262CD8">
        <w:t xml:space="preserve">With each setting providing its own task and engagement level it allows for a high engagement with the environment and gain </w:t>
      </w:r>
      <w:r w:rsidR="00E46F33">
        <w:t>multi-sensory feedback</w:t>
      </w:r>
      <w:r w:rsidR="00FF11E2">
        <w:t xml:space="preserve"> from the environment</w:t>
      </w:r>
      <w:r w:rsidR="00D30D97">
        <w:t xml:space="preserve"> </w:t>
      </w:r>
      <w:r w:rsidR="00DC6355">
        <w:t>(Blades, 2021)</w:t>
      </w:r>
      <w:r w:rsidR="00FF11E2">
        <w:t xml:space="preserve"> </w:t>
      </w:r>
      <w:r w:rsidR="00D30D97">
        <w:t xml:space="preserve">that can afford the individual </w:t>
      </w:r>
      <w:r w:rsidR="00DC6355">
        <w:t xml:space="preserve">development in a multitude of </w:t>
      </w:r>
      <w:r w:rsidR="007A32D4">
        <w:t xml:space="preserve">developmental </w:t>
      </w:r>
      <w:r w:rsidR="00DC6355">
        <w:t xml:space="preserve">areas whilst </w:t>
      </w:r>
      <w:r w:rsidR="007A32D4">
        <w:t>in engaging within different environments.</w:t>
      </w:r>
    </w:p>
    <w:p w14:paraId="15C8799D" w14:textId="628C7CB1" w:rsidR="00920F8C" w:rsidRPr="00920F8C" w:rsidRDefault="00920F8C" w:rsidP="00053EAB">
      <w:pPr>
        <w:spacing w:line="360" w:lineRule="auto"/>
        <w:rPr>
          <w:b/>
          <w:bCs/>
        </w:rPr>
      </w:pPr>
      <w:r>
        <w:rPr>
          <w:b/>
          <w:bCs/>
        </w:rPr>
        <w:t>Green For Go! Area</w:t>
      </w:r>
    </w:p>
    <w:p w14:paraId="633994B5" w14:textId="59A204D3" w:rsidR="00920F8C" w:rsidRDefault="00A250EB" w:rsidP="00053EAB">
      <w:pPr>
        <w:spacing w:line="360" w:lineRule="auto"/>
      </w:pPr>
      <w:r>
        <w:t>The final area of focus</w:t>
      </w:r>
      <w:r w:rsidR="00362B03">
        <w:t xml:space="preserve"> is what I’m terming ‘Green for Go!’, this is </w:t>
      </w:r>
      <w:r w:rsidR="00FE5558">
        <w:t xml:space="preserve">an area for the most physical activity. </w:t>
      </w:r>
      <w:r w:rsidR="00846969">
        <w:t xml:space="preserve">This area will be </w:t>
      </w:r>
      <w:r w:rsidR="00A55B63">
        <w:t>the most physically</w:t>
      </w:r>
      <w:r w:rsidR="00C83893">
        <w:t xml:space="preserve"> active, it allows for the use of all the skills gained from </w:t>
      </w:r>
      <w:r w:rsidR="00AE224B">
        <w:t>the other areas and use them in more ph</w:t>
      </w:r>
      <w:r w:rsidR="00DB0148">
        <w:t>ysically demanding activities.</w:t>
      </w:r>
      <w:r w:rsidR="00362B03">
        <w:t xml:space="preserve"> </w:t>
      </w:r>
      <w:r w:rsidR="00971AC8">
        <w:t>For this area I am looking for students to engage with 2 key areas</w:t>
      </w:r>
      <w:r w:rsidR="008B33C8">
        <w:t>. One being a Mountain Biking area, the other being a Climbing area</w:t>
      </w:r>
      <w:r w:rsidR="00E46F33">
        <w:t>.</w:t>
      </w:r>
      <w:r w:rsidR="008B33C8">
        <w:t xml:space="preserve"> </w:t>
      </w:r>
    </w:p>
    <w:p w14:paraId="4040290F" w14:textId="7D2F7099" w:rsidR="00920F8C" w:rsidRDefault="00033CDE" w:rsidP="00053EAB">
      <w:pPr>
        <w:spacing w:line="360" w:lineRule="auto"/>
      </w:pPr>
      <w:r>
        <w:t>The first</w:t>
      </w:r>
      <w:r w:rsidR="00725EB6">
        <w:t xml:space="preserve"> part of the </w:t>
      </w:r>
      <w:r>
        <w:t>area I want to</w:t>
      </w:r>
      <w:r w:rsidR="0020416B">
        <w:t xml:space="preserve"> highlight is that of the Mountain Biking. This is particularly prevalent due to </w:t>
      </w:r>
      <w:proofErr w:type="spellStart"/>
      <w:r w:rsidR="0020416B">
        <w:t>Cynefin</w:t>
      </w:r>
      <w:proofErr w:type="spellEnd"/>
      <w:r w:rsidR="0020416B">
        <w:t xml:space="preserve"> already having facilities built in to store bikes and having a ‘pump track’</w:t>
      </w:r>
      <w:r w:rsidR="00473D2A">
        <w:t xml:space="preserve"> built already. To progress this further </w:t>
      </w:r>
      <w:r w:rsidR="00B72E9A">
        <w:t>I propose</w:t>
      </w:r>
      <w:r w:rsidR="00880B9F">
        <w:t xml:space="preserve"> to expand this area</w:t>
      </w:r>
      <w:r w:rsidR="00406EDC">
        <w:t xml:space="preserve"> and incorporate differing tasks to engage </w:t>
      </w:r>
      <w:r w:rsidR="008D7749">
        <w:t xml:space="preserve">in different areas of development (Wainwright and Williams, 2021). </w:t>
      </w:r>
      <w:r w:rsidR="00BB7DB7">
        <w:t xml:space="preserve">King and Church (2020) </w:t>
      </w:r>
      <w:r w:rsidR="00A82A02">
        <w:t>recognise the need for these spaces</w:t>
      </w:r>
      <w:r w:rsidR="00106D08">
        <w:t xml:space="preserve"> for leisure-based ac</w:t>
      </w:r>
      <w:r w:rsidR="001051B0">
        <w:t>t</w:t>
      </w:r>
      <w:r w:rsidR="00106D08">
        <w:t>ivities</w:t>
      </w:r>
      <w:r w:rsidR="00A82A02">
        <w:t xml:space="preserve"> within </w:t>
      </w:r>
      <w:r w:rsidR="00BA5C07">
        <w:t>communities.</w:t>
      </w:r>
      <w:r w:rsidR="00A80DA1">
        <w:t xml:space="preserve"> Sighting improvements to the </w:t>
      </w:r>
      <w:r w:rsidR="001051B0">
        <w:t>“</w:t>
      </w:r>
      <w:r w:rsidR="005A7678">
        <w:t xml:space="preserve">Physical and mental health and social development of </w:t>
      </w:r>
      <w:r w:rsidR="00106D08">
        <w:t>young people</w:t>
      </w:r>
      <w:r w:rsidR="001051B0">
        <w:t>” (</w:t>
      </w:r>
      <w:r w:rsidR="007C39E2">
        <w:t xml:space="preserve">King and Church, 2020, p.204). </w:t>
      </w:r>
      <w:r w:rsidR="00545EC1">
        <w:t xml:space="preserve">Also stating that Mountain Biking </w:t>
      </w:r>
      <w:r w:rsidR="004F659C">
        <w:t>is an ever-expanding activity</w:t>
      </w:r>
      <w:r w:rsidR="00905478">
        <w:t>, that it makes up “</w:t>
      </w:r>
      <w:r w:rsidR="0038648F" w:rsidRPr="0038648F">
        <w:t>9% of all outdoor recreational activities in England</w:t>
      </w:r>
      <w:r w:rsidR="0038648F">
        <w:t>” (</w:t>
      </w:r>
      <w:r w:rsidR="0038648F" w:rsidRPr="0038648F">
        <w:t>Sport England &amp; Outdoor Industries Association</w:t>
      </w:r>
      <w:r w:rsidR="0038648F">
        <w:t>, 2015 cited in King and Church, 202</w:t>
      </w:r>
      <w:r w:rsidR="00736CD8">
        <w:t xml:space="preserve">0). </w:t>
      </w:r>
      <w:r w:rsidR="00A1718E">
        <w:t xml:space="preserve">Whilst showing that this ‘ever-expanding’ is on the rise Church and King (2020) do note that there are </w:t>
      </w:r>
      <w:r w:rsidR="007404C9">
        <w:t xml:space="preserve">challenges with </w:t>
      </w:r>
      <w:r w:rsidR="00F74D39">
        <w:t xml:space="preserve">facilitating this activity. </w:t>
      </w:r>
      <w:r w:rsidR="005678F0">
        <w:t>Highlighting that “</w:t>
      </w:r>
      <w:r w:rsidR="00656730" w:rsidRPr="00656730">
        <w:t xml:space="preserve">provision for mountain biking in the U.K. is formed largely of formal pay to ride or club owned mountain bike parks for </w:t>
      </w:r>
      <w:proofErr w:type="spellStart"/>
      <w:r w:rsidR="00656730" w:rsidRPr="00656730">
        <w:t>dirtjump</w:t>
      </w:r>
      <w:proofErr w:type="spellEnd"/>
      <w:r w:rsidR="00656730" w:rsidRPr="00656730">
        <w:t>, downhill and freeride disciplines, or trail centres or open access state managed land for cross country riding</w:t>
      </w:r>
      <w:r w:rsidR="00656730">
        <w:t>” (King and Church, 20</w:t>
      </w:r>
      <w:r w:rsidR="000763BE">
        <w:t xml:space="preserve">20, p.206). By </w:t>
      </w:r>
      <w:r w:rsidR="00D11650">
        <w:t xml:space="preserve">affording </w:t>
      </w:r>
      <w:proofErr w:type="spellStart"/>
      <w:r w:rsidR="00D11650">
        <w:t>Cynefin</w:t>
      </w:r>
      <w:proofErr w:type="spellEnd"/>
      <w:r w:rsidR="00D11650">
        <w:t xml:space="preserve"> with facilities that help access this activit</w:t>
      </w:r>
      <w:r w:rsidR="00CF786E">
        <w:t>y positions the site to be a central hub of the community and afford students access to safely</w:t>
      </w:r>
      <w:r w:rsidR="008A020C">
        <w:t xml:space="preserve"> engage</w:t>
      </w:r>
      <w:r w:rsidR="00CF786E">
        <w:t xml:space="preserve"> </w:t>
      </w:r>
      <w:r w:rsidR="008A020C">
        <w:t xml:space="preserve">as part of their curriculum as well as in their personal time.  </w:t>
      </w:r>
    </w:p>
    <w:p w14:paraId="1705D681" w14:textId="60511DCB" w:rsidR="00920F8C" w:rsidRDefault="00725EB6" w:rsidP="00053EAB">
      <w:pPr>
        <w:spacing w:line="360" w:lineRule="auto"/>
      </w:pPr>
      <w:r>
        <w:lastRenderedPageBreak/>
        <w:t xml:space="preserve">The second part is Climbing, </w:t>
      </w:r>
      <w:r w:rsidR="00092F57">
        <w:t>for this</w:t>
      </w:r>
      <w:r w:rsidR="006C25DB">
        <w:t>,</w:t>
      </w:r>
      <w:r w:rsidR="00FE3E35">
        <w:t xml:space="preserve"> </w:t>
      </w:r>
      <w:r w:rsidR="006F245C">
        <w:t xml:space="preserve">changes to the current site will </w:t>
      </w:r>
      <w:r w:rsidR="006C25DB">
        <w:t>need</w:t>
      </w:r>
      <w:r w:rsidR="006F245C">
        <w:t xml:space="preserve"> to be made. </w:t>
      </w:r>
      <w:r w:rsidR="006C25DB">
        <w:t>By incorporating a climbing wall outside</w:t>
      </w:r>
      <w:r w:rsidR="00C109CF">
        <w:t xml:space="preserve"> and series of </w:t>
      </w:r>
      <w:proofErr w:type="spellStart"/>
      <w:r w:rsidR="00C109CF">
        <w:t>Treadwall</w:t>
      </w:r>
      <w:proofErr w:type="spellEnd"/>
      <w:r w:rsidR="00C109CF">
        <w:t xml:space="preserve"> that are interchangeable to the indoors and outdoors will provide ample opportunities for development.</w:t>
      </w:r>
    </w:p>
    <w:p w14:paraId="5955658C" w14:textId="77777777" w:rsidR="002F1A75" w:rsidRPr="00B30734" w:rsidRDefault="002F1A75" w:rsidP="00053EAB">
      <w:pPr>
        <w:spacing w:line="360" w:lineRule="auto"/>
        <w:jc w:val="center"/>
      </w:pPr>
      <w:r>
        <w:t>“</w:t>
      </w:r>
      <w:r w:rsidRPr="00C03712">
        <w:t>Physical activities and sports, including climbing, have been used to eliminate fear when moving at height, to acquire certain motor abilities and skills, to increase dexterity and at the same time as a means of mental development, such as human victory over gravity or increase courage and confidence.</w:t>
      </w:r>
      <w:r>
        <w:t>” (</w:t>
      </w:r>
      <w:proofErr w:type="spellStart"/>
      <w:r>
        <w:t>Kompan</w:t>
      </w:r>
      <w:proofErr w:type="spellEnd"/>
      <w:r>
        <w:t xml:space="preserve"> et al, 2021, p.2074)</w:t>
      </w:r>
    </w:p>
    <w:p w14:paraId="39580961" w14:textId="69BD0F41" w:rsidR="00086E47" w:rsidRDefault="00E22AC4" w:rsidP="00053EAB">
      <w:pPr>
        <w:spacing w:line="360" w:lineRule="auto"/>
      </w:pPr>
      <w:proofErr w:type="spellStart"/>
      <w:r>
        <w:t>Kompan</w:t>
      </w:r>
      <w:proofErr w:type="spellEnd"/>
      <w:r>
        <w:t xml:space="preserve"> et al (2021) makes a strong case in this statement</w:t>
      </w:r>
      <w:r w:rsidR="0055028B">
        <w:t xml:space="preserve">, by making this claim to enrich </w:t>
      </w:r>
      <w:proofErr w:type="spellStart"/>
      <w:r w:rsidR="0055028B">
        <w:t>students</w:t>
      </w:r>
      <w:proofErr w:type="spellEnd"/>
      <w:r w:rsidR="0055028B">
        <w:t xml:space="preserve"> lives through to acquisition of climbing-based skills. </w:t>
      </w:r>
      <w:r w:rsidR="00A108E3">
        <w:t>Not only focusing on the physical but by engaging in the acquisition of mental development also provides a sturdy platform in which to deve</w:t>
      </w:r>
      <w:r w:rsidR="00AC356A">
        <w:t xml:space="preserve">lop student’s emotional wellbeing, something supported by Welsh Government (2020) in the </w:t>
      </w:r>
      <w:r w:rsidR="00571209">
        <w:rPr>
          <w:i/>
          <w:iCs/>
        </w:rPr>
        <w:t>What Matters Statements.</w:t>
      </w:r>
      <w:r w:rsidR="00571209">
        <w:t xml:space="preserve"> Balas et al. (2021) also</w:t>
      </w:r>
      <w:r w:rsidR="00584883">
        <w:t xml:space="preserve"> supports acquisition of skills</w:t>
      </w:r>
      <w:r w:rsidR="00593E87">
        <w:t xml:space="preserve"> development through the use of </w:t>
      </w:r>
      <w:proofErr w:type="spellStart"/>
      <w:r w:rsidR="00593E87">
        <w:t>Treadwall</w:t>
      </w:r>
      <w:r w:rsidR="00075224">
        <w:t>’</w:t>
      </w:r>
      <w:r w:rsidR="00593E87">
        <w:t>s</w:t>
      </w:r>
      <w:proofErr w:type="spellEnd"/>
      <w:r w:rsidR="00593E87">
        <w:t xml:space="preserve"> stating its advantages over a </w:t>
      </w:r>
      <w:r w:rsidR="00075224">
        <w:t>traditional climbing wall, “</w:t>
      </w:r>
      <w:r w:rsidR="00075224" w:rsidRPr="00071330">
        <w:t xml:space="preserve">A mechanical </w:t>
      </w:r>
      <w:proofErr w:type="spellStart"/>
      <w:r w:rsidR="00075224" w:rsidRPr="00071330">
        <w:t>treadwall</w:t>
      </w:r>
      <w:proofErr w:type="spellEnd"/>
      <w:r w:rsidR="00075224" w:rsidRPr="00071330">
        <w:t xml:space="preserve"> has many advantages over an ascent of a wall in an indoor gym as it enables control for climbing speed and for belt inclination</w:t>
      </w:r>
      <w:r w:rsidR="00075224">
        <w:t>” (Balas et al., 2021). By utilising this control</w:t>
      </w:r>
      <w:r w:rsidR="0072015F">
        <w:t xml:space="preserve">led approach to climbing and change of incline to the </w:t>
      </w:r>
      <w:r w:rsidR="00ED57F8">
        <w:t xml:space="preserve">wall allows for development in gravitational pull and engagement with physiological responses as suggested by Wainwright and Williams (2021). </w:t>
      </w:r>
      <w:r w:rsidR="0072015F">
        <w:t xml:space="preserve"> </w:t>
      </w:r>
    </w:p>
    <w:p w14:paraId="4BAA8376" w14:textId="58A469E5" w:rsidR="000F532F" w:rsidRPr="000F0886" w:rsidRDefault="000F532F" w:rsidP="00053EAB">
      <w:pPr>
        <w:spacing w:line="360" w:lineRule="auto"/>
      </w:pPr>
      <w:r>
        <w:t>Th</w:t>
      </w:r>
      <w:r w:rsidR="00FB1BC2">
        <w:t xml:space="preserve">ese activities would be targeted at the physical development portion of the Curriculum for Wales, as they are 2 activities specifically designed to be out amongst the outdoors that promote lifelong benefits of Physical Activity, as promoted in the </w:t>
      </w:r>
      <w:r w:rsidR="00FB1BC2">
        <w:rPr>
          <w:i/>
          <w:iCs/>
        </w:rPr>
        <w:t>What Matters Statements</w:t>
      </w:r>
      <w:r w:rsidR="000F0886">
        <w:t xml:space="preserve"> (Welsh Government, 2020).</w:t>
      </w:r>
    </w:p>
    <w:p w14:paraId="63D757CD" w14:textId="77777777" w:rsidR="00771DEE" w:rsidRDefault="00771DEE" w:rsidP="00053EAB">
      <w:pPr>
        <w:spacing w:line="360" w:lineRule="auto"/>
        <w:rPr>
          <w:b/>
          <w:bCs/>
        </w:rPr>
      </w:pPr>
    </w:p>
    <w:p w14:paraId="4A15541C" w14:textId="39EEE59C" w:rsidR="00920F8C" w:rsidRPr="00A04240" w:rsidRDefault="00920F8C" w:rsidP="00053EAB">
      <w:pPr>
        <w:spacing w:line="360" w:lineRule="auto"/>
        <w:rPr>
          <w:b/>
          <w:bCs/>
        </w:rPr>
      </w:pPr>
      <w:r w:rsidRPr="00920F8C">
        <w:rPr>
          <w:b/>
          <w:bCs/>
        </w:rPr>
        <w:t>C</w:t>
      </w:r>
      <w:r w:rsidR="001325C6">
        <w:rPr>
          <w:b/>
          <w:bCs/>
        </w:rPr>
        <w:t>hallenges</w:t>
      </w:r>
    </w:p>
    <w:p w14:paraId="5C4E89C4" w14:textId="48679D3B" w:rsidR="00920F8C" w:rsidRPr="00E07788" w:rsidRDefault="00DB0148" w:rsidP="00053EAB">
      <w:pPr>
        <w:spacing w:line="360" w:lineRule="auto"/>
      </w:pPr>
      <w:r>
        <w:t xml:space="preserve">Whilst this </w:t>
      </w:r>
      <w:r w:rsidR="007C3F19">
        <w:t>multifaceted</w:t>
      </w:r>
      <w:r>
        <w:t xml:space="preserve"> </w:t>
      </w:r>
      <w:r w:rsidR="007C3F19">
        <w:t>approach will allow for more range of activities for a greater depth of students. Th</w:t>
      </w:r>
      <w:r w:rsidR="00273EDE">
        <w:t>ere are some considerations to make before the transformation</w:t>
      </w:r>
      <w:r w:rsidR="00C847A9">
        <w:t xml:space="preserve"> of </w:t>
      </w:r>
      <w:proofErr w:type="spellStart"/>
      <w:r w:rsidR="00C847A9">
        <w:t>Cynefin</w:t>
      </w:r>
      <w:proofErr w:type="spellEnd"/>
      <w:r w:rsidR="00C847A9">
        <w:t>.</w:t>
      </w:r>
      <w:r w:rsidR="00CF21EC">
        <w:t xml:space="preserve"> </w:t>
      </w:r>
      <w:r w:rsidR="008A42FC">
        <w:t>Prior to transformation, the risk of each activity should be analysed correctly</w:t>
      </w:r>
      <w:r w:rsidR="002741CD">
        <w:t xml:space="preserve">. Whilst I see many benefits to </w:t>
      </w:r>
      <w:r w:rsidR="00A7392F">
        <w:t xml:space="preserve">this transformation, Risk will have to be managed effectively before making </w:t>
      </w:r>
      <w:r w:rsidR="00432857">
        <w:t xml:space="preserve">changes. This is due to </w:t>
      </w:r>
      <w:r w:rsidR="00432857" w:rsidRPr="00E07788">
        <w:t>“A perceived growth in possible litigation in the past two decades and a few high-profile accidents have led to increased health and safety regulations intended to prevent harm</w:t>
      </w:r>
      <w:r w:rsidR="00432857">
        <w:t>”</w:t>
      </w:r>
      <w:r w:rsidR="00432857" w:rsidRPr="00E07788">
        <w:t xml:space="preserve"> (Gill, 2009 cited in Waite, 2016, p.105)</w:t>
      </w:r>
      <w:r w:rsidR="00432857">
        <w:t xml:space="preserve">. </w:t>
      </w:r>
      <w:r w:rsidR="00823FAD">
        <w:t>Not to say this without risk we do not see rewards. An advocate for this would be Gill (</w:t>
      </w:r>
      <w:r w:rsidR="001E79F9">
        <w:t xml:space="preserve">n.d.) </w:t>
      </w:r>
      <w:r w:rsidR="003126A6">
        <w:t xml:space="preserve">who advocates for a ‘Risk Benefit’ style approach to </w:t>
      </w:r>
      <w:r w:rsidR="003126A6">
        <w:lastRenderedPageBreak/>
        <w:t xml:space="preserve">managing risk, in which </w:t>
      </w:r>
      <w:r w:rsidR="00D066E0">
        <w:t xml:space="preserve">the approach is to summarise the benefits to the task as well as the risk and see which is </w:t>
      </w:r>
      <w:r w:rsidR="004C7DAE">
        <w:t xml:space="preserve">more valuable. Gill (n.d.) does advocate this </w:t>
      </w:r>
      <w:r w:rsidR="006A2719">
        <w:t>by using ‘appropriate safety measures’ but still managing risk effectively, “</w:t>
      </w:r>
      <w:r w:rsidR="004F2C5C" w:rsidRPr="00971DCA">
        <w:t>Improving play and learning opportunities for children and young people of all ages and abilities should be a key objective for teachers and practitioners. This means exposing children to a degree of managed risk. The challenge is to do this without putting them in undue danger of serious harm</w:t>
      </w:r>
      <w:r w:rsidR="004F2C5C">
        <w:t>”</w:t>
      </w:r>
      <w:r w:rsidR="00596006">
        <w:t xml:space="preserve"> (p.7).</w:t>
      </w:r>
      <w:r w:rsidR="00704F43">
        <w:t xml:space="preserve"> This is the overarching aim of these changes, is to allow for development in key areas alongside the curriculum whilst also allowing </w:t>
      </w:r>
      <w:r w:rsidR="00A04240">
        <w:t>students to do this safely and effectively.</w:t>
      </w:r>
    </w:p>
    <w:p w14:paraId="15C625CC" w14:textId="77777777" w:rsidR="00802FCE" w:rsidRDefault="00802FCE" w:rsidP="00053EAB">
      <w:pPr>
        <w:spacing w:line="360" w:lineRule="auto"/>
        <w:rPr>
          <w:b/>
          <w:bCs/>
        </w:rPr>
      </w:pPr>
    </w:p>
    <w:p w14:paraId="3D8D3FE0" w14:textId="6D89A41D" w:rsidR="00920F8C" w:rsidRPr="00920F8C" w:rsidRDefault="00920F8C" w:rsidP="00053EAB">
      <w:pPr>
        <w:spacing w:line="360" w:lineRule="auto"/>
        <w:rPr>
          <w:b/>
          <w:bCs/>
        </w:rPr>
      </w:pPr>
      <w:r w:rsidRPr="00920F8C">
        <w:rPr>
          <w:b/>
          <w:bCs/>
        </w:rPr>
        <w:t xml:space="preserve">Conclusion </w:t>
      </w:r>
    </w:p>
    <w:p w14:paraId="50EB3F4A" w14:textId="01F801FC" w:rsidR="00920F8C" w:rsidRDefault="005B0896" w:rsidP="00053EAB">
      <w:pPr>
        <w:spacing w:line="360" w:lineRule="auto"/>
      </w:pPr>
      <w:r>
        <w:t xml:space="preserve">This paper has been designed to showcase the </w:t>
      </w:r>
      <w:proofErr w:type="spellStart"/>
      <w:r>
        <w:t>Cynefin</w:t>
      </w:r>
      <w:proofErr w:type="spellEnd"/>
      <w:r>
        <w:t xml:space="preserve"> site</w:t>
      </w:r>
      <w:r w:rsidR="003079AF">
        <w:t>, whilst highlighting the way changes can be made to align with the new curriculum (Welsh Government, 2020</w:t>
      </w:r>
      <w:r w:rsidR="00136B68">
        <w:t>).</w:t>
      </w:r>
      <w:r w:rsidR="003D2040">
        <w:t xml:space="preserve"> This paper started by looking at the importance </w:t>
      </w:r>
      <w:r w:rsidR="00E47C02">
        <w:t xml:space="preserve">of identifying the parts of the Curriculum for Wales it wanted to reflect in its changes to the </w:t>
      </w:r>
      <w:proofErr w:type="spellStart"/>
      <w:r w:rsidR="00E47C02">
        <w:t>Cynefin</w:t>
      </w:r>
      <w:proofErr w:type="spellEnd"/>
      <w:r w:rsidR="00E47C02">
        <w:t xml:space="preserve"> site.</w:t>
      </w:r>
      <w:r w:rsidR="00E71289">
        <w:t xml:space="preserve"> It then showed the way in which the site would be changed. Looking at the </w:t>
      </w:r>
      <w:r w:rsidR="001354BE">
        <w:t>i</w:t>
      </w:r>
      <w:r w:rsidR="00E71289">
        <w:t xml:space="preserve">mportance of Play in the outdoors </w:t>
      </w:r>
      <w:r w:rsidR="001354BE">
        <w:t xml:space="preserve">and how best to support play within an outdoor setting. It then went on to focus on </w:t>
      </w:r>
      <w:r w:rsidR="00852EB5">
        <w:t>a ‘zonal approach’</w:t>
      </w:r>
      <w:r w:rsidR="00715830">
        <w:t xml:space="preserve"> (</w:t>
      </w:r>
      <w:r w:rsidR="003E4A17">
        <w:t>Ker</w:t>
      </w:r>
      <w:r w:rsidR="003256AC">
        <w:t>n and Wakeford, 2007)</w:t>
      </w:r>
      <w:r w:rsidR="00852EB5">
        <w:t xml:space="preserve"> to adapt </w:t>
      </w:r>
      <w:proofErr w:type="spellStart"/>
      <w:r w:rsidR="00852EB5">
        <w:t>Cynefin</w:t>
      </w:r>
      <w:proofErr w:type="spellEnd"/>
      <w:r w:rsidR="00852EB5">
        <w:t xml:space="preserve"> with and how best each featured area would suit </w:t>
      </w:r>
      <w:r w:rsidR="00442336">
        <w:t>child development in accordance with the curriculum</w:t>
      </w:r>
      <w:r w:rsidR="00715830">
        <w:t xml:space="preserve"> and </w:t>
      </w:r>
      <w:r w:rsidR="00715830">
        <w:rPr>
          <w:i/>
          <w:iCs/>
        </w:rPr>
        <w:t xml:space="preserve">What Matters Statements </w:t>
      </w:r>
      <w:r w:rsidR="00715830">
        <w:t>by Welsh Government (2020)</w:t>
      </w:r>
      <w:r w:rsidR="00442336">
        <w:t xml:space="preserve">. </w:t>
      </w:r>
    </w:p>
    <w:p w14:paraId="5D9F5209" w14:textId="15998DF8" w:rsidR="007679F0" w:rsidRDefault="0016145A" w:rsidP="00053EAB">
      <w:pPr>
        <w:spacing w:line="360" w:lineRule="auto"/>
      </w:pPr>
      <w:r>
        <w:t xml:space="preserve">It then went into depth about the 3 designated areas of development. Firstly, looking at </w:t>
      </w:r>
      <w:r w:rsidR="00D77F48">
        <w:t xml:space="preserve">a Mindfulness and Inclusive area targeted at engaging students with the </w:t>
      </w:r>
      <w:r w:rsidR="00213D41">
        <w:t>outdoors and surrounding environment</w:t>
      </w:r>
      <w:r w:rsidR="0086634C">
        <w:t xml:space="preserve"> (Gustafsson et al., 2012)</w:t>
      </w:r>
      <w:r w:rsidR="00213D41">
        <w:t xml:space="preserve"> through a </w:t>
      </w:r>
      <w:r w:rsidR="00C17A28">
        <w:t>differing level of activities</w:t>
      </w:r>
      <w:r w:rsidR="002C13F1">
        <w:t xml:space="preserve"> designed to engage students from a wide spectrum</w:t>
      </w:r>
      <w:r w:rsidR="00A653C8">
        <w:t xml:space="preserve"> (Liebermann and Block, 2017)</w:t>
      </w:r>
      <w:r w:rsidR="002C13F1">
        <w:t xml:space="preserve">. </w:t>
      </w:r>
      <w:r w:rsidR="00327528">
        <w:t xml:space="preserve">Next moving on to an area designed to develop students </w:t>
      </w:r>
      <w:r w:rsidR="00C17A28">
        <w:t>Physical Literacy</w:t>
      </w:r>
      <w:r w:rsidR="003256AC">
        <w:t xml:space="preserve"> (Wainwright and Williams</w:t>
      </w:r>
      <w:r w:rsidR="00C17A28">
        <w:t>,</w:t>
      </w:r>
      <w:r w:rsidR="003256AC">
        <w:t xml:space="preserve"> 2021)</w:t>
      </w:r>
      <w:r w:rsidR="0086634C">
        <w:t>,</w:t>
      </w:r>
      <w:r w:rsidR="00C17A28">
        <w:t xml:space="preserve"> through a different variety of tasks through different </w:t>
      </w:r>
      <w:r w:rsidR="00CF5738">
        <w:t>environments</w:t>
      </w:r>
      <w:r w:rsidR="00040B78">
        <w:t>. Also</w:t>
      </w:r>
      <w:r w:rsidR="00CF5738">
        <w:t xml:space="preserve"> incorporating </w:t>
      </w:r>
      <w:r w:rsidR="004F0EFC">
        <w:t>The Daily Mile as to engage students through an already effective intervention</w:t>
      </w:r>
      <w:r w:rsidR="00040B78">
        <w:t xml:space="preserve"> and allowing them </w:t>
      </w:r>
      <w:r w:rsidR="00DB31F2">
        <w:t xml:space="preserve">additional time to engage with nature, a problem highlighted by </w:t>
      </w:r>
      <w:r w:rsidR="000F0886">
        <w:t xml:space="preserve">Breslin et al. </w:t>
      </w:r>
      <w:r w:rsidR="007679F0">
        <w:t>(20</w:t>
      </w:r>
      <w:r w:rsidR="000F0886">
        <w:t xml:space="preserve">23). </w:t>
      </w:r>
      <w:r w:rsidR="007679F0">
        <w:t xml:space="preserve">Lastly looking at a high mobility area in which to engage students with </w:t>
      </w:r>
      <w:r w:rsidR="000F532F">
        <w:t>physical development outlined by the curriculum</w:t>
      </w:r>
      <w:r w:rsidR="000F0886">
        <w:t xml:space="preserve"> through, as well as positioning </w:t>
      </w:r>
      <w:proofErr w:type="spellStart"/>
      <w:r w:rsidR="000F0886">
        <w:t>Cynefin</w:t>
      </w:r>
      <w:proofErr w:type="spellEnd"/>
      <w:r w:rsidR="000F0886">
        <w:t xml:space="preserve"> as a promotional tool within the community to engage </w:t>
      </w:r>
      <w:r w:rsidR="003E4A17">
        <w:t>people effectively in leisure-based activity (King and Church, 2020).</w:t>
      </w:r>
      <w:r w:rsidR="004E1642">
        <w:t>All the while making sure to be sustai</w:t>
      </w:r>
      <w:r w:rsidR="00A5265D">
        <w:t>nable in change (Longshore et al., 2019).</w:t>
      </w:r>
    </w:p>
    <w:p w14:paraId="236AAF81" w14:textId="2ABB1482" w:rsidR="00136B68" w:rsidRDefault="00D308AE" w:rsidP="00053EAB">
      <w:pPr>
        <w:spacing w:line="360" w:lineRule="auto"/>
        <w:rPr>
          <w:i/>
          <w:iCs/>
        </w:rPr>
      </w:pPr>
      <w:r>
        <w:lastRenderedPageBreak/>
        <w:t xml:space="preserve">Throughout these changes </w:t>
      </w:r>
      <w:r w:rsidR="00104299">
        <w:t xml:space="preserve">the overall aim is that of one to utilise </w:t>
      </w:r>
      <w:proofErr w:type="spellStart"/>
      <w:r w:rsidR="00104299">
        <w:t>Cynefin</w:t>
      </w:r>
      <w:proofErr w:type="spellEnd"/>
      <w:r w:rsidR="00104299">
        <w:t xml:space="preserve"> as promotional tool within the community</w:t>
      </w:r>
      <w:r w:rsidR="00A5265D">
        <w:t xml:space="preserve">, whilst being and advocate for the new curriculum and supporting </w:t>
      </w:r>
      <w:r w:rsidR="00053EAB">
        <w:t xml:space="preserve">the </w:t>
      </w:r>
      <w:r w:rsidR="00053EAB">
        <w:rPr>
          <w:i/>
          <w:iCs/>
        </w:rPr>
        <w:t>What Matters Statements.</w:t>
      </w:r>
    </w:p>
    <w:p w14:paraId="5524E01C" w14:textId="77777777" w:rsidR="00053EAB" w:rsidRPr="00053EAB" w:rsidRDefault="00053EAB" w:rsidP="00920F8C">
      <w:pPr>
        <w:rPr>
          <w:i/>
          <w:iCs/>
        </w:rPr>
      </w:pPr>
    </w:p>
    <w:p w14:paraId="63E9CA70" w14:textId="0EEC89AF" w:rsidR="00920F8C" w:rsidRPr="00136B68" w:rsidRDefault="00920F8C" w:rsidP="00920F8C">
      <w:pPr>
        <w:rPr>
          <w:b/>
          <w:bCs/>
        </w:rPr>
      </w:pPr>
      <w:r w:rsidRPr="00920F8C">
        <w:rPr>
          <w:b/>
          <w:bCs/>
        </w:rPr>
        <w:t>References</w:t>
      </w:r>
    </w:p>
    <w:p w14:paraId="34930AF1" w14:textId="537BC501" w:rsidR="009A23F3" w:rsidRDefault="009A23F3" w:rsidP="00920F8C">
      <w:proofErr w:type="spellStart"/>
      <w:r w:rsidRPr="00373EA7">
        <w:t>Baláš</w:t>
      </w:r>
      <w:proofErr w:type="spellEnd"/>
      <w:r w:rsidRPr="00373EA7">
        <w:t xml:space="preserve">, J., </w:t>
      </w:r>
      <w:proofErr w:type="spellStart"/>
      <w:r w:rsidRPr="00373EA7">
        <w:t>Gajdošík</w:t>
      </w:r>
      <w:proofErr w:type="spellEnd"/>
      <w:r w:rsidRPr="00373EA7">
        <w:t xml:space="preserve"> J., </w:t>
      </w:r>
      <w:proofErr w:type="spellStart"/>
      <w:r w:rsidRPr="00373EA7">
        <w:t>Krupková</w:t>
      </w:r>
      <w:proofErr w:type="spellEnd"/>
      <w:r w:rsidRPr="00373EA7">
        <w:t xml:space="preserve">, D., </w:t>
      </w:r>
      <w:proofErr w:type="spellStart"/>
      <w:r w:rsidRPr="00373EA7">
        <w:t>Chrastinová</w:t>
      </w:r>
      <w:proofErr w:type="spellEnd"/>
      <w:r w:rsidRPr="00373EA7">
        <w:t xml:space="preserve">, L., Hlaváčková, A., </w:t>
      </w:r>
      <w:proofErr w:type="spellStart"/>
      <w:r w:rsidRPr="00373EA7">
        <w:t>Bačáková</w:t>
      </w:r>
      <w:proofErr w:type="spellEnd"/>
      <w:r w:rsidRPr="00373EA7">
        <w:t>, R. and Giles, D. (2021) </w:t>
      </w:r>
      <w:proofErr w:type="spellStart"/>
      <w:r w:rsidRPr="00373EA7">
        <w:rPr>
          <w:i/>
          <w:iCs/>
        </w:rPr>
        <w:t>Psyschophysiological</w:t>
      </w:r>
      <w:proofErr w:type="spellEnd"/>
      <w:r w:rsidRPr="00373EA7">
        <w:rPr>
          <w:i/>
          <w:iCs/>
        </w:rPr>
        <w:t xml:space="preserve"> responses to </w:t>
      </w:r>
      <w:proofErr w:type="spellStart"/>
      <w:r w:rsidRPr="00373EA7">
        <w:rPr>
          <w:i/>
          <w:iCs/>
        </w:rPr>
        <w:t>treadwall</w:t>
      </w:r>
      <w:proofErr w:type="spellEnd"/>
      <w:r w:rsidRPr="00373EA7">
        <w:rPr>
          <w:i/>
          <w:iCs/>
        </w:rPr>
        <w:t xml:space="preserve"> and indoor climbing in adult female climbers</w:t>
      </w:r>
      <w:r w:rsidRPr="00373EA7">
        <w:t>. Scientific reports. 11. 2639 (2021) . Available at:</w:t>
      </w:r>
      <w:r>
        <w:t xml:space="preserve"> </w:t>
      </w:r>
      <w:hyperlink r:id="rId7" w:anchor="citeas" w:history="1">
        <w:r w:rsidRPr="00160107">
          <w:rPr>
            <w:rStyle w:val="Hyperlink"/>
          </w:rPr>
          <w:t>https://www.nature.com/articles/s41598-021-82184-6#citeas</w:t>
        </w:r>
      </w:hyperlink>
      <w:r>
        <w:t xml:space="preserve"> </w:t>
      </w:r>
      <w:r w:rsidRPr="00373EA7">
        <w:t>(Accessed: 12/12/2024).</w:t>
      </w:r>
    </w:p>
    <w:p w14:paraId="58993D8C" w14:textId="77777777" w:rsidR="001E5F94" w:rsidRPr="00D92C0F" w:rsidRDefault="001E5F94" w:rsidP="001E5F94">
      <w:r>
        <w:t xml:space="preserve">Blades, G. (2021). </w:t>
      </w:r>
      <w:r w:rsidRPr="001E5F94">
        <w:t>Making meanings of walking with/in nature: embodied encounters in environmental outdoor education</w:t>
      </w:r>
      <w:r>
        <w:t xml:space="preserve">. </w:t>
      </w:r>
      <w:r w:rsidRPr="001E5F94">
        <w:rPr>
          <w:i/>
          <w:iCs/>
        </w:rPr>
        <w:t>Journal of Outdoor and Environmental Education</w:t>
      </w:r>
      <w:r>
        <w:t xml:space="preserve">. </w:t>
      </w:r>
      <w:r w:rsidRPr="005E255D">
        <w:t>24</w:t>
      </w:r>
      <w:r>
        <w:t>. Pp.</w:t>
      </w:r>
      <w:r w:rsidRPr="005E255D">
        <w:t>293–318</w:t>
      </w:r>
      <w:r>
        <w:t>.</w:t>
      </w:r>
    </w:p>
    <w:p w14:paraId="09DB1C0C" w14:textId="77777777" w:rsidR="001E5F94" w:rsidRDefault="001E5F94" w:rsidP="001E5F94">
      <w:r w:rsidRPr="00D92C0F">
        <w:t>Breslin</w:t>
      </w:r>
      <w:r>
        <w:t>,</w:t>
      </w:r>
      <w:r w:rsidRPr="00D92C0F">
        <w:t xml:space="preserve"> G</w:t>
      </w:r>
      <w:r>
        <w:t>.</w:t>
      </w:r>
      <w:r w:rsidRPr="00D92C0F">
        <w:t>, Hillyard</w:t>
      </w:r>
      <w:r>
        <w:t>,</w:t>
      </w:r>
      <w:r w:rsidRPr="00D92C0F">
        <w:t xml:space="preserve"> M</w:t>
      </w:r>
      <w:r>
        <w:t>.</w:t>
      </w:r>
      <w:r w:rsidRPr="00D92C0F">
        <w:t>, Brick</w:t>
      </w:r>
      <w:r>
        <w:t>,</w:t>
      </w:r>
      <w:r w:rsidRPr="00D92C0F">
        <w:t xml:space="preserve"> N</w:t>
      </w:r>
      <w:r>
        <w:t>.</w:t>
      </w:r>
      <w:r w:rsidRPr="00D92C0F">
        <w:t>, Shannon</w:t>
      </w:r>
      <w:r>
        <w:t>,</w:t>
      </w:r>
      <w:r w:rsidRPr="00D92C0F">
        <w:t xml:space="preserve"> S</w:t>
      </w:r>
      <w:r>
        <w:t>.</w:t>
      </w:r>
      <w:r w:rsidRPr="00D92C0F">
        <w:t>, McKay-Redmond</w:t>
      </w:r>
      <w:r>
        <w:t>,</w:t>
      </w:r>
      <w:r w:rsidRPr="00D92C0F">
        <w:t xml:space="preserve"> B</w:t>
      </w:r>
      <w:r>
        <w:t>. and</w:t>
      </w:r>
      <w:r w:rsidRPr="00D92C0F">
        <w:t xml:space="preserve"> McConnell</w:t>
      </w:r>
      <w:r>
        <w:t>,</w:t>
      </w:r>
      <w:r w:rsidRPr="00D92C0F">
        <w:t xml:space="preserve"> B</w:t>
      </w:r>
      <w:r>
        <w:t>.</w:t>
      </w:r>
      <w:r w:rsidRPr="00D92C0F">
        <w:t xml:space="preserve"> (2023) A systematic review of the effect of The Daily Mile™ on children’s physical activity, physical health, mental health, wellbeing, academic performance and cognitive function. </w:t>
      </w:r>
      <w:proofErr w:type="spellStart"/>
      <w:r w:rsidRPr="00537E4C">
        <w:rPr>
          <w:i/>
          <w:iCs/>
        </w:rPr>
        <w:t>PLoS</w:t>
      </w:r>
      <w:proofErr w:type="spellEnd"/>
      <w:r w:rsidRPr="00537E4C">
        <w:rPr>
          <w:i/>
          <w:iCs/>
        </w:rPr>
        <w:t xml:space="preserve"> ONE</w:t>
      </w:r>
      <w:r>
        <w:t>.</w:t>
      </w:r>
      <w:r w:rsidRPr="00537E4C">
        <w:t xml:space="preserve"> 18(1)</w:t>
      </w:r>
      <w:r>
        <w:t>. Pp. 1-20.</w:t>
      </w:r>
    </w:p>
    <w:p w14:paraId="3722FBCA" w14:textId="3C5B7B42" w:rsidR="00920F8C" w:rsidRDefault="00DD0FE6" w:rsidP="00920F8C">
      <w:proofErr w:type="spellStart"/>
      <w:r>
        <w:t>Frauman</w:t>
      </w:r>
      <w:proofErr w:type="spellEnd"/>
      <w:r>
        <w:t xml:space="preserve">, E (2010) </w:t>
      </w:r>
      <w:r w:rsidRPr="008D270F">
        <w:t>Incorporating the Concept of Mindfulness in Informal Outdoor Education Settings</w:t>
      </w:r>
      <w:r>
        <w:t xml:space="preserve">. </w:t>
      </w:r>
      <w:r w:rsidRPr="00F71A49">
        <w:rPr>
          <w:i/>
          <w:iCs/>
        </w:rPr>
        <w:t>Journal of Experiential Education</w:t>
      </w:r>
      <w:r>
        <w:t>.</w:t>
      </w:r>
      <w:r w:rsidRPr="00F71A49">
        <w:t xml:space="preserve"> 33</w:t>
      </w:r>
      <w:r>
        <w:t>(</w:t>
      </w:r>
      <w:r w:rsidRPr="00F71A49">
        <w:t>3</w:t>
      </w:r>
      <w:r>
        <w:t>).</w:t>
      </w:r>
      <w:r w:rsidRPr="00F71A49">
        <w:t xml:space="preserve"> </w:t>
      </w:r>
      <w:r>
        <w:t>P</w:t>
      </w:r>
      <w:r w:rsidRPr="00F71A49">
        <w:t>p.225-238</w:t>
      </w:r>
      <w:r>
        <w:t>.</w:t>
      </w:r>
    </w:p>
    <w:p w14:paraId="6D71F785" w14:textId="3C40B893" w:rsidR="00B778A1" w:rsidRDefault="00B778A1" w:rsidP="00920F8C">
      <w:r w:rsidRPr="00B778A1">
        <w:t>Gill, T. (n.d.) </w:t>
      </w:r>
      <w:r w:rsidRPr="00B778A1">
        <w:rPr>
          <w:i/>
          <w:iCs/>
        </w:rPr>
        <w:t>Balancing Risks and Benefits in Outdoor Learning and Play</w:t>
      </w:r>
      <w:r w:rsidRPr="00B778A1">
        <w:t>. Outdoor Classroom Day.</w:t>
      </w:r>
      <w:r>
        <w:t xml:space="preserve"> Avai</w:t>
      </w:r>
      <w:r w:rsidR="002449B2">
        <w:t xml:space="preserve">lable at: </w:t>
      </w:r>
      <w:hyperlink r:id="rId8" w:history="1">
        <w:r w:rsidR="002449B2" w:rsidRPr="00160107">
          <w:rPr>
            <w:rStyle w:val="Hyperlink"/>
          </w:rPr>
          <w:t>https://outdoorclassroomday.com/resource/balancing-risks-benefits-outdoor-learning-play/</w:t>
        </w:r>
      </w:hyperlink>
      <w:r w:rsidR="002449B2">
        <w:t xml:space="preserve"> (Accessed: 12/12/2024)</w:t>
      </w:r>
    </w:p>
    <w:p w14:paraId="2741A693" w14:textId="736611CB" w:rsidR="00920F8C" w:rsidRDefault="00874DC5" w:rsidP="00136B68">
      <w:r w:rsidRPr="002803BE">
        <w:t>Gustafsson,</w:t>
      </w:r>
      <w:r>
        <w:t xml:space="preserve"> P.E,</w:t>
      </w:r>
      <w:r w:rsidRPr="002803BE">
        <w:t xml:space="preserve">  Szczepanski</w:t>
      </w:r>
      <w:r>
        <w:t xml:space="preserve">, A., </w:t>
      </w:r>
      <w:r w:rsidRPr="002803BE">
        <w:t>Nelson</w:t>
      </w:r>
      <w:r>
        <w:t>, N.</w:t>
      </w:r>
      <w:r w:rsidRPr="002803BE">
        <w:t xml:space="preserve"> </w:t>
      </w:r>
      <w:r>
        <w:t>and</w:t>
      </w:r>
      <w:r w:rsidRPr="002803BE">
        <w:t xml:space="preserve"> Gustafsson</w:t>
      </w:r>
      <w:r>
        <w:t>, P.A.</w:t>
      </w:r>
      <w:r w:rsidRPr="002803BE">
        <w:t xml:space="preserve"> (2012)</w:t>
      </w:r>
      <w:r>
        <w:t>.</w:t>
      </w:r>
      <w:r w:rsidRPr="002803BE">
        <w:t xml:space="preserve"> Effects of an outdoor education intervention on the mental health of schoolchildren</w:t>
      </w:r>
      <w:r>
        <w:t>.</w:t>
      </w:r>
      <w:r w:rsidRPr="002803BE">
        <w:t xml:space="preserve"> </w:t>
      </w:r>
      <w:r w:rsidRPr="005A707C">
        <w:rPr>
          <w:i/>
          <w:iCs/>
        </w:rPr>
        <w:t>Journal of Adventure Education &amp; Outdoor Learning</w:t>
      </w:r>
      <w:r>
        <w:t>.</w:t>
      </w:r>
      <w:r w:rsidRPr="002803BE">
        <w:t xml:space="preserve"> 12</w:t>
      </w:r>
      <w:r>
        <w:t>(1). Pp.</w:t>
      </w:r>
      <w:r w:rsidRPr="002803BE">
        <w:t>63-79</w:t>
      </w:r>
      <w:r>
        <w:t>.</w:t>
      </w:r>
    </w:p>
    <w:p w14:paraId="47C1874F" w14:textId="65F3C6FD" w:rsidR="00511748" w:rsidRDefault="00511748" w:rsidP="00920F8C">
      <w:r w:rsidRPr="00FD3208">
        <w:t>K</w:t>
      </w:r>
      <w:r>
        <w:t>ern</w:t>
      </w:r>
      <w:r w:rsidRPr="00FD3208">
        <w:t>, P. and W</w:t>
      </w:r>
      <w:r>
        <w:t>akeford</w:t>
      </w:r>
      <w:r w:rsidRPr="00FD3208">
        <w:t>, L. 200</w:t>
      </w:r>
      <w:r>
        <w:t>7</w:t>
      </w:r>
      <w:r w:rsidRPr="00FD3208">
        <w:t>. Supporting Outdoor Play for Young Children: The Zone Model of Playground Supervision. </w:t>
      </w:r>
      <w:r w:rsidRPr="00FD3208">
        <w:rPr>
          <w:i/>
          <w:iCs/>
        </w:rPr>
        <w:t>YC Young Childre</w:t>
      </w:r>
      <w:r>
        <w:rPr>
          <w:i/>
          <w:iCs/>
        </w:rPr>
        <w:t>n.</w:t>
      </w:r>
      <w:r w:rsidRPr="00FD3208">
        <w:rPr>
          <w:i/>
          <w:iCs/>
        </w:rPr>
        <w:t> </w:t>
      </w:r>
      <w:r w:rsidRPr="000241C0">
        <w:t>62(5)</w:t>
      </w:r>
      <w:r>
        <w:t>.</w:t>
      </w:r>
      <w:r w:rsidRPr="00FD3208">
        <w:t xml:space="preserve"> pp. 12-16,18.</w:t>
      </w:r>
    </w:p>
    <w:p w14:paraId="625AA3F7" w14:textId="2CA7A39E" w:rsidR="00920F8C" w:rsidRDefault="005678F0" w:rsidP="00920F8C">
      <w:r w:rsidRPr="00B30734">
        <w:t>King</w:t>
      </w:r>
      <w:r>
        <w:t>, K. and</w:t>
      </w:r>
      <w:r w:rsidRPr="00B30734">
        <w:t xml:space="preserve"> Church</w:t>
      </w:r>
      <w:r>
        <w:t xml:space="preserve">, A. </w:t>
      </w:r>
      <w:r w:rsidRPr="00B30734">
        <w:t>(2020)</w:t>
      </w:r>
      <w:r>
        <w:t>.</w:t>
      </w:r>
      <w:r w:rsidRPr="00B30734">
        <w:t xml:space="preserve"> Beyond transgression: mountain biking, young people and managing green spaces</w:t>
      </w:r>
      <w:r>
        <w:t>.</w:t>
      </w:r>
      <w:r w:rsidRPr="00B30734">
        <w:t xml:space="preserve"> </w:t>
      </w:r>
      <w:r w:rsidRPr="00366555">
        <w:rPr>
          <w:i/>
          <w:iCs/>
        </w:rPr>
        <w:t>Annals of Leisure Research</w:t>
      </w:r>
      <w:r>
        <w:t>.</w:t>
      </w:r>
      <w:r w:rsidRPr="00B30734">
        <w:t xml:space="preserve"> 23</w:t>
      </w:r>
      <w:r>
        <w:t>(</w:t>
      </w:r>
      <w:r w:rsidRPr="00B30734">
        <w:t>2</w:t>
      </w:r>
      <w:r>
        <w:t>). Pp.</w:t>
      </w:r>
      <w:r w:rsidRPr="00B30734">
        <w:t xml:space="preserve"> 203-222</w:t>
      </w:r>
      <w:r>
        <w:t>.</w:t>
      </w:r>
    </w:p>
    <w:p w14:paraId="4E4938E4" w14:textId="77777777" w:rsidR="00DD0FE6" w:rsidRPr="00BB5D8D" w:rsidRDefault="00DD0FE6" w:rsidP="00DD0FE6">
      <w:pPr>
        <w:rPr>
          <w:b/>
          <w:bCs/>
        </w:rPr>
      </w:pPr>
      <w:r>
        <w:t xml:space="preserve">Liebermann, L.J. and Block. M. (2017) Inclusive Settings in Adapted Physical Education. </w:t>
      </w:r>
      <w:r>
        <w:rPr>
          <w:i/>
          <w:iCs/>
        </w:rPr>
        <w:t>Routledge Handbook of Physical Education Pedagogies.</w:t>
      </w:r>
      <w:r>
        <w:t>1</w:t>
      </w:r>
      <w:r w:rsidRPr="00BB5D8D">
        <w:rPr>
          <w:vertAlign w:val="superscript"/>
        </w:rPr>
        <w:t>st</w:t>
      </w:r>
      <w:r>
        <w:t xml:space="preserve"> Edition.</w:t>
      </w:r>
      <w:r>
        <w:rPr>
          <w:i/>
          <w:iCs/>
        </w:rPr>
        <w:t xml:space="preserve"> </w:t>
      </w:r>
      <w:r>
        <w:t>Pp. 262-275.</w:t>
      </w:r>
    </w:p>
    <w:p w14:paraId="3B9BCDEF" w14:textId="468BD3B2" w:rsidR="00920F8C" w:rsidRPr="00136B68" w:rsidRDefault="00DD0FE6" w:rsidP="00920F8C">
      <w:pPr>
        <w:rPr>
          <w:i/>
          <w:iCs/>
        </w:rPr>
      </w:pPr>
      <w:r w:rsidRPr="0033480F">
        <w:t>Longshore,</w:t>
      </w:r>
      <w:r>
        <w:t xml:space="preserve"> K.,</w:t>
      </w:r>
      <w:r w:rsidRPr="0033480F">
        <w:t xml:space="preserve"> </w:t>
      </w:r>
      <w:proofErr w:type="spellStart"/>
      <w:r w:rsidRPr="0033480F">
        <w:t>McAlarnen</w:t>
      </w:r>
      <w:proofErr w:type="spellEnd"/>
      <w:r w:rsidRPr="0033480F">
        <w:t>,</w:t>
      </w:r>
      <w:r>
        <w:t xml:space="preserve"> M.M., </w:t>
      </w:r>
      <w:r w:rsidRPr="0033480F">
        <w:t>Sappington</w:t>
      </w:r>
      <w:r>
        <w:t>, R</w:t>
      </w:r>
      <w:r w:rsidRPr="0033480F">
        <w:t xml:space="preserve"> and Harmon</w:t>
      </w:r>
      <w:r>
        <w:t xml:space="preserve">, D. (2019) Mindfulness and Green Exercise: </w:t>
      </w:r>
      <w:r w:rsidRPr="006264BC">
        <w:t>Enhancing our relationship with physical activity and the natural world</w:t>
      </w:r>
      <w:r>
        <w:t xml:space="preserve">. </w:t>
      </w:r>
      <w:r w:rsidRPr="00023ED8">
        <w:rPr>
          <w:i/>
          <w:iCs/>
        </w:rPr>
        <w:t>Physical Activity in Natural Settings : Green and Blue Exercise</w:t>
      </w:r>
      <w:r>
        <w:t>. 1</w:t>
      </w:r>
      <w:r w:rsidRPr="007C153E">
        <w:rPr>
          <w:vertAlign w:val="superscript"/>
        </w:rPr>
        <w:t>st</w:t>
      </w:r>
      <w:r>
        <w:t xml:space="preserve"> Editon. </w:t>
      </w:r>
      <w:r w:rsidRPr="00023ED8">
        <w:t>Taylor &amp; Francis Group, 2019.</w:t>
      </w:r>
      <w:r>
        <w:t xml:space="preserve"> Pp.314-334.</w:t>
      </w:r>
      <w:r w:rsidRPr="00023ED8">
        <w:rPr>
          <w:i/>
          <w:iCs/>
        </w:rPr>
        <w:t> </w:t>
      </w:r>
    </w:p>
    <w:p w14:paraId="79F6C2A3" w14:textId="10E08ED7" w:rsidR="00416A14" w:rsidRDefault="00416A14" w:rsidP="00920F8C">
      <w:r w:rsidRPr="00416A14">
        <w:t>Wainwright., N and Williams, A. (2021)</w:t>
      </w:r>
      <w:r w:rsidR="00136B68">
        <w:t>.</w:t>
      </w:r>
      <w:r w:rsidRPr="00416A14">
        <w:t> </w:t>
      </w:r>
      <w:r w:rsidRPr="00416A14">
        <w:rPr>
          <w:i/>
          <w:iCs/>
        </w:rPr>
        <w:t>Outdoor and Adventurous Activities </w:t>
      </w:r>
      <w:r w:rsidRPr="00416A14">
        <w:t>in The Handbook of Primary Physical Education, Grigg, G and Randall, V. (eds) 2 edition. In press.</w:t>
      </w:r>
    </w:p>
    <w:p w14:paraId="3D423D15" w14:textId="16B74BB8" w:rsidR="007C1E05" w:rsidRDefault="007C1E05" w:rsidP="00920F8C">
      <w:r>
        <w:t>Waite, S</w:t>
      </w:r>
      <w:r w:rsidR="00136B68">
        <w:t>.</w:t>
      </w:r>
      <w:r>
        <w:t xml:space="preserve"> (2016)</w:t>
      </w:r>
      <w:r w:rsidR="00136B68">
        <w:t>.</w:t>
      </w:r>
      <w:r>
        <w:t xml:space="preserve"> Supporting early learning outdoors in the UK. </w:t>
      </w:r>
      <w:r>
        <w:rPr>
          <w:i/>
          <w:iCs/>
        </w:rPr>
        <w:t xml:space="preserve">Routledge International Handbook of Outdoor Studies. </w:t>
      </w:r>
      <w:r>
        <w:t>1</w:t>
      </w:r>
      <w:r w:rsidRPr="009E47DB">
        <w:rPr>
          <w:vertAlign w:val="superscript"/>
        </w:rPr>
        <w:t>st</w:t>
      </w:r>
      <w:r>
        <w:t xml:space="preserve"> Edition. Pp. 103-112.</w:t>
      </w:r>
    </w:p>
    <w:p w14:paraId="32382DF4" w14:textId="4BAD22DE" w:rsidR="00DD0FE6" w:rsidRDefault="00DD0FE6" w:rsidP="00920F8C">
      <w:r w:rsidRPr="00A26633">
        <w:lastRenderedPageBreak/>
        <w:t xml:space="preserve">Welsh Government (2020) ‘Curriculum for Wales Guidance’. Available at: </w:t>
      </w:r>
      <w:hyperlink r:id="rId9" w:history="1">
        <w:r w:rsidR="001A04A9" w:rsidRPr="00E5132D">
          <w:rPr>
            <w:rStyle w:val="Hyperlink"/>
          </w:rPr>
          <w:t>https://hwb.gov.wales/storage/f8f9760c-64a1-48ea-80fd-db130ad9050b/a-guide-to-curriculum-for-wales-2022.pdf</w:t>
        </w:r>
      </w:hyperlink>
      <w:r w:rsidR="001A04A9">
        <w:t xml:space="preserve"> </w:t>
      </w:r>
      <w:r w:rsidR="002449B2">
        <w:t>(</w:t>
      </w:r>
      <w:r w:rsidRPr="00A26633">
        <w:t xml:space="preserve">Accessed: </w:t>
      </w:r>
      <w:r>
        <w:t>04</w:t>
      </w:r>
      <w:r w:rsidRPr="00A26633">
        <w:t>/1</w:t>
      </w:r>
      <w:r>
        <w:t>2</w:t>
      </w:r>
      <w:r w:rsidRPr="00A26633">
        <w:t>/2024</w:t>
      </w:r>
      <w:r w:rsidR="002449B2">
        <w:t>)</w:t>
      </w:r>
    </w:p>
    <w:p w14:paraId="3863BB34" w14:textId="51B0190D" w:rsidR="00920F8C" w:rsidRDefault="00920F8C" w:rsidP="00920F8C"/>
    <w:p w14:paraId="4E544630" w14:textId="4E24EBAD" w:rsidR="00920F8C" w:rsidRPr="00920F8C" w:rsidRDefault="00920F8C" w:rsidP="00920F8C"/>
    <w:sectPr w:rsidR="00920F8C" w:rsidRPr="00920F8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8426D2" w14:textId="77777777" w:rsidR="00EB2FAF" w:rsidRDefault="00EB2FAF" w:rsidP="00920F8C">
      <w:pPr>
        <w:spacing w:after="0" w:line="240" w:lineRule="auto"/>
      </w:pPr>
      <w:r>
        <w:separator/>
      </w:r>
    </w:p>
  </w:endnote>
  <w:endnote w:type="continuationSeparator" w:id="0">
    <w:p w14:paraId="66A3AC23" w14:textId="77777777" w:rsidR="00EB2FAF" w:rsidRDefault="00EB2FAF" w:rsidP="00920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E5925E" w14:textId="77777777" w:rsidR="00920F8C" w:rsidRDefault="00920F8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428B44D" w14:textId="77777777" w:rsidR="00920F8C" w:rsidRDefault="00920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A658A3" w14:textId="77777777" w:rsidR="00EB2FAF" w:rsidRDefault="00EB2FAF" w:rsidP="00920F8C">
      <w:pPr>
        <w:spacing w:after="0" w:line="240" w:lineRule="auto"/>
      </w:pPr>
      <w:r>
        <w:separator/>
      </w:r>
    </w:p>
  </w:footnote>
  <w:footnote w:type="continuationSeparator" w:id="0">
    <w:p w14:paraId="2C0D8C69" w14:textId="77777777" w:rsidR="00EB2FAF" w:rsidRDefault="00EB2FAF" w:rsidP="00920F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789813" w14:textId="4C6362B7" w:rsidR="00920F8C" w:rsidRDefault="00920F8C">
    <w:pPr>
      <w:pStyle w:val="Header"/>
    </w:pPr>
    <w:r>
      <w:t>BMOE6002</w:t>
    </w:r>
    <w:r>
      <w:ptab w:relativeTo="margin" w:alignment="center" w:leader="none"/>
    </w:r>
    <w:r>
      <w:ptab w:relativeTo="margin" w:alignment="right" w:leader="none"/>
    </w:r>
    <w:r>
      <w:t>2200074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F381B"/>
    <w:multiLevelType w:val="multilevel"/>
    <w:tmpl w:val="42147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6147A"/>
    <w:multiLevelType w:val="multilevel"/>
    <w:tmpl w:val="A5A8B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B7558"/>
    <w:multiLevelType w:val="multilevel"/>
    <w:tmpl w:val="107E1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04A10"/>
    <w:multiLevelType w:val="multilevel"/>
    <w:tmpl w:val="1E54D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7C696E"/>
    <w:multiLevelType w:val="hybridMultilevel"/>
    <w:tmpl w:val="FBFC76A4"/>
    <w:lvl w:ilvl="0" w:tplc="DD1ADB74">
      <w:start w:val="1"/>
      <w:numFmt w:val="bullet"/>
      <w:lvlText w:val="•"/>
      <w:lvlJc w:val="left"/>
      <w:pPr>
        <w:tabs>
          <w:tab w:val="num" w:pos="720"/>
        </w:tabs>
        <w:ind w:left="720" w:hanging="360"/>
      </w:pPr>
      <w:rPr>
        <w:rFonts w:ascii="Arial" w:hAnsi="Arial" w:hint="default"/>
      </w:rPr>
    </w:lvl>
    <w:lvl w:ilvl="1" w:tplc="B3C669BE" w:tentative="1">
      <w:start w:val="1"/>
      <w:numFmt w:val="bullet"/>
      <w:lvlText w:val="•"/>
      <w:lvlJc w:val="left"/>
      <w:pPr>
        <w:tabs>
          <w:tab w:val="num" w:pos="1440"/>
        </w:tabs>
        <w:ind w:left="1440" w:hanging="360"/>
      </w:pPr>
      <w:rPr>
        <w:rFonts w:ascii="Arial" w:hAnsi="Arial" w:hint="default"/>
      </w:rPr>
    </w:lvl>
    <w:lvl w:ilvl="2" w:tplc="FB8CCF70" w:tentative="1">
      <w:start w:val="1"/>
      <w:numFmt w:val="bullet"/>
      <w:lvlText w:val="•"/>
      <w:lvlJc w:val="left"/>
      <w:pPr>
        <w:tabs>
          <w:tab w:val="num" w:pos="2160"/>
        </w:tabs>
        <w:ind w:left="2160" w:hanging="360"/>
      </w:pPr>
      <w:rPr>
        <w:rFonts w:ascii="Arial" w:hAnsi="Arial" w:hint="default"/>
      </w:rPr>
    </w:lvl>
    <w:lvl w:ilvl="3" w:tplc="7396D042" w:tentative="1">
      <w:start w:val="1"/>
      <w:numFmt w:val="bullet"/>
      <w:lvlText w:val="•"/>
      <w:lvlJc w:val="left"/>
      <w:pPr>
        <w:tabs>
          <w:tab w:val="num" w:pos="2880"/>
        </w:tabs>
        <w:ind w:left="2880" w:hanging="360"/>
      </w:pPr>
      <w:rPr>
        <w:rFonts w:ascii="Arial" w:hAnsi="Arial" w:hint="default"/>
      </w:rPr>
    </w:lvl>
    <w:lvl w:ilvl="4" w:tplc="F9864FFC" w:tentative="1">
      <w:start w:val="1"/>
      <w:numFmt w:val="bullet"/>
      <w:lvlText w:val="•"/>
      <w:lvlJc w:val="left"/>
      <w:pPr>
        <w:tabs>
          <w:tab w:val="num" w:pos="3600"/>
        </w:tabs>
        <w:ind w:left="3600" w:hanging="360"/>
      </w:pPr>
      <w:rPr>
        <w:rFonts w:ascii="Arial" w:hAnsi="Arial" w:hint="default"/>
      </w:rPr>
    </w:lvl>
    <w:lvl w:ilvl="5" w:tplc="0A70B0AA" w:tentative="1">
      <w:start w:val="1"/>
      <w:numFmt w:val="bullet"/>
      <w:lvlText w:val="•"/>
      <w:lvlJc w:val="left"/>
      <w:pPr>
        <w:tabs>
          <w:tab w:val="num" w:pos="4320"/>
        </w:tabs>
        <w:ind w:left="4320" w:hanging="360"/>
      </w:pPr>
      <w:rPr>
        <w:rFonts w:ascii="Arial" w:hAnsi="Arial" w:hint="default"/>
      </w:rPr>
    </w:lvl>
    <w:lvl w:ilvl="6" w:tplc="20E20994" w:tentative="1">
      <w:start w:val="1"/>
      <w:numFmt w:val="bullet"/>
      <w:lvlText w:val="•"/>
      <w:lvlJc w:val="left"/>
      <w:pPr>
        <w:tabs>
          <w:tab w:val="num" w:pos="5040"/>
        </w:tabs>
        <w:ind w:left="5040" w:hanging="360"/>
      </w:pPr>
      <w:rPr>
        <w:rFonts w:ascii="Arial" w:hAnsi="Arial" w:hint="default"/>
      </w:rPr>
    </w:lvl>
    <w:lvl w:ilvl="7" w:tplc="D92AB44C" w:tentative="1">
      <w:start w:val="1"/>
      <w:numFmt w:val="bullet"/>
      <w:lvlText w:val="•"/>
      <w:lvlJc w:val="left"/>
      <w:pPr>
        <w:tabs>
          <w:tab w:val="num" w:pos="5760"/>
        </w:tabs>
        <w:ind w:left="5760" w:hanging="360"/>
      </w:pPr>
      <w:rPr>
        <w:rFonts w:ascii="Arial" w:hAnsi="Arial" w:hint="default"/>
      </w:rPr>
    </w:lvl>
    <w:lvl w:ilvl="8" w:tplc="427E51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484A27"/>
    <w:multiLevelType w:val="hybridMultilevel"/>
    <w:tmpl w:val="FE10361C"/>
    <w:lvl w:ilvl="0" w:tplc="560CA1A8">
      <w:start w:val="1"/>
      <w:numFmt w:val="bullet"/>
      <w:lvlText w:val="•"/>
      <w:lvlJc w:val="left"/>
      <w:pPr>
        <w:tabs>
          <w:tab w:val="num" w:pos="720"/>
        </w:tabs>
        <w:ind w:left="720" w:hanging="360"/>
      </w:pPr>
      <w:rPr>
        <w:rFonts w:ascii="Arial" w:hAnsi="Arial" w:hint="default"/>
      </w:rPr>
    </w:lvl>
    <w:lvl w:ilvl="1" w:tplc="42F40654" w:tentative="1">
      <w:start w:val="1"/>
      <w:numFmt w:val="bullet"/>
      <w:lvlText w:val="•"/>
      <w:lvlJc w:val="left"/>
      <w:pPr>
        <w:tabs>
          <w:tab w:val="num" w:pos="1440"/>
        </w:tabs>
        <w:ind w:left="1440" w:hanging="360"/>
      </w:pPr>
      <w:rPr>
        <w:rFonts w:ascii="Arial" w:hAnsi="Arial" w:hint="default"/>
      </w:rPr>
    </w:lvl>
    <w:lvl w:ilvl="2" w:tplc="2EFE18B6" w:tentative="1">
      <w:start w:val="1"/>
      <w:numFmt w:val="bullet"/>
      <w:lvlText w:val="•"/>
      <w:lvlJc w:val="left"/>
      <w:pPr>
        <w:tabs>
          <w:tab w:val="num" w:pos="2160"/>
        </w:tabs>
        <w:ind w:left="2160" w:hanging="360"/>
      </w:pPr>
      <w:rPr>
        <w:rFonts w:ascii="Arial" w:hAnsi="Arial" w:hint="default"/>
      </w:rPr>
    </w:lvl>
    <w:lvl w:ilvl="3" w:tplc="531E24B2" w:tentative="1">
      <w:start w:val="1"/>
      <w:numFmt w:val="bullet"/>
      <w:lvlText w:val="•"/>
      <w:lvlJc w:val="left"/>
      <w:pPr>
        <w:tabs>
          <w:tab w:val="num" w:pos="2880"/>
        </w:tabs>
        <w:ind w:left="2880" w:hanging="360"/>
      </w:pPr>
      <w:rPr>
        <w:rFonts w:ascii="Arial" w:hAnsi="Arial" w:hint="default"/>
      </w:rPr>
    </w:lvl>
    <w:lvl w:ilvl="4" w:tplc="204669FC" w:tentative="1">
      <w:start w:val="1"/>
      <w:numFmt w:val="bullet"/>
      <w:lvlText w:val="•"/>
      <w:lvlJc w:val="left"/>
      <w:pPr>
        <w:tabs>
          <w:tab w:val="num" w:pos="3600"/>
        </w:tabs>
        <w:ind w:left="3600" w:hanging="360"/>
      </w:pPr>
      <w:rPr>
        <w:rFonts w:ascii="Arial" w:hAnsi="Arial" w:hint="default"/>
      </w:rPr>
    </w:lvl>
    <w:lvl w:ilvl="5" w:tplc="468268A2" w:tentative="1">
      <w:start w:val="1"/>
      <w:numFmt w:val="bullet"/>
      <w:lvlText w:val="•"/>
      <w:lvlJc w:val="left"/>
      <w:pPr>
        <w:tabs>
          <w:tab w:val="num" w:pos="4320"/>
        </w:tabs>
        <w:ind w:left="4320" w:hanging="360"/>
      </w:pPr>
      <w:rPr>
        <w:rFonts w:ascii="Arial" w:hAnsi="Arial" w:hint="default"/>
      </w:rPr>
    </w:lvl>
    <w:lvl w:ilvl="6" w:tplc="A98009CE" w:tentative="1">
      <w:start w:val="1"/>
      <w:numFmt w:val="bullet"/>
      <w:lvlText w:val="•"/>
      <w:lvlJc w:val="left"/>
      <w:pPr>
        <w:tabs>
          <w:tab w:val="num" w:pos="5040"/>
        </w:tabs>
        <w:ind w:left="5040" w:hanging="360"/>
      </w:pPr>
      <w:rPr>
        <w:rFonts w:ascii="Arial" w:hAnsi="Arial" w:hint="default"/>
      </w:rPr>
    </w:lvl>
    <w:lvl w:ilvl="7" w:tplc="923A5A0A" w:tentative="1">
      <w:start w:val="1"/>
      <w:numFmt w:val="bullet"/>
      <w:lvlText w:val="•"/>
      <w:lvlJc w:val="left"/>
      <w:pPr>
        <w:tabs>
          <w:tab w:val="num" w:pos="5760"/>
        </w:tabs>
        <w:ind w:left="5760" w:hanging="360"/>
      </w:pPr>
      <w:rPr>
        <w:rFonts w:ascii="Arial" w:hAnsi="Arial" w:hint="default"/>
      </w:rPr>
    </w:lvl>
    <w:lvl w:ilvl="8" w:tplc="CDF4A1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89D03B4"/>
    <w:multiLevelType w:val="multilevel"/>
    <w:tmpl w:val="8A28A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339EC"/>
    <w:multiLevelType w:val="multilevel"/>
    <w:tmpl w:val="BD18F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3D3E1B"/>
    <w:multiLevelType w:val="multilevel"/>
    <w:tmpl w:val="C660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157AD8"/>
    <w:multiLevelType w:val="hybridMultilevel"/>
    <w:tmpl w:val="094AA260"/>
    <w:lvl w:ilvl="0" w:tplc="B91ABBBA">
      <w:start w:val="1"/>
      <w:numFmt w:val="bullet"/>
      <w:lvlText w:val="•"/>
      <w:lvlJc w:val="left"/>
      <w:pPr>
        <w:tabs>
          <w:tab w:val="num" w:pos="720"/>
        </w:tabs>
        <w:ind w:left="720" w:hanging="360"/>
      </w:pPr>
      <w:rPr>
        <w:rFonts w:ascii="Arial" w:hAnsi="Arial" w:hint="default"/>
      </w:rPr>
    </w:lvl>
    <w:lvl w:ilvl="1" w:tplc="417EE034" w:tentative="1">
      <w:start w:val="1"/>
      <w:numFmt w:val="bullet"/>
      <w:lvlText w:val="•"/>
      <w:lvlJc w:val="left"/>
      <w:pPr>
        <w:tabs>
          <w:tab w:val="num" w:pos="1440"/>
        </w:tabs>
        <w:ind w:left="1440" w:hanging="360"/>
      </w:pPr>
      <w:rPr>
        <w:rFonts w:ascii="Arial" w:hAnsi="Arial" w:hint="default"/>
      </w:rPr>
    </w:lvl>
    <w:lvl w:ilvl="2" w:tplc="DEC4A7BC" w:tentative="1">
      <w:start w:val="1"/>
      <w:numFmt w:val="bullet"/>
      <w:lvlText w:val="•"/>
      <w:lvlJc w:val="left"/>
      <w:pPr>
        <w:tabs>
          <w:tab w:val="num" w:pos="2160"/>
        </w:tabs>
        <w:ind w:left="2160" w:hanging="360"/>
      </w:pPr>
      <w:rPr>
        <w:rFonts w:ascii="Arial" w:hAnsi="Arial" w:hint="default"/>
      </w:rPr>
    </w:lvl>
    <w:lvl w:ilvl="3" w:tplc="5A284A2A" w:tentative="1">
      <w:start w:val="1"/>
      <w:numFmt w:val="bullet"/>
      <w:lvlText w:val="•"/>
      <w:lvlJc w:val="left"/>
      <w:pPr>
        <w:tabs>
          <w:tab w:val="num" w:pos="2880"/>
        </w:tabs>
        <w:ind w:left="2880" w:hanging="360"/>
      </w:pPr>
      <w:rPr>
        <w:rFonts w:ascii="Arial" w:hAnsi="Arial" w:hint="default"/>
      </w:rPr>
    </w:lvl>
    <w:lvl w:ilvl="4" w:tplc="8766E9CC" w:tentative="1">
      <w:start w:val="1"/>
      <w:numFmt w:val="bullet"/>
      <w:lvlText w:val="•"/>
      <w:lvlJc w:val="left"/>
      <w:pPr>
        <w:tabs>
          <w:tab w:val="num" w:pos="3600"/>
        </w:tabs>
        <w:ind w:left="3600" w:hanging="360"/>
      </w:pPr>
      <w:rPr>
        <w:rFonts w:ascii="Arial" w:hAnsi="Arial" w:hint="default"/>
      </w:rPr>
    </w:lvl>
    <w:lvl w:ilvl="5" w:tplc="C8E0D284" w:tentative="1">
      <w:start w:val="1"/>
      <w:numFmt w:val="bullet"/>
      <w:lvlText w:val="•"/>
      <w:lvlJc w:val="left"/>
      <w:pPr>
        <w:tabs>
          <w:tab w:val="num" w:pos="4320"/>
        </w:tabs>
        <w:ind w:left="4320" w:hanging="360"/>
      </w:pPr>
      <w:rPr>
        <w:rFonts w:ascii="Arial" w:hAnsi="Arial" w:hint="default"/>
      </w:rPr>
    </w:lvl>
    <w:lvl w:ilvl="6" w:tplc="D0C4794A" w:tentative="1">
      <w:start w:val="1"/>
      <w:numFmt w:val="bullet"/>
      <w:lvlText w:val="•"/>
      <w:lvlJc w:val="left"/>
      <w:pPr>
        <w:tabs>
          <w:tab w:val="num" w:pos="5040"/>
        </w:tabs>
        <w:ind w:left="5040" w:hanging="360"/>
      </w:pPr>
      <w:rPr>
        <w:rFonts w:ascii="Arial" w:hAnsi="Arial" w:hint="default"/>
      </w:rPr>
    </w:lvl>
    <w:lvl w:ilvl="7" w:tplc="9AB467DE" w:tentative="1">
      <w:start w:val="1"/>
      <w:numFmt w:val="bullet"/>
      <w:lvlText w:val="•"/>
      <w:lvlJc w:val="left"/>
      <w:pPr>
        <w:tabs>
          <w:tab w:val="num" w:pos="5760"/>
        </w:tabs>
        <w:ind w:left="5760" w:hanging="360"/>
      </w:pPr>
      <w:rPr>
        <w:rFonts w:ascii="Arial" w:hAnsi="Arial" w:hint="default"/>
      </w:rPr>
    </w:lvl>
    <w:lvl w:ilvl="8" w:tplc="329CF0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3F72E9C"/>
    <w:multiLevelType w:val="multilevel"/>
    <w:tmpl w:val="A4CEF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972D7B"/>
    <w:multiLevelType w:val="multilevel"/>
    <w:tmpl w:val="00180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C746AF"/>
    <w:multiLevelType w:val="multilevel"/>
    <w:tmpl w:val="F5DA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863E89"/>
    <w:multiLevelType w:val="multilevel"/>
    <w:tmpl w:val="C3369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ED4F23"/>
    <w:multiLevelType w:val="multilevel"/>
    <w:tmpl w:val="6136D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C5367F"/>
    <w:multiLevelType w:val="multilevel"/>
    <w:tmpl w:val="A66E4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F2320B"/>
    <w:multiLevelType w:val="multilevel"/>
    <w:tmpl w:val="FBD4B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A62DC0"/>
    <w:multiLevelType w:val="multilevel"/>
    <w:tmpl w:val="9F5C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4D04BE"/>
    <w:multiLevelType w:val="multilevel"/>
    <w:tmpl w:val="3C2E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C50687"/>
    <w:multiLevelType w:val="multilevel"/>
    <w:tmpl w:val="0E0C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856C67"/>
    <w:multiLevelType w:val="multilevel"/>
    <w:tmpl w:val="FC0A9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FD27AB"/>
    <w:multiLevelType w:val="multilevel"/>
    <w:tmpl w:val="F288F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BB7E72"/>
    <w:multiLevelType w:val="multilevel"/>
    <w:tmpl w:val="3B7C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1031416">
    <w:abstractNumId w:val="8"/>
  </w:num>
  <w:num w:numId="2" w16cid:durableId="2128113170">
    <w:abstractNumId w:val="10"/>
  </w:num>
  <w:num w:numId="3" w16cid:durableId="334454543">
    <w:abstractNumId w:val="16"/>
  </w:num>
  <w:num w:numId="4" w16cid:durableId="2143186334">
    <w:abstractNumId w:val="0"/>
  </w:num>
  <w:num w:numId="5" w16cid:durableId="279535578">
    <w:abstractNumId w:val="7"/>
  </w:num>
  <w:num w:numId="6" w16cid:durableId="1112434507">
    <w:abstractNumId w:val="1"/>
  </w:num>
  <w:num w:numId="7" w16cid:durableId="578561081">
    <w:abstractNumId w:val="15"/>
  </w:num>
  <w:num w:numId="8" w16cid:durableId="1341589807">
    <w:abstractNumId w:val="11"/>
  </w:num>
  <w:num w:numId="9" w16cid:durableId="560560932">
    <w:abstractNumId w:val="21"/>
  </w:num>
  <w:num w:numId="10" w16cid:durableId="1947039154">
    <w:abstractNumId w:val="17"/>
  </w:num>
  <w:num w:numId="11" w16cid:durableId="1937518722">
    <w:abstractNumId w:val="22"/>
  </w:num>
  <w:num w:numId="12" w16cid:durableId="535655227">
    <w:abstractNumId w:val="6"/>
  </w:num>
  <w:num w:numId="13" w16cid:durableId="1919174072">
    <w:abstractNumId w:val="18"/>
  </w:num>
  <w:num w:numId="14" w16cid:durableId="358941305">
    <w:abstractNumId w:val="12"/>
  </w:num>
  <w:num w:numId="15" w16cid:durableId="745759993">
    <w:abstractNumId w:val="2"/>
  </w:num>
  <w:num w:numId="16" w16cid:durableId="1874876268">
    <w:abstractNumId w:val="19"/>
  </w:num>
  <w:num w:numId="17" w16cid:durableId="1821842225">
    <w:abstractNumId w:val="20"/>
  </w:num>
  <w:num w:numId="18" w16cid:durableId="2041736475">
    <w:abstractNumId w:val="13"/>
  </w:num>
  <w:num w:numId="19" w16cid:durableId="1617716308">
    <w:abstractNumId w:val="14"/>
  </w:num>
  <w:num w:numId="20" w16cid:durableId="2055764274">
    <w:abstractNumId w:val="3"/>
  </w:num>
  <w:num w:numId="21" w16cid:durableId="1275402859">
    <w:abstractNumId w:val="4"/>
  </w:num>
  <w:num w:numId="22" w16cid:durableId="1294411018">
    <w:abstractNumId w:val="5"/>
  </w:num>
  <w:num w:numId="23" w16cid:durableId="14830825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F8C"/>
    <w:rsid w:val="00010223"/>
    <w:rsid w:val="00023ED8"/>
    <w:rsid w:val="000241C0"/>
    <w:rsid w:val="00033CDE"/>
    <w:rsid w:val="00034D18"/>
    <w:rsid w:val="00040B78"/>
    <w:rsid w:val="00041386"/>
    <w:rsid w:val="00047C39"/>
    <w:rsid w:val="00052F19"/>
    <w:rsid w:val="00053EAB"/>
    <w:rsid w:val="000620FA"/>
    <w:rsid w:val="00066B23"/>
    <w:rsid w:val="0007099F"/>
    <w:rsid w:val="00071330"/>
    <w:rsid w:val="00075224"/>
    <w:rsid w:val="000763BE"/>
    <w:rsid w:val="00086E47"/>
    <w:rsid w:val="00087982"/>
    <w:rsid w:val="00092F57"/>
    <w:rsid w:val="000A2FF3"/>
    <w:rsid w:val="000B29BC"/>
    <w:rsid w:val="000E7911"/>
    <w:rsid w:val="000F0886"/>
    <w:rsid w:val="000F532F"/>
    <w:rsid w:val="00104299"/>
    <w:rsid w:val="00104D82"/>
    <w:rsid w:val="001051B0"/>
    <w:rsid w:val="00106D08"/>
    <w:rsid w:val="001263E6"/>
    <w:rsid w:val="00131F3F"/>
    <w:rsid w:val="001325C6"/>
    <w:rsid w:val="001354BE"/>
    <w:rsid w:val="00136B68"/>
    <w:rsid w:val="0016145A"/>
    <w:rsid w:val="0017676D"/>
    <w:rsid w:val="001A04A9"/>
    <w:rsid w:val="001A631F"/>
    <w:rsid w:val="001B6FD2"/>
    <w:rsid w:val="001C39AA"/>
    <w:rsid w:val="001D7721"/>
    <w:rsid w:val="001E1F1D"/>
    <w:rsid w:val="001E3357"/>
    <w:rsid w:val="001E4C9B"/>
    <w:rsid w:val="001E5642"/>
    <w:rsid w:val="001E5F94"/>
    <w:rsid w:val="001E79F9"/>
    <w:rsid w:val="001F0123"/>
    <w:rsid w:val="0020416B"/>
    <w:rsid w:val="00213D41"/>
    <w:rsid w:val="00214F30"/>
    <w:rsid w:val="00216625"/>
    <w:rsid w:val="002449B2"/>
    <w:rsid w:val="00252D41"/>
    <w:rsid w:val="00262CD8"/>
    <w:rsid w:val="00266C2F"/>
    <w:rsid w:val="00273EDE"/>
    <w:rsid w:val="002741CD"/>
    <w:rsid w:val="002803BE"/>
    <w:rsid w:val="00283CF3"/>
    <w:rsid w:val="00290611"/>
    <w:rsid w:val="002A3DCC"/>
    <w:rsid w:val="002B070B"/>
    <w:rsid w:val="002B3A39"/>
    <w:rsid w:val="002C13F1"/>
    <w:rsid w:val="002D06A4"/>
    <w:rsid w:val="002D15F2"/>
    <w:rsid w:val="002D1E51"/>
    <w:rsid w:val="002D387E"/>
    <w:rsid w:val="002D4478"/>
    <w:rsid w:val="002D553C"/>
    <w:rsid w:val="002F0B66"/>
    <w:rsid w:val="002F1A75"/>
    <w:rsid w:val="002F465B"/>
    <w:rsid w:val="002F623C"/>
    <w:rsid w:val="002F65A0"/>
    <w:rsid w:val="003024AE"/>
    <w:rsid w:val="00302E35"/>
    <w:rsid w:val="003079AF"/>
    <w:rsid w:val="00311D56"/>
    <w:rsid w:val="003126A6"/>
    <w:rsid w:val="00320C1E"/>
    <w:rsid w:val="003256AC"/>
    <w:rsid w:val="00327528"/>
    <w:rsid w:val="00333D6A"/>
    <w:rsid w:val="0033480F"/>
    <w:rsid w:val="00335C68"/>
    <w:rsid w:val="00341306"/>
    <w:rsid w:val="00356004"/>
    <w:rsid w:val="00357B61"/>
    <w:rsid w:val="00362B03"/>
    <w:rsid w:val="00366555"/>
    <w:rsid w:val="00373EA7"/>
    <w:rsid w:val="003764A2"/>
    <w:rsid w:val="003819F8"/>
    <w:rsid w:val="0038648F"/>
    <w:rsid w:val="003A3FFB"/>
    <w:rsid w:val="003B19D2"/>
    <w:rsid w:val="003C0D09"/>
    <w:rsid w:val="003D2040"/>
    <w:rsid w:val="003D3C4B"/>
    <w:rsid w:val="003D5AF1"/>
    <w:rsid w:val="003D689B"/>
    <w:rsid w:val="003E4A17"/>
    <w:rsid w:val="003F26A6"/>
    <w:rsid w:val="00406EDC"/>
    <w:rsid w:val="00416819"/>
    <w:rsid w:val="00416A14"/>
    <w:rsid w:val="004266E8"/>
    <w:rsid w:val="00432857"/>
    <w:rsid w:val="00432934"/>
    <w:rsid w:val="00432C62"/>
    <w:rsid w:val="0043661C"/>
    <w:rsid w:val="00437A45"/>
    <w:rsid w:val="00442336"/>
    <w:rsid w:val="00444FED"/>
    <w:rsid w:val="004452DE"/>
    <w:rsid w:val="00462D44"/>
    <w:rsid w:val="00466FEA"/>
    <w:rsid w:val="00471360"/>
    <w:rsid w:val="00473D2A"/>
    <w:rsid w:val="004911BF"/>
    <w:rsid w:val="00492D7E"/>
    <w:rsid w:val="004A2B8E"/>
    <w:rsid w:val="004C7DAE"/>
    <w:rsid w:val="004D793B"/>
    <w:rsid w:val="004E1642"/>
    <w:rsid w:val="004E3D60"/>
    <w:rsid w:val="004E5639"/>
    <w:rsid w:val="004F0EFC"/>
    <w:rsid w:val="004F2C5C"/>
    <w:rsid w:val="004F659C"/>
    <w:rsid w:val="00502C96"/>
    <w:rsid w:val="00510C10"/>
    <w:rsid w:val="00511748"/>
    <w:rsid w:val="00517BBF"/>
    <w:rsid w:val="005209F6"/>
    <w:rsid w:val="00531C66"/>
    <w:rsid w:val="005363CD"/>
    <w:rsid w:val="005373E9"/>
    <w:rsid w:val="0053745B"/>
    <w:rsid w:val="00537E4C"/>
    <w:rsid w:val="00541F4F"/>
    <w:rsid w:val="0054452E"/>
    <w:rsid w:val="00545EC1"/>
    <w:rsid w:val="00550265"/>
    <w:rsid w:val="0055028B"/>
    <w:rsid w:val="005661B0"/>
    <w:rsid w:val="005678F0"/>
    <w:rsid w:val="00571209"/>
    <w:rsid w:val="00583025"/>
    <w:rsid w:val="00584883"/>
    <w:rsid w:val="00593E87"/>
    <w:rsid w:val="00596006"/>
    <w:rsid w:val="005A707C"/>
    <w:rsid w:val="005A7678"/>
    <w:rsid w:val="005B0896"/>
    <w:rsid w:val="005B089D"/>
    <w:rsid w:val="005C1FE8"/>
    <w:rsid w:val="005D0F4E"/>
    <w:rsid w:val="005D5712"/>
    <w:rsid w:val="005E255D"/>
    <w:rsid w:val="005E4273"/>
    <w:rsid w:val="006064D0"/>
    <w:rsid w:val="00610B4B"/>
    <w:rsid w:val="006154E9"/>
    <w:rsid w:val="006159C2"/>
    <w:rsid w:val="00615A88"/>
    <w:rsid w:val="006264BC"/>
    <w:rsid w:val="006311D0"/>
    <w:rsid w:val="006333C8"/>
    <w:rsid w:val="006406F8"/>
    <w:rsid w:val="0064073D"/>
    <w:rsid w:val="00656730"/>
    <w:rsid w:val="00662F40"/>
    <w:rsid w:val="00666F0B"/>
    <w:rsid w:val="00671115"/>
    <w:rsid w:val="00674056"/>
    <w:rsid w:val="0068188B"/>
    <w:rsid w:val="00687CA5"/>
    <w:rsid w:val="00696498"/>
    <w:rsid w:val="006A2719"/>
    <w:rsid w:val="006C22FD"/>
    <w:rsid w:val="006C25DB"/>
    <w:rsid w:val="006C4368"/>
    <w:rsid w:val="006D242A"/>
    <w:rsid w:val="006E035A"/>
    <w:rsid w:val="006F245C"/>
    <w:rsid w:val="00704F43"/>
    <w:rsid w:val="007148AA"/>
    <w:rsid w:val="00715830"/>
    <w:rsid w:val="0072015F"/>
    <w:rsid w:val="00725EB6"/>
    <w:rsid w:val="0073200B"/>
    <w:rsid w:val="00736CD8"/>
    <w:rsid w:val="007404C9"/>
    <w:rsid w:val="007440AB"/>
    <w:rsid w:val="00752429"/>
    <w:rsid w:val="00752646"/>
    <w:rsid w:val="007679F0"/>
    <w:rsid w:val="00771DEE"/>
    <w:rsid w:val="00775A2C"/>
    <w:rsid w:val="00784445"/>
    <w:rsid w:val="0078781B"/>
    <w:rsid w:val="007A32D4"/>
    <w:rsid w:val="007A4132"/>
    <w:rsid w:val="007B7F9E"/>
    <w:rsid w:val="007C153E"/>
    <w:rsid w:val="007C1E05"/>
    <w:rsid w:val="007C2327"/>
    <w:rsid w:val="007C39E2"/>
    <w:rsid w:val="007C3F19"/>
    <w:rsid w:val="007C5D58"/>
    <w:rsid w:val="007D211D"/>
    <w:rsid w:val="007E5B13"/>
    <w:rsid w:val="007E5CF8"/>
    <w:rsid w:val="00801AE3"/>
    <w:rsid w:val="00802FCE"/>
    <w:rsid w:val="00806E3E"/>
    <w:rsid w:val="00823FAD"/>
    <w:rsid w:val="0082517A"/>
    <w:rsid w:val="008337F0"/>
    <w:rsid w:val="0083468E"/>
    <w:rsid w:val="0084593C"/>
    <w:rsid w:val="00846969"/>
    <w:rsid w:val="00851180"/>
    <w:rsid w:val="00852EB5"/>
    <w:rsid w:val="00853554"/>
    <w:rsid w:val="00854C9D"/>
    <w:rsid w:val="00857F30"/>
    <w:rsid w:val="0086634C"/>
    <w:rsid w:val="00874DC5"/>
    <w:rsid w:val="00880B9F"/>
    <w:rsid w:val="0089363C"/>
    <w:rsid w:val="008A020C"/>
    <w:rsid w:val="008A42FC"/>
    <w:rsid w:val="008B33C8"/>
    <w:rsid w:val="008B7653"/>
    <w:rsid w:val="008C289B"/>
    <w:rsid w:val="008C49A4"/>
    <w:rsid w:val="008C6DF4"/>
    <w:rsid w:val="008D270F"/>
    <w:rsid w:val="008D4945"/>
    <w:rsid w:val="008D6AF9"/>
    <w:rsid w:val="008D7749"/>
    <w:rsid w:val="008E6306"/>
    <w:rsid w:val="00905478"/>
    <w:rsid w:val="0091082C"/>
    <w:rsid w:val="00913DEA"/>
    <w:rsid w:val="00914CD0"/>
    <w:rsid w:val="00915050"/>
    <w:rsid w:val="00920F8C"/>
    <w:rsid w:val="00926C7D"/>
    <w:rsid w:val="00954EEC"/>
    <w:rsid w:val="00971095"/>
    <w:rsid w:val="00971AC8"/>
    <w:rsid w:val="00983DD0"/>
    <w:rsid w:val="009A0CF7"/>
    <w:rsid w:val="009A0EFF"/>
    <w:rsid w:val="009A23F3"/>
    <w:rsid w:val="009A3F53"/>
    <w:rsid w:val="009C0344"/>
    <w:rsid w:val="009C408B"/>
    <w:rsid w:val="009D0165"/>
    <w:rsid w:val="009D0D1D"/>
    <w:rsid w:val="009D1732"/>
    <w:rsid w:val="009D3440"/>
    <w:rsid w:val="009E47DB"/>
    <w:rsid w:val="00A03E10"/>
    <w:rsid w:val="00A04240"/>
    <w:rsid w:val="00A108E3"/>
    <w:rsid w:val="00A1718E"/>
    <w:rsid w:val="00A234D6"/>
    <w:rsid w:val="00A250EB"/>
    <w:rsid w:val="00A26633"/>
    <w:rsid w:val="00A30B8F"/>
    <w:rsid w:val="00A363BF"/>
    <w:rsid w:val="00A376F6"/>
    <w:rsid w:val="00A5265D"/>
    <w:rsid w:val="00A55B63"/>
    <w:rsid w:val="00A61E7E"/>
    <w:rsid w:val="00A63BF9"/>
    <w:rsid w:val="00A64827"/>
    <w:rsid w:val="00A653C8"/>
    <w:rsid w:val="00A7392F"/>
    <w:rsid w:val="00A7459C"/>
    <w:rsid w:val="00A7573A"/>
    <w:rsid w:val="00A80DA1"/>
    <w:rsid w:val="00A81BD5"/>
    <w:rsid w:val="00A82A02"/>
    <w:rsid w:val="00A87F4C"/>
    <w:rsid w:val="00A961FB"/>
    <w:rsid w:val="00AA4A76"/>
    <w:rsid w:val="00AB4805"/>
    <w:rsid w:val="00AC2917"/>
    <w:rsid w:val="00AC356A"/>
    <w:rsid w:val="00AE224B"/>
    <w:rsid w:val="00B036D0"/>
    <w:rsid w:val="00B04B62"/>
    <w:rsid w:val="00B20BD2"/>
    <w:rsid w:val="00B30734"/>
    <w:rsid w:val="00B72E9A"/>
    <w:rsid w:val="00B762F0"/>
    <w:rsid w:val="00B778A1"/>
    <w:rsid w:val="00B875C7"/>
    <w:rsid w:val="00B87AA0"/>
    <w:rsid w:val="00B94694"/>
    <w:rsid w:val="00BA5C07"/>
    <w:rsid w:val="00BB5D8D"/>
    <w:rsid w:val="00BB7DB7"/>
    <w:rsid w:val="00BC5EA9"/>
    <w:rsid w:val="00BD0EDB"/>
    <w:rsid w:val="00BF5EE3"/>
    <w:rsid w:val="00BF6A91"/>
    <w:rsid w:val="00C0057A"/>
    <w:rsid w:val="00C03712"/>
    <w:rsid w:val="00C109CF"/>
    <w:rsid w:val="00C17A28"/>
    <w:rsid w:val="00C276FD"/>
    <w:rsid w:val="00C56DA0"/>
    <w:rsid w:val="00C6248E"/>
    <w:rsid w:val="00C77AF5"/>
    <w:rsid w:val="00C81658"/>
    <w:rsid w:val="00C83893"/>
    <w:rsid w:val="00C847A9"/>
    <w:rsid w:val="00C90D4D"/>
    <w:rsid w:val="00C91ACB"/>
    <w:rsid w:val="00C97952"/>
    <w:rsid w:val="00CA4AAA"/>
    <w:rsid w:val="00CA6B4F"/>
    <w:rsid w:val="00CB7536"/>
    <w:rsid w:val="00CC0E15"/>
    <w:rsid w:val="00CC3917"/>
    <w:rsid w:val="00CD2CC2"/>
    <w:rsid w:val="00CF21EC"/>
    <w:rsid w:val="00CF3EAA"/>
    <w:rsid w:val="00CF5738"/>
    <w:rsid w:val="00CF786E"/>
    <w:rsid w:val="00CF7F40"/>
    <w:rsid w:val="00D0572E"/>
    <w:rsid w:val="00D066E0"/>
    <w:rsid w:val="00D110E1"/>
    <w:rsid w:val="00D11650"/>
    <w:rsid w:val="00D22748"/>
    <w:rsid w:val="00D308AE"/>
    <w:rsid w:val="00D30D97"/>
    <w:rsid w:val="00D41F48"/>
    <w:rsid w:val="00D53452"/>
    <w:rsid w:val="00D56A8C"/>
    <w:rsid w:val="00D6634B"/>
    <w:rsid w:val="00D710F2"/>
    <w:rsid w:val="00D76861"/>
    <w:rsid w:val="00D77F48"/>
    <w:rsid w:val="00D80A84"/>
    <w:rsid w:val="00D91974"/>
    <w:rsid w:val="00D92C0F"/>
    <w:rsid w:val="00DA0C42"/>
    <w:rsid w:val="00DA5F31"/>
    <w:rsid w:val="00DB0148"/>
    <w:rsid w:val="00DB22D3"/>
    <w:rsid w:val="00DB31F2"/>
    <w:rsid w:val="00DC6355"/>
    <w:rsid w:val="00DD09F0"/>
    <w:rsid w:val="00DD0FE6"/>
    <w:rsid w:val="00DD3E27"/>
    <w:rsid w:val="00DD4B69"/>
    <w:rsid w:val="00DD4C8F"/>
    <w:rsid w:val="00DD6221"/>
    <w:rsid w:val="00DE0888"/>
    <w:rsid w:val="00DE1402"/>
    <w:rsid w:val="00E07788"/>
    <w:rsid w:val="00E1569F"/>
    <w:rsid w:val="00E22AC4"/>
    <w:rsid w:val="00E46F33"/>
    <w:rsid w:val="00E47C02"/>
    <w:rsid w:val="00E54018"/>
    <w:rsid w:val="00E64807"/>
    <w:rsid w:val="00E71289"/>
    <w:rsid w:val="00E800F1"/>
    <w:rsid w:val="00E841C1"/>
    <w:rsid w:val="00E86D36"/>
    <w:rsid w:val="00E90BC3"/>
    <w:rsid w:val="00EB2FAF"/>
    <w:rsid w:val="00EB3E27"/>
    <w:rsid w:val="00EB7667"/>
    <w:rsid w:val="00EB788A"/>
    <w:rsid w:val="00EC24E1"/>
    <w:rsid w:val="00ED1353"/>
    <w:rsid w:val="00ED57F8"/>
    <w:rsid w:val="00EE07F9"/>
    <w:rsid w:val="00EE4B0B"/>
    <w:rsid w:val="00EE6774"/>
    <w:rsid w:val="00F15AB2"/>
    <w:rsid w:val="00F2756C"/>
    <w:rsid w:val="00F420AF"/>
    <w:rsid w:val="00F56B94"/>
    <w:rsid w:val="00F67123"/>
    <w:rsid w:val="00F71A49"/>
    <w:rsid w:val="00F74B49"/>
    <w:rsid w:val="00F74D39"/>
    <w:rsid w:val="00F760BA"/>
    <w:rsid w:val="00FA6A24"/>
    <w:rsid w:val="00FB1BC2"/>
    <w:rsid w:val="00FB1C0C"/>
    <w:rsid w:val="00FD3208"/>
    <w:rsid w:val="00FD4222"/>
    <w:rsid w:val="00FD71E8"/>
    <w:rsid w:val="00FE25B8"/>
    <w:rsid w:val="00FE3E35"/>
    <w:rsid w:val="00FE5558"/>
    <w:rsid w:val="00FF1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23267"/>
  <w15:chartTrackingRefBased/>
  <w15:docId w15:val="{2948FA5A-ECCB-466C-8D68-30D85AC9C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F8C"/>
    <w:rPr>
      <w:rFonts w:eastAsiaTheme="majorEastAsia" w:cstheme="majorBidi"/>
      <w:color w:val="272727" w:themeColor="text1" w:themeTint="D8"/>
    </w:rPr>
  </w:style>
  <w:style w:type="paragraph" w:styleId="Title">
    <w:name w:val="Title"/>
    <w:basedOn w:val="Normal"/>
    <w:next w:val="Normal"/>
    <w:link w:val="TitleChar"/>
    <w:uiPriority w:val="10"/>
    <w:qFormat/>
    <w:rsid w:val="00920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F8C"/>
    <w:pPr>
      <w:spacing w:before="160"/>
      <w:jc w:val="center"/>
    </w:pPr>
    <w:rPr>
      <w:i/>
      <w:iCs/>
      <w:color w:val="404040" w:themeColor="text1" w:themeTint="BF"/>
    </w:rPr>
  </w:style>
  <w:style w:type="character" w:customStyle="1" w:styleId="QuoteChar">
    <w:name w:val="Quote Char"/>
    <w:basedOn w:val="DefaultParagraphFont"/>
    <w:link w:val="Quote"/>
    <w:uiPriority w:val="29"/>
    <w:rsid w:val="00920F8C"/>
    <w:rPr>
      <w:i/>
      <w:iCs/>
      <w:color w:val="404040" w:themeColor="text1" w:themeTint="BF"/>
    </w:rPr>
  </w:style>
  <w:style w:type="paragraph" w:styleId="ListParagraph">
    <w:name w:val="List Paragraph"/>
    <w:basedOn w:val="Normal"/>
    <w:uiPriority w:val="34"/>
    <w:qFormat/>
    <w:rsid w:val="00920F8C"/>
    <w:pPr>
      <w:ind w:left="720"/>
      <w:contextualSpacing/>
    </w:pPr>
  </w:style>
  <w:style w:type="character" w:styleId="IntenseEmphasis">
    <w:name w:val="Intense Emphasis"/>
    <w:basedOn w:val="DefaultParagraphFont"/>
    <w:uiPriority w:val="21"/>
    <w:qFormat/>
    <w:rsid w:val="00920F8C"/>
    <w:rPr>
      <w:i/>
      <w:iCs/>
      <w:color w:val="0F4761" w:themeColor="accent1" w:themeShade="BF"/>
    </w:rPr>
  </w:style>
  <w:style w:type="paragraph" w:styleId="IntenseQuote">
    <w:name w:val="Intense Quote"/>
    <w:basedOn w:val="Normal"/>
    <w:next w:val="Normal"/>
    <w:link w:val="IntenseQuoteChar"/>
    <w:uiPriority w:val="30"/>
    <w:qFormat/>
    <w:rsid w:val="00920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F8C"/>
    <w:rPr>
      <w:i/>
      <w:iCs/>
      <w:color w:val="0F4761" w:themeColor="accent1" w:themeShade="BF"/>
    </w:rPr>
  </w:style>
  <w:style w:type="character" w:styleId="IntenseReference">
    <w:name w:val="Intense Reference"/>
    <w:basedOn w:val="DefaultParagraphFont"/>
    <w:uiPriority w:val="32"/>
    <w:qFormat/>
    <w:rsid w:val="00920F8C"/>
    <w:rPr>
      <w:b/>
      <w:bCs/>
      <w:smallCaps/>
      <w:color w:val="0F4761" w:themeColor="accent1" w:themeShade="BF"/>
      <w:spacing w:val="5"/>
    </w:rPr>
  </w:style>
  <w:style w:type="paragraph" w:styleId="Header">
    <w:name w:val="header"/>
    <w:basedOn w:val="Normal"/>
    <w:link w:val="HeaderChar"/>
    <w:uiPriority w:val="99"/>
    <w:unhideWhenUsed/>
    <w:rsid w:val="00920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F8C"/>
  </w:style>
  <w:style w:type="paragraph" w:styleId="Footer">
    <w:name w:val="footer"/>
    <w:basedOn w:val="Normal"/>
    <w:link w:val="FooterChar"/>
    <w:uiPriority w:val="99"/>
    <w:unhideWhenUsed/>
    <w:rsid w:val="00920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F8C"/>
  </w:style>
  <w:style w:type="character" w:styleId="Hyperlink">
    <w:name w:val="Hyperlink"/>
    <w:basedOn w:val="DefaultParagraphFont"/>
    <w:uiPriority w:val="99"/>
    <w:unhideWhenUsed/>
    <w:rsid w:val="005C1FE8"/>
    <w:rPr>
      <w:color w:val="467886" w:themeColor="hyperlink"/>
      <w:u w:val="single"/>
    </w:rPr>
  </w:style>
  <w:style w:type="character" w:styleId="UnresolvedMention">
    <w:name w:val="Unresolved Mention"/>
    <w:basedOn w:val="DefaultParagraphFont"/>
    <w:uiPriority w:val="99"/>
    <w:semiHidden/>
    <w:unhideWhenUsed/>
    <w:rsid w:val="005C1FE8"/>
    <w:rPr>
      <w:color w:val="605E5C"/>
      <w:shd w:val="clear" w:color="auto" w:fill="E1DFDD"/>
    </w:rPr>
  </w:style>
  <w:style w:type="character" w:styleId="FollowedHyperlink">
    <w:name w:val="FollowedHyperlink"/>
    <w:basedOn w:val="DefaultParagraphFont"/>
    <w:uiPriority w:val="99"/>
    <w:semiHidden/>
    <w:unhideWhenUsed/>
    <w:rsid w:val="001D77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457267">
      <w:bodyDiv w:val="1"/>
      <w:marLeft w:val="0"/>
      <w:marRight w:val="0"/>
      <w:marTop w:val="0"/>
      <w:marBottom w:val="0"/>
      <w:divBdr>
        <w:top w:val="none" w:sz="0" w:space="0" w:color="auto"/>
        <w:left w:val="none" w:sz="0" w:space="0" w:color="auto"/>
        <w:bottom w:val="none" w:sz="0" w:space="0" w:color="auto"/>
        <w:right w:val="none" w:sz="0" w:space="0" w:color="auto"/>
      </w:divBdr>
      <w:divsChild>
        <w:div w:id="1574508039">
          <w:marLeft w:val="360"/>
          <w:marRight w:val="0"/>
          <w:marTop w:val="200"/>
          <w:marBottom w:val="0"/>
          <w:divBdr>
            <w:top w:val="none" w:sz="0" w:space="0" w:color="auto"/>
            <w:left w:val="none" w:sz="0" w:space="0" w:color="auto"/>
            <w:bottom w:val="none" w:sz="0" w:space="0" w:color="auto"/>
            <w:right w:val="none" w:sz="0" w:space="0" w:color="auto"/>
          </w:divBdr>
        </w:div>
      </w:divsChild>
    </w:div>
    <w:div w:id="307784804">
      <w:bodyDiv w:val="1"/>
      <w:marLeft w:val="0"/>
      <w:marRight w:val="0"/>
      <w:marTop w:val="0"/>
      <w:marBottom w:val="0"/>
      <w:divBdr>
        <w:top w:val="none" w:sz="0" w:space="0" w:color="auto"/>
        <w:left w:val="none" w:sz="0" w:space="0" w:color="auto"/>
        <w:bottom w:val="none" w:sz="0" w:space="0" w:color="auto"/>
        <w:right w:val="none" w:sz="0" w:space="0" w:color="auto"/>
      </w:divBdr>
    </w:div>
    <w:div w:id="706678709">
      <w:bodyDiv w:val="1"/>
      <w:marLeft w:val="0"/>
      <w:marRight w:val="0"/>
      <w:marTop w:val="0"/>
      <w:marBottom w:val="0"/>
      <w:divBdr>
        <w:top w:val="none" w:sz="0" w:space="0" w:color="auto"/>
        <w:left w:val="none" w:sz="0" w:space="0" w:color="auto"/>
        <w:bottom w:val="none" w:sz="0" w:space="0" w:color="auto"/>
        <w:right w:val="none" w:sz="0" w:space="0" w:color="auto"/>
      </w:divBdr>
      <w:divsChild>
        <w:div w:id="1785802032">
          <w:marLeft w:val="360"/>
          <w:marRight w:val="0"/>
          <w:marTop w:val="200"/>
          <w:marBottom w:val="0"/>
          <w:divBdr>
            <w:top w:val="none" w:sz="0" w:space="0" w:color="auto"/>
            <w:left w:val="none" w:sz="0" w:space="0" w:color="auto"/>
            <w:bottom w:val="none" w:sz="0" w:space="0" w:color="auto"/>
            <w:right w:val="none" w:sz="0" w:space="0" w:color="auto"/>
          </w:divBdr>
        </w:div>
      </w:divsChild>
    </w:div>
    <w:div w:id="977370751">
      <w:bodyDiv w:val="1"/>
      <w:marLeft w:val="0"/>
      <w:marRight w:val="0"/>
      <w:marTop w:val="0"/>
      <w:marBottom w:val="0"/>
      <w:divBdr>
        <w:top w:val="none" w:sz="0" w:space="0" w:color="auto"/>
        <w:left w:val="none" w:sz="0" w:space="0" w:color="auto"/>
        <w:bottom w:val="none" w:sz="0" w:space="0" w:color="auto"/>
        <w:right w:val="none" w:sz="0" w:space="0" w:color="auto"/>
      </w:divBdr>
    </w:div>
    <w:div w:id="1035689470">
      <w:bodyDiv w:val="1"/>
      <w:marLeft w:val="0"/>
      <w:marRight w:val="0"/>
      <w:marTop w:val="0"/>
      <w:marBottom w:val="0"/>
      <w:divBdr>
        <w:top w:val="none" w:sz="0" w:space="0" w:color="auto"/>
        <w:left w:val="none" w:sz="0" w:space="0" w:color="auto"/>
        <w:bottom w:val="none" w:sz="0" w:space="0" w:color="auto"/>
        <w:right w:val="none" w:sz="0" w:space="0" w:color="auto"/>
      </w:divBdr>
    </w:div>
    <w:div w:id="1443375437">
      <w:bodyDiv w:val="1"/>
      <w:marLeft w:val="0"/>
      <w:marRight w:val="0"/>
      <w:marTop w:val="0"/>
      <w:marBottom w:val="0"/>
      <w:divBdr>
        <w:top w:val="none" w:sz="0" w:space="0" w:color="auto"/>
        <w:left w:val="none" w:sz="0" w:space="0" w:color="auto"/>
        <w:bottom w:val="none" w:sz="0" w:space="0" w:color="auto"/>
        <w:right w:val="none" w:sz="0" w:space="0" w:color="auto"/>
      </w:divBdr>
    </w:div>
    <w:div w:id="1517158483">
      <w:bodyDiv w:val="1"/>
      <w:marLeft w:val="0"/>
      <w:marRight w:val="0"/>
      <w:marTop w:val="0"/>
      <w:marBottom w:val="0"/>
      <w:divBdr>
        <w:top w:val="none" w:sz="0" w:space="0" w:color="auto"/>
        <w:left w:val="none" w:sz="0" w:space="0" w:color="auto"/>
        <w:bottom w:val="none" w:sz="0" w:space="0" w:color="auto"/>
        <w:right w:val="none" w:sz="0" w:space="0" w:color="auto"/>
      </w:divBdr>
      <w:divsChild>
        <w:div w:id="245115242">
          <w:marLeft w:val="360"/>
          <w:marRight w:val="0"/>
          <w:marTop w:val="200"/>
          <w:marBottom w:val="0"/>
          <w:divBdr>
            <w:top w:val="none" w:sz="0" w:space="0" w:color="auto"/>
            <w:left w:val="none" w:sz="0" w:space="0" w:color="auto"/>
            <w:bottom w:val="none" w:sz="0" w:space="0" w:color="auto"/>
            <w:right w:val="none" w:sz="0" w:space="0" w:color="auto"/>
          </w:divBdr>
        </w:div>
      </w:divsChild>
    </w:div>
    <w:div w:id="1708142367">
      <w:bodyDiv w:val="1"/>
      <w:marLeft w:val="0"/>
      <w:marRight w:val="0"/>
      <w:marTop w:val="0"/>
      <w:marBottom w:val="0"/>
      <w:divBdr>
        <w:top w:val="none" w:sz="0" w:space="0" w:color="auto"/>
        <w:left w:val="none" w:sz="0" w:space="0" w:color="auto"/>
        <w:bottom w:val="none" w:sz="0" w:space="0" w:color="auto"/>
        <w:right w:val="none" w:sz="0" w:space="0" w:color="auto"/>
      </w:divBdr>
      <w:divsChild>
        <w:div w:id="1816490758">
          <w:marLeft w:val="0"/>
          <w:marRight w:val="0"/>
          <w:marTop w:val="0"/>
          <w:marBottom w:val="0"/>
          <w:divBdr>
            <w:top w:val="none" w:sz="0" w:space="0" w:color="auto"/>
            <w:left w:val="none" w:sz="0" w:space="0" w:color="auto"/>
            <w:bottom w:val="none" w:sz="0" w:space="0" w:color="auto"/>
            <w:right w:val="none" w:sz="0" w:space="0" w:color="auto"/>
          </w:divBdr>
        </w:div>
        <w:div w:id="1269123527">
          <w:marLeft w:val="0"/>
          <w:marRight w:val="0"/>
          <w:marTop w:val="0"/>
          <w:marBottom w:val="0"/>
          <w:divBdr>
            <w:top w:val="none" w:sz="0" w:space="0" w:color="auto"/>
            <w:left w:val="none" w:sz="0" w:space="0" w:color="auto"/>
            <w:bottom w:val="none" w:sz="0" w:space="0" w:color="auto"/>
            <w:right w:val="none" w:sz="0" w:space="0" w:color="auto"/>
          </w:divBdr>
        </w:div>
      </w:divsChild>
    </w:div>
    <w:div w:id="1821996669">
      <w:bodyDiv w:val="1"/>
      <w:marLeft w:val="0"/>
      <w:marRight w:val="0"/>
      <w:marTop w:val="0"/>
      <w:marBottom w:val="0"/>
      <w:divBdr>
        <w:top w:val="none" w:sz="0" w:space="0" w:color="auto"/>
        <w:left w:val="none" w:sz="0" w:space="0" w:color="auto"/>
        <w:bottom w:val="none" w:sz="0" w:space="0" w:color="auto"/>
        <w:right w:val="none" w:sz="0" w:space="0" w:color="auto"/>
      </w:divBdr>
    </w:div>
    <w:div w:id="1835954996">
      <w:bodyDiv w:val="1"/>
      <w:marLeft w:val="0"/>
      <w:marRight w:val="0"/>
      <w:marTop w:val="0"/>
      <w:marBottom w:val="0"/>
      <w:divBdr>
        <w:top w:val="none" w:sz="0" w:space="0" w:color="auto"/>
        <w:left w:val="none" w:sz="0" w:space="0" w:color="auto"/>
        <w:bottom w:val="none" w:sz="0" w:space="0" w:color="auto"/>
        <w:right w:val="none" w:sz="0" w:space="0" w:color="auto"/>
      </w:divBdr>
      <w:divsChild>
        <w:div w:id="2143691764">
          <w:marLeft w:val="0"/>
          <w:marRight w:val="0"/>
          <w:marTop w:val="0"/>
          <w:marBottom w:val="0"/>
          <w:divBdr>
            <w:top w:val="none" w:sz="0" w:space="0" w:color="auto"/>
            <w:left w:val="none" w:sz="0" w:space="0" w:color="auto"/>
            <w:bottom w:val="none" w:sz="0" w:space="0" w:color="auto"/>
            <w:right w:val="none" w:sz="0" w:space="0" w:color="auto"/>
          </w:divBdr>
        </w:div>
        <w:div w:id="1478959983">
          <w:marLeft w:val="0"/>
          <w:marRight w:val="0"/>
          <w:marTop w:val="0"/>
          <w:marBottom w:val="0"/>
          <w:divBdr>
            <w:top w:val="none" w:sz="0" w:space="0" w:color="auto"/>
            <w:left w:val="none" w:sz="0" w:space="0" w:color="auto"/>
            <w:bottom w:val="none" w:sz="0" w:space="0" w:color="auto"/>
            <w:right w:val="none" w:sz="0" w:space="0" w:color="auto"/>
          </w:divBdr>
        </w:div>
      </w:divsChild>
    </w:div>
    <w:div w:id="186805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tdoorclassroomday.com/resource/balancing-risks-benefits-outdoor-learning-pla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ature.com/articles/s41598-021-82184-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wb.gov.wales/storage/f8f9760c-64a1-48ea-80fd-db130ad9050b/a-guide-to-curriculum-for-wales-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1015</TotalTime>
  <Pages>8</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Dillon</dc:creator>
  <cp:keywords/>
  <dc:description/>
  <cp:lastModifiedBy>James Dillon</cp:lastModifiedBy>
  <cp:revision>391</cp:revision>
  <dcterms:created xsi:type="dcterms:W3CDTF">2024-11-04T13:38:00Z</dcterms:created>
  <dcterms:modified xsi:type="dcterms:W3CDTF">2024-12-12T23:57:00Z</dcterms:modified>
</cp:coreProperties>
</file>