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679E4" w14:textId="77777777" w:rsidR="00DB17A3" w:rsidRPr="00DB17A3" w:rsidRDefault="00DB17A3" w:rsidP="00B45DDE">
      <w:pPr>
        <w:spacing w:line="360" w:lineRule="auto"/>
        <w:rPr>
          <w:b/>
          <w:bCs/>
          <w:u w:val="single"/>
        </w:rPr>
      </w:pPr>
      <w:r w:rsidRPr="00DB17A3">
        <w:rPr>
          <w:b/>
          <w:bCs/>
          <w:u w:val="single"/>
        </w:rPr>
        <w:t>Reflection</w:t>
      </w:r>
    </w:p>
    <w:p w14:paraId="057EEA3C" w14:textId="77777777" w:rsidR="00DB17A3" w:rsidRPr="002C54DF" w:rsidRDefault="00DB17A3" w:rsidP="00B45DDE">
      <w:pPr>
        <w:spacing w:line="360" w:lineRule="auto"/>
      </w:pPr>
      <w:r w:rsidRPr="002C54DF">
        <w:t>Before starting this module, I believed I had a good understanding of safeguarding through my experience in my current and previous roles. I had raised safeguarding concerns on several occasions and, although none had required social services involvement, I had experience of sensitive conversations with parents and carers. I valued building trusting relationships with families and was sometimes concerned about the impact of raising concerns on those relationships. However, this module has deepened my understanding of safeguarding and highlighted its complexity, particularly around professional accountability, multi-agency working and decision-making. It has reinforced that while relationships are important, the welfare of the child must always remain the priority.</w:t>
      </w:r>
    </w:p>
    <w:p w14:paraId="70ECC16E" w14:textId="77777777" w:rsidR="00DB17A3" w:rsidRPr="002C54DF" w:rsidRDefault="00DB17A3" w:rsidP="00B45DDE">
      <w:pPr>
        <w:spacing w:line="360" w:lineRule="auto"/>
      </w:pPr>
      <w:r w:rsidRPr="002C54DF">
        <w:t xml:space="preserve">I now recognise that although I was confident in identifying and reporting concerns, I often relied on a Designated Safeguarding </w:t>
      </w:r>
      <w:r>
        <w:t>Officer</w:t>
      </w:r>
      <w:r w:rsidRPr="002C54DF">
        <w:t xml:space="preserve"> to make final decisions. This module has helped me reflect on my own responsibility and confidence in professional judgement, rather than deferring decisions to others.</w:t>
      </w:r>
    </w:p>
    <w:p w14:paraId="45C59DA9" w14:textId="77777777" w:rsidR="00DB17A3" w:rsidRDefault="00DB17A3" w:rsidP="00B45DDE">
      <w:pPr>
        <w:spacing w:line="360" w:lineRule="auto"/>
      </w:pPr>
      <w:r w:rsidRPr="000C6452">
        <w:t>The most significant learning for me is the importance of multi-agency working and how information can be fragmented when viewed in isolation</w:t>
      </w:r>
      <w:r w:rsidRPr="002C54DF">
        <w:t>. This will directly strengthen my practice in my role on the SPACE WELLBEING panel, where I will place greater value on professional dialogue and shared decision-making.</w:t>
      </w:r>
    </w:p>
    <w:p w14:paraId="493E2A3F" w14:textId="77777777" w:rsidR="00DB17A3" w:rsidRDefault="00DB17A3" w:rsidP="00B45DDE">
      <w:pPr>
        <w:spacing w:line="360" w:lineRule="auto"/>
      </w:pPr>
      <w:r w:rsidRPr="00BF7C71">
        <w:t>This learning has been made more real through serious case learning, including the Logan Mwangi case, which I found particularly difficult to read. It highlighted how systemic failures can result in missed opportunities to safeguard a child, particularly when communication and interpretation between agencies break down and work in silos. This case will have a lasting impact on how I view safeguarding practice.</w:t>
      </w:r>
    </w:p>
    <w:p w14:paraId="70E78228" w14:textId="77777777" w:rsidR="00DB17A3" w:rsidRPr="002C54DF" w:rsidRDefault="00DB17A3" w:rsidP="00B45DDE">
      <w:pPr>
        <w:spacing w:line="360" w:lineRule="auto"/>
      </w:pPr>
      <w:r w:rsidRPr="000C6452">
        <w:t>The module has also reinforced the importance of professional curiosity and awareness of bias. I now recognise that familiarity with families can influence judgement if not critically reflected upon, particularly confirmation bias. It has reminded me not to accept explanations at face value and to remain mindful of concerns that may require further exploration.</w:t>
      </w:r>
    </w:p>
    <w:p w14:paraId="7C793F79" w14:textId="77777777" w:rsidR="00DB17A3" w:rsidRDefault="00DB17A3" w:rsidP="00B45DDE">
      <w:pPr>
        <w:spacing w:line="360" w:lineRule="auto"/>
      </w:pPr>
      <w:r w:rsidRPr="002C54DF">
        <w:lastRenderedPageBreak/>
        <w:t xml:space="preserve">Overall, this module has stayed with me more than I expected. It has deepened my understanding of safeguarding and strengthened my awareness </w:t>
      </w:r>
      <w:r>
        <w:t xml:space="preserve">personal </w:t>
      </w:r>
      <w:r w:rsidRPr="002C54DF">
        <w:t>responsibility</w:t>
      </w:r>
      <w:r>
        <w:t>.</w:t>
      </w:r>
      <w:r w:rsidRPr="002C54DF">
        <w:t xml:space="preserve"> I will continue to reflect on my practice and the importance of seeing every child behind every concern.</w:t>
      </w:r>
    </w:p>
    <w:p w14:paraId="54ECFE96" w14:textId="77777777" w:rsidR="00DB17A3" w:rsidRDefault="00DB17A3" w:rsidP="00B45DDE">
      <w:pPr>
        <w:spacing w:line="360" w:lineRule="auto"/>
      </w:pPr>
    </w:p>
    <w:p w14:paraId="60BDB57C" w14:textId="77777777" w:rsidR="00DB17A3" w:rsidRDefault="00DB17A3" w:rsidP="00B45DDE">
      <w:pPr>
        <w:spacing w:line="360" w:lineRule="auto"/>
      </w:pPr>
    </w:p>
    <w:p w14:paraId="2FC0FAC8" w14:textId="77777777" w:rsidR="00DB17A3" w:rsidRDefault="00DB17A3" w:rsidP="00B45DDE">
      <w:pPr>
        <w:spacing w:line="360" w:lineRule="auto"/>
      </w:pPr>
    </w:p>
    <w:p w14:paraId="524F498A" w14:textId="77777777" w:rsidR="00DB17A3" w:rsidRDefault="00DB17A3" w:rsidP="00B45DDE">
      <w:pPr>
        <w:spacing w:line="360" w:lineRule="auto"/>
      </w:pPr>
    </w:p>
    <w:p w14:paraId="17F3DA6B" w14:textId="77777777" w:rsidR="002674FD" w:rsidRDefault="002674FD" w:rsidP="00B45DDE">
      <w:pPr>
        <w:spacing w:line="360" w:lineRule="auto"/>
      </w:pPr>
    </w:p>
    <w:p w14:paraId="35701748" w14:textId="77777777" w:rsidR="002674FD" w:rsidRDefault="002674FD" w:rsidP="00B45DDE">
      <w:pPr>
        <w:spacing w:line="360" w:lineRule="auto"/>
      </w:pPr>
    </w:p>
    <w:p w14:paraId="5088C158" w14:textId="77777777" w:rsidR="002674FD" w:rsidRDefault="002674FD" w:rsidP="00B45DDE">
      <w:pPr>
        <w:spacing w:line="360" w:lineRule="auto"/>
      </w:pPr>
    </w:p>
    <w:p w14:paraId="0590D9CF" w14:textId="77777777" w:rsidR="002674FD" w:rsidRDefault="002674FD" w:rsidP="00B45DDE">
      <w:pPr>
        <w:spacing w:line="360" w:lineRule="auto"/>
      </w:pPr>
    </w:p>
    <w:p w14:paraId="2E87092A" w14:textId="77777777" w:rsidR="002674FD" w:rsidRDefault="002674FD" w:rsidP="00B45DDE">
      <w:pPr>
        <w:spacing w:line="360" w:lineRule="auto"/>
      </w:pPr>
    </w:p>
    <w:p w14:paraId="398CEE7D" w14:textId="77777777" w:rsidR="002674FD" w:rsidRDefault="002674FD" w:rsidP="00B45DDE">
      <w:pPr>
        <w:spacing w:line="360" w:lineRule="auto"/>
      </w:pPr>
    </w:p>
    <w:p w14:paraId="6FD72CC7" w14:textId="77777777" w:rsidR="002674FD" w:rsidRDefault="002674FD" w:rsidP="00B45DDE">
      <w:pPr>
        <w:spacing w:line="360" w:lineRule="auto"/>
      </w:pPr>
    </w:p>
    <w:p w14:paraId="52030A02" w14:textId="77777777" w:rsidR="002674FD" w:rsidRDefault="002674FD" w:rsidP="00B45DDE">
      <w:pPr>
        <w:spacing w:line="360" w:lineRule="auto"/>
      </w:pPr>
    </w:p>
    <w:p w14:paraId="7A919D02" w14:textId="77777777" w:rsidR="002674FD" w:rsidRDefault="002674FD" w:rsidP="00B45DDE">
      <w:pPr>
        <w:spacing w:line="360" w:lineRule="auto"/>
      </w:pPr>
    </w:p>
    <w:p w14:paraId="499B70FF" w14:textId="77777777" w:rsidR="002674FD" w:rsidRDefault="002674FD" w:rsidP="00B45DDE">
      <w:pPr>
        <w:spacing w:line="360" w:lineRule="auto"/>
      </w:pPr>
    </w:p>
    <w:p w14:paraId="2E9E704B" w14:textId="77777777" w:rsidR="002674FD" w:rsidRDefault="002674FD" w:rsidP="00B45DDE">
      <w:pPr>
        <w:spacing w:line="360" w:lineRule="auto"/>
      </w:pPr>
    </w:p>
    <w:p w14:paraId="28EEAD10" w14:textId="77777777" w:rsidR="002674FD" w:rsidRDefault="002674FD" w:rsidP="00B45DDE">
      <w:pPr>
        <w:spacing w:line="360" w:lineRule="auto"/>
      </w:pPr>
    </w:p>
    <w:p w14:paraId="1D17A823" w14:textId="77777777" w:rsidR="002674FD" w:rsidRDefault="002674FD" w:rsidP="00B45DDE">
      <w:pPr>
        <w:spacing w:line="360" w:lineRule="auto"/>
      </w:pPr>
    </w:p>
    <w:p w14:paraId="4575898E" w14:textId="77777777" w:rsidR="002674FD" w:rsidRDefault="002674FD" w:rsidP="00B45DDE">
      <w:pPr>
        <w:spacing w:line="360" w:lineRule="auto"/>
      </w:pPr>
    </w:p>
    <w:p w14:paraId="30F78396" w14:textId="77777777" w:rsidR="00CF188F" w:rsidRDefault="00CF188F" w:rsidP="00B45DDE">
      <w:pPr>
        <w:spacing w:line="360" w:lineRule="auto"/>
      </w:pPr>
    </w:p>
    <w:p w14:paraId="7B126A12" w14:textId="77777777" w:rsidR="00B45DDE" w:rsidRDefault="00B45DDE" w:rsidP="00B45DDE">
      <w:pPr>
        <w:spacing w:line="360" w:lineRule="auto"/>
      </w:pPr>
    </w:p>
    <w:p w14:paraId="114DAD83" w14:textId="021502A0" w:rsidR="005B26FB" w:rsidRPr="00DB17A3" w:rsidRDefault="003404BA" w:rsidP="00B45DDE">
      <w:pPr>
        <w:spacing w:line="360" w:lineRule="auto"/>
        <w:rPr>
          <w:b/>
          <w:bCs/>
          <w:u w:val="single"/>
        </w:rPr>
      </w:pPr>
      <w:r w:rsidRPr="00DB17A3">
        <w:rPr>
          <w:b/>
          <w:bCs/>
          <w:u w:val="single"/>
        </w:rPr>
        <w:lastRenderedPageBreak/>
        <w:t>The Five R’s</w:t>
      </w:r>
    </w:p>
    <w:p w14:paraId="54464887" w14:textId="77777777" w:rsidR="00720752" w:rsidRPr="00DB17A3" w:rsidRDefault="00720752" w:rsidP="00B45DDE">
      <w:pPr>
        <w:spacing w:line="360" w:lineRule="auto"/>
        <w:rPr>
          <w:b/>
          <w:bCs/>
        </w:rPr>
      </w:pPr>
      <w:r w:rsidRPr="00DB17A3">
        <w:rPr>
          <w:b/>
          <w:bCs/>
        </w:rPr>
        <w:t>Recognising</w:t>
      </w:r>
    </w:p>
    <w:p w14:paraId="27593863" w14:textId="77777777" w:rsidR="00720752" w:rsidRPr="00720752" w:rsidRDefault="00720752" w:rsidP="00B45DDE">
      <w:pPr>
        <w:spacing w:line="360" w:lineRule="auto"/>
      </w:pPr>
      <w:r w:rsidRPr="00720752">
        <w:t>Recognising is identifying signs and indicators of abuse or neglect early to enable timely safeguarding intervention (NSPCC, n.d.). This requires knowledge of abuse types through safeguarding training and continuous professional development. Professional curiosity is essential, involving questioning, gathering information, checking explanations, and critically analysing information rather than accepting it at face value (Public Health Wales, 2026).</w:t>
      </w:r>
    </w:p>
    <w:p w14:paraId="1AF562E2" w14:textId="77777777" w:rsidR="00720752" w:rsidRPr="00DB17A3" w:rsidRDefault="00720752" w:rsidP="00B45DDE">
      <w:pPr>
        <w:spacing w:line="360" w:lineRule="auto"/>
        <w:rPr>
          <w:b/>
          <w:bCs/>
        </w:rPr>
      </w:pPr>
      <w:r w:rsidRPr="00DB17A3">
        <w:rPr>
          <w:b/>
          <w:bCs/>
        </w:rPr>
        <w:t>Recording</w:t>
      </w:r>
    </w:p>
    <w:p w14:paraId="3C77D259" w14:textId="50DD92B7" w:rsidR="00720752" w:rsidRPr="00720752" w:rsidRDefault="00720752" w:rsidP="00B45DDE">
      <w:pPr>
        <w:spacing w:line="360" w:lineRule="auto"/>
      </w:pPr>
      <w:r w:rsidRPr="00720752">
        <w:t>Recording involves accurate, factual documentation of safeguarding concer</w:t>
      </w:r>
      <w:r>
        <w:t xml:space="preserve">ns </w:t>
      </w:r>
      <w:r w:rsidRPr="00720752">
        <w:t>(Wales Safeguarding Procedures, n.d.). Records must be objective and evidence-based, including the child’s voice where possible. A child-centred approach is essential, ensuring children’s views are taken seriously in line with Article 12 of the UN Convention on the Rights of the Child (</w:t>
      </w:r>
      <w:r w:rsidR="00657E38" w:rsidRPr="00720752">
        <w:t>U</w:t>
      </w:r>
      <w:r w:rsidR="00657E38">
        <w:t>NICEF</w:t>
      </w:r>
      <w:r w:rsidRPr="00720752">
        <w:t xml:space="preserve">, 1989). Records must also comply with the Data Protection Act </w:t>
      </w:r>
      <w:r w:rsidR="00657E38">
        <w:t>(</w:t>
      </w:r>
      <w:r w:rsidRPr="00720752">
        <w:t>2018</w:t>
      </w:r>
      <w:r w:rsidR="00657E38">
        <w:t>)</w:t>
      </w:r>
      <w:r w:rsidRPr="00720752">
        <w:t>, ensuring lawful and secure handling of informa</w:t>
      </w:r>
      <w:r w:rsidR="00657E38">
        <w:t>tion</w:t>
      </w:r>
      <w:r>
        <w:t>.</w:t>
      </w:r>
    </w:p>
    <w:p w14:paraId="1F539BD9" w14:textId="77777777" w:rsidR="00720752" w:rsidRPr="00DB17A3" w:rsidRDefault="00720752" w:rsidP="00B45DDE">
      <w:pPr>
        <w:spacing w:line="360" w:lineRule="auto"/>
        <w:rPr>
          <w:b/>
          <w:bCs/>
        </w:rPr>
      </w:pPr>
      <w:r w:rsidRPr="00DB17A3">
        <w:rPr>
          <w:b/>
          <w:bCs/>
        </w:rPr>
        <w:t>Reporting</w:t>
      </w:r>
    </w:p>
    <w:p w14:paraId="658E910C" w14:textId="570C9D41" w:rsidR="00720752" w:rsidRPr="00720752" w:rsidRDefault="00720752" w:rsidP="00B45DDE">
      <w:pPr>
        <w:spacing w:line="360" w:lineRule="auto"/>
      </w:pPr>
      <w:r w:rsidRPr="00720752">
        <w:t>Reporting is a statutory duty, not professional discretion, as outlined in the Wales Safeguarding Procedures (Wales Safeguarding Procedures, n.d.). The Social Services and Well-being (Wales) Act 2014 places a legal duty on practitioners to act where a child is at risk of harm.</w:t>
      </w:r>
      <w:r w:rsidR="0087779B">
        <w:t xml:space="preserve"> However, delays</w:t>
      </w:r>
      <w:r w:rsidRPr="00720752">
        <w:t xml:space="preserve"> may occur where practitioners lack confidence, highlighting the need for supervision and support.</w:t>
      </w:r>
    </w:p>
    <w:p w14:paraId="4B54E2B0" w14:textId="77777777" w:rsidR="00720752" w:rsidRPr="00DB17A3" w:rsidRDefault="00720752" w:rsidP="00B45DDE">
      <w:pPr>
        <w:spacing w:line="360" w:lineRule="auto"/>
        <w:rPr>
          <w:b/>
          <w:bCs/>
        </w:rPr>
      </w:pPr>
      <w:r w:rsidRPr="00DB17A3">
        <w:rPr>
          <w:b/>
          <w:bCs/>
        </w:rPr>
        <w:t>Referring</w:t>
      </w:r>
    </w:p>
    <w:p w14:paraId="12895281" w14:textId="77777777" w:rsidR="00720752" w:rsidRPr="00720752" w:rsidRDefault="00720752" w:rsidP="00B45DDE">
      <w:pPr>
        <w:spacing w:line="360" w:lineRule="auto"/>
      </w:pPr>
      <w:r w:rsidRPr="00720752">
        <w:t>Referring involves sharing safeguarding concerns with external agencies such as children’s social services or the police when thresholds are met (Wales Safeguarding Procedures, n.d.). Effective referrals depend on clear communication and a multi-agency approach (Welsh Government, 2025). Referrals should be followed up and, where necessary, challenged professionally if concerns are not addressed, always acting in the child’s best interests (Wales Safeguarding Procedures, n.d.).</w:t>
      </w:r>
    </w:p>
    <w:p w14:paraId="584D36FA" w14:textId="77777777" w:rsidR="00720752" w:rsidRPr="00DB17A3" w:rsidRDefault="00720752" w:rsidP="00B45DDE">
      <w:pPr>
        <w:spacing w:line="360" w:lineRule="auto"/>
        <w:rPr>
          <w:b/>
          <w:bCs/>
        </w:rPr>
      </w:pPr>
      <w:r w:rsidRPr="00DB17A3">
        <w:rPr>
          <w:b/>
          <w:bCs/>
        </w:rPr>
        <w:lastRenderedPageBreak/>
        <w:t>Responsibility</w:t>
      </w:r>
    </w:p>
    <w:p w14:paraId="3A695F46" w14:textId="6CD3DBE6" w:rsidR="00720752" w:rsidRDefault="00720752" w:rsidP="00B45DDE">
      <w:pPr>
        <w:spacing w:line="360" w:lineRule="auto"/>
      </w:pPr>
      <w:r w:rsidRPr="00720752">
        <w:t xml:space="preserve">Responsibility for safeguarding lies with all practitioners and is most effective when shared across agencies (Welsh Government, 2025). Practitioners have a duty of care to respond to concerns, keep accurate records, and work collaboratively so no child is overlooked. This is supported by Bronfenbrenner’s Ecological Systems Theory (1979), showing a child’s wellbeing is shaped by interconnected systems. </w:t>
      </w:r>
    </w:p>
    <w:p w14:paraId="4F7FA355" w14:textId="400E3E28" w:rsidR="0087779B" w:rsidRPr="00720752" w:rsidRDefault="0087779B" w:rsidP="00B45DDE">
      <w:pPr>
        <w:spacing w:line="360" w:lineRule="auto"/>
      </w:pPr>
      <w:r w:rsidRPr="0087779B">
        <w:t>Safeguarding depends on shared responsibility and a consistent focus on the child, in line with the Children’s Rights Scheme 2021 (Welsh Government, 2021)</w:t>
      </w:r>
      <w:r w:rsidR="00DB17A3">
        <w:t>.</w:t>
      </w:r>
    </w:p>
    <w:p w14:paraId="6850C915" w14:textId="77777777" w:rsidR="00DB17A3" w:rsidRDefault="00DB17A3" w:rsidP="00657E38">
      <w:pPr>
        <w:rPr>
          <w:rFonts w:ascii="Arial" w:hAnsi="Arial" w:cs="Arial"/>
          <w:b/>
          <w:bCs/>
        </w:rPr>
      </w:pPr>
    </w:p>
    <w:p w14:paraId="533C3A06" w14:textId="77777777" w:rsidR="00DB17A3" w:rsidRDefault="00DB17A3" w:rsidP="00657E38">
      <w:pPr>
        <w:rPr>
          <w:rFonts w:ascii="Arial" w:hAnsi="Arial" w:cs="Arial"/>
          <w:b/>
          <w:bCs/>
        </w:rPr>
      </w:pPr>
    </w:p>
    <w:p w14:paraId="10855D0B" w14:textId="77777777" w:rsidR="00DB17A3" w:rsidRDefault="00DB17A3" w:rsidP="00657E38">
      <w:pPr>
        <w:rPr>
          <w:rFonts w:ascii="Arial" w:hAnsi="Arial" w:cs="Arial"/>
          <w:b/>
          <w:bCs/>
        </w:rPr>
      </w:pPr>
    </w:p>
    <w:p w14:paraId="63827B43" w14:textId="77777777" w:rsidR="00DB17A3" w:rsidRDefault="00DB17A3" w:rsidP="00657E38">
      <w:pPr>
        <w:rPr>
          <w:rFonts w:ascii="Arial" w:hAnsi="Arial" w:cs="Arial"/>
          <w:b/>
          <w:bCs/>
        </w:rPr>
      </w:pPr>
    </w:p>
    <w:p w14:paraId="17B6ECC2" w14:textId="77777777" w:rsidR="00DB17A3" w:rsidRDefault="00DB17A3" w:rsidP="00657E38">
      <w:pPr>
        <w:rPr>
          <w:rFonts w:ascii="Arial" w:hAnsi="Arial" w:cs="Arial"/>
          <w:b/>
          <w:bCs/>
        </w:rPr>
      </w:pPr>
    </w:p>
    <w:p w14:paraId="6EE6D7BC" w14:textId="77777777" w:rsidR="00DB17A3" w:rsidRDefault="00DB17A3" w:rsidP="00657E38">
      <w:pPr>
        <w:rPr>
          <w:rFonts w:ascii="Arial" w:hAnsi="Arial" w:cs="Arial"/>
          <w:b/>
          <w:bCs/>
        </w:rPr>
      </w:pPr>
    </w:p>
    <w:p w14:paraId="7F43437C" w14:textId="77777777" w:rsidR="00DB17A3" w:rsidRDefault="00DB17A3" w:rsidP="00657E38">
      <w:pPr>
        <w:rPr>
          <w:rFonts w:ascii="Arial" w:hAnsi="Arial" w:cs="Arial"/>
          <w:b/>
          <w:bCs/>
        </w:rPr>
      </w:pPr>
    </w:p>
    <w:p w14:paraId="355ED74F" w14:textId="77777777" w:rsidR="00DB17A3" w:rsidRDefault="00DB17A3" w:rsidP="00657E38">
      <w:pPr>
        <w:rPr>
          <w:rFonts w:ascii="Arial" w:hAnsi="Arial" w:cs="Arial"/>
          <w:b/>
          <w:bCs/>
        </w:rPr>
      </w:pPr>
    </w:p>
    <w:p w14:paraId="6F88800A" w14:textId="77777777" w:rsidR="00DB17A3" w:rsidRDefault="00DB17A3" w:rsidP="00657E38">
      <w:pPr>
        <w:rPr>
          <w:rFonts w:ascii="Arial" w:hAnsi="Arial" w:cs="Arial"/>
          <w:b/>
          <w:bCs/>
        </w:rPr>
      </w:pPr>
    </w:p>
    <w:p w14:paraId="6CA4812F" w14:textId="77777777" w:rsidR="00DB17A3" w:rsidRDefault="00DB17A3" w:rsidP="00657E38">
      <w:pPr>
        <w:rPr>
          <w:rFonts w:ascii="Arial" w:hAnsi="Arial" w:cs="Arial"/>
          <w:b/>
          <w:bCs/>
        </w:rPr>
      </w:pPr>
    </w:p>
    <w:p w14:paraId="65F290F4" w14:textId="77777777" w:rsidR="00DB17A3" w:rsidRDefault="00DB17A3" w:rsidP="00657E38">
      <w:pPr>
        <w:rPr>
          <w:rFonts w:ascii="Arial" w:hAnsi="Arial" w:cs="Arial"/>
          <w:b/>
          <w:bCs/>
        </w:rPr>
      </w:pPr>
    </w:p>
    <w:p w14:paraId="67519023" w14:textId="77777777" w:rsidR="00DB17A3" w:rsidRDefault="00DB17A3" w:rsidP="00657E38">
      <w:pPr>
        <w:rPr>
          <w:rFonts w:ascii="Arial" w:hAnsi="Arial" w:cs="Arial"/>
          <w:b/>
          <w:bCs/>
        </w:rPr>
      </w:pPr>
    </w:p>
    <w:p w14:paraId="37DB844A" w14:textId="77777777" w:rsidR="00B45DDE" w:rsidRDefault="00B45DDE" w:rsidP="00657E38">
      <w:pPr>
        <w:rPr>
          <w:rFonts w:ascii="Arial" w:hAnsi="Arial" w:cs="Arial"/>
          <w:b/>
          <w:bCs/>
        </w:rPr>
      </w:pPr>
    </w:p>
    <w:p w14:paraId="655840C3" w14:textId="77777777" w:rsidR="00B45DDE" w:rsidRDefault="00B45DDE" w:rsidP="00657E38">
      <w:pPr>
        <w:rPr>
          <w:rFonts w:ascii="Arial" w:hAnsi="Arial" w:cs="Arial"/>
          <w:b/>
          <w:bCs/>
        </w:rPr>
      </w:pPr>
    </w:p>
    <w:p w14:paraId="32692617" w14:textId="77777777" w:rsidR="00B45DDE" w:rsidRDefault="00B45DDE" w:rsidP="00657E38">
      <w:pPr>
        <w:rPr>
          <w:rFonts w:ascii="Arial" w:hAnsi="Arial" w:cs="Arial"/>
          <w:b/>
          <w:bCs/>
        </w:rPr>
      </w:pPr>
    </w:p>
    <w:p w14:paraId="691316C9" w14:textId="77777777" w:rsidR="00B45DDE" w:rsidRDefault="00B45DDE" w:rsidP="00657E38">
      <w:pPr>
        <w:rPr>
          <w:rFonts w:ascii="Arial" w:hAnsi="Arial" w:cs="Arial"/>
          <w:b/>
          <w:bCs/>
        </w:rPr>
      </w:pPr>
    </w:p>
    <w:p w14:paraId="5E130DBA" w14:textId="77777777" w:rsidR="00B45DDE" w:rsidRDefault="00B45DDE" w:rsidP="00657E38">
      <w:pPr>
        <w:rPr>
          <w:rFonts w:ascii="Arial" w:hAnsi="Arial" w:cs="Arial"/>
          <w:b/>
          <w:bCs/>
        </w:rPr>
      </w:pPr>
    </w:p>
    <w:p w14:paraId="27D19674" w14:textId="77777777" w:rsidR="00B45DDE" w:rsidRDefault="00B45DDE" w:rsidP="00657E38">
      <w:pPr>
        <w:rPr>
          <w:rFonts w:ascii="Arial" w:hAnsi="Arial" w:cs="Arial"/>
          <w:b/>
          <w:bCs/>
        </w:rPr>
      </w:pPr>
    </w:p>
    <w:p w14:paraId="570F53F7" w14:textId="77777777" w:rsidR="00B45DDE" w:rsidRDefault="00B45DDE" w:rsidP="00657E38">
      <w:pPr>
        <w:rPr>
          <w:rFonts w:ascii="Arial" w:hAnsi="Arial" w:cs="Arial"/>
          <w:b/>
          <w:bCs/>
        </w:rPr>
      </w:pPr>
    </w:p>
    <w:p w14:paraId="647F70AE" w14:textId="77777777" w:rsidR="00B45DDE" w:rsidRDefault="00B45DDE" w:rsidP="00657E38">
      <w:pPr>
        <w:rPr>
          <w:rFonts w:ascii="Arial" w:hAnsi="Arial" w:cs="Arial"/>
          <w:b/>
          <w:bCs/>
        </w:rPr>
      </w:pPr>
    </w:p>
    <w:p w14:paraId="4D6D69E7" w14:textId="77777777" w:rsidR="00B45DDE" w:rsidRDefault="00B45DDE" w:rsidP="00657E38">
      <w:pPr>
        <w:rPr>
          <w:rFonts w:ascii="Arial" w:hAnsi="Arial" w:cs="Arial"/>
          <w:b/>
          <w:bCs/>
        </w:rPr>
      </w:pPr>
    </w:p>
    <w:p w14:paraId="4C02CA59" w14:textId="08129F14" w:rsidR="00657E38" w:rsidRPr="006B7D3E" w:rsidRDefault="00657E38" w:rsidP="00657E38">
      <w:pPr>
        <w:rPr>
          <w:rFonts w:ascii="Arial" w:hAnsi="Arial" w:cs="Arial"/>
          <w:b/>
          <w:bCs/>
        </w:rPr>
      </w:pPr>
      <w:r w:rsidRPr="006B7D3E">
        <w:rPr>
          <w:rFonts w:ascii="Arial" w:hAnsi="Arial" w:cs="Arial"/>
          <w:b/>
          <w:bCs/>
        </w:rPr>
        <w:lastRenderedPageBreak/>
        <w:t>Reference List</w:t>
      </w:r>
    </w:p>
    <w:p w14:paraId="729547A9" w14:textId="47CD7859" w:rsidR="00B45DDE" w:rsidRPr="00B45DDE" w:rsidRDefault="00B45DDE" w:rsidP="00B45DDE">
      <w:r w:rsidRPr="00B45DDE">
        <w:t xml:space="preserve">Bronfenbrenner, U. (1979) </w:t>
      </w:r>
      <w:r w:rsidRPr="00B45DDE">
        <w:rPr>
          <w:i/>
          <w:iCs/>
        </w:rPr>
        <w:t>The Ecology of Human Development: Experiments by Nature and Design</w:t>
      </w:r>
      <w:r w:rsidRPr="00B45DDE">
        <w:t xml:space="preserve">. Cambridge, MA: Harvard University Press. </w:t>
      </w:r>
    </w:p>
    <w:p w14:paraId="2417CBC6" w14:textId="5651B586" w:rsidR="00B45DDE" w:rsidRDefault="00B45DDE" w:rsidP="00B45DDE">
      <w:r>
        <w:t>L</w:t>
      </w:r>
      <w:r w:rsidRPr="00B45DDE">
        <w:t xml:space="preserve">egislation.gov.uk (2014) </w:t>
      </w:r>
      <w:r w:rsidRPr="00B45DDE">
        <w:rPr>
          <w:i/>
          <w:iCs/>
        </w:rPr>
        <w:t>Social Services and Well-being (Wales) Act 2014</w:t>
      </w:r>
      <w:r w:rsidRPr="00B45DDE">
        <w:t xml:space="preserve">. Available at: </w:t>
      </w:r>
      <w:hyperlink r:id="rId5" w:tgtFrame="_new" w:history="1">
        <w:r w:rsidRPr="00B45DDE">
          <w:rPr>
            <w:rStyle w:val="Hyperlink"/>
          </w:rPr>
          <w:t>https://www.legislation.gov.uk/anaw/2014/4/contents</w:t>
        </w:r>
      </w:hyperlink>
      <w:r w:rsidRPr="00B45DDE">
        <w:t xml:space="preserve"> (Accessed: 3 July 2026). </w:t>
      </w:r>
    </w:p>
    <w:p w14:paraId="798B1A07" w14:textId="7E0AE949" w:rsidR="00B45DDE" w:rsidRDefault="00B45DDE" w:rsidP="00B45DDE">
      <w:r>
        <w:t>L</w:t>
      </w:r>
      <w:r w:rsidRPr="00B45DDE">
        <w:t xml:space="preserve">egislation.gov.uk (2018) </w:t>
      </w:r>
      <w:r w:rsidRPr="00B45DDE">
        <w:rPr>
          <w:i/>
          <w:iCs/>
        </w:rPr>
        <w:t>Data Protection Act 2018</w:t>
      </w:r>
      <w:r w:rsidRPr="00B45DDE">
        <w:t xml:space="preserve">. Available at: </w:t>
      </w:r>
      <w:hyperlink r:id="rId6" w:tgtFrame="_new" w:history="1">
        <w:r w:rsidRPr="00B45DDE">
          <w:rPr>
            <w:rStyle w:val="Hyperlink"/>
          </w:rPr>
          <w:t>https://www.legislation.gov.uk/ukpga/2018/12/contents</w:t>
        </w:r>
      </w:hyperlink>
      <w:r w:rsidRPr="00B45DDE">
        <w:t xml:space="preserve"> (Accessed: 3 July 2026). </w:t>
      </w:r>
    </w:p>
    <w:p w14:paraId="2C629FBF" w14:textId="68728975" w:rsidR="00B45DDE" w:rsidRPr="00B45DDE" w:rsidRDefault="00B45DDE" w:rsidP="00B45DDE">
      <w:r w:rsidRPr="00B45DDE">
        <w:t xml:space="preserve">NSPCC (n.d.) </w:t>
      </w:r>
      <w:r w:rsidRPr="00B45DDE">
        <w:rPr>
          <w:i/>
          <w:iCs/>
        </w:rPr>
        <w:t>Definitions and Signs of Child Abuse</w:t>
      </w:r>
      <w:r w:rsidRPr="00B45DDE">
        <w:t xml:space="preserve">. Available at: </w:t>
      </w:r>
      <w:hyperlink r:id="rId7" w:tgtFrame="_new" w:history="1">
        <w:r w:rsidRPr="00B45DDE">
          <w:rPr>
            <w:rStyle w:val="Hyperlink"/>
          </w:rPr>
          <w:t>https://www.nspcc.org.uk/keeping-children-safe/spotting-signs-child-abuse/</w:t>
        </w:r>
      </w:hyperlink>
      <w:r w:rsidRPr="00B45DDE">
        <w:t xml:space="preserve"> (Accessed: 2 July 2026). </w:t>
      </w:r>
    </w:p>
    <w:p w14:paraId="5E9737E1" w14:textId="73098E1B" w:rsidR="00B45DDE" w:rsidRPr="00B45DDE" w:rsidRDefault="00B45DDE" w:rsidP="00B45DDE">
      <w:r w:rsidRPr="00B45DDE">
        <w:t xml:space="preserve">Public Health Wales (2026) </w:t>
      </w:r>
      <w:r w:rsidRPr="00B45DDE">
        <w:rPr>
          <w:i/>
          <w:iCs/>
        </w:rPr>
        <w:t>Safeguarding Training Pack: Professional Curiosity</w:t>
      </w:r>
      <w:r w:rsidRPr="00B45DDE">
        <w:t xml:space="preserve">. Available at: </w:t>
      </w:r>
      <w:hyperlink r:id="rId8" w:tgtFrame="_new" w:history="1">
        <w:r w:rsidRPr="00B45DDE">
          <w:rPr>
            <w:rStyle w:val="Hyperlink"/>
          </w:rPr>
          <w:t>https://phw.nhs.wales/app/uploads/sites/2/2026/05/Safeguarding-training-pack-Professional-curiosity.pdf</w:t>
        </w:r>
      </w:hyperlink>
      <w:r w:rsidRPr="00B45DDE">
        <w:t xml:space="preserve"> (Accessed: 2 July 2026). </w:t>
      </w:r>
    </w:p>
    <w:p w14:paraId="6A47963E" w14:textId="449B74CC" w:rsidR="00B45DDE" w:rsidRPr="00B45DDE" w:rsidRDefault="00B45DDE" w:rsidP="00B45DDE">
      <w:r w:rsidRPr="00B45DDE">
        <w:t xml:space="preserve">United Nations (1989) </w:t>
      </w:r>
      <w:r w:rsidRPr="00B45DDE">
        <w:rPr>
          <w:i/>
          <w:iCs/>
        </w:rPr>
        <w:t>Convention on the Rights of the Child</w:t>
      </w:r>
      <w:r w:rsidRPr="00B45DDE">
        <w:t xml:space="preserve">. Available at: </w:t>
      </w:r>
      <w:hyperlink r:id="rId9" w:tgtFrame="_new" w:history="1">
        <w:r w:rsidRPr="00B45DDE">
          <w:rPr>
            <w:rStyle w:val="Hyperlink"/>
          </w:rPr>
          <w:t>https://www.unicef.org.uk/wp-content/uploads/2017/09/Our-rights_UNCRC.pdf</w:t>
        </w:r>
      </w:hyperlink>
      <w:r w:rsidRPr="00B45DDE">
        <w:t xml:space="preserve"> (Accessed: 2 July 2026). </w:t>
      </w:r>
    </w:p>
    <w:p w14:paraId="575BAAC1" w14:textId="6A3DA384" w:rsidR="00B45DDE" w:rsidRPr="00B45DDE" w:rsidRDefault="00B45DDE" w:rsidP="00B45DDE">
      <w:r w:rsidRPr="00B45DDE">
        <w:t xml:space="preserve">Wales Safeguarding Procedures (n.d.) </w:t>
      </w:r>
      <w:r w:rsidRPr="00B45DDE">
        <w:rPr>
          <w:i/>
          <w:iCs/>
        </w:rPr>
        <w:t>Wales Safeguarding Procedures</w:t>
      </w:r>
      <w:r w:rsidRPr="00B45DDE">
        <w:t xml:space="preserve">. Available at: </w:t>
      </w:r>
      <w:hyperlink r:id="rId10" w:tgtFrame="_new" w:history="1">
        <w:r w:rsidRPr="00B45DDE">
          <w:rPr>
            <w:rStyle w:val="Hyperlink"/>
          </w:rPr>
          <w:t>https://www.safeguarding.wales/en/</w:t>
        </w:r>
      </w:hyperlink>
      <w:r w:rsidRPr="00B45DDE">
        <w:t xml:space="preserve"> (Accessed: 2 July 2026). </w:t>
      </w:r>
    </w:p>
    <w:p w14:paraId="72B28CF8" w14:textId="31BD0F71" w:rsidR="00B45DDE" w:rsidRPr="00B45DDE" w:rsidRDefault="00B45DDE" w:rsidP="00B45DDE">
      <w:r w:rsidRPr="00B45DDE">
        <w:t xml:space="preserve">Welsh Government (2021) </w:t>
      </w:r>
      <w:r w:rsidRPr="00B45DDE">
        <w:rPr>
          <w:i/>
          <w:iCs/>
        </w:rPr>
        <w:t>Children's Rights Scheme 2021</w:t>
      </w:r>
      <w:r w:rsidRPr="00B45DDE">
        <w:t xml:space="preserve">. Available at: </w:t>
      </w:r>
      <w:hyperlink r:id="rId11" w:tgtFrame="_new" w:history="1">
        <w:r w:rsidRPr="00B45DDE">
          <w:rPr>
            <w:rStyle w:val="Hyperlink"/>
          </w:rPr>
          <w:t>https://www.gov.wales/sites/default/files/publications/2021-12/children%27s-rights-scheme-2021.pdf</w:t>
        </w:r>
      </w:hyperlink>
      <w:r w:rsidRPr="00B45DDE">
        <w:t xml:space="preserve"> (Accessed: 4 July 2026). </w:t>
      </w:r>
    </w:p>
    <w:p w14:paraId="4D52B096" w14:textId="30EE56B0" w:rsidR="008241AB" w:rsidRPr="008241AB" w:rsidRDefault="00B45DDE" w:rsidP="00B45DDE">
      <w:r w:rsidRPr="00B45DDE">
        <w:t xml:space="preserve">Welsh Government (2025) </w:t>
      </w:r>
      <w:r w:rsidRPr="00B45DDE">
        <w:rPr>
          <w:i/>
          <w:iCs/>
        </w:rPr>
        <w:t>National Multi-Agency Practice Framework for Children's Services</w:t>
      </w:r>
      <w:r w:rsidRPr="00B45DDE">
        <w:t xml:space="preserve">. Available at: </w:t>
      </w:r>
      <w:hyperlink r:id="rId12" w:tgtFrame="_new" w:history="1">
        <w:r w:rsidRPr="00B45DDE">
          <w:rPr>
            <w:rStyle w:val="Hyperlink"/>
          </w:rPr>
          <w:t>https://www.gov.wales/national-multi-agency-practice-framework-childrens-services-html</w:t>
        </w:r>
      </w:hyperlink>
      <w:r w:rsidRPr="00B45DDE">
        <w:t xml:space="preserve"> (Accessed: 4 June 2026).</w:t>
      </w:r>
    </w:p>
    <w:sectPr w:rsidR="008241AB" w:rsidRPr="00824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38162C"/>
    <w:multiLevelType w:val="hybridMultilevel"/>
    <w:tmpl w:val="7834D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464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1AB"/>
    <w:rsid w:val="002674FD"/>
    <w:rsid w:val="003404BA"/>
    <w:rsid w:val="005B26FB"/>
    <w:rsid w:val="00657E38"/>
    <w:rsid w:val="00720752"/>
    <w:rsid w:val="007D4D19"/>
    <w:rsid w:val="008241AB"/>
    <w:rsid w:val="0087779B"/>
    <w:rsid w:val="008B2135"/>
    <w:rsid w:val="00B45DDE"/>
    <w:rsid w:val="00B77784"/>
    <w:rsid w:val="00CF188F"/>
    <w:rsid w:val="00DB1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0D8E"/>
  <w15:chartTrackingRefBased/>
  <w15:docId w15:val="{833BE597-1691-4D02-A817-19E51A205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41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1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1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1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1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1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1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1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1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1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1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1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1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1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1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1AB"/>
    <w:rPr>
      <w:rFonts w:eastAsiaTheme="majorEastAsia" w:cstheme="majorBidi"/>
      <w:color w:val="272727" w:themeColor="text1" w:themeTint="D8"/>
    </w:rPr>
  </w:style>
  <w:style w:type="paragraph" w:styleId="Title">
    <w:name w:val="Title"/>
    <w:basedOn w:val="Normal"/>
    <w:next w:val="Normal"/>
    <w:link w:val="TitleChar"/>
    <w:uiPriority w:val="10"/>
    <w:qFormat/>
    <w:rsid w:val="00824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1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1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1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1AB"/>
    <w:pPr>
      <w:spacing w:before="160"/>
      <w:jc w:val="center"/>
    </w:pPr>
    <w:rPr>
      <w:i/>
      <w:iCs/>
      <w:color w:val="404040" w:themeColor="text1" w:themeTint="BF"/>
    </w:rPr>
  </w:style>
  <w:style w:type="character" w:customStyle="1" w:styleId="QuoteChar">
    <w:name w:val="Quote Char"/>
    <w:basedOn w:val="DefaultParagraphFont"/>
    <w:link w:val="Quote"/>
    <w:uiPriority w:val="29"/>
    <w:rsid w:val="008241AB"/>
    <w:rPr>
      <w:i/>
      <w:iCs/>
      <w:color w:val="404040" w:themeColor="text1" w:themeTint="BF"/>
    </w:rPr>
  </w:style>
  <w:style w:type="paragraph" w:styleId="ListParagraph">
    <w:name w:val="List Paragraph"/>
    <w:basedOn w:val="Normal"/>
    <w:uiPriority w:val="34"/>
    <w:qFormat/>
    <w:rsid w:val="008241AB"/>
    <w:pPr>
      <w:ind w:left="720"/>
      <w:contextualSpacing/>
    </w:pPr>
  </w:style>
  <w:style w:type="character" w:styleId="IntenseEmphasis">
    <w:name w:val="Intense Emphasis"/>
    <w:basedOn w:val="DefaultParagraphFont"/>
    <w:uiPriority w:val="21"/>
    <w:qFormat/>
    <w:rsid w:val="008241AB"/>
    <w:rPr>
      <w:i/>
      <w:iCs/>
      <w:color w:val="0F4761" w:themeColor="accent1" w:themeShade="BF"/>
    </w:rPr>
  </w:style>
  <w:style w:type="paragraph" w:styleId="IntenseQuote">
    <w:name w:val="Intense Quote"/>
    <w:basedOn w:val="Normal"/>
    <w:next w:val="Normal"/>
    <w:link w:val="IntenseQuoteChar"/>
    <w:uiPriority w:val="30"/>
    <w:qFormat/>
    <w:rsid w:val="00824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1AB"/>
    <w:rPr>
      <w:i/>
      <w:iCs/>
      <w:color w:val="0F4761" w:themeColor="accent1" w:themeShade="BF"/>
    </w:rPr>
  </w:style>
  <w:style w:type="character" w:styleId="IntenseReference">
    <w:name w:val="Intense Reference"/>
    <w:basedOn w:val="DefaultParagraphFont"/>
    <w:uiPriority w:val="32"/>
    <w:qFormat/>
    <w:rsid w:val="008241AB"/>
    <w:rPr>
      <w:b/>
      <w:bCs/>
      <w:smallCaps/>
      <w:color w:val="0F4761" w:themeColor="accent1" w:themeShade="BF"/>
      <w:spacing w:val="5"/>
    </w:rPr>
  </w:style>
  <w:style w:type="character" w:styleId="Hyperlink">
    <w:name w:val="Hyperlink"/>
    <w:basedOn w:val="DefaultParagraphFont"/>
    <w:uiPriority w:val="99"/>
    <w:unhideWhenUsed/>
    <w:rsid w:val="00657E38"/>
    <w:rPr>
      <w:color w:val="467886" w:themeColor="hyperlink"/>
      <w:u w:val="single"/>
    </w:rPr>
  </w:style>
  <w:style w:type="character" w:styleId="UnresolvedMention">
    <w:name w:val="Unresolved Mention"/>
    <w:basedOn w:val="DefaultParagraphFont"/>
    <w:uiPriority w:val="99"/>
    <w:semiHidden/>
    <w:unhideWhenUsed/>
    <w:rsid w:val="00B45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530">
      <w:bodyDiv w:val="1"/>
      <w:marLeft w:val="0"/>
      <w:marRight w:val="0"/>
      <w:marTop w:val="0"/>
      <w:marBottom w:val="0"/>
      <w:divBdr>
        <w:top w:val="none" w:sz="0" w:space="0" w:color="auto"/>
        <w:left w:val="none" w:sz="0" w:space="0" w:color="auto"/>
        <w:bottom w:val="none" w:sz="0" w:space="0" w:color="auto"/>
        <w:right w:val="none" w:sz="0" w:space="0" w:color="auto"/>
      </w:divBdr>
    </w:div>
    <w:div w:id="57746252">
      <w:bodyDiv w:val="1"/>
      <w:marLeft w:val="0"/>
      <w:marRight w:val="0"/>
      <w:marTop w:val="0"/>
      <w:marBottom w:val="0"/>
      <w:divBdr>
        <w:top w:val="none" w:sz="0" w:space="0" w:color="auto"/>
        <w:left w:val="none" w:sz="0" w:space="0" w:color="auto"/>
        <w:bottom w:val="none" w:sz="0" w:space="0" w:color="auto"/>
        <w:right w:val="none" w:sz="0" w:space="0" w:color="auto"/>
      </w:divBdr>
    </w:div>
    <w:div w:id="470750551">
      <w:bodyDiv w:val="1"/>
      <w:marLeft w:val="0"/>
      <w:marRight w:val="0"/>
      <w:marTop w:val="0"/>
      <w:marBottom w:val="0"/>
      <w:divBdr>
        <w:top w:val="none" w:sz="0" w:space="0" w:color="auto"/>
        <w:left w:val="none" w:sz="0" w:space="0" w:color="auto"/>
        <w:bottom w:val="none" w:sz="0" w:space="0" w:color="auto"/>
        <w:right w:val="none" w:sz="0" w:space="0" w:color="auto"/>
      </w:divBdr>
    </w:div>
    <w:div w:id="900555032">
      <w:bodyDiv w:val="1"/>
      <w:marLeft w:val="0"/>
      <w:marRight w:val="0"/>
      <w:marTop w:val="0"/>
      <w:marBottom w:val="0"/>
      <w:divBdr>
        <w:top w:val="none" w:sz="0" w:space="0" w:color="auto"/>
        <w:left w:val="none" w:sz="0" w:space="0" w:color="auto"/>
        <w:bottom w:val="none" w:sz="0" w:space="0" w:color="auto"/>
        <w:right w:val="none" w:sz="0" w:space="0" w:color="auto"/>
      </w:divBdr>
    </w:div>
    <w:div w:id="1662392682">
      <w:bodyDiv w:val="1"/>
      <w:marLeft w:val="0"/>
      <w:marRight w:val="0"/>
      <w:marTop w:val="0"/>
      <w:marBottom w:val="0"/>
      <w:divBdr>
        <w:top w:val="none" w:sz="0" w:space="0" w:color="auto"/>
        <w:left w:val="none" w:sz="0" w:space="0" w:color="auto"/>
        <w:bottom w:val="none" w:sz="0" w:space="0" w:color="auto"/>
        <w:right w:val="none" w:sz="0" w:space="0" w:color="auto"/>
      </w:divBdr>
    </w:div>
    <w:div w:id="1991055181">
      <w:bodyDiv w:val="1"/>
      <w:marLeft w:val="0"/>
      <w:marRight w:val="0"/>
      <w:marTop w:val="0"/>
      <w:marBottom w:val="0"/>
      <w:divBdr>
        <w:top w:val="none" w:sz="0" w:space="0" w:color="auto"/>
        <w:left w:val="none" w:sz="0" w:space="0" w:color="auto"/>
        <w:bottom w:val="none" w:sz="0" w:space="0" w:color="auto"/>
        <w:right w:val="none" w:sz="0" w:space="0" w:color="auto"/>
      </w:divBdr>
    </w:div>
    <w:div w:id="2052798383">
      <w:bodyDiv w:val="1"/>
      <w:marLeft w:val="0"/>
      <w:marRight w:val="0"/>
      <w:marTop w:val="0"/>
      <w:marBottom w:val="0"/>
      <w:divBdr>
        <w:top w:val="none" w:sz="0" w:space="0" w:color="auto"/>
        <w:left w:val="none" w:sz="0" w:space="0" w:color="auto"/>
        <w:bottom w:val="none" w:sz="0" w:space="0" w:color="auto"/>
        <w:right w:val="none" w:sz="0" w:space="0" w:color="auto"/>
      </w:divBdr>
    </w:div>
    <w:div w:id="212546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app/uploads/sites/2/2026/05/Safeguarding-training-pack-Professional-curiosity.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spcc.org.uk/keeping-children-safe/spotting-signs-child-abuse/" TargetMode="External"/><Relationship Id="rId12" Type="http://schemas.openxmlformats.org/officeDocument/2006/relationships/hyperlink" Target="https://www.gov.wales/national-multi-agency-practice-framework-childrens-servic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8/12/contents" TargetMode="External"/><Relationship Id="rId11" Type="http://schemas.openxmlformats.org/officeDocument/2006/relationships/hyperlink" Target="https://www.gov.wales/sites/default/files/publications/2021-12/children%27s-rights-scheme-2021.pdf" TargetMode="External"/><Relationship Id="rId5" Type="http://schemas.openxmlformats.org/officeDocument/2006/relationships/hyperlink" Target="https://www.legislation.gov.uk/anaw/2014/4/contents" TargetMode="External"/><Relationship Id="rId10" Type="http://schemas.openxmlformats.org/officeDocument/2006/relationships/hyperlink" Target="https://www.safeguarding.wales/en/" TargetMode="External"/><Relationship Id="rId4" Type="http://schemas.openxmlformats.org/officeDocument/2006/relationships/webSettings" Target="webSettings.xml"/><Relationship Id="rId9" Type="http://schemas.openxmlformats.org/officeDocument/2006/relationships/hyperlink" Target="https://www.unicef.org.uk/wp-content/uploads/2017/09/Our-rights_UNCRC.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1511</TotalTime>
  <Pages>5</Pages>
  <Words>1090</Words>
  <Characters>6217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oaten</dc:creator>
  <cp:keywords/>
  <dc:description/>
  <cp:lastModifiedBy>jamie oaten</cp:lastModifiedBy>
  <cp:revision>3</cp:revision>
  <dcterms:created xsi:type="dcterms:W3CDTF">2026-07-06T15:18:00Z</dcterms:created>
  <dcterms:modified xsi:type="dcterms:W3CDTF">2026-07-07T16:41:00Z</dcterms:modified>
</cp:coreProperties>
</file>