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D4E0C" w14:textId="77777777" w:rsidR="0050563C" w:rsidRDefault="00000000">
      <w:pPr>
        <w:pStyle w:val="NormalWeb"/>
        <w:ind w:left="-180" w:right="-334"/>
      </w:pPr>
      <w:r>
        <w:rPr>
          <w:noProof/>
        </w:rPr>
        <w:drawing>
          <wp:inline distT="0" distB="0" distL="0" distR="0" wp14:anchorId="4F6F287D" wp14:editId="76712710">
            <wp:extent cx="190754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3D17F5AE" w14:textId="77777777" w:rsidR="0050563C" w:rsidRDefault="0050563C">
      <w:pPr>
        <w:pStyle w:val="NormalWeb"/>
        <w:ind w:left="-180" w:right="-334"/>
      </w:pPr>
    </w:p>
    <w:p w14:paraId="5B38ED73" w14:textId="77777777" w:rsidR="0050563C" w:rsidRDefault="0050563C">
      <w:pPr>
        <w:pStyle w:val="NormalWeb"/>
        <w:ind w:left="-180" w:right="-334"/>
      </w:pPr>
    </w:p>
    <w:p w14:paraId="31FA3B6E" w14:textId="77777777" w:rsidR="0050563C" w:rsidRDefault="00000000">
      <w:pPr>
        <w:pStyle w:val="NormalWeb"/>
        <w:ind w:left="-180" w:right="-334"/>
        <w:jc w:val="center"/>
      </w:pPr>
      <w:r>
        <w:rPr>
          <w:rFonts w:ascii="Arial" w:hAnsi="Arial"/>
          <w:b/>
          <w:sz w:val="28"/>
          <w:szCs w:val="28"/>
        </w:rPr>
        <w:t xml:space="preserve">Postgraduate/Distance Learning </w:t>
      </w:r>
    </w:p>
    <w:p w14:paraId="67C6BEF4" w14:textId="77777777" w:rsidR="0050563C" w:rsidRDefault="00000000">
      <w:pPr>
        <w:pStyle w:val="NormalWeb"/>
        <w:ind w:left="-180" w:right="-334"/>
        <w:jc w:val="center"/>
        <w:rPr>
          <w:rFonts w:ascii="Arial" w:hAnsi="Arial"/>
          <w:b/>
          <w:sz w:val="28"/>
          <w:szCs w:val="28"/>
        </w:rPr>
      </w:pPr>
      <w:r>
        <w:rPr>
          <w:rFonts w:ascii="Arial" w:hAnsi="Arial"/>
          <w:b/>
          <w:sz w:val="28"/>
          <w:szCs w:val="28"/>
        </w:rPr>
        <w:t>Assignment coversheet &amp; feedback form</w:t>
      </w:r>
    </w:p>
    <w:p w14:paraId="4E98883B" w14:textId="77777777" w:rsidR="0050563C" w:rsidRDefault="0050563C">
      <w:pPr>
        <w:rPr>
          <w:rFonts w:ascii="Arial" w:hAnsi="Arial"/>
          <w:sz w:val="28"/>
          <w:szCs w:val="28"/>
        </w:rPr>
      </w:pPr>
    </w:p>
    <w:p w14:paraId="4CAF275C" w14:textId="77777777" w:rsidR="0050563C" w:rsidRDefault="00000000">
      <w:pPr>
        <w:pStyle w:val="Heading3"/>
        <w:jc w:val="center"/>
      </w:pPr>
      <w:r>
        <w:t>THIS SHEET MUST BE THE FIRST PAGE OF THE ASSIGNMENT YOU ARE SUBMITTING  (DO NOT SEND AS A SEPARATE FILE)</w:t>
      </w:r>
    </w:p>
    <w:p w14:paraId="7685CBC9" w14:textId="77777777" w:rsidR="0050563C" w:rsidRDefault="0050563C">
      <w:pPr>
        <w:pStyle w:val="Heading3"/>
        <w:jc w:val="center"/>
        <w:rPr>
          <w:rFonts w:ascii="Trebuchet MS" w:hAnsi="Trebuchet MS"/>
        </w:rPr>
      </w:pPr>
    </w:p>
    <w:tbl>
      <w:tblPr>
        <w:tblW w:w="0" w:type="auto"/>
        <w:tblLook w:val="04A0" w:firstRow="1" w:lastRow="0" w:firstColumn="1" w:lastColumn="0" w:noHBand="0" w:noVBand="1"/>
      </w:tblPr>
      <w:tblGrid>
        <w:gridCol w:w="4541"/>
        <w:gridCol w:w="423"/>
        <w:gridCol w:w="1489"/>
        <w:gridCol w:w="284"/>
        <w:gridCol w:w="1791"/>
      </w:tblGrid>
      <w:tr w:rsidR="0050563C" w14:paraId="2A14502A" w14:textId="77777777">
        <w:trPr>
          <w:trHeight w:val="614"/>
        </w:trPr>
        <w:tc>
          <w:tcPr>
            <w:tcW w:w="8856" w:type="dxa"/>
            <w:gridSpan w:val="5"/>
          </w:tcPr>
          <w:p w14:paraId="05E7D649" w14:textId="77777777" w:rsidR="0050563C" w:rsidRDefault="00000000">
            <w:pPr>
              <w:pStyle w:val="NormalWeb"/>
              <w:ind w:right="34"/>
            </w:pPr>
            <w:r>
              <w:rPr>
                <w:rFonts w:ascii="Arial" w:hAnsi="Arial"/>
                <w:b/>
                <w:sz w:val="22"/>
                <w:szCs w:val="22"/>
              </w:rPr>
              <w:t>For completion by the student</w:t>
            </w:r>
            <w:r>
              <w:rPr>
                <w:rFonts w:ascii="Arial" w:hAnsi="Arial"/>
                <w:sz w:val="22"/>
                <w:szCs w:val="22"/>
              </w:rPr>
              <w:t>:</w:t>
            </w:r>
          </w:p>
        </w:tc>
      </w:tr>
      <w:tr w:rsidR="0050563C" w14:paraId="2C3DAF36" w14:textId="77777777">
        <w:trPr>
          <w:trHeight w:val="718"/>
        </w:trPr>
        <w:tc>
          <w:tcPr>
            <w:tcW w:w="8856" w:type="dxa"/>
            <w:gridSpan w:val="5"/>
          </w:tcPr>
          <w:p w14:paraId="68542416" w14:textId="38F61525" w:rsidR="0050563C" w:rsidRDefault="00000000">
            <w:pPr>
              <w:pStyle w:val="NormalWeb"/>
              <w:ind w:right="34"/>
              <w:rPr>
                <w:rFonts w:ascii="Arial" w:hAnsi="Arial"/>
                <w:sz w:val="22"/>
                <w:szCs w:val="22"/>
              </w:rPr>
            </w:pPr>
            <w:r>
              <w:rPr>
                <w:rFonts w:ascii="Arial" w:hAnsi="Arial"/>
                <w:sz w:val="22"/>
                <w:szCs w:val="22"/>
              </w:rPr>
              <w:t>Student Name:</w:t>
            </w:r>
            <w:r w:rsidR="00A45AB3">
              <w:rPr>
                <w:rFonts w:ascii="Arial" w:hAnsi="Arial"/>
                <w:sz w:val="22"/>
                <w:szCs w:val="22"/>
              </w:rPr>
              <w:t xml:space="preserve"> Kate Blackham</w:t>
            </w:r>
          </w:p>
          <w:p w14:paraId="7EF94F1B" w14:textId="77777777" w:rsidR="0050563C" w:rsidRDefault="0050563C">
            <w:pPr>
              <w:pStyle w:val="NormalWeb"/>
              <w:ind w:right="34"/>
              <w:rPr>
                <w:rFonts w:ascii="Arial" w:hAnsi="Arial"/>
                <w:sz w:val="22"/>
                <w:szCs w:val="22"/>
              </w:rPr>
            </w:pPr>
          </w:p>
          <w:p w14:paraId="3D5CCD53" w14:textId="7D2E330C" w:rsidR="0050563C" w:rsidRDefault="00000000">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00A45AB3">
              <w:rPr>
                <w:rFonts w:ascii="Arial" w:hAnsi="Arial"/>
                <w:sz w:val="22"/>
                <w:szCs w:val="22"/>
              </w:rPr>
              <w:t>27003372@student.uwtsd.ac.uk</w:t>
            </w:r>
          </w:p>
        </w:tc>
      </w:tr>
      <w:tr w:rsidR="0050563C" w14:paraId="2D6ADD57" w14:textId="77777777">
        <w:trPr>
          <w:trHeight w:val="849"/>
        </w:trPr>
        <w:tc>
          <w:tcPr>
            <w:tcW w:w="4788" w:type="dxa"/>
          </w:tcPr>
          <w:p w14:paraId="55777E16" w14:textId="754CDA13" w:rsidR="0050563C" w:rsidRDefault="00000000">
            <w:pPr>
              <w:pStyle w:val="NormalWeb"/>
              <w:ind w:right="34"/>
              <w:rPr>
                <w:rFonts w:ascii="Arial" w:hAnsi="Arial"/>
                <w:sz w:val="22"/>
                <w:szCs w:val="22"/>
              </w:rPr>
            </w:pPr>
            <w:r>
              <w:rPr>
                <w:rFonts w:ascii="Arial" w:hAnsi="Arial"/>
                <w:sz w:val="22"/>
                <w:szCs w:val="22"/>
              </w:rPr>
              <w:t>Module code:</w:t>
            </w:r>
            <w:r w:rsidR="00A45AB3">
              <w:rPr>
                <w:rFonts w:ascii="Arial" w:hAnsi="Arial"/>
                <w:sz w:val="22"/>
                <w:szCs w:val="22"/>
              </w:rPr>
              <w:t xml:space="preserve"> HPCA7028</w:t>
            </w:r>
          </w:p>
          <w:p w14:paraId="642CF92B" w14:textId="77777777" w:rsidR="0050563C" w:rsidRDefault="0050563C">
            <w:pPr>
              <w:pStyle w:val="NormalWeb"/>
              <w:ind w:right="34"/>
              <w:rPr>
                <w:rFonts w:ascii="Arial" w:hAnsi="Arial"/>
                <w:sz w:val="22"/>
                <w:szCs w:val="22"/>
              </w:rPr>
            </w:pPr>
          </w:p>
          <w:p w14:paraId="2C5FC508" w14:textId="32DBF99B" w:rsidR="0050563C" w:rsidRDefault="00000000">
            <w:pPr>
              <w:pStyle w:val="NormalWeb"/>
              <w:ind w:right="34"/>
              <w:rPr>
                <w:rFonts w:ascii="Arial" w:hAnsi="Arial"/>
                <w:sz w:val="22"/>
                <w:szCs w:val="22"/>
              </w:rPr>
            </w:pPr>
            <w:r>
              <w:rPr>
                <w:rFonts w:ascii="Arial" w:hAnsi="Arial"/>
                <w:sz w:val="22"/>
                <w:szCs w:val="22"/>
              </w:rPr>
              <w:t>Module title:</w:t>
            </w:r>
            <w:r w:rsidR="00A45AB3">
              <w:rPr>
                <w:rFonts w:ascii="Arial" w:hAnsi="Arial"/>
                <w:sz w:val="22"/>
                <w:szCs w:val="22"/>
              </w:rPr>
              <w:t xml:space="preserve"> Sacred Skies</w:t>
            </w:r>
          </w:p>
          <w:p w14:paraId="711698A6" w14:textId="77777777" w:rsidR="0050563C" w:rsidRDefault="0050563C">
            <w:pPr>
              <w:pStyle w:val="NormalWeb"/>
              <w:ind w:right="34"/>
              <w:rPr>
                <w:rFonts w:ascii="Arial" w:hAnsi="Arial"/>
                <w:sz w:val="22"/>
                <w:szCs w:val="22"/>
              </w:rPr>
            </w:pPr>
          </w:p>
          <w:p w14:paraId="0AEB02DB" w14:textId="77777777" w:rsidR="0050563C" w:rsidRDefault="0050563C">
            <w:pPr>
              <w:pStyle w:val="NormalWeb"/>
              <w:ind w:right="34"/>
            </w:pPr>
          </w:p>
        </w:tc>
        <w:tc>
          <w:tcPr>
            <w:tcW w:w="2266" w:type="dxa"/>
            <w:gridSpan w:val="3"/>
          </w:tcPr>
          <w:p w14:paraId="061C47B0" w14:textId="77777777" w:rsidR="0050563C" w:rsidRDefault="00000000">
            <w:pPr>
              <w:pStyle w:val="NormalWeb"/>
              <w:ind w:right="34"/>
              <w:rPr>
                <w:rFonts w:ascii="Arial" w:hAnsi="Arial"/>
                <w:sz w:val="22"/>
                <w:szCs w:val="22"/>
              </w:rPr>
            </w:pPr>
            <w:r>
              <w:rPr>
                <w:rFonts w:ascii="Arial" w:hAnsi="Arial"/>
                <w:sz w:val="22"/>
                <w:szCs w:val="22"/>
              </w:rPr>
              <w:t>Student ID number:</w:t>
            </w:r>
          </w:p>
          <w:p w14:paraId="74D94A6C" w14:textId="05F6E3D0" w:rsidR="00A45AB3" w:rsidRDefault="00A45AB3">
            <w:pPr>
              <w:pStyle w:val="NormalWeb"/>
              <w:ind w:right="34"/>
            </w:pPr>
            <w:r>
              <w:rPr>
                <w:rFonts w:ascii="Arial" w:hAnsi="Arial"/>
                <w:sz w:val="22"/>
                <w:szCs w:val="22"/>
              </w:rPr>
              <w:t>27003372</w:t>
            </w:r>
          </w:p>
        </w:tc>
        <w:tc>
          <w:tcPr>
            <w:tcW w:w="1802" w:type="dxa"/>
          </w:tcPr>
          <w:p w14:paraId="4F08FA49" w14:textId="77777777" w:rsidR="0050563C" w:rsidRDefault="00000000">
            <w:pPr>
              <w:pStyle w:val="NormalWeb"/>
              <w:ind w:right="34"/>
            </w:pPr>
            <w:r>
              <w:rPr>
                <w:rFonts w:ascii="Arial" w:hAnsi="Arial"/>
                <w:sz w:val="22"/>
                <w:szCs w:val="22"/>
              </w:rPr>
              <w:t>Educational support needs:</w:t>
            </w:r>
          </w:p>
          <w:p w14:paraId="26768F79" w14:textId="77777777" w:rsidR="0050563C" w:rsidRDefault="00000000">
            <w:pPr>
              <w:pStyle w:val="NormalWeb"/>
              <w:ind w:right="34"/>
            </w:pPr>
            <w:r w:rsidRPr="00A45AB3">
              <w:rPr>
                <w:rFonts w:ascii="Arial" w:hAnsi="Arial"/>
                <w:strike/>
                <w:sz w:val="22"/>
                <w:szCs w:val="22"/>
              </w:rPr>
              <w:t>Yes/</w:t>
            </w:r>
            <w:r>
              <w:rPr>
                <w:rFonts w:ascii="Arial" w:hAnsi="Arial"/>
                <w:sz w:val="22"/>
                <w:szCs w:val="22"/>
              </w:rPr>
              <w:t>No</w:t>
            </w:r>
          </w:p>
        </w:tc>
      </w:tr>
      <w:tr w:rsidR="0050563C" w14:paraId="264DF2AA" w14:textId="77777777">
        <w:trPr>
          <w:trHeight w:val="1139"/>
        </w:trPr>
        <w:tc>
          <w:tcPr>
            <w:tcW w:w="8856" w:type="dxa"/>
            <w:gridSpan w:val="5"/>
          </w:tcPr>
          <w:p w14:paraId="77BA17E9" w14:textId="29D01BC0" w:rsidR="0050563C" w:rsidRDefault="00000000">
            <w:pPr>
              <w:pStyle w:val="NormalWeb"/>
              <w:ind w:right="34"/>
            </w:pPr>
            <w:r>
              <w:rPr>
                <w:rFonts w:ascii="Arial" w:hAnsi="Arial"/>
                <w:sz w:val="22"/>
                <w:szCs w:val="22"/>
              </w:rPr>
              <w:t>Assignment title:</w:t>
            </w:r>
            <w:r w:rsidR="00A45AB3">
              <w:rPr>
                <w:rFonts w:ascii="Arial" w:hAnsi="Arial"/>
                <w:sz w:val="22"/>
                <w:szCs w:val="22"/>
              </w:rPr>
              <w:t xml:space="preserve"> </w:t>
            </w:r>
            <w:r w:rsidR="00631E9B">
              <w:rPr>
                <w:rFonts w:ascii="Arial" w:hAnsi="Arial"/>
                <w:sz w:val="22"/>
                <w:szCs w:val="22"/>
              </w:rPr>
              <w:t>A Critical Examination of the Sky in Relation to Material Culture</w:t>
            </w:r>
          </w:p>
          <w:p w14:paraId="39344686" w14:textId="77777777" w:rsidR="0050563C" w:rsidRDefault="0050563C">
            <w:pPr>
              <w:pStyle w:val="NormalWeb"/>
              <w:ind w:right="34"/>
              <w:rPr>
                <w:rFonts w:ascii="Arial" w:hAnsi="Arial"/>
                <w:sz w:val="22"/>
                <w:szCs w:val="22"/>
              </w:rPr>
            </w:pPr>
          </w:p>
          <w:p w14:paraId="25824658" w14:textId="77777777" w:rsidR="0050563C" w:rsidRDefault="0050563C">
            <w:pPr>
              <w:pStyle w:val="NormalWeb"/>
              <w:ind w:right="34"/>
              <w:rPr>
                <w:rFonts w:ascii="Arial" w:hAnsi="Arial"/>
                <w:sz w:val="22"/>
                <w:szCs w:val="22"/>
              </w:rPr>
            </w:pPr>
          </w:p>
          <w:p w14:paraId="11D15246" w14:textId="7821A40D" w:rsidR="0050563C" w:rsidRDefault="00000000">
            <w:pPr>
              <w:pStyle w:val="NormalWeb"/>
              <w:ind w:right="34"/>
            </w:pPr>
            <w:r>
              <w:rPr>
                <w:rFonts w:ascii="Arial" w:hAnsi="Arial"/>
                <w:sz w:val="22"/>
                <w:szCs w:val="22"/>
              </w:rPr>
              <w:t>Assignment due date:</w:t>
            </w:r>
            <w:r w:rsidR="00A45AB3">
              <w:rPr>
                <w:rFonts w:ascii="Arial" w:hAnsi="Arial"/>
                <w:sz w:val="22"/>
                <w:szCs w:val="22"/>
              </w:rPr>
              <w:t xml:space="preserve"> </w:t>
            </w:r>
            <w:r w:rsidR="00631E9B">
              <w:rPr>
                <w:rFonts w:ascii="Arial" w:hAnsi="Arial"/>
                <w:sz w:val="22"/>
                <w:szCs w:val="22"/>
              </w:rPr>
              <w:t>4</w:t>
            </w:r>
            <w:r w:rsidR="00A45AB3">
              <w:rPr>
                <w:rFonts w:ascii="Arial" w:hAnsi="Arial"/>
                <w:sz w:val="22"/>
                <w:szCs w:val="22"/>
              </w:rPr>
              <w:t>/</w:t>
            </w:r>
            <w:r w:rsidR="00631E9B">
              <w:rPr>
                <w:rFonts w:ascii="Arial" w:hAnsi="Arial"/>
                <w:sz w:val="22"/>
                <w:szCs w:val="22"/>
              </w:rPr>
              <w:t>5</w:t>
            </w:r>
            <w:r w:rsidR="00A45AB3">
              <w:rPr>
                <w:rFonts w:ascii="Arial" w:hAnsi="Arial"/>
                <w:sz w:val="22"/>
                <w:szCs w:val="22"/>
              </w:rPr>
              <w:t>/23</w:t>
            </w:r>
          </w:p>
        </w:tc>
      </w:tr>
      <w:tr w:rsidR="0050563C" w14:paraId="5422550E" w14:textId="77777777">
        <w:trPr>
          <w:trHeight w:val="978"/>
        </w:trPr>
        <w:tc>
          <w:tcPr>
            <w:tcW w:w="8856" w:type="dxa"/>
            <w:gridSpan w:val="5"/>
            <w:tcBorders>
              <w:bottom w:val="single" w:sz="4" w:space="0" w:color="000000"/>
            </w:tcBorders>
          </w:tcPr>
          <w:p w14:paraId="1763362F" w14:textId="77777777" w:rsidR="0050563C" w:rsidRDefault="00000000">
            <w:r>
              <w:rPr>
                <w:rFonts w:ascii="Arial" w:hAnsi="Arial"/>
                <w:sz w:val="22"/>
                <w:szCs w:val="22"/>
              </w:rPr>
              <w:t xml:space="preserve">This assignment is for the       </w:t>
            </w:r>
            <w:r w:rsidRPr="00F36D84">
              <w:rPr>
                <w:rFonts w:ascii="Arial" w:hAnsi="Arial"/>
                <w:sz w:val="22"/>
                <w:szCs w:val="22"/>
              </w:rPr>
              <w:t>1</w:t>
            </w:r>
            <w:r w:rsidRPr="00F36D84">
              <w:rPr>
                <w:rFonts w:ascii="Arial" w:hAnsi="Arial"/>
                <w:sz w:val="22"/>
                <w:szCs w:val="22"/>
                <w:vertAlign w:val="superscript"/>
              </w:rPr>
              <w:t>st</w:t>
            </w:r>
            <w:r>
              <w:rPr>
                <w:rFonts w:ascii="Arial" w:hAnsi="Arial"/>
                <w:sz w:val="22"/>
                <w:szCs w:val="22"/>
                <w:vertAlign w:val="superscript"/>
              </w:rPr>
              <w:t xml:space="preserve"> </w:t>
            </w:r>
            <w:r>
              <w:rPr>
                <w:rFonts w:ascii="Arial" w:hAnsi="Arial"/>
                <w:sz w:val="22"/>
                <w:szCs w:val="22"/>
              </w:rPr>
              <w:t xml:space="preserve">    2</w:t>
            </w:r>
            <w:r>
              <w:rPr>
                <w:rFonts w:ascii="Arial" w:hAnsi="Arial"/>
                <w:sz w:val="22"/>
                <w:szCs w:val="22"/>
                <w:vertAlign w:val="superscript"/>
              </w:rPr>
              <w:t>nd</w:t>
            </w:r>
            <w:r>
              <w:rPr>
                <w:rFonts w:ascii="Arial" w:hAnsi="Arial"/>
                <w:sz w:val="22"/>
                <w:szCs w:val="22"/>
              </w:rPr>
              <w:t xml:space="preserve">       </w:t>
            </w:r>
            <w:r w:rsidRPr="00F36D84">
              <w:rPr>
                <w:rFonts w:ascii="Arial" w:hAnsi="Arial"/>
                <w:sz w:val="22"/>
                <w:szCs w:val="22"/>
                <w:bdr w:val="single" w:sz="4" w:space="0" w:color="auto"/>
              </w:rPr>
              <w:t>3</w:t>
            </w:r>
            <w:r w:rsidRPr="00F36D84">
              <w:rPr>
                <w:rFonts w:ascii="Arial" w:hAnsi="Arial"/>
                <w:sz w:val="22"/>
                <w:szCs w:val="22"/>
                <w:bdr w:val="single" w:sz="4" w:space="0" w:color="auto"/>
                <w:vertAlign w:val="superscript"/>
              </w:rPr>
              <w:t>rd</w:t>
            </w:r>
            <w:r w:rsidRPr="00F36D84">
              <w:rPr>
                <w:rFonts w:ascii="Arial" w:hAnsi="Arial"/>
                <w:sz w:val="22"/>
                <w:szCs w:val="22"/>
                <w:bdr w:val="single" w:sz="4" w:space="0" w:color="auto"/>
              </w:rPr>
              <w:t xml:space="preserve"> </w:t>
            </w:r>
            <w:r>
              <w:rPr>
                <w:rFonts w:ascii="Arial" w:hAnsi="Arial"/>
                <w:sz w:val="22"/>
                <w:szCs w:val="22"/>
              </w:rPr>
              <w:t xml:space="preserve">       4</w:t>
            </w:r>
            <w:r>
              <w:rPr>
                <w:rFonts w:ascii="Arial" w:hAnsi="Arial"/>
                <w:sz w:val="22"/>
                <w:szCs w:val="22"/>
                <w:vertAlign w:val="superscript"/>
              </w:rPr>
              <w:t>th</w:t>
            </w:r>
            <w:r>
              <w:rPr>
                <w:rFonts w:ascii="Arial" w:hAnsi="Arial"/>
                <w:sz w:val="22"/>
                <w:szCs w:val="22"/>
              </w:rPr>
              <w:t xml:space="preserve">       5</w:t>
            </w:r>
            <w:r>
              <w:rPr>
                <w:rFonts w:ascii="Arial" w:hAnsi="Arial"/>
                <w:sz w:val="22"/>
                <w:szCs w:val="22"/>
                <w:vertAlign w:val="superscript"/>
              </w:rPr>
              <w:t>th</w:t>
            </w:r>
            <w:r>
              <w:rPr>
                <w:rFonts w:ascii="Arial" w:hAnsi="Arial"/>
                <w:sz w:val="22"/>
                <w:szCs w:val="22"/>
              </w:rPr>
              <w:t xml:space="preserve">       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 of the degree</w:t>
            </w:r>
          </w:p>
        </w:tc>
      </w:tr>
      <w:tr w:rsidR="0050563C" w14:paraId="6A070CF8" w14:textId="77777777">
        <w:trPr>
          <w:trHeight w:val="978"/>
        </w:trPr>
        <w:tc>
          <w:tcPr>
            <w:tcW w:w="8856" w:type="dxa"/>
            <w:gridSpan w:val="5"/>
            <w:shd w:val="clear" w:color="auto" w:fill="D9D9D9"/>
          </w:tcPr>
          <w:p w14:paraId="4425EBD4" w14:textId="77777777" w:rsidR="0050563C" w:rsidRDefault="00000000">
            <w:pPr>
              <w:pStyle w:val="NormalWeb"/>
              <w:ind w:right="34"/>
            </w:pPr>
            <w:r>
              <w:rPr>
                <w:rFonts w:ascii="Arial" w:hAnsi="Arial"/>
                <w:sz w:val="22"/>
                <w:szCs w:val="22"/>
              </w:rPr>
              <w:t>I confirm that this is my original work and that I have adhered to the University policy on plagiarism.</w:t>
            </w:r>
          </w:p>
          <w:p w14:paraId="7DD4F383" w14:textId="1C52B5D6" w:rsidR="0050563C" w:rsidRDefault="00000000">
            <w:pPr>
              <w:pStyle w:val="NormalWeb"/>
              <w:ind w:right="34"/>
              <w:rPr>
                <w:rFonts w:ascii="Arial" w:hAnsi="Arial"/>
                <w:sz w:val="22"/>
                <w:szCs w:val="22"/>
              </w:rPr>
            </w:pPr>
            <w:r>
              <w:rPr>
                <w:rFonts w:ascii="Arial" w:hAnsi="Arial"/>
                <w:sz w:val="22"/>
                <w:szCs w:val="22"/>
              </w:rPr>
              <w:t>Signed ……</w:t>
            </w:r>
            <w:r w:rsidR="00A45AB3">
              <w:rPr>
                <w:rFonts w:ascii="Arial" w:hAnsi="Arial"/>
                <w:sz w:val="22"/>
                <w:szCs w:val="22"/>
              </w:rPr>
              <w:t>Kate Blackham</w:t>
            </w:r>
            <w:r>
              <w:rPr>
                <w:rFonts w:ascii="Arial" w:hAnsi="Arial"/>
                <w:sz w:val="22"/>
                <w:szCs w:val="22"/>
              </w:rPr>
              <w:t>………………………………………………………</w:t>
            </w:r>
          </w:p>
          <w:p w14:paraId="6D8EDE13" w14:textId="7B21763B" w:rsidR="0050563C" w:rsidRDefault="00000000">
            <w:pPr>
              <w:pStyle w:val="NormalWeb"/>
              <w:ind w:right="34"/>
              <w:rPr>
                <w:rFonts w:ascii="Calibri" w:hAnsi="Calibri"/>
                <w:b/>
                <w:sz w:val="44"/>
                <w:szCs w:val="44"/>
              </w:rPr>
            </w:pPr>
            <w:r>
              <w:rPr>
                <w:rFonts w:ascii="Calibri" w:hAnsi="Calibri"/>
                <w:b/>
                <w:sz w:val="24"/>
                <w:szCs w:val="24"/>
              </w:rPr>
              <w:t xml:space="preserve">Email submission:if you are submitting this form via email, please tick this box </w:t>
            </w:r>
            <w:r w:rsidRPr="00A45AB3">
              <w:rPr>
                <w:rFonts w:ascii="Calibri" w:hAnsi="Calibri"/>
                <w:b/>
                <w:strike/>
                <w:sz w:val="44"/>
                <w:szCs w:val="44"/>
              </w:rPr>
              <w:t>□</w:t>
            </w:r>
          </w:p>
          <w:p w14:paraId="1CEA77EA" w14:textId="77777777" w:rsidR="0050563C" w:rsidRDefault="00000000">
            <w:pPr>
              <w:pStyle w:val="NormalWeb"/>
              <w:ind w:right="34"/>
            </w:pPr>
            <w:r>
              <w:rPr>
                <w:rFonts w:ascii="Calibri" w:hAnsi="Calibri"/>
                <w:b/>
                <w:sz w:val="24"/>
                <w:szCs w:val="24"/>
              </w:rPr>
              <w:t>(as a substitute for your signature) to confirm that you agree to the above declaration.</w:t>
            </w:r>
          </w:p>
        </w:tc>
      </w:tr>
      <w:tr w:rsidR="0050563C" w14:paraId="10DA170A" w14:textId="77777777">
        <w:trPr>
          <w:trHeight w:val="3972"/>
        </w:trPr>
        <w:tc>
          <w:tcPr>
            <w:tcW w:w="8856" w:type="dxa"/>
            <w:gridSpan w:val="5"/>
          </w:tcPr>
          <w:p w14:paraId="2B897271" w14:textId="77777777" w:rsidR="0050563C" w:rsidRDefault="0050563C">
            <w:pPr>
              <w:rPr>
                <w:rFonts w:ascii="Arial" w:hAnsi="Arial"/>
                <w:b/>
              </w:rPr>
            </w:pPr>
          </w:p>
          <w:p w14:paraId="52F8258D" w14:textId="77777777" w:rsidR="0050563C" w:rsidRDefault="00000000">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717"/>
              <w:gridCol w:w="1585"/>
            </w:tblGrid>
            <w:tr w:rsidR="0050563C" w14:paraId="4C19D74F" w14:textId="77777777">
              <w:tc>
                <w:tcPr>
                  <w:tcW w:w="6970" w:type="dxa"/>
                </w:tcPr>
                <w:p w14:paraId="14C57D86" w14:textId="77777777" w:rsidR="0050563C" w:rsidRDefault="0050563C">
                  <w:pPr>
                    <w:rPr>
                      <w:rFonts w:ascii="Arial" w:hAnsi="Arial"/>
                      <w:sz w:val="20"/>
                      <w:szCs w:val="20"/>
                    </w:rPr>
                  </w:pPr>
                </w:p>
                <w:p w14:paraId="776D3559" w14:textId="77777777" w:rsidR="0050563C" w:rsidRDefault="00000000">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33A495F6" w14:textId="77777777" w:rsidR="0050563C" w:rsidRDefault="0050563C">
                  <w:pPr>
                    <w:rPr>
                      <w:rFonts w:ascii="Arial" w:hAnsi="Arial"/>
                      <w:sz w:val="20"/>
                      <w:szCs w:val="20"/>
                    </w:rPr>
                  </w:pPr>
                </w:p>
              </w:tc>
            </w:tr>
            <w:tr w:rsidR="0050563C" w14:paraId="71010C89" w14:textId="77777777">
              <w:tc>
                <w:tcPr>
                  <w:tcW w:w="6970" w:type="dxa"/>
                </w:tcPr>
                <w:p w14:paraId="1665BC7B" w14:textId="77777777" w:rsidR="0050563C" w:rsidRDefault="0050563C">
                  <w:pPr>
                    <w:rPr>
                      <w:rFonts w:ascii="Arial" w:hAnsi="Arial"/>
                      <w:sz w:val="20"/>
                      <w:szCs w:val="20"/>
                    </w:rPr>
                  </w:pPr>
                </w:p>
                <w:p w14:paraId="57FC78CC" w14:textId="77777777" w:rsidR="0050563C" w:rsidRDefault="00000000">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0BB31A35" w14:textId="77777777" w:rsidR="0050563C" w:rsidRDefault="0050563C">
                  <w:pPr>
                    <w:rPr>
                      <w:rFonts w:ascii="Arial" w:hAnsi="Arial"/>
                      <w:sz w:val="20"/>
                      <w:szCs w:val="20"/>
                    </w:rPr>
                  </w:pPr>
                </w:p>
              </w:tc>
            </w:tr>
            <w:tr w:rsidR="0050563C" w14:paraId="665783F6" w14:textId="77777777">
              <w:tc>
                <w:tcPr>
                  <w:tcW w:w="6970" w:type="dxa"/>
                </w:tcPr>
                <w:p w14:paraId="504AE731" w14:textId="77777777" w:rsidR="0050563C" w:rsidRDefault="0050563C">
                  <w:pPr>
                    <w:rPr>
                      <w:rFonts w:ascii="Arial" w:hAnsi="Arial"/>
                      <w:sz w:val="20"/>
                      <w:szCs w:val="20"/>
                    </w:rPr>
                  </w:pPr>
                </w:p>
                <w:p w14:paraId="649433B7" w14:textId="77777777" w:rsidR="0050563C" w:rsidRDefault="00000000">
                  <w:pPr>
                    <w:rPr>
                      <w:rFonts w:ascii="Arial" w:hAnsi="Arial"/>
                      <w:sz w:val="20"/>
                      <w:szCs w:val="20"/>
                    </w:rPr>
                  </w:pPr>
                  <w:r>
                    <w:rPr>
                      <w:rFonts w:ascii="Arial" w:hAnsi="Arial"/>
                      <w:sz w:val="20"/>
                      <w:szCs w:val="20"/>
                    </w:rPr>
                    <w:t>External Examiner’s mark (if relevant)</w:t>
                  </w:r>
                </w:p>
              </w:tc>
              <w:tc>
                <w:tcPr>
                  <w:tcW w:w="1660" w:type="dxa"/>
                </w:tcPr>
                <w:p w14:paraId="2490E96B" w14:textId="77777777" w:rsidR="0050563C" w:rsidRDefault="0050563C">
                  <w:pPr>
                    <w:rPr>
                      <w:rFonts w:ascii="Arial" w:hAnsi="Arial"/>
                      <w:sz w:val="20"/>
                      <w:szCs w:val="20"/>
                    </w:rPr>
                  </w:pPr>
                </w:p>
              </w:tc>
            </w:tr>
            <w:tr w:rsidR="0050563C" w14:paraId="33C92F40" w14:textId="77777777">
              <w:tc>
                <w:tcPr>
                  <w:tcW w:w="6970" w:type="dxa"/>
                </w:tcPr>
                <w:p w14:paraId="466E6941" w14:textId="77777777" w:rsidR="0050563C" w:rsidRDefault="0050563C">
                  <w:pPr>
                    <w:rPr>
                      <w:rFonts w:ascii="Arial" w:hAnsi="Arial"/>
                      <w:sz w:val="20"/>
                      <w:szCs w:val="20"/>
                    </w:rPr>
                  </w:pPr>
                </w:p>
                <w:p w14:paraId="14C8CA3E" w14:textId="77777777" w:rsidR="0050563C" w:rsidRDefault="00000000">
                  <w:r>
                    <w:rPr>
                      <w:rFonts w:ascii="Arial" w:hAnsi="Arial"/>
                      <w:b/>
                      <w:sz w:val="20"/>
                      <w:szCs w:val="20"/>
                    </w:rPr>
                    <w:t>Final Mark</w:t>
                  </w:r>
                </w:p>
                <w:p w14:paraId="76036803" w14:textId="77777777" w:rsidR="0050563C" w:rsidRDefault="0050563C">
                  <w:pPr>
                    <w:rPr>
                      <w:rFonts w:ascii="Arial" w:hAnsi="Arial"/>
                      <w:sz w:val="20"/>
                      <w:szCs w:val="20"/>
                    </w:rPr>
                  </w:pPr>
                </w:p>
              </w:tc>
              <w:tc>
                <w:tcPr>
                  <w:tcW w:w="1660" w:type="dxa"/>
                </w:tcPr>
                <w:p w14:paraId="7BBA43D5" w14:textId="77777777" w:rsidR="0050563C" w:rsidRDefault="0050563C">
                  <w:pPr>
                    <w:rPr>
                      <w:rFonts w:ascii="Arial" w:hAnsi="Arial"/>
                      <w:sz w:val="20"/>
                      <w:szCs w:val="20"/>
                    </w:rPr>
                  </w:pPr>
                </w:p>
              </w:tc>
            </w:tr>
          </w:tbl>
          <w:p w14:paraId="4826813E" w14:textId="77777777" w:rsidR="0050563C" w:rsidRDefault="0050563C">
            <w:pPr>
              <w:pStyle w:val="NormalWeb"/>
              <w:ind w:left="142" w:right="34"/>
              <w:rPr>
                <w:rFonts w:ascii="Arial" w:hAnsi="Arial"/>
                <w:b/>
                <w:sz w:val="22"/>
                <w:szCs w:val="22"/>
              </w:rPr>
            </w:pPr>
          </w:p>
          <w:p w14:paraId="0838FCF2" w14:textId="77777777" w:rsidR="0050563C" w:rsidRDefault="00000000">
            <w:pPr>
              <w:pStyle w:val="NormalWeb"/>
              <w:ind w:left="142" w:right="34"/>
              <w:rPr>
                <w:rFonts w:ascii="Arial" w:hAnsi="Arial"/>
                <w:sz w:val="22"/>
                <w:szCs w:val="22"/>
              </w:rPr>
            </w:pPr>
            <w:r>
              <w:rPr>
                <w:rFonts w:ascii="Arial" w:hAnsi="Arial"/>
                <w:b/>
                <w:sz w:val="22"/>
                <w:szCs w:val="22"/>
              </w:rPr>
              <w:lastRenderedPageBreak/>
              <w:t>NB.</w:t>
            </w:r>
            <w:r>
              <w:rPr>
                <w:rFonts w:ascii="Arial" w:hAnsi="Arial"/>
                <w:sz w:val="22"/>
                <w:szCs w:val="22"/>
              </w:rPr>
              <w:t xml:space="preserve">  All marks are provisional until confirmed by the Final Examination Board.</w:t>
            </w:r>
          </w:p>
          <w:p w14:paraId="0D4C8617" w14:textId="77777777" w:rsidR="0050563C" w:rsidRDefault="0050563C">
            <w:pPr>
              <w:pStyle w:val="NormalWeb"/>
              <w:rPr>
                <w:rFonts w:ascii="Arial" w:hAnsi="Arial"/>
                <w:b/>
                <w:sz w:val="22"/>
                <w:szCs w:val="22"/>
              </w:rPr>
            </w:pPr>
          </w:p>
          <w:p w14:paraId="4BC0E058" w14:textId="77777777" w:rsidR="0050563C" w:rsidRDefault="0050563C">
            <w:pPr>
              <w:pStyle w:val="NormalWeb"/>
              <w:rPr>
                <w:rFonts w:ascii="Arial" w:hAnsi="Arial"/>
                <w:b/>
                <w:sz w:val="22"/>
                <w:szCs w:val="22"/>
              </w:rPr>
            </w:pPr>
          </w:p>
          <w:p w14:paraId="416B6E74" w14:textId="77777777" w:rsidR="0050563C" w:rsidRDefault="00000000">
            <w:pPr>
              <w:pStyle w:val="NormalWeb"/>
              <w:rPr>
                <w:rFonts w:ascii="Arial" w:hAnsi="Arial"/>
                <w:b/>
                <w:sz w:val="22"/>
                <w:szCs w:val="22"/>
              </w:rPr>
            </w:pPr>
            <w:r>
              <w:rPr>
                <w:rFonts w:ascii="Arial"/>
                <w:b/>
                <w:sz w:val="22"/>
              </w:rPr>
              <w:t xml:space="preserve">            ALL COMMENTS ARE  ON THE PDF OF YOUR PAPER IN TURNITIN </w:t>
            </w:r>
          </w:p>
          <w:p w14:paraId="517933DA" w14:textId="77777777" w:rsidR="0050563C" w:rsidRDefault="0050563C">
            <w:pPr>
              <w:pStyle w:val="NormalWeb"/>
              <w:rPr>
                <w:rFonts w:ascii="Arial" w:hAnsi="Arial"/>
                <w:b/>
                <w:sz w:val="22"/>
                <w:szCs w:val="22"/>
              </w:rPr>
            </w:pPr>
          </w:p>
          <w:p w14:paraId="31C718A0" w14:textId="77777777" w:rsidR="0050563C" w:rsidRDefault="0050563C">
            <w:pPr>
              <w:pStyle w:val="NormalWeb"/>
              <w:rPr>
                <w:rFonts w:ascii="Arial" w:hAnsi="Arial"/>
                <w:b/>
                <w:sz w:val="22"/>
                <w:szCs w:val="22"/>
              </w:rPr>
            </w:pPr>
          </w:p>
          <w:p w14:paraId="3E087137" w14:textId="77777777" w:rsidR="0050563C" w:rsidRDefault="00000000">
            <w:pPr>
              <w:pStyle w:val="NormalWeb"/>
            </w:pPr>
            <w:r>
              <w:rPr>
                <w:rFonts w:ascii="Arial" w:hAnsi="Arial"/>
                <w:b/>
                <w:sz w:val="22"/>
                <w:szCs w:val="22"/>
              </w:rPr>
              <w:t>For completion by Marker 1 :</w:t>
            </w:r>
          </w:p>
          <w:p w14:paraId="64EC2292" w14:textId="77777777" w:rsidR="0050563C" w:rsidRDefault="00000000">
            <w:pPr>
              <w:pStyle w:val="NormalWeb"/>
              <w:rPr>
                <w:rFonts w:ascii="Arial" w:hAnsi="Arial"/>
                <w:sz w:val="22"/>
                <w:szCs w:val="22"/>
              </w:rPr>
            </w:pPr>
            <w:r>
              <w:rPr>
                <w:rFonts w:ascii="Arial" w:hAnsi="Arial"/>
                <w:sz w:val="22"/>
                <w:szCs w:val="22"/>
              </w:rPr>
              <w:t>Comments:</w:t>
            </w:r>
          </w:p>
          <w:p w14:paraId="51F721D7" w14:textId="77777777" w:rsidR="0050563C" w:rsidRDefault="0050563C">
            <w:pPr>
              <w:pStyle w:val="NormalWeb"/>
            </w:pPr>
          </w:p>
        </w:tc>
      </w:tr>
      <w:tr w:rsidR="0050563C" w14:paraId="13C46C3A" w14:textId="77777777">
        <w:trPr>
          <w:trHeight w:val="492"/>
        </w:trPr>
        <w:tc>
          <w:tcPr>
            <w:tcW w:w="6768" w:type="dxa"/>
            <w:gridSpan w:val="3"/>
          </w:tcPr>
          <w:p w14:paraId="19B29D9F" w14:textId="77777777" w:rsidR="0050563C" w:rsidRDefault="00000000">
            <w:pPr>
              <w:pStyle w:val="NormalWeb"/>
              <w:ind w:left="142" w:right="34"/>
            </w:pPr>
            <w:r>
              <w:rPr>
                <w:rFonts w:ascii="Arial" w:hAnsi="Arial"/>
                <w:sz w:val="22"/>
                <w:szCs w:val="22"/>
              </w:rPr>
              <w:lastRenderedPageBreak/>
              <w:t>Marker’s signature:</w:t>
            </w:r>
          </w:p>
        </w:tc>
        <w:tc>
          <w:tcPr>
            <w:tcW w:w="2088" w:type="dxa"/>
            <w:gridSpan w:val="2"/>
          </w:tcPr>
          <w:p w14:paraId="74559F12" w14:textId="77777777" w:rsidR="0050563C" w:rsidRDefault="00000000">
            <w:pPr>
              <w:pStyle w:val="NormalWeb"/>
              <w:ind w:left="142" w:right="34"/>
            </w:pPr>
            <w:r>
              <w:rPr>
                <w:rFonts w:ascii="Arial" w:hAnsi="Arial"/>
                <w:sz w:val="22"/>
                <w:szCs w:val="22"/>
              </w:rPr>
              <w:t>Date:</w:t>
            </w:r>
          </w:p>
        </w:tc>
      </w:tr>
      <w:tr w:rsidR="0050563C" w14:paraId="36E13D5E" w14:textId="77777777">
        <w:tc>
          <w:tcPr>
            <w:tcW w:w="8856" w:type="dxa"/>
            <w:gridSpan w:val="5"/>
          </w:tcPr>
          <w:p w14:paraId="7178BC1E" w14:textId="77777777" w:rsidR="0050563C" w:rsidRDefault="0050563C">
            <w:pPr>
              <w:pStyle w:val="NormalWeb"/>
              <w:ind w:right="-334"/>
              <w:rPr>
                <w:rFonts w:ascii="Arial" w:hAnsi="Arial"/>
                <w:i/>
                <w:sz w:val="22"/>
                <w:szCs w:val="22"/>
              </w:rPr>
            </w:pPr>
          </w:p>
          <w:p w14:paraId="3FD5BCF1" w14:textId="77777777" w:rsidR="0050563C" w:rsidRDefault="00000000">
            <w:pPr>
              <w:pStyle w:val="NormalWeb"/>
              <w:ind w:right="-334"/>
            </w:pPr>
            <w:r>
              <w:rPr>
                <w:rFonts w:ascii="Arial" w:hAnsi="Arial"/>
                <w:b/>
                <w:sz w:val="22"/>
                <w:szCs w:val="22"/>
              </w:rPr>
              <w:t>For completion by Marker 2/Moderator:</w:t>
            </w:r>
          </w:p>
          <w:p w14:paraId="05BE2EB7" w14:textId="77777777" w:rsidR="0050563C" w:rsidRDefault="0050563C">
            <w:pPr>
              <w:pStyle w:val="NormalWeb"/>
              <w:ind w:right="-334"/>
              <w:rPr>
                <w:rFonts w:ascii="Arial" w:hAnsi="Arial"/>
                <w:b/>
                <w:sz w:val="22"/>
                <w:szCs w:val="22"/>
              </w:rPr>
            </w:pPr>
          </w:p>
          <w:p w14:paraId="6C12C8B1" w14:textId="77777777" w:rsidR="0050563C" w:rsidRDefault="00000000">
            <w:pPr>
              <w:pStyle w:val="NormalWeb"/>
              <w:ind w:right="-334"/>
            </w:pPr>
            <w:r>
              <w:rPr>
                <w:rFonts w:ascii="Arial" w:hAnsi="Arial"/>
                <w:sz w:val="22"/>
                <w:szCs w:val="22"/>
              </w:rPr>
              <w:t>Comments:</w:t>
            </w:r>
          </w:p>
          <w:p w14:paraId="27AA2091" w14:textId="77777777" w:rsidR="0050563C" w:rsidRDefault="0050563C">
            <w:pPr>
              <w:pStyle w:val="NormalWeb"/>
              <w:ind w:right="-334"/>
              <w:rPr>
                <w:rFonts w:ascii="Arial" w:hAnsi="Arial"/>
                <w:sz w:val="22"/>
                <w:szCs w:val="22"/>
              </w:rPr>
            </w:pPr>
          </w:p>
          <w:p w14:paraId="44B034AA" w14:textId="77777777" w:rsidR="0050563C" w:rsidRDefault="0050563C">
            <w:pPr>
              <w:pStyle w:val="NormalWeb"/>
              <w:ind w:right="-334"/>
              <w:rPr>
                <w:rFonts w:ascii="Arial" w:hAnsi="Arial"/>
                <w:sz w:val="22"/>
                <w:szCs w:val="22"/>
              </w:rPr>
            </w:pPr>
          </w:p>
        </w:tc>
      </w:tr>
      <w:tr w:rsidR="0050563C" w14:paraId="5911F95A" w14:textId="77777777">
        <w:trPr>
          <w:trHeight w:val="720"/>
        </w:trPr>
        <w:tc>
          <w:tcPr>
            <w:tcW w:w="5211" w:type="dxa"/>
            <w:gridSpan w:val="2"/>
          </w:tcPr>
          <w:p w14:paraId="79FC104B" w14:textId="77777777" w:rsidR="0050563C" w:rsidRDefault="00000000">
            <w:pPr>
              <w:pStyle w:val="NormalWeb"/>
              <w:ind w:right="-334"/>
            </w:pPr>
            <w:r>
              <w:rPr>
                <w:rFonts w:ascii="Arial" w:hAnsi="Arial"/>
                <w:sz w:val="22"/>
                <w:szCs w:val="22"/>
              </w:rPr>
              <w:t>Marker’s Signature:</w:t>
            </w:r>
          </w:p>
        </w:tc>
        <w:tc>
          <w:tcPr>
            <w:tcW w:w="3645" w:type="dxa"/>
            <w:gridSpan w:val="3"/>
          </w:tcPr>
          <w:p w14:paraId="560A0295" w14:textId="77777777" w:rsidR="0050563C" w:rsidRDefault="00000000">
            <w:pPr>
              <w:pStyle w:val="NormalWeb"/>
              <w:ind w:right="-334"/>
            </w:pPr>
            <w:r>
              <w:rPr>
                <w:rFonts w:ascii="Arial" w:hAnsi="Arial"/>
                <w:sz w:val="22"/>
                <w:szCs w:val="22"/>
              </w:rPr>
              <w:t>Date:</w:t>
            </w:r>
          </w:p>
        </w:tc>
      </w:tr>
      <w:tr w:rsidR="0050563C" w14:paraId="5F51327C" w14:textId="77777777">
        <w:trPr>
          <w:trHeight w:val="720"/>
        </w:trPr>
        <w:tc>
          <w:tcPr>
            <w:tcW w:w="8856" w:type="dxa"/>
            <w:gridSpan w:val="5"/>
          </w:tcPr>
          <w:p w14:paraId="2197C8C4" w14:textId="77777777" w:rsidR="0050563C" w:rsidRDefault="00000000">
            <w:r>
              <w:rPr>
                <w:rFonts w:ascii="Arial" w:hAnsi="Arial"/>
                <w:b/>
                <w:sz w:val="22"/>
                <w:szCs w:val="22"/>
              </w:rPr>
              <w:t>External Examiner’s comments (if relevant)</w:t>
            </w:r>
          </w:p>
          <w:p w14:paraId="56FDBD3A" w14:textId="77777777" w:rsidR="0050563C" w:rsidRDefault="0050563C">
            <w:pPr>
              <w:pStyle w:val="NormalWeb"/>
              <w:ind w:right="-334"/>
              <w:rPr>
                <w:rFonts w:ascii="Arial" w:hAnsi="Arial"/>
                <w:sz w:val="22"/>
                <w:szCs w:val="22"/>
              </w:rPr>
            </w:pPr>
          </w:p>
        </w:tc>
      </w:tr>
      <w:tr w:rsidR="0050563C" w14:paraId="19B2534D" w14:textId="77777777">
        <w:trPr>
          <w:trHeight w:val="720"/>
        </w:trPr>
        <w:tc>
          <w:tcPr>
            <w:tcW w:w="5211" w:type="dxa"/>
            <w:gridSpan w:val="2"/>
          </w:tcPr>
          <w:p w14:paraId="490AA5C6" w14:textId="77777777" w:rsidR="0050563C" w:rsidRDefault="00000000">
            <w:r>
              <w:rPr>
                <w:rFonts w:ascii="Arial" w:hAnsi="Arial"/>
                <w:sz w:val="22"/>
                <w:szCs w:val="22"/>
              </w:rPr>
              <w:t>External Examiner’s Signature:</w:t>
            </w:r>
          </w:p>
        </w:tc>
        <w:tc>
          <w:tcPr>
            <w:tcW w:w="3645" w:type="dxa"/>
            <w:gridSpan w:val="3"/>
          </w:tcPr>
          <w:p w14:paraId="388677E5" w14:textId="77777777" w:rsidR="0050563C" w:rsidRDefault="00000000">
            <w:r>
              <w:rPr>
                <w:rFonts w:ascii="Arial" w:hAnsi="Arial"/>
                <w:sz w:val="22"/>
                <w:szCs w:val="22"/>
              </w:rPr>
              <w:t>Date:</w:t>
            </w:r>
          </w:p>
        </w:tc>
      </w:tr>
    </w:tbl>
    <w:p w14:paraId="693272E8" w14:textId="77D39058" w:rsidR="0050563C" w:rsidRDefault="0050563C">
      <w:pPr>
        <w:pStyle w:val="NormalWeb"/>
        <w:ind w:right="-334"/>
        <w:rPr>
          <w:rFonts w:ascii="Trebuchet MS" w:hAnsi="Trebuchet MS"/>
          <w:sz w:val="24"/>
          <w:szCs w:val="24"/>
        </w:rPr>
      </w:pPr>
    </w:p>
    <w:p w14:paraId="0A557490" w14:textId="0B655DB5" w:rsidR="00994E1E" w:rsidRDefault="00994E1E">
      <w:pPr>
        <w:pStyle w:val="NormalWeb"/>
        <w:ind w:right="-334"/>
        <w:rPr>
          <w:rFonts w:ascii="Trebuchet MS" w:hAnsi="Trebuchet MS"/>
          <w:sz w:val="24"/>
          <w:szCs w:val="24"/>
        </w:rPr>
      </w:pPr>
    </w:p>
    <w:p w14:paraId="4AC88E5E" w14:textId="0B0A8D09" w:rsidR="00994E1E" w:rsidRDefault="00994E1E">
      <w:pPr>
        <w:pStyle w:val="NormalWeb"/>
        <w:ind w:right="-334"/>
        <w:rPr>
          <w:rFonts w:ascii="Trebuchet MS" w:hAnsi="Trebuchet MS"/>
          <w:sz w:val="24"/>
          <w:szCs w:val="24"/>
        </w:rPr>
      </w:pPr>
    </w:p>
    <w:p w14:paraId="2ED1406D" w14:textId="2CA16B3E" w:rsidR="00994E1E" w:rsidRDefault="00994E1E">
      <w:pPr>
        <w:pStyle w:val="NormalWeb"/>
        <w:ind w:right="-334"/>
        <w:rPr>
          <w:rFonts w:ascii="Trebuchet MS" w:hAnsi="Trebuchet MS"/>
          <w:sz w:val="24"/>
          <w:szCs w:val="24"/>
        </w:rPr>
      </w:pPr>
    </w:p>
    <w:p w14:paraId="2987B1F2" w14:textId="77777777" w:rsidR="002C36BA" w:rsidRDefault="002C36BA" w:rsidP="0089059D">
      <w:pPr>
        <w:pStyle w:val="Heading1"/>
        <w:rPr>
          <w:sz w:val="28"/>
          <w:szCs w:val="28"/>
        </w:rPr>
      </w:pPr>
    </w:p>
    <w:p w14:paraId="19283D9B" w14:textId="77777777" w:rsidR="002C36BA" w:rsidRDefault="002C36BA" w:rsidP="0089059D">
      <w:pPr>
        <w:pStyle w:val="Heading1"/>
        <w:rPr>
          <w:sz w:val="28"/>
          <w:szCs w:val="28"/>
        </w:rPr>
      </w:pPr>
    </w:p>
    <w:p w14:paraId="46F55872" w14:textId="77777777" w:rsidR="002C36BA" w:rsidRDefault="002C36BA" w:rsidP="0089059D">
      <w:pPr>
        <w:pStyle w:val="Heading1"/>
        <w:rPr>
          <w:sz w:val="28"/>
          <w:szCs w:val="28"/>
        </w:rPr>
      </w:pPr>
    </w:p>
    <w:p w14:paraId="69FB9866" w14:textId="77777777" w:rsidR="002C36BA" w:rsidRDefault="002C36BA" w:rsidP="0089059D">
      <w:pPr>
        <w:pStyle w:val="Heading1"/>
        <w:rPr>
          <w:sz w:val="28"/>
          <w:szCs w:val="28"/>
        </w:rPr>
      </w:pPr>
    </w:p>
    <w:p w14:paraId="040F9D00" w14:textId="77777777" w:rsidR="002C36BA" w:rsidRDefault="002C36BA" w:rsidP="0089059D">
      <w:pPr>
        <w:pStyle w:val="Heading1"/>
        <w:rPr>
          <w:sz w:val="28"/>
          <w:szCs w:val="28"/>
        </w:rPr>
      </w:pPr>
    </w:p>
    <w:p w14:paraId="29180169" w14:textId="77777777" w:rsidR="002C36BA" w:rsidRDefault="002C36BA" w:rsidP="0089059D">
      <w:pPr>
        <w:pStyle w:val="Heading1"/>
        <w:rPr>
          <w:sz w:val="28"/>
          <w:szCs w:val="28"/>
        </w:rPr>
      </w:pPr>
    </w:p>
    <w:p w14:paraId="6CE9CEFE" w14:textId="77777777" w:rsidR="002C36BA" w:rsidRDefault="002C36BA" w:rsidP="0089059D">
      <w:pPr>
        <w:pStyle w:val="Heading1"/>
        <w:rPr>
          <w:sz w:val="28"/>
          <w:szCs w:val="28"/>
        </w:rPr>
      </w:pPr>
    </w:p>
    <w:p w14:paraId="3E5AC4B7" w14:textId="18FAE9D8" w:rsidR="007E1E97" w:rsidRDefault="007E1E97" w:rsidP="0089059D">
      <w:pPr>
        <w:pStyle w:val="Heading1"/>
        <w:rPr>
          <w:sz w:val="28"/>
          <w:szCs w:val="28"/>
        </w:rPr>
      </w:pPr>
      <w:r w:rsidRPr="007E1E97">
        <w:rPr>
          <w:sz w:val="28"/>
          <w:szCs w:val="28"/>
        </w:rPr>
        <w:lastRenderedPageBreak/>
        <w:t>Does the orientation of St Guthlac’s church, Passenham have a religious significance?</w:t>
      </w:r>
    </w:p>
    <w:p w14:paraId="5083629E" w14:textId="4C1E3818" w:rsidR="00994E1E" w:rsidRDefault="00994E1E" w:rsidP="0089059D">
      <w:pPr>
        <w:pStyle w:val="Heading1"/>
        <w:rPr>
          <w:sz w:val="28"/>
          <w:szCs w:val="28"/>
        </w:rPr>
      </w:pPr>
      <w:r w:rsidRPr="00994E1E">
        <w:rPr>
          <w:sz w:val="28"/>
          <w:szCs w:val="28"/>
        </w:rPr>
        <w:t>Introduction</w:t>
      </w:r>
    </w:p>
    <w:p w14:paraId="72972EE8" w14:textId="4DF082F7" w:rsidR="0089059D" w:rsidRDefault="00143952" w:rsidP="00F07E5C">
      <w:pPr>
        <w:spacing w:after="0" w:line="240" w:lineRule="auto"/>
        <w:rPr>
          <w:rFonts w:ascii="Arial" w:hAnsi="Arial" w:cs="Arial"/>
          <w:sz w:val="22"/>
          <w:szCs w:val="22"/>
        </w:rPr>
      </w:pPr>
      <w:r>
        <w:rPr>
          <w:rFonts w:ascii="Arial" w:hAnsi="Arial" w:cs="Arial"/>
          <w:sz w:val="22"/>
          <w:szCs w:val="22"/>
        </w:rPr>
        <w:t xml:space="preserve">This essay will explore whether the orientation of St. Guthlac’s church in Passenham has a religious significance. </w:t>
      </w:r>
      <w:r w:rsidR="0089059D">
        <w:rPr>
          <w:rFonts w:ascii="Arial" w:hAnsi="Arial" w:cs="Arial"/>
          <w:sz w:val="22"/>
          <w:szCs w:val="22"/>
        </w:rPr>
        <w:t>St.</w:t>
      </w:r>
      <w:r w:rsidR="00693D42">
        <w:rPr>
          <w:rFonts w:ascii="Arial" w:hAnsi="Arial" w:cs="Arial"/>
          <w:sz w:val="22"/>
          <w:szCs w:val="22"/>
        </w:rPr>
        <w:t xml:space="preserve"> Guthlac’s church is located </w:t>
      </w:r>
      <w:r w:rsidR="00F07E5C">
        <w:rPr>
          <w:rFonts w:ascii="Arial" w:hAnsi="Arial" w:cs="Arial"/>
          <w:sz w:val="22"/>
          <w:szCs w:val="22"/>
        </w:rPr>
        <w:t>beside</w:t>
      </w:r>
      <w:r w:rsidR="00693D42">
        <w:rPr>
          <w:rFonts w:ascii="Arial" w:hAnsi="Arial" w:cs="Arial"/>
          <w:sz w:val="22"/>
          <w:szCs w:val="22"/>
        </w:rPr>
        <w:t xml:space="preserve"> </w:t>
      </w:r>
      <w:r w:rsidR="00F07E5C">
        <w:rPr>
          <w:rFonts w:ascii="Arial" w:hAnsi="Arial" w:cs="Arial"/>
          <w:sz w:val="22"/>
          <w:szCs w:val="22"/>
        </w:rPr>
        <w:t>a water meadow of</w:t>
      </w:r>
      <w:r w:rsidR="00693D42">
        <w:rPr>
          <w:rFonts w:ascii="Arial" w:hAnsi="Arial" w:cs="Arial"/>
          <w:sz w:val="22"/>
          <w:szCs w:val="22"/>
        </w:rPr>
        <w:t xml:space="preserve"> </w:t>
      </w:r>
      <w:r w:rsidR="00F07E5C">
        <w:rPr>
          <w:rFonts w:ascii="Arial" w:hAnsi="Arial" w:cs="Arial"/>
          <w:sz w:val="22"/>
          <w:szCs w:val="22"/>
        </w:rPr>
        <w:t xml:space="preserve">the </w:t>
      </w:r>
      <w:r w:rsidR="00693D42">
        <w:rPr>
          <w:rFonts w:ascii="Arial" w:hAnsi="Arial" w:cs="Arial"/>
          <w:sz w:val="22"/>
          <w:szCs w:val="22"/>
        </w:rPr>
        <w:t>River Great Ouse in the Northamptonshire hamlet of Passenham, near to the border with Buckinghamshire</w:t>
      </w:r>
      <w:r w:rsidR="00F07E5C">
        <w:rPr>
          <w:rFonts w:ascii="Arial" w:hAnsi="Arial" w:cs="Arial"/>
          <w:sz w:val="22"/>
          <w:szCs w:val="22"/>
        </w:rPr>
        <w:t xml:space="preserve"> and not far from Watling Street (</w:t>
      </w:r>
      <w:r w:rsidR="00824485">
        <w:rPr>
          <w:rFonts w:ascii="Arial" w:hAnsi="Arial" w:cs="Arial"/>
          <w:sz w:val="22"/>
          <w:szCs w:val="22"/>
        </w:rPr>
        <w:t xml:space="preserve">the </w:t>
      </w:r>
      <w:r w:rsidR="00F07E5C">
        <w:rPr>
          <w:rFonts w:ascii="Arial" w:hAnsi="Arial" w:cs="Arial"/>
          <w:sz w:val="22"/>
          <w:szCs w:val="22"/>
        </w:rPr>
        <w:t>A5</w:t>
      </w:r>
      <w:r w:rsidR="00824485">
        <w:rPr>
          <w:rFonts w:ascii="Arial" w:hAnsi="Arial" w:cs="Arial"/>
          <w:sz w:val="22"/>
          <w:szCs w:val="22"/>
        </w:rPr>
        <w:t xml:space="preserve"> road</w:t>
      </w:r>
      <w:r w:rsidR="00F07E5C">
        <w:rPr>
          <w:rFonts w:ascii="Arial" w:hAnsi="Arial" w:cs="Arial"/>
          <w:sz w:val="22"/>
          <w:szCs w:val="22"/>
        </w:rPr>
        <w:t>)</w:t>
      </w:r>
      <w:r w:rsidR="005F58B7">
        <w:rPr>
          <w:rFonts w:ascii="Arial" w:hAnsi="Arial" w:cs="Arial"/>
          <w:sz w:val="22"/>
          <w:szCs w:val="22"/>
        </w:rPr>
        <w:t>. In the ninth century</w:t>
      </w:r>
      <w:r w:rsidR="0018283E">
        <w:rPr>
          <w:rFonts w:ascii="Arial" w:hAnsi="Arial" w:cs="Arial"/>
          <w:sz w:val="22"/>
          <w:szCs w:val="22"/>
        </w:rPr>
        <w:t>,</w:t>
      </w:r>
      <w:r w:rsidR="005F58B7">
        <w:rPr>
          <w:rFonts w:ascii="Arial" w:hAnsi="Arial" w:cs="Arial"/>
          <w:sz w:val="22"/>
          <w:szCs w:val="22"/>
        </w:rPr>
        <w:t xml:space="preserve"> the area of Northamptonshire </w:t>
      </w:r>
      <w:r w:rsidR="0018283E">
        <w:rPr>
          <w:rFonts w:ascii="Arial" w:hAnsi="Arial" w:cs="Arial"/>
          <w:sz w:val="22"/>
          <w:szCs w:val="22"/>
        </w:rPr>
        <w:t xml:space="preserve">to the </w:t>
      </w:r>
      <w:r w:rsidR="005F58B7">
        <w:rPr>
          <w:rFonts w:ascii="Arial" w:hAnsi="Arial" w:cs="Arial"/>
          <w:sz w:val="22"/>
          <w:szCs w:val="22"/>
        </w:rPr>
        <w:t xml:space="preserve">north and east of Watling Street was conquered by the Danes, who incorporated it into their </w:t>
      </w:r>
      <w:r w:rsidR="0018283E">
        <w:rPr>
          <w:rFonts w:ascii="Arial" w:hAnsi="Arial" w:cs="Arial"/>
          <w:sz w:val="22"/>
          <w:szCs w:val="22"/>
        </w:rPr>
        <w:t xml:space="preserve">nation known as </w:t>
      </w:r>
      <w:r w:rsidR="005F58B7">
        <w:rPr>
          <w:rFonts w:ascii="Arial" w:hAnsi="Arial" w:cs="Arial"/>
          <w:sz w:val="22"/>
          <w:szCs w:val="22"/>
        </w:rPr>
        <w:t>Danelaw</w:t>
      </w:r>
      <w:r w:rsidR="00F07E5C">
        <w:rPr>
          <w:rFonts w:ascii="Arial" w:hAnsi="Arial" w:cs="Arial"/>
          <w:sz w:val="22"/>
          <w:szCs w:val="22"/>
        </w:rPr>
        <w:t>.</w:t>
      </w:r>
      <w:r w:rsidR="005F58B7">
        <w:rPr>
          <w:rStyle w:val="FootnoteReference"/>
          <w:rFonts w:ascii="Arial" w:hAnsi="Arial" w:cs="Arial"/>
          <w:sz w:val="22"/>
          <w:szCs w:val="22"/>
        </w:rPr>
        <w:footnoteReference w:id="1"/>
      </w:r>
      <w:r w:rsidR="00F07E5C">
        <w:rPr>
          <w:rFonts w:ascii="Arial" w:hAnsi="Arial" w:cs="Arial"/>
          <w:sz w:val="22"/>
          <w:szCs w:val="22"/>
        </w:rPr>
        <w:t xml:space="preserve"> </w:t>
      </w:r>
      <w:r w:rsidR="00693D42">
        <w:rPr>
          <w:rFonts w:ascii="Arial" w:hAnsi="Arial" w:cs="Arial"/>
          <w:sz w:val="22"/>
          <w:szCs w:val="22"/>
        </w:rPr>
        <w:t>The current building has a thirteenth century nave</w:t>
      </w:r>
      <w:r w:rsidR="00693D42">
        <w:rPr>
          <w:rStyle w:val="FootnoteReference"/>
          <w:rFonts w:ascii="Arial" w:hAnsi="Arial" w:cs="Arial"/>
          <w:sz w:val="22"/>
          <w:szCs w:val="22"/>
        </w:rPr>
        <w:footnoteReference w:id="2"/>
      </w:r>
      <w:r w:rsidR="00693D42">
        <w:rPr>
          <w:rFonts w:ascii="Arial" w:hAnsi="Arial" w:cs="Arial"/>
          <w:sz w:val="22"/>
          <w:szCs w:val="22"/>
        </w:rPr>
        <w:t xml:space="preserve"> and the base of its western church tower dates to the fourteenth century.</w:t>
      </w:r>
      <w:r w:rsidR="00693D42">
        <w:rPr>
          <w:rStyle w:val="FootnoteReference"/>
          <w:rFonts w:ascii="Arial" w:hAnsi="Arial" w:cs="Arial"/>
          <w:sz w:val="22"/>
          <w:szCs w:val="22"/>
        </w:rPr>
        <w:footnoteReference w:id="3"/>
      </w:r>
      <w:r w:rsidR="00693D42">
        <w:rPr>
          <w:rFonts w:ascii="Arial" w:hAnsi="Arial" w:cs="Arial"/>
          <w:sz w:val="22"/>
          <w:szCs w:val="22"/>
        </w:rPr>
        <w:t xml:space="preserve"> </w:t>
      </w:r>
    </w:p>
    <w:p w14:paraId="1146B7E2" w14:textId="6165680C" w:rsidR="00F07E5C" w:rsidRDefault="00F07E5C" w:rsidP="00F07E5C">
      <w:pPr>
        <w:spacing w:after="0" w:line="240" w:lineRule="auto"/>
        <w:contextualSpacing/>
        <w:rPr>
          <w:rFonts w:ascii="Arial" w:hAnsi="Arial" w:cs="Arial"/>
          <w:sz w:val="22"/>
          <w:szCs w:val="22"/>
        </w:rPr>
      </w:pPr>
      <w:r>
        <w:rPr>
          <w:rFonts w:ascii="Arial" w:hAnsi="Arial" w:cs="Arial"/>
          <w:sz w:val="22"/>
          <w:szCs w:val="22"/>
        </w:rPr>
        <w:tab/>
        <w:t>There is</w:t>
      </w:r>
      <w:r w:rsidR="0083394A">
        <w:rPr>
          <w:rFonts w:ascii="Arial" w:hAnsi="Arial" w:cs="Arial"/>
          <w:sz w:val="22"/>
          <w:szCs w:val="22"/>
        </w:rPr>
        <w:t>, however,</w:t>
      </w:r>
      <w:r>
        <w:rPr>
          <w:rFonts w:ascii="Arial" w:hAnsi="Arial" w:cs="Arial"/>
          <w:sz w:val="22"/>
          <w:szCs w:val="22"/>
        </w:rPr>
        <w:t xml:space="preserve"> evidence that the site </w:t>
      </w:r>
      <w:r w:rsidR="0083394A">
        <w:rPr>
          <w:rFonts w:ascii="Arial" w:hAnsi="Arial" w:cs="Arial"/>
          <w:sz w:val="22"/>
          <w:szCs w:val="22"/>
        </w:rPr>
        <w:t>h</w:t>
      </w:r>
      <w:r>
        <w:rPr>
          <w:rFonts w:ascii="Arial" w:hAnsi="Arial" w:cs="Arial"/>
          <w:sz w:val="22"/>
          <w:szCs w:val="22"/>
        </w:rPr>
        <w:t>as</w:t>
      </w:r>
      <w:r w:rsidR="0083394A">
        <w:rPr>
          <w:rFonts w:ascii="Arial" w:hAnsi="Arial" w:cs="Arial"/>
          <w:sz w:val="22"/>
          <w:szCs w:val="22"/>
        </w:rPr>
        <w:t xml:space="preserve"> been used as</w:t>
      </w:r>
      <w:r>
        <w:rPr>
          <w:rFonts w:ascii="Arial" w:hAnsi="Arial" w:cs="Arial"/>
          <w:sz w:val="22"/>
          <w:szCs w:val="22"/>
        </w:rPr>
        <w:t xml:space="preserve"> a location for a church </w:t>
      </w:r>
      <w:r w:rsidR="0083394A">
        <w:rPr>
          <w:rFonts w:ascii="Arial" w:hAnsi="Arial" w:cs="Arial"/>
          <w:sz w:val="22"/>
          <w:szCs w:val="22"/>
        </w:rPr>
        <w:t>for</w:t>
      </w:r>
      <w:r>
        <w:rPr>
          <w:rFonts w:ascii="Arial" w:hAnsi="Arial" w:cs="Arial"/>
          <w:sz w:val="22"/>
          <w:szCs w:val="22"/>
        </w:rPr>
        <w:t xml:space="preserve"> much </w:t>
      </w:r>
      <w:r w:rsidR="0083394A">
        <w:rPr>
          <w:rFonts w:ascii="Arial" w:hAnsi="Arial" w:cs="Arial"/>
          <w:sz w:val="22"/>
          <w:szCs w:val="22"/>
        </w:rPr>
        <w:t>longer. The earliest recorded mention of Passenham itself is from the Winchester Manuscript of The Anglo-Saxon Chronicles, where under the entry for 921, it is recorded that King Edward the Elder and his West Saxon army camped there:</w:t>
      </w:r>
    </w:p>
    <w:p w14:paraId="73CA468F" w14:textId="3201D196" w:rsidR="0083394A" w:rsidRDefault="0083394A" w:rsidP="00F07E5C">
      <w:pPr>
        <w:spacing w:after="0" w:line="240" w:lineRule="auto"/>
        <w:contextualSpacing/>
        <w:rPr>
          <w:rFonts w:ascii="Arial" w:hAnsi="Arial" w:cs="Arial"/>
          <w:sz w:val="22"/>
          <w:szCs w:val="22"/>
        </w:rPr>
      </w:pPr>
    </w:p>
    <w:p w14:paraId="0AD2483A" w14:textId="4E875256" w:rsidR="0083394A" w:rsidRPr="0083394A" w:rsidRDefault="0083394A" w:rsidP="0083394A">
      <w:pPr>
        <w:spacing w:after="0" w:line="240" w:lineRule="auto"/>
        <w:ind w:left="1134" w:right="1134"/>
        <w:contextualSpacing/>
        <w:jc w:val="both"/>
        <w:rPr>
          <w:rFonts w:ascii="Arial" w:hAnsi="Arial" w:cs="Arial"/>
          <w:sz w:val="20"/>
          <w:szCs w:val="20"/>
        </w:rPr>
      </w:pPr>
      <w:r>
        <w:rPr>
          <w:rFonts w:ascii="Arial" w:hAnsi="Arial" w:cs="Arial"/>
          <w:sz w:val="20"/>
          <w:szCs w:val="20"/>
        </w:rPr>
        <w:t>Then very quickly after this the same harvest-time, King Edward went with a West Saxon army to Passenham, and stayed there while they made the stronghold at Towcester with a stone wall.</w:t>
      </w:r>
      <w:r>
        <w:rPr>
          <w:rStyle w:val="FootnoteReference"/>
          <w:rFonts w:ascii="Arial" w:hAnsi="Arial" w:cs="Arial"/>
          <w:sz w:val="20"/>
          <w:szCs w:val="20"/>
        </w:rPr>
        <w:footnoteReference w:id="4"/>
      </w:r>
    </w:p>
    <w:p w14:paraId="2BF1B3A0" w14:textId="5DEA21BA" w:rsidR="0083394A" w:rsidRDefault="0083394A" w:rsidP="00F07E5C">
      <w:pPr>
        <w:spacing w:after="0" w:line="240" w:lineRule="auto"/>
        <w:contextualSpacing/>
        <w:rPr>
          <w:rFonts w:ascii="Arial" w:hAnsi="Arial" w:cs="Arial"/>
          <w:sz w:val="22"/>
          <w:szCs w:val="22"/>
        </w:rPr>
      </w:pPr>
    </w:p>
    <w:p w14:paraId="7A1CC145" w14:textId="3E12D500" w:rsidR="00392FF4" w:rsidRPr="0089059D" w:rsidRDefault="00A52D51" w:rsidP="00F07E5C">
      <w:pPr>
        <w:spacing w:after="0" w:line="240" w:lineRule="auto"/>
        <w:contextualSpacing/>
        <w:rPr>
          <w:rFonts w:ascii="Arial" w:hAnsi="Arial" w:cs="Arial"/>
          <w:sz w:val="22"/>
          <w:szCs w:val="22"/>
        </w:rPr>
      </w:pPr>
      <w:r>
        <w:rPr>
          <w:rFonts w:ascii="Arial" w:hAnsi="Arial" w:cs="Arial"/>
          <w:sz w:val="22"/>
          <w:szCs w:val="22"/>
        </w:rPr>
        <w:t xml:space="preserve">The stronghold at Towcester needed reinforcements </w:t>
      </w:r>
      <w:r w:rsidR="00EF48A9">
        <w:rPr>
          <w:rFonts w:ascii="Arial" w:hAnsi="Arial" w:cs="Arial"/>
          <w:sz w:val="22"/>
          <w:szCs w:val="22"/>
        </w:rPr>
        <w:t>after</w:t>
      </w:r>
      <w:r>
        <w:rPr>
          <w:rFonts w:ascii="Arial" w:hAnsi="Arial" w:cs="Arial"/>
          <w:sz w:val="22"/>
          <w:szCs w:val="22"/>
        </w:rPr>
        <w:t xml:space="preserve"> the </w:t>
      </w:r>
      <w:r w:rsidR="00824485">
        <w:rPr>
          <w:rFonts w:ascii="Arial" w:hAnsi="Arial" w:cs="Arial"/>
          <w:sz w:val="22"/>
          <w:szCs w:val="22"/>
        </w:rPr>
        <w:t>V</w:t>
      </w:r>
      <w:r>
        <w:rPr>
          <w:rFonts w:ascii="Arial" w:hAnsi="Arial" w:cs="Arial"/>
          <w:sz w:val="22"/>
          <w:szCs w:val="22"/>
        </w:rPr>
        <w:t xml:space="preserve">ikings </w:t>
      </w:r>
      <w:r w:rsidR="00824485">
        <w:rPr>
          <w:rFonts w:ascii="Arial" w:hAnsi="Arial" w:cs="Arial"/>
          <w:sz w:val="22"/>
          <w:szCs w:val="22"/>
        </w:rPr>
        <w:t xml:space="preserve">who were </w:t>
      </w:r>
      <w:r>
        <w:rPr>
          <w:rFonts w:ascii="Arial" w:hAnsi="Arial" w:cs="Arial"/>
          <w:sz w:val="22"/>
          <w:szCs w:val="22"/>
        </w:rPr>
        <w:t>resident in Danelaw had broken the previous peace and attacked the town the pre</w:t>
      </w:r>
      <w:r w:rsidR="00824485">
        <w:rPr>
          <w:rFonts w:ascii="Arial" w:hAnsi="Arial" w:cs="Arial"/>
          <w:sz w:val="22"/>
          <w:szCs w:val="22"/>
        </w:rPr>
        <w:t>ceding</w:t>
      </w:r>
      <w:r>
        <w:rPr>
          <w:rFonts w:ascii="Arial" w:hAnsi="Arial" w:cs="Arial"/>
          <w:sz w:val="22"/>
          <w:szCs w:val="22"/>
        </w:rPr>
        <w:t xml:space="preserve"> summer.</w:t>
      </w:r>
      <w:r>
        <w:rPr>
          <w:rStyle w:val="FootnoteReference"/>
          <w:rFonts w:ascii="Arial" w:hAnsi="Arial" w:cs="Arial"/>
          <w:sz w:val="22"/>
          <w:szCs w:val="22"/>
        </w:rPr>
        <w:footnoteReference w:id="5"/>
      </w:r>
      <w:r>
        <w:rPr>
          <w:rFonts w:ascii="Arial" w:hAnsi="Arial" w:cs="Arial"/>
          <w:sz w:val="22"/>
          <w:szCs w:val="22"/>
        </w:rPr>
        <w:t xml:space="preserve"> </w:t>
      </w:r>
      <w:r w:rsidR="004D6C4A">
        <w:rPr>
          <w:rFonts w:ascii="Arial" w:hAnsi="Arial" w:cs="Arial"/>
          <w:sz w:val="22"/>
          <w:szCs w:val="22"/>
        </w:rPr>
        <w:t>The decision to select Passenham is thought by some scholars to suggest that it was a royal estate and that it is possible that St. Guthlac’s church was founded at this time.</w:t>
      </w:r>
      <w:r w:rsidR="004D6C4A">
        <w:rPr>
          <w:rStyle w:val="FootnoteReference"/>
          <w:rFonts w:ascii="Arial" w:hAnsi="Arial" w:cs="Arial"/>
          <w:sz w:val="22"/>
          <w:szCs w:val="22"/>
        </w:rPr>
        <w:footnoteReference w:id="6"/>
      </w:r>
      <w:r w:rsidR="004D6C4A">
        <w:rPr>
          <w:rFonts w:ascii="Arial" w:hAnsi="Arial" w:cs="Arial"/>
          <w:sz w:val="22"/>
          <w:szCs w:val="22"/>
        </w:rPr>
        <w:t xml:space="preserve"> </w:t>
      </w:r>
      <w:r w:rsidR="007E1E97">
        <w:rPr>
          <w:rFonts w:ascii="Arial" w:hAnsi="Arial" w:cs="Arial"/>
          <w:sz w:val="22"/>
          <w:szCs w:val="22"/>
        </w:rPr>
        <w:t>Certainly by the time of Domesday book, in 1086, i</w:t>
      </w:r>
      <w:r w:rsidR="00D12B32">
        <w:rPr>
          <w:rFonts w:ascii="Arial" w:hAnsi="Arial" w:cs="Arial"/>
          <w:sz w:val="22"/>
          <w:szCs w:val="22"/>
        </w:rPr>
        <w:t>t was recorded as being a royal manor.</w:t>
      </w:r>
      <w:r w:rsidR="00D12B32">
        <w:rPr>
          <w:rStyle w:val="FootnoteReference"/>
          <w:rFonts w:ascii="Arial" w:hAnsi="Arial" w:cs="Arial"/>
          <w:sz w:val="22"/>
          <w:szCs w:val="22"/>
        </w:rPr>
        <w:footnoteReference w:id="7"/>
      </w:r>
      <w:r w:rsidR="00D12B32">
        <w:rPr>
          <w:rFonts w:ascii="Arial" w:hAnsi="Arial" w:cs="Arial"/>
          <w:sz w:val="22"/>
          <w:szCs w:val="22"/>
        </w:rPr>
        <w:t xml:space="preserve"> </w:t>
      </w:r>
      <w:r w:rsidR="00EF71C4">
        <w:rPr>
          <w:rFonts w:ascii="Arial" w:hAnsi="Arial" w:cs="Arial"/>
          <w:sz w:val="22"/>
          <w:szCs w:val="22"/>
        </w:rPr>
        <w:t>With respect to the church itself, a document held in the Northamptonshire Archives reports that Passenham church had been one of the minsters held by Edward the Confessor’s chancellor</w:t>
      </w:r>
      <w:r w:rsidR="00D12B32">
        <w:rPr>
          <w:rFonts w:ascii="Arial" w:hAnsi="Arial" w:cs="Arial"/>
          <w:sz w:val="22"/>
          <w:szCs w:val="22"/>
        </w:rPr>
        <w:t>,</w:t>
      </w:r>
      <w:r w:rsidR="00EF71C4">
        <w:rPr>
          <w:rFonts w:ascii="Arial" w:hAnsi="Arial" w:cs="Arial"/>
          <w:sz w:val="22"/>
          <w:szCs w:val="22"/>
        </w:rPr>
        <w:t xml:space="preserve"> Regenbald</w:t>
      </w:r>
      <w:r w:rsidR="00D12B32">
        <w:rPr>
          <w:rFonts w:ascii="Arial" w:hAnsi="Arial" w:cs="Arial"/>
          <w:sz w:val="22"/>
          <w:szCs w:val="22"/>
        </w:rPr>
        <w:t>,</w:t>
      </w:r>
      <w:r w:rsidR="00EF71C4">
        <w:rPr>
          <w:rFonts w:ascii="Arial" w:hAnsi="Arial" w:cs="Arial"/>
          <w:sz w:val="22"/>
          <w:szCs w:val="22"/>
        </w:rPr>
        <w:t xml:space="preserve"> and had formed part of the foundation endowment of Cirencester Abbey in 1133.</w:t>
      </w:r>
      <w:r w:rsidR="00EF71C4">
        <w:rPr>
          <w:rStyle w:val="FootnoteReference"/>
          <w:rFonts w:ascii="Arial" w:hAnsi="Arial" w:cs="Arial"/>
          <w:sz w:val="22"/>
          <w:szCs w:val="22"/>
        </w:rPr>
        <w:footnoteReference w:id="8"/>
      </w:r>
      <w:r w:rsidR="00EF71C4">
        <w:rPr>
          <w:rFonts w:ascii="Arial" w:hAnsi="Arial" w:cs="Arial"/>
          <w:sz w:val="22"/>
          <w:szCs w:val="22"/>
        </w:rPr>
        <w:t xml:space="preserve"> </w:t>
      </w:r>
    </w:p>
    <w:p w14:paraId="6C967F36" w14:textId="5A8AFAA1" w:rsidR="00032BC1" w:rsidRDefault="0089059D" w:rsidP="00032BC1">
      <w:pPr>
        <w:pStyle w:val="Heading1"/>
        <w:rPr>
          <w:sz w:val="28"/>
          <w:szCs w:val="28"/>
        </w:rPr>
      </w:pPr>
      <w:r>
        <w:rPr>
          <w:sz w:val="28"/>
          <w:szCs w:val="28"/>
        </w:rPr>
        <w:t>Literature Review</w:t>
      </w:r>
    </w:p>
    <w:p w14:paraId="1E9881BB" w14:textId="5DB5E8DC" w:rsidR="00647299" w:rsidRDefault="00C16736" w:rsidP="007E1E97">
      <w:pPr>
        <w:spacing w:after="0" w:line="240" w:lineRule="auto"/>
        <w:contextualSpacing/>
        <w:rPr>
          <w:rFonts w:ascii="Arial" w:hAnsi="Arial" w:cs="Arial"/>
          <w:sz w:val="22"/>
          <w:szCs w:val="22"/>
        </w:rPr>
      </w:pPr>
      <w:r>
        <w:rPr>
          <w:rFonts w:ascii="Arial" w:hAnsi="Arial" w:cs="Arial"/>
          <w:sz w:val="22"/>
          <w:szCs w:val="22"/>
        </w:rPr>
        <w:t>It must be borne in mind that, as Clive Ruggles asserts, a</w:t>
      </w:r>
      <w:r w:rsidR="00647299">
        <w:rPr>
          <w:rFonts w:ascii="Arial" w:hAnsi="Arial" w:cs="Arial"/>
          <w:sz w:val="22"/>
          <w:szCs w:val="22"/>
        </w:rPr>
        <w:t xml:space="preserve"> building </w:t>
      </w:r>
      <w:r>
        <w:rPr>
          <w:rFonts w:ascii="Arial" w:hAnsi="Arial" w:cs="Arial"/>
          <w:sz w:val="22"/>
          <w:szCs w:val="22"/>
        </w:rPr>
        <w:t>may have been</w:t>
      </w:r>
      <w:r w:rsidR="00647299">
        <w:rPr>
          <w:rFonts w:ascii="Arial" w:hAnsi="Arial" w:cs="Arial"/>
          <w:sz w:val="22"/>
          <w:szCs w:val="22"/>
        </w:rPr>
        <w:t xml:space="preserve"> oriented in a particular direction for any number of reasons and the existence of an </w:t>
      </w:r>
      <w:r>
        <w:rPr>
          <w:rFonts w:ascii="Arial" w:hAnsi="Arial" w:cs="Arial"/>
          <w:sz w:val="22"/>
          <w:szCs w:val="22"/>
        </w:rPr>
        <w:t>alignment</w:t>
      </w:r>
      <w:r w:rsidR="00647299">
        <w:rPr>
          <w:rFonts w:ascii="Arial" w:hAnsi="Arial" w:cs="Arial"/>
          <w:sz w:val="22"/>
          <w:szCs w:val="22"/>
        </w:rPr>
        <w:t xml:space="preserve"> to a particular celestial body, in and of itself does not prove that that body was the intended target of the builders</w:t>
      </w:r>
      <w:r>
        <w:rPr>
          <w:rFonts w:ascii="Arial" w:hAnsi="Arial" w:cs="Arial"/>
          <w:sz w:val="22"/>
          <w:szCs w:val="22"/>
        </w:rPr>
        <w:t>; the wider cultural context must also be considered</w:t>
      </w:r>
      <w:r w:rsidR="00647299">
        <w:rPr>
          <w:rFonts w:ascii="Arial" w:hAnsi="Arial" w:cs="Arial"/>
          <w:sz w:val="22"/>
          <w:szCs w:val="22"/>
        </w:rPr>
        <w:t>.</w:t>
      </w:r>
      <w:r>
        <w:rPr>
          <w:rStyle w:val="FootnoteReference"/>
          <w:rFonts w:ascii="Arial" w:hAnsi="Arial" w:cs="Arial"/>
          <w:sz w:val="22"/>
          <w:szCs w:val="22"/>
        </w:rPr>
        <w:footnoteReference w:id="9"/>
      </w:r>
      <w:r w:rsidR="00647299">
        <w:rPr>
          <w:rFonts w:ascii="Arial" w:hAnsi="Arial" w:cs="Arial"/>
          <w:sz w:val="22"/>
          <w:szCs w:val="22"/>
        </w:rPr>
        <w:t xml:space="preserve"> </w:t>
      </w:r>
    </w:p>
    <w:p w14:paraId="6A1C7F27" w14:textId="7F7BD207" w:rsidR="00162411" w:rsidRDefault="004F01CD" w:rsidP="007E1E97">
      <w:pPr>
        <w:spacing w:after="0" w:line="240" w:lineRule="auto"/>
        <w:contextualSpacing/>
        <w:rPr>
          <w:rFonts w:ascii="Arial" w:hAnsi="Arial" w:cs="Arial"/>
          <w:sz w:val="22"/>
          <w:szCs w:val="22"/>
        </w:rPr>
      </w:pPr>
      <w:r>
        <w:rPr>
          <w:rFonts w:ascii="Arial" w:hAnsi="Arial" w:cs="Arial"/>
          <w:sz w:val="22"/>
          <w:szCs w:val="22"/>
        </w:rPr>
        <w:lastRenderedPageBreak/>
        <w:tab/>
      </w:r>
      <w:r w:rsidR="00A929AB">
        <w:rPr>
          <w:rFonts w:ascii="Arial" w:hAnsi="Arial" w:cs="Arial"/>
          <w:sz w:val="22"/>
          <w:szCs w:val="22"/>
        </w:rPr>
        <w:t>Most churches face in a broadly easterly direction</w:t>
      </w:r>
      <w:r w:rsidR="00DF18DE">
        <w:rPr>
          <w:rFonts w:ascii="Arial" w:hAnsi="Arial" w:cs="Arial"/>
          <w:sz w:val="22"/>
          <w:szCs w:val="22"/>
        </w:rPr>
        <w:t xml:space="preserve"> towards the rising sun</w:t>
      </w:r>
      <w:r w:rsidR="00A929AB">
        <w:rPr>
          <w:rFonts w:ascii="Arial" w:hAnsi="Arial" w:cs="Arial"/>
          <w:sz w:val="22"/>
          <w:szCs w:val="22"/>
        </w:rPr>
        <w:t xml:space="preserve">, a fact Juan Antonio Belmonte ascribes to a </w:t>
      </w:r>
      <w:r w:rsidR="001D42CB">
        <w:rPr>
          <w:rFonts w:ascii="Arial" w:hAnsi="Arial" w:cs="Arial"/>
          <w:sz w:val="22"/>
          <w:szCs w:val="22"/>
        </w:rPr>
        <w:t>remnant</w:t>
      </w:r>
      <w:r w:rsidR="00A929AB">
        <w:rPr>
          <w:rFonts w:ascii="Arial" w:hAnsi="Arial" w:cs="Arial"/>
          <w:sz w:val="22"/>
          <w:szCs w:val="22"/>
        </w:rPr>
        <w:t xml:space="preserve"> of the solar cults </w:t>
      </w:r>
      <w:r w:rsidR="001D42CB">
        <w:rPr>
          <w:rFonts w:ascii="Arial" w:hAnsi="Arial" w:cs="Arial"/>
          <w:sz w:val="22"/>
          <w:szCs w:val="22"/>
        </w:rPr>
        <w:t xml:space="preserve">that were </w:t>
      </w:r>
      <w:r w:rsidR="00A929AB">
        <w:rPr>
          <w:rFonts w:ascii="Arial" w:hAnsi="Arial" w:cs="Arial"/>
          <w:sz w:val="22"/>
          <w:szCs w:val="22"/>
        </w:rPr>
        <w:t>popular around the world from Neolithic times</w:t>
      </w:r>
      <w:r w:rsidR="00162411">
        <w:rPr>
          <w:rFonts w:ascii="Arial" w:hAnsi="Arial" w:cs="Arial"/>
          <w:sz w:val="22"/>
          <w:szCs w:val="22"/>
        </w:rPr>
        <w:t>,</w:t>
      </w:r>
      <w:r w:rsidR="00A929AB">
        <w:rPr>
          <w:rStyle w:val="FootnoteReference"/>
          <w:rFonts w:ascii="Arial" w:hAnsi="Arial" w:cs="Arial"/>
          <w:sz w:val="22"/>
          <w:szCs w:val="22"/>
        </w:rPr>
        <w:footnoteReference w:id="10"/>
      </w:r>
      <w:r w:rsidR="00A929AB">
        <w:rPr>
          <w:rFonts w:ascii="Arial" w:hAnsi="Arial" w:cs="Arial"/>
          <w:sz w:val="22"/>
          <w:szCs w:val="22"/>
        </w:rPr>
        <w:t xml:space="preserve"> </w:t>
      </w:r>
      <w:r w:rsidR="00162411">
        <w:rPr>
          <w:rFonts w:ascii="Arial" w:hAnsi="Arial" w:cs="Arial"/>
          <w:sz w:val="22"/>
          <w:szCs w:val="22"/>
        </w:rPr>
        <w:t>while Stephen McClusky cites St. Augustine as an early populariser of the need to turn east to pray despite God’s omnipresence</w:t>
      </w:r>
      <w:r w:rsidR="00843007">
        <w:rPr>
          <w:rFonts w:ascii="Arial" w:hAnsi="Arial" w:cs="Arial"/>
          <w:sz w:val="22"/>
          <w:szCs w:val="22"/>
        </w:rPr>
        <w:t>.</w:t>
      </w:r>
      <w:r w:rsidR="00162411">
        <w:rPr>
          <w:rStyle w:val="FootnoteReference"/>
          <w:rFonts w:ascii="Arial" w:hAnsi="Arial" w:cs="Arial"/>
          <w:sz w:val="22"/>
          <w:szCs w:val="22"/>
        </w:rPr>
        <w:footnoteReference w:id="11"/>
      </w:r>
      <w:r w:rsidR="00162411">
        <w:rPr>
          <w:rFonts w:ascii="Arial" w:hAnsi="Arial" w:cs="Arial"/>
          <w:sz w:val="22"/>
          <w:szCs w:val="22"/>
        </w:rPr>
        <w:t xml:space="preserve"> </w:t>
      </w:r>
      <w:r w:rsidR="00843007">
        <w:rPr>
          <w:rFonts w:ascii="Arial" w:hAnsi="Arial" w:cs="Arial"/>
          <w:sz w:val="22"/>
          <w:szCs w:val="22"/>
        </w:rPr>
        <w:t>According to McClusky there is a ‘general agreement’ in the documentary evidence from Augustine through to the fourteenth-century William of St. Cloud that churches should be oriented to the equinoctial</w:t>
      </w:r>
      <w:r w:rsidR="00597182">
        <w:rPr>
          <w:rFonts w:ascii="Arial" w:hAnsi="Arial" w:cs="Arial"/>
          <w:sz w:val="22"/>
          <w:szCs w:val="22"/>
        </w:rPr>
        <w:t xml:space="preserve"> (that is, of the equinox)</w:t>
      </w:r>
      <w:r w:rsidR="004A45C4">
        <w:rPr>
          <w:rFonts w:ascii="Arial" w:hAnsi="Arial" w:cs="Arial"/>
          <w:sz w:val="22"/>
          <w:szCs w:val="22"/>
        </w:rPr>
        <w:t xml:space="preserve"> or true east.</w:t>
      </w:r>
      <w:r w:rsidR="004A45C4">
        <w:rPr>
          <w:rStyle w:val="FootnoteReference"/>
          <w:rFonts w:ascii="Arial" w:hAnsi="Arial" w:cs="Arial"/>
          <w:sz w:val="22"/>
          <w:szCs w:val="22"/>
        </w:rPr>
        <w:footnoteReference w:id="12"/>
      </w:r>
      <w:r w:rsidR="004A45C4">
        <w:rPr>
          <w:rFonts w:ascii="Arial" w:hAnsi="Arial" w:cs="Arial"/>
          <w:sz w:val="22"/>
          <w:szCs w:val="22"/>
        </w:rPr>
        <w:t xml:space="preserve"> </w:t>
      </w:r>
      <w:r w:rsidR="00DF5404">
        <w:rPr>
          <w:rFonts w:ascii="Arial" w:hAnsi="Arial" w:cs="Arial"/>
          <w:sz w:val="22"/>
          <w:szCs w:val="22"/>
        </w:rPr>
        <w:t>Why then, despite this apparent widespread agreement of the correct orientation, are churches not all oriented to due east.</w:t>
      </w:r>
    </w:p>
    <w:p w14:paraId="20BDD71F" w14:textId="35687192" w:rsidR="007E1E97" w:rsidRPr="007E1E97" w:rsidRDefault="00DF5404" w:rsidP="007E1E97">
      <w:pPr>
        <w:spacing w:after="0" w:line="240" w:lineRule="auto"/>
        <w:contextualSpacing/>
        <w:rPr>
          <w:rFonts w:ascii="Arial" w:hAnsi="Arial" w:cs="Arial"/>
          <w:sz w:val="22"/>
          <w:szCs w:val="22"/>
        </w:rPr>
      </w:pPr>
      <w:r>
        <w:rPr>
          <w:rFonts w:ascii="Arial" w:hAnsi="Arial" w:cs="Arial"/>
          <w:sz w:val="22"/>
          <w:szCs w:val="22"/>
        </w:rPr>
        <w:tab/>
        <w:t xml:space="preserve">McClusky reports that historically it was considered that these </w:t>
      </w:r>
      <w:r w:rsidR="00D96EE2">
        <w:rPr>
          <w:rFonts w:ascii="Arial" w:hAnsi="Arial" w:cs="Arial"/>
          <w:sz w:val="22"/>
          <w:szCs w:val="22"/>
        </w:rPr>
        <w:t>deviations from true east were due to either necessity, perhaps because the site forced a</w:t>
      </w:r>
      <w:r w:rsidR="00F92149">
        <w:rPr>
          <w:rFonts w:ascii="Arial" w:hAnsi="Arial" w:cs="Arial"/>
          <w:sz w:val="22"/>
          <w:szCs w:val="22"/>
        </w:rPr>
        <w:t xml:space="preserve"> particular</w:t>
      </w:r>
      <w:r w:rsidR="00D96EE2">
        <w:rPr>
          <w:rFonts w:ascii="Arial" w:hAnsi="Arial" w:cs="Arial"/>
          <w:sz w:val="22"/>
          <w:szCs w:val="22"/>
        </w:rPr>
        <w:t xml:space="preserve"> orientation or the builders lacked sufficient skill, or through choice.</w:t>
      </w:r>
      <w:r w:rsidR="00D96EE2">
        <w:rPr>
          <w:rStyle w:val="FootnoteReference"/>
          <w:rFonts w:ascii="Arial" w:hAnsi="Arial" w:cs="Arial"/>
          <w:sz w:val="22"/>
          <w:szCs w:val="22"/>
        </w:rPr>
        <w:footnoteReference w:id="13"/>
      </w:r>
      <w:r w:rsidR="00D96EE2">
        <w:rPr>
          <w:rFonts w:ascii="Arial" w:hAnsi="Arial" w:cs="Arial"/>
          <w:sz w:val="22"/>
          <w:szCs w:val="22"/>
        </w:rPr>
        <w:t xml:space="preserve"> T</w:t>
      </w:r>
      <w:r w:rsidR="00DF18DE">
        <w:rPr>
          <w:rFonts w:ascii="Arial" w:hAnsi="Arial" w:cs="Arial"/>
          <w:sz w:val="22"/>
          <w:szCs w:val="22"/>
        </w:rPr>
        <w:t xml:space="preserve">he sun </w:t>
      </w:r>
      <w:r w:rsidR="001D42CB">
        <w:rPr>
          <w:rFonts w:ascii="Arial" w:hAnsi="Arial" w:cs="Arial"/>
          <w:sz w:val="22"/>
          <w:szCs w:val="22"/>
        </w:rPr>
        <w:t xml:space="preserve">does not arise from a single point on the horizon every morning, but </w:t>
      </w:r>
      <w:r w:rsidR="00DF18DE">
        <w:rPr>
          <w:rFonts w:ascii="Arial" w:hAnsi="Arial" w:cs="Arial"/>
          <w:sz w:val="22"/>
          <w:szCs w:val="22"/>
        </w:rPr>
        <w:t>rise</w:t>
      </w:r>
      <w:r w:rsidR="001D42CB">
        <w:rPr>
          <w:rFonts w:ascii="Arial" w:hAnsi="Arial" w:cs="Arial"/>
          <w:sz w:val="22"/>
          <w:szCs w:val="22"/>
        </w:rPr>
        <w:t>s</w:t>
      </w:r>
      <w:r w:rsidR="00DF18DE">
        <w:rPr>
          <w:rFonts w:ascii="Arial" w:hAnsi="Arial" w:cs="Arial"/>
          <w:sz w:val="22"/>
          <w:szCs w:val="22"/>
        </w:rPr>
        <w:t xml:space="preserve"> at its most southernmost point at the winter solstice </w:t>
      </w:r>
      <w:r w:rsidR="001D42CB">
        <w:rPr>
          <w:rFonts w:ascii="Arial" w:hAnsi="Arial" w:cs="Arial"/>
          <w:sz w:val="22"/>
          <w:szCs w:val="22"/>
        </w:rPr>
        <w:t>(</w:t>
      </w:r>
      <w:r w:rsidR="00DF18DE">
        <w:rPr>
          <w:rFonts w:ascii="Arial" w:hAnsi="Arial" w:cs="Arial"/>
          <w:sz w:val="22"/>
          <w:szCs w:val="22"/>
        </w:rPr>
        <w:t xml:space="preserve">in December in the northern hemisphere) or at its most northernmost point at the summer solstice </w:t>
      </w:r>
      <w:r w:rsidR="001D42CB">
        <w:rPr>
          <w:rFonts w:ascii="Arial" w:hAnsi="Arial" w:cs="Arial"/>
          <w:sz w:val="22"/>
          <w:szCs w:val="22"/>
        </w:rPr>
        <w:t>(</w:t>
      </w:r>
      <w:r w:rsidR="00DF18DE">
        <w:rPr>
          <w:rFonts w:ascii="Arial" w:hAnsi="Arial" w:cs="Arial"/>
          <w:sz w:val="22"/>
          <w:szCs w:val="22"/>
        </w:rPr>
        <w:t>in June), or at any point in between</w:t>
      </w:r>
      <w:r w:rsidR="001D42CB">
        <w:rPr>
          <w:rFonts w:ascii="Arial" w:hAnsi="Arial" w:cs="Arial"/>
          <w:sz w:val="22"/>
          <w:szCs w:val="22"/>
        </w:rPr>
        <w:t xml:space="preserve"> the two.</w:t>
      </w:r>
      <w:r w:rsidR="00DF18DE">
        <w:rPr>
          <w:rStyle w:val="FootnoteReference"/>
          <w:rFonts w:ascii="Arial" w:hAnsi="Arial" w:cs="Arial"/>
          <w:sz w:val="22"/>
          <w:szCs w:val="22"/>
        </w:rPr>
        <w:footnoteReference w:id="14"/>
      </w:r>
      <w:r w:rsidR="00DF18DE">
        <w:rPr>
          <w:rFonts w:ascii="Arial" w:hAnsi="Arial" w:cs="Arial"/>
          <w:sz w:val="22"/>
          <w:szCs w:val="22"/>
        </w:rPr>
        <w:t xml:space="preserve"> </w:t>
      </w:r>
      <w:r w:rsidR="001D42CB">
        <w:rPr>
          <w:rFonts w:ascii="Arial" w:hAnsi="Arial" w:cs="Arial"/>
          <w:sz w:val="22"/>
          <w:szCs w:val="22"/>
        </w:rPr>
        <w:t>S</w:t>
      </w:r>
      <w:r w:rsidR="00A54C0E">
        <w:rPr>
          <w:rFonts w:ascii="Arial" w:hAnsi="Arial" w:cs="Arial"/>
          <w:sz w:val="22"/>
          <w:szCs w:val="22"/>
        </w:rPr>
        <w:t xml:space="preserve">tructures </w:t>
      </w:r>
      <w:r w:rsidR="001D42CB">
        <w:rPr>
          <w:rFonts w:ascii="Arial" w:hAnsi="Arial" w:cs="Arial"/>
          <w:sz w:val="22"/>
          <w:szCs w:val="22"/>
        </w:rPr>
        <w:t>oriented to the rising sun can therefore be aligned to a number of different directions</w:t>
      </w:r>
      <w:r w:rsidR="00566165">
        <w:rPr>
          <w:rFonts w:ascii="Arial" w:hAnsi="Arial" w:cs="Arial"/>
          <w:sz w:val="22"/>
          <w:szCs w:val="22"/>
        </w:rPr>
        <w:t xml:space="preserve"> associated with different days</w:t>
      </w:r>
      <w:r w:rsidR="001D42CB">
        <w:rPr>
          <w:rFonts w:ascii="Arial" w:hAnsi="Arial" w:cs="Arial"/>
          <w:sz w:val="22"/>
          <w:szCs w:val="22"/>
        </w:rPr>
        <w:t xml:space="preserve"> and </w:t>
      </w:r>
      <w:r w:rsidR="00A54C0E">
        <w:rPr>
          <w:rFonts w:ascii="Arial" w:hAnsi="Arial" w:cs="Arial"/>
          <w:sz w:val="22"/>
          <w:szCs w:val="22"/>
        </w:rPr>
        <w:t xml:space="preserve">can </w:t>
      </w:r>
      <w:r w:rsidR="00647F8D">
        <w:rPr>
          <w:rFonts w:ascii="Arial" w:hAnsi="Arial" w:cs="Arial"/>
          <w:sz w:val="22"/>
          <w:szCs w:val="22"/>
        </w:rPr>
        <w:t xml:space="preserve">also </w:t>
      </w:r>
      <w:r w:rsidR="00A54C0E">
        <w:rPr>
          <w:rFonts w:ascii="Arial" w:hAnsi="Arial" w:cs="Arial"/>
          <w:sz w:val="22"/>
          <w:szCs w:val="22"/>
        </w:rPr>
        <w:t>be aligned</w:t>
      </w:r>
      <w:r w:rsidR="00647F8D">
        <w:rPr>
          <w:rFonts w:ascii="Arial" w:hAnsi="Arial" w:cs="Arial"/>
          <w:sz w:val="22"/>
          <w:szCs w:val="22"/>
        </w:rPr>
        <w:t xml:space="preserve"> to point towards another building or a landscape feature</w:t>
      </w:r>
      <w:r w:rsidR="00DF18DE">
        <w:rPr>
          <w:rFonts w:ascii="Arial" w:hAnsi="Arial" w:cs="Arial"/>
          <w:sz w:val="22"/>
          <w:szCs w:val="22"/>
        </w:rPr>
        <w:t>.</w:t>
      </w:r>
      <w:r w:rsidR="00647F8D">
        <w:rPr>
          <w:rStyle w:val="FootnoteReference"/>
          <w:rFonts w:ascii="Arial" w:hAnsi="Arial" w:cs="Arial"/>
          <w:sz w:val="22"/>
          <w:szCs w:val="22"/>
        </w:rPr>
        <w:footnoteReference w:id="15"/>
      </w:r>
      <w:r w:rsidR="00ED4B26">
        <w:rPr>
          <w:rFonts w:ascii="Arial" w:hAnsi="Arial" w:cs="Arial"/>
          <w:sz w:val="22"/>
          <w:szCs w:val="22"/>
        </w:rPr>
        <w:t xml:space="preserve"> </w:t>
      </w:r>
      <w:r w:rsidR="00566165">
        <w:rPr>
          <w:rFonts w:ascii="Arial" w:hAnsi="Arial" w:cs="Arial"/>
          <w:sz w:val="22"/>
          <w:szCs w:val="22"/>
        </w:rPr>
        <w:t>One suggestion, popularised by Wordsworth, is that churches were oriented to the feast day of the church’s patron saint, which was earlier mentioned as a possibility by John Aubrey and Silas Taylor in the seventeenth century.</w:t>
      </w:r>
      <w:r w:rsidR="00566165">
        <w:rPr>
          <w:rStyle w:val="FootnoteReference"/>
          <w:rFonts w:ascii="Arial" w:hAnsi="Arial" w:cs="Arial"/>
          <w:sz w:val="22"/>
          <w:szCs w:val="22"/>
        </w:rPr>
        <w:footnoteReference w:id="16"/>
      </w:r>
      <w:r w:rsidR="00566165">
        <w:rPr>
          <w:rFonts w:ascii="Arial" w:hAnsi="Arial" w:cs="Arial"/>
          <w:sz w:val="22"/>
          <w:szCs w:val="22"/>
        </w:rPr>
        <w:t xml:space="preserve"> </w:t>
      </w:r>
      <w:r w:rsidR="00ED4B26">
        <w:rPr>
          <w:rFonts w:ascii="Arial" w:hAnsi="Arial" w:cs="Arial"/>
          <w:sz w:val="22"/>
          <w:szCs w:val="22"/>
        </w:rPr>
        <w:t>Bernadette Brady argues that fifth- and sixth-century churches in north Wales showing summer solstice sunrise orientations are evidence that early Christian missionaries repurposed Welsh Druidic sites while retaining their original orientation.</w:t>
      </w:r>
      <w:r w:rsidR="00ED4B26">
        <w:rPr>
          <w:rStyle w:val="FootnoteReference"/>
          <w:rFonts w:ascii="Arial" w:hAnsi="Arial" w:cs="Arial"/>
          <w:sz w:val="22"/>
          <w:szCs w:val="22"/>
        </w:rPr>
        <w:footnoteReference w:id="17"/>
      </w:r>
      <w:r w:rsidR="00ED4B26">
        <w:rPr>
          <w:rFonts w:ascii="Arial" w:hAnsi="Arial" w:cs="Arial"/>
          <w:sz w:val="22"/>
          <w:szCs w:val="22"/>
        </w:rPr>
        <w:t xml:space="preserve"> </w:t>
      </w:r>
      <w:r w:rsidR="00503108">
        <w:rPr>
          <w:rFonts w:ascii="Arial" w:hAnsi="Arial" w:cs="Arial"/>
          <w:sz w:val="22"/>
          <w:szCs w:val="22"/>
        </w:rPr>
        <w:t>Solstitial orientations are found outside Wales, with Chartres Cathedral having an alignment that maximises the light entering the building at both the summer and winter solstices.</w:t>
      </w:r>
      <w:r w:rsidR="00503108">
        <w:rPr>
          <w:rStyle w:val="FootnoteReference"/>
          <w:rFonts w:ascii="Arial" w:hAnsi="Arial" w:cs="Arial"/>
          <w:sz w:val="22"/>
          <w:szCs w:val="22"/>
        </w:rPr>
        <w:footnoteReference w:id="18"/>
      </w:r>
      <w:r w:rsidR="00503108">
        <w:rPr>
          <w:rFonts w:ascii="Arial" w:hAnsi="Arial" w:cs="Arial"/>
          <w:sz w:val="22"/>
          <w:szCs w:val="22"/>
        </w:rPr>
        <w:t xml:space="preserve"> </w:t>
      </w:r>
      <w:r w:rsidR="00B15C6A">
        <w:rPr>
          <w:rFonts w:ascii="Arial" w:hAnsi="Arial" w:cs="Arial"/>
          <w:sz w:val="22"/>
          <w:szCs w:val="22"/>
        </w:rPr>
        <w:t>Other research has suggested connections to Michaelmas in Cistercian churches</w:t>
      </w:r>
      <w:r w:rsidR="002A4A7B">
        <w:rPr>
          <w:rFonts w:ascii="Arial" w:hAnsi="Arial" w:cs="Arial"/>
          <w:sz w:val="22"/>
          <w:szCs w:val="22"/>
        </w:rPr>
        <w:t xml:space="preserve"> in Wales</w:t>
      </w:r>
      <w:r w:rsidR="00B15C6A">
        <w:rPr>
          <w:rStyle w:val="FootnoteReference"/>
          <w:rFonts w:ascii="Arial" w:hAnsi="Arial" w:cs="Arial"/>
          <w:sz w:val="22"/>
          <w:szCs w:val="22"/>
        </w:rPr>
        <w:footnoteReference w:id="19"/>
      </w:r>
      <w:r w:rsidR="002A4A7B">
        <w:rPr>
          <w:rFonts w:ascii="Arial" w:hAnsi="Arial" w:cs="Arial"/>
          <w:sz w:val="22"/>
          <w:szCs w:val="22"/>
        </w:rPr>
        <w:t xml:space="preserve"> and</w:t>
      </w:r>
      <w:r w:rsidR="00B15C6A" w:rsidRPr="002A4A7B">
        <w:rPr>
          <w:rFonts w:ascii="Arial" w:hAnsi="Arial" w:cs="Arial"/>
          <w:sz w:val="22"/>
          <w:szCs w:val="22"/>
        </w:rPr>
        <w:t xml:space="preserve"> </w:t>
      </w:r>
      <w:r w:rsidR="002A4A7B">
        <w:rPr>
          <w:rFonts w:ascii="Arial" w:hAnsi="Arial" w:cs="Arial"/>
          <w:sz w:val="22"/>
          <w:szCs w:val="22"/>
        </w:rPr>
        <w:t>the wider British Isles.</w:t>
      </w:r>
      <w:r w:rsidR="00B15C6A">
        <w:rPr>
          <w:rStyle w:val="FootnoteReference"/>
          <w:rFonts w:ascii="Arial" w:hAnsi="Arial" w:cs="Arial"/>
          <w:sz w:val="22"/>
          <w:szCs w:val="22"/>
        </w:rPr>
        <w:footnoteReference w:id="20"/>
      </w:r>
      <w:r w:rsidR="00B15C6A">
        <w:rPr>
          <w:rFonts w:ascii="Arial" w:hAnsi="Arial" w:cs="Arial"/>
          <w:sz w:val="22"/>
          <w:szCs w:val="22"/>
        </w:rPr>
        <w:t xml:space="preserve"> </w:t>
      </w:r>
      <w:r w:rsidR="002A4A7B">
        <w:rPr>
          <w:rFonts w:ascii="Arial" w:hAnsi="Arial" w:cs="Arial"/>
          <w:sz w:val="22"/>
          <w:szCs w:val="22"/>
        </w:rPr>
        <w:t>Some Welsh Cistercian churches were also found to have solar orientations indicative of a link to St. David’s day.</w:t>
      </w:r>
      <w:r w:rsidR="002A4A7B">
        <w:rPr>
          <w:rStyle w:val="FootnoteReference"/>
          <w:rFonts w:ascii="Arial" w:hAnsi="Arial" w:cs="Arial"/>
          <w:sz w:val="22"/>
          <w:szCs w:val="22"/>
        </w:rPr>
        <w:footnoteReference w:id="21"/>
      </w:r>
      <w:r w:rsidR="002A4A7B">
        <w:rPr>
          <w:rFonts w:ascii="Arial" w:hAnsi="Arial" w:cs="Arial"/>
          <w:sz w:val="22"/>
          <w:szCs w:val="22"/>
        </w:rPr>
        <w:t xml:space="preserve"> </w:t>
      </w:r>
      <w:r w:rsidR="00B15C6A">
        <w:rPr>
          <w:rFonts w:ascii="Arial" w:hAnsi="Arial" w:cs="Arial"/>
          <w:sz w:val="22"/>
          <w:szCs w:val="22"/>
        </w:rPr>
        <w:t>In summary, j</w:t>
      </w:r>
      <w:r w:rsidR="001F56DB">
        <w:rPr>
          <w:rFonts w:ascii="Arial" w:hAnsi="Arial" w:cs="Arial"/>
          <w:sz w:val="22"/>
          <w:szCs w:val="22"/>
        </w:rPr>
        <w:t xml:space="preserve">ust as there is not one single axis of orientation, </w:t>
      </w:r>
      <w:r w:rsidR="005E0B15">
        <w:rPr>
          <w:rFonts w:ascii="Arial" w:hAnsi="Arial" w:cs="Arial"/>
          <w:sz w:val="22"/>
          <w:szCs w:val="22"/>
        </w:rPr>
        <w:t xml:space="preserve">it appears that </w:t>
      </w:r>
      <w:r w:rsidR="001F56DB">
        <w:rPr>
          <w:rFonts w:ascii="Arial" w:hAnsi="Arial" w:cs="Arial"/>
          <w:sz w:val="22"/>
          <w:szCs w:val="22"/>
        </w:rPr>
        <w:t>there is no single explanation.</w:t>
      </w:r>
      <w:r w:rsidR="00503108">
        <w:rPr>
          <w:rFonts w:ascii="Arial" w:hAnsi="Arial" w:cs="Arial"/>
          <w:sz w:val="22"/>
          <w:szCs w:val="22"/>
        </w:rPr>
        <w:t xml:space="preserve"> </w:t>
      </w:r>
    </w:p>
    <w:p w14:paraId="24EECF82" w14:textId="1A87AB30" w:rsidR="00010185" w:rsidRDefault="0089059D" w:rsidP="00010185">
      <w:pPr>
        <w:pStyle w:val="Heading1"/>
        <w:rPr>
          <w:sz w:val="28"/>
          <w:szCs w:val="28"/>
        </w:rPr>
      </w:pPr>
      <w:r>
        <w:rPr>
          <w:sz w:val="28"/>
          <w:szCs w:val="28"/>
        </w:rPr>
        <w:t>Method</w:t>
      </w:r>
    </w:p>
    <w:p w14:paraId="61BF1CDD" w14:textId="464E4370" w:rsidR="001F56DB" w:rsidRDefault="001F56DB" w:rsidP="001F56DB">
      <w:pPr>
        <w:spacing w:after="0" w:line="240" w:lineRule="auto"/>
        <w:contextualSpacing/>
        <w:rPr>
          <w:rFonts w:ascii="Arial" w:hAnsi="Arial" w:cs="Arial"/>
          <w:sz w:val="22"/>
          <w:szCs w:val="22"/>
        </w:rPr>
      </w:pPr>
      <w:r w:rsidRPr="001F56DB">
        <w:rPr>
          <w:rFonts w:ascii="Arial" w:hAnsi="Arial" w:cs="Arial"/>
          <w:sz w:val="22"/>
          <w:szCs w:val="22"/>
        </w:rPr>
        <w:lastRenderedPageBreak/>
        <w:t xml:space="preserve">When </w:t>
      </w:r>
      <w:r>
        <w:rPr>
          <w:rFonts w:ascii="Arial" w:hAnsi="Arial" w:cs="Arial"/>
          <w:sz w:val="22"/>
          <w:szCs w:val="22"/>
        </w:rPr>
        <w:t>determining the direction in which a church building, or any other structure, is oriented it is necessary to accurately measure the azimuth, the horizon altitude and the declination in the direction to which the church faces.</w:t>
      </w:r>
      <w:r>
        <w:rPr>
          <w:rStyle w:val="FootnoteReference"/>
          <w:rFonts w:ascii="Arial" w:hAnsi="Arial" w:cs="Arial"/>
          <w:sz w:val="22"/>
          <w:szCs w:val="22"/>
        </w:rPr>
        <w:footnoteReference w:id="22"/>
      </w:r>
      <w:r>
        <w:rPr>
          <w:rFonts w:ascii="Arial" w:hAnsi="Arial" w:cs="Arial"/>
          <w:sz w:val="22"/>
          <w:szCs w:val="22"/>
        </w:rPr>
        <w:t xml:space="preserve"> </w:t>
      </w:r>
    </w:p>
    <w:p w14:paraId="0ADD840B" w14:textId="19C9D26C" w:rsidR="00A25D9D" w:rsidRDefault="00A25D9D" w:rsidP="001F56DB">
      <w:pPr>
        <w:spacing w:after="0" w:line="240" w:lineRule="auto"/>
        <w:contextualSpacing/>
        <w:rPr>
          <w:rFonts w:ascii="Arial" w:hAnsi="Arial" w:cs="Arial"/>
          <w:sz w:val="22"/>
          <w:szCs w:val="22"/>
        </w:rPr>
      </w:pPr>
      <w:r>
        <w:rPr>
          <w:rFonts w:ascii="Arial" w:hAnsi="Arial" w:cs="Arial"/>
          <w:sz w:val="22"/>
          <w:szCs w:val="22"/>
        </w:rPr>
        <w:tab/>
        <w:t>Before visiting the site, an accurate location in terms of longitude and latitude needs to be measure</w:t>
      </w:r>
      <w:r w:rsidR="00C17744">
        <w:rPr>
          <w:rFonts w:ascii="Arial" w:hAnsi="Arial" w:cs="Arial"/>
          <w:sz w:val="22"/>
          <w:szCs w:val="22"/>
        </w:rPr>
        <w:t>d. This was done using Google Earth Pro</w:t>
      </w:r>
      <w:r w:rsidR="00C17744">
        <w:rPr>
          <w:rStyle w:val="FootnoteReference"/>
          <w:rFonts w:ascii="Arial" w:hAnsi="Arial" w:cs="Arial"/>
          <w:sz w:val="22"/>
          <w:szCs w:val="22"/>
        </w:rPr>
        <w:footnoteReference w:id="23"/>
      </w:r>
      <w:r w:rsidR="00C17744">
        <w:rPr>
          <w:rFonts w:ascii="Arial" w:hAnsi="Arial" w:cs="Arial"/>
          <w:sz w:val="22"/>
          <w:szCs w:val="22"/>
        </w:rPr>
        <w:t xml:space="preserve"> and confirmed using a hand-held GPS device (Garmin eTrex) at the site.</w:t>
      </w:r>
    </w:p>
    <w:p w14:paraId="437DF568" w14:textId="11B6124F" w:rsidR="00563314" w:rsidRDefault="00563314" w:rsidP="001F56DB">
      <w:pPr>
        <w:spacing w:after="0" w:line="240" w:lineRule="auto"/>
        <w:contextualSpacing/>
        <w:rPr>
          <w:rFonts w:ascii="Arial" w:hAnsi="Arial" w:cs="Arial"/>
          <w:sz w:val="22"/>
          <w:szCs w:val="22"/>
        </w:rPr>
      </w:pPr>
      <w:r>
        <w:rPr>
          <w:rFonts w:ascii="Arial" w:hAnsi="Arial" w:cs="Arial"/>
          <w:sz w:val="22"/>
          <w:szCs w:val="22"/>
        </w:rPr>
        <w:tab/>
        <w:t xml:space="preserve">To determine the azimuth, or the </w:t>
      </w:r>
      <w:r w:rsidR="004335AA">
        <w:rPr>
          <w:rFonts w:ascii="Arial" w:hAnsi="Arial" w:cs="Arial"/>
          <w:sz w:val="22"/>
          <w:szCs w:val="22"/>
        </w:rPr>
        <w:t xml:space="preserve">horizontal </w:t>
      </w:r>
      <w:r>
        <w:rPr>
          <w:rFonts w:ascii="Arial" w:hAnsi="Arial" w:cs="Arial"/>
          <w:sz w:val="22"/>
          <w:szCs w:val="22"/>
        </w:rPr>
        <w:t>angular distance from north, a hand-held compass-clinometer</w:t>
      </w:r>
      <w:r w:rsidR="00143A9B">
        <w:rPr>
          <w:rFonts w:ascii="Arial" w:hAnsi="Arial" w:cs="Arial"/>
          <w:sz w:val="22"/>
          <w:szCs w:val="22"/>
        </w:rPr>
        <w:t xml:space="preserve"> accurate to 1° was used. This was confirmed using measurements taken using Google Earth Pro.</w:t>
      </w:r>
      <w:r w:rsidR="00D02EB1">
        <w:rPr>
          <w:rFonts w:ascii="Arial" w:hAnsi="Arial" w:cs="Arial"/>
          <w:sz w:val="22"/>
          <w:szCs w:val="22"/>
        </w:rPr>
        <w:t xml:space="preserve"> On Google Earth Pro</w:t>
      </w:r>
      <w:r w:rsidR="003D397F">
        <w:rPr>
          <w:rFonts w:ascii="Arial" w:hAnsi="Arial" w:cs="Arial"/>
          <w:sz w:val="22"/>
          <w:szCs w:val="22"/>
        </w:rPr>
        <w:t>,</w:t>
      </w:r>
      <w:r w:rsidR="00D02EB1">
        <w:rPr>
          <w:rFonts w:ascii="Arial" w:hAnsi="Arial" w:cs="Arial"/>
          <w:sz w:val="22"/>
          <w:szCs w:val="22"/>
        </w:rPr>
        <w:t xml:space="preserve"> selecting the correct line to measure the azimuth using the inbuilt ruler tool is straightforward as the roof ridge along the nave of the church is clearly visible (see Fig</w:t>
      </w:r>
      <w:r w:rsidR="00EF7CC5">
        <w:rPr>
          <w:rFonts w:ascii="Arial" w:hAnsi="Arial" w:cs="Arial"/>
          <w:sz w:val="22"/>
          <w:szCs w:val="22"/>
        </w:rPr>
        <w:t>.</w:t>
      </w:r>
      <w:r w:rsidR="00D02EB1">
        <w:rPr>
          <w:rFonts w:ascii="Arial" w:hAnsi="Arial" w:cs="Arial"/>
          <w:sz w:val="22"/>
          <w:szCs w:val="22"/>
        </w:rPr>
        <w:t>1). The task is more complicated on the site itself. There are large buttresses at each corner and mid-way along each wall, preventing a clear line of sight to a distant object. Bernadette Brady proposes using the lines of grave stones as an alternative for external measurement and Figure 1 shows that there are some to the north side of the church that are parallel to the nave walls</w:t>
      </w:r>
      <w:r w:rsidR="003D397F">
        <w:rPr>
          <w:rFonts w:ascii="Arial" w:hAnsi="Arial" w:cs="Arial"/>
          <w:sz w:val="22"/>
          <w:szCs w:val="22"/>
        </w:rPr>
        <w:t xml:space="preserve"> that were used instead</w:t>
      </w:r>
      <w:r w:rsidR="00D02EB1">
        <w:rPr>
          <w:rFonts w:ascii="Arial" w:hAnsi="Arial" w:cs="Arial"/>
          <w:sz w:val="22"/>
          <w:szCs w:val="22"/>
        </w:rPr>
        <w:t>.</w:t>
      </w:r>
      <w:r w:rsidR="00D02EB1">
        <w:rPr>
          <w:rStyle w:val="FootnoteReference"/>
          <w:rFonts w:ascii="Arial" w:hAnsi="Arial" w:cs="Arial"/>
          <w:sz w:val="22"/>
          <w:szCs w:val="22"/>
        </w:rPr>
        <w:footnoteReference w:id="24"/>
      </w:r>
      <w:r w:rsidR="00D02EB1">
        <w:rPr>
          <w:rFonts w:ascii="Arial" w:hAnsi="Arial" w:cs="Arial"/>
          <w:sz w:val="22"/>
          <w:szCs w:val="22"/>
        </w:rPr>
        <w:t xml:space="preserve"> </w:t>
      </w:r>
      <w:r w:rsidR="003D397F">
        <w:rPr>
          <w:rFonts w:ascii="Arial" w:hAnsi="Arial" w:cs="Arial"/>
          <w:sz w:val="22"/>
          <w:szCs w:val="22"/>
        </w:rPr>
        <w:t>Measurements were also taken within the church itself along the main axis from the tower to the eastern window. To confirm that the compass readings are correct and to identify any local magnetic anomaly (due to metal objects or otherwise), it is important to repeat the measurement in the opposite direction.</w:t>
      </w:r>
      <w:r w:rsidR="003D397F">
        <w:rPr>
          <w:rStyle w:val="FootnoteReference"/>
          <w:rFonts w:ascii="Arial" w:hAnsi="Arial" w:cs="Arial"/>
          <w:sz w:val="22"/>
          <w:szCs w:val="22"/>
        </w:rPr>
        <w:footnoteReference w:id="25"/>
      </w:r>
      <w:r w:rsidR="003D397F">
        <w:rPr>
          <w:rFonts w:ascii="Arial" w:hAnsi="Arial" w:cs="Arial"/>
          <w:sz w:val="22"/>
          <w:szCs w:val="22"/>
        </w:rPr>
        <w:t xml:space="preserve"> The reverse measurement should be 180° greater. All compass readings </w:t>
      </w:r>
      <w:r w:rsidR="00755CD0">
        <w:rPr>
          <w:rFonts w:ascii="Arial" w:hAnsi="Arial" w:cs="Arial"/>
          <w:sz w:val="22"/>
          <w:szCs w:val="22"/>
        </w:rPr>
        <w:t>we</w:t>
      </w:r>
      <w:r w:rsidR="003D397F">
        <w:rPr>
          <w:rFonts w:ascii="Arial" w:hAnsi="Arial" w:cs="Arial"/>
          <w:sz w:val="22"/>
          <w:szCs w:val="22"/>
        </w:rPr>
        <w:t xml:space="preserve">re corrected for </w:t>
      </w:r>
      <w:r w:rsidR="001936FC">
        <w:rPr>
          <w:rFonts w:ascii="Arial" w:hAnsi="Arial" w:cs="Arial"/>
          <w:sz w:val="22"/>
          <w:szCs w:val="22"/>
        </w:rPr>
        <w:t xml:space="preserve">magnetic declination at the location and day of the site visit using the online </w:t>
      </w:r>
      <w:r w:rsidR="00BA2F78">
        <w:rPr>
          <w:rFonts w:ascii="Arial" w:hAnsi="Arial" w:cs="Arial"/>
          <w:sz w:val="22"/>
          <w:szCs w:val="22"/>
        </w:rPr>
        <w:t xml:space="preserve">Magnetic Field Calculators </w:t>
      </w:r>
      <w:r w:rsidR="001936FC">
        <w:rPr>
          <w:rFonts w:ascii="Arial" w:hAnsi="Arial" w:cs="Arial"/>
          <w:sz w:val="22"/>
          <w:szCs w:val="22"/>
        </w:rPr>
        <w:t>tool provided by the National Centers for Environment Information.</w:t>
      </w:r>
      <w:r w:rsidR="001936FC">
        <w:rPr>
          <w:rStyle w:val="FootnoteReference"/>
          <w:rFonts w:ascii="Arial" w:hAnsi="Arial" w:cs="Arial"/>
          <w:sz w:val="22"/>
          <w:szCs w:val="22"/>
        </w:rPr>
        <w:footnoteReference w:id="26"/>
      </w:r>
      <w:r w:rsidR="001936FC">
        <w:rPr>
          <w:rFonts w:ascii="Arial" w:hAnsi="Arial" w:cs="Arial"/>
          <w:sz w:val="22"/>
          <w:szCs w:val="22"/>
        </w:rPr>
        <w:t xml:space="preserve"> </w:t>
      </w:r>
    </w:p>
    <w:p w14:paraId="54AB3F03" w14:textId="489D39BF" w:rsidR="003C35C7" w:rsidRDefault="003C35C7" w:rsidP="001F56DB">
      <w:pPr>
        <w:spacing w:after="0" w:line="240" w:lineRule="auto"/>
        <w:contextualSpacing/>
        <w:rPr>
          <w:rFonts w:ascii="Arial" w:hAnsi="Arial" w:cs="Arial"/>
          <w:sz w:val="22"/>
          <w:szCs w:val="22"/>
        </w:rPr>
      </w:pPr>
    </w:p>
    <w:p w14:paraId="45FA7B55" w14:textId="77777777" w:rsidR="00B72FB8" w:rsidRDefault="003C35C7" w:rsidP="00B72FB8">
      <w:pPr>
        <w:keepNext/>
        <w:spacing w:after="0" w:line="240" w:lineRule="auto"/>
        <w:contextualSpacing/>
      </w:pPr>
      <w:r>
        <w:rPr>
          <w:rFonts w:ascii="Arial" w:hAnsi="Arial" w:cs="Arial"/>
          <w:noProof/>
          <w:sz w:val="22"/>
          <w:szCs w:val="22"/>
        </w:rPr>
        <w:drawing>
          <wp:inline distT="0" distB="0" distL="0" distR="0" wp14:anchorId="4FFF6757" wp14:editId="5087AE2A">
            <wp:extent cx="5490210" cy="3020695"/>
            <wp:effectExtent l="0" t="0" r="0" b="0"/>
            <wp:docPr id="2" name="Picture 2" descr="A picture containing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re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90210" cy="3020695"/>
                    </a:xfrm>
                    <a:prstGeom prst="rect">
                      <a:avLst/>
                    </a:prstGeom>
                  </pic:spPr>
                </pic:pic>
              </a:graphicData>
            </a:graphic>
          </wp:inline>
        </w:drawing>
      </w:r>
    </w:p>
    <w:p w14:paraId="355A583A" w14:textId="7B0DC74A" w:rsidR="00B72FB8" w:rsidRPr="00B72FB8" w:rsidRDefault="00B72FB8" w:rsidP="00B72FB8">
      <w:pPr>
        <w:pStyle w:val="Caption"/>
        <w:rPr>
          <w:rFonts w:ascii="Arial" w:hAnsi="Arial" w:cs="Arial"/>
          <w:i w:val="0"/>
          <w:iCs w:val="0"/>
        </w:rPr>
      </w:pPr>
      <w:r w:rsidRPr="00B72FB8">
        <w:rPr>
          <w:rFonts w:ascii="Arial" w:hAnsi="Arial" w:cs="Arial"/>
          <w:i w:val="0"/>
          <w:iCs w:val="0"/>
        </w:rPr>
        <w:t xml:space="preserve">Figure </w:t>
      </w:r>
      <w:r w:rsidRPr="00B72FB8">
        <w:rPr>
          <w:rFonts w:ascii="Arial" w:hAnsi="Arial" w:cs="Arial"/>
          <w:i w:val="0"/>
          <w:iCs w:val="0"/>
        </w:rPr>
        <w:fldChar w:fldCharType="begin"/>
      </w:r>
      <w:r w:rsidRPr="00B72FB8">
        <w:rPr>
          <w:rFonts w:ascii="Arial" w:hAnsi="Arial" w:cs="Arial"/>
          <w:i w:val="0"/>
          <w:iCs w:val="0"/>
        </w:rPr>
        <w:instrText xml:space="preserve"> SEQ Figure \* ARABIC </w:instrText>
      </w:r>
      <w:r w:rsidRPr="00B72FB8">
        <w:rPr>
          <w:rFonts w:ascii="Arial" w:hAnsi="Arial" w:cs="Arial"/>
          <w:i w:val="0"/>
          <w:iCs w:val="0"/>
        </w:rPr>
        <w:fldChar w:fldCharType="separate"/>
      </w:r>
      <w:r w:rsidR="002C36BA">
        <w:rPr>
          <w:rFonts w:ascii="Arial" w:hAnsi="Arial" w:cs="Arial"/>
          <w:i w:val="0"/>
          <w:iCs w:val="0"/>
          <w:noProof/>
        </w:rPr>
        <w:t>1</w:t>
      </w:r>
      <w:r w:rsidRPr="00B72FB8">
        <w:rPr>
          <w:rFonts w:ascii="Arial" w:hAnsi="Arial" w:cs="Arial"/>
          <w:i w:val="0"/>
          <w:iCs w:val="0"/>
        </w:rPr>
        <w:fldChar w:fldCharType="end"/>
      </w:r>
      <w:r w:rsidRPr="00B72FB8">
        <w:rPr>
          <w:rFonts w:ascii="Arial" w:hAnsi="Arial" w:cs="Arial"/>
          <w:i w:val="0"/>
          <w:iCs w:val="0"/>
        </w:rPr>
        <w:t>. A satellite image of St. Guthlac's church</w:t>
      </w:r>
      <w:r>
        <w:rPr>
          <w:rFonts w:ascii="Arial" w:hAnsi="Arial" w:cs="Arial"/>
          <w:i w:val="0"/>
          <w:iCs w:val="0"/>
        </w:rPr>
        <w:t>, 2023</w:t>
      </w:r>
      <w:r w:rsidRPr="00B72FB8">
        <w:rPr>
          <w:rFonts w:ascii="Arial" w:hAnsi="Arial" w:cs="Arial"/>
          <w:i w:val="0"/>
          <w:iCs w:val="0"/>
        </w:rPr>
        <w:t xml:space="preserve">. </w:t>
      </w:r>
      <w:r w:rsidRPr="00EF7CC5">
        <w:rPr>
          <w:rFonts w:ascii="Arial" w:hAnsi="Arial" w:cs="Arial"/>
        </w:rPr>
        <w:t>Image:</w:t>
      </w:r>
      <w:r w:rsidRPr="00B72FB8">
        <w:rPr>
          <w:rFonts w:ascii="Arial" w:hAnsi="Arial" w:cs="Arial"/>
          <w:i w:val="0"/>
          <w:iCs w:val="0"/>
        </w:rPr>
        <w:t xml:space="preserve"> Google Earth.</w:t>
      </w:r>
    </w:p>
    <w:p w14:paraId="52BD1E31" w14:textId="58516773" w:rsidR="003C35C7" w:rsidRDefault="003C35C7" w:rsidP="001F56DB">
      <w:pPr>
        <w:spacing w:after="0" w:line="240" w:lineRule="auto"/>
        <w:contextualSpacing/>
        <w:rPr>
          <w:rFonts w:ascii="Arial" w:hAnsi="Arial" w:cs="Arial"/>
          <w:sz w:val="22"/>
          <w:szCs w:val="22"/>
        </w:rPr>
      </w:pPr>
    </w:p>
    <w:p w14:paraId="0F3B86DF" w14:textId="79B1DD45" w:rsidR="007152DE" w:rsidRDefault="007152DE" w:rsidP="001F56DB">
      <w:pPr>
        <w:spacing w:after="0" w:line="240" w:lineRule="auto"/>
        <w:contextualSpacing/>
        <w:rPr>
          <w:rFonts w:ascii="Arial" w:hAnsi="Arial" w:cs="Arial"/>
          <w:sz w:val="22"/>
          <w:szCs w:val="22"/>
        </w:rPr>
      </w:pPr>
    </w:p>
    <w:p w14:paraId="37828C1D" w14:textId="69D94704" w:rsidR="007152DE" w:rsidRDefault="00CB342E" w:rsidP="007152DE">
      <w:pPr>
        <w:spacing w:after="0" w:line="240" w:lineRule="auto"/>
        <w:ind w:firstLine="720"/>
        <w:contextualSpacing/>
        <w:rPr>
          <w:rFonts w:ascii="Arial" w:hAnsi="Arial" w:cs="Arial"/>
          <w:sz w:val="22"/>
          <w:szCs w:val="22"/>
        </w:rPr>
      </w:pPr>
      <w:r>
        <w:rPr>
          <w:rFonts w:ascii="Arial" w:hAnsi="Arial" w:cs="Arial"/>
          <w:sz w:val="22"/>
          <w:szCs w:val="22"/>
        </w:rPr>
        <w:t xml:space="preserve">The horizon altitude is the vertical angle between the point on the horizon where it meets the azimuth and the horizontal plane through the observer at the </w:t>
      </w:r>
      <w:r>
        <w:rPr>
          <w:rFonts w:ascii="Arial" w:hAnsi="Arial" w:cs="Arial"/>
          <w:sz w:val="22"/>
          <w:szCs w:val="22"/>
        </w:rPr>
        <w:lastRenderedPageBreak/>
        <w:t>site.</w:t>
      </w:r>
      <w:r w:rsidR="004335AA">
        <w:rPr>
          <w:rStyle w:val="FootnoteReference"/>
          <w:rFonts w:ascii="Arial" w:hAnsi="Arial" w:cs="Arial"/>
          <w:sz w:val="22"/>
          <w:szCs w:val="22"/>
        </w:rPr>
        <w:footnoteReference w:id="27"/>
      </w:r>
      <w:r>
        <w:rPr>
          <w:rFonts w:ascii="Arial" w:hAnsi="Arial" w:cs="Arial"/>
          <w:sz w:val="22"/>
          <w:szCs w:val="22"/>
        </w:rPr>
        <w:t xml:space="preserve"> </w:t>
      </w:r>
      <w:r w:rsidR="007152DE">
        <w:rPr>
          <w:rFonts w:ascii="Arial" w:hAnsi="Arial" w:cs="Arial"/>
          <w:sz w:val="22"/>
          <w:szCs w:val="22"/>
        </w:rPr>
        <w:t xml:space="preserve">The church is in a rural area of fields, hedgerows and small woods so it was not possible to measure a horizon altitude </w:t>
      </w:r>
      <w:r w:rsidR="007323CB">
        <w:rPr>
          <w:rFonts w:ascii="Arial" w:hAnsi="Arial" w:cs="Arial"/>
          <w:sz w:val="22"/>
          <w:szCs w:val="22"/>
        </w:rPr>
        <w:t xml:space="preserve">while </w:t>
      </w:r>
      <w:r w:rsidR="007152DE">
        <w:rPr>
          <w:rFonts w:ascii="Arial" w:hAnsi="Arial" w:cs="Arial"/>
          <w:sz w:val="22"/>
          <w:szCs w:val="22"/>
        </w:rPr>
        <w:t xml:space="preserve">at the location. Instead, </w:t>
      </w:r>
      <w:r w:rsidR="00766EB2">
        <w:rPr>
          <w:rFonts w:ascii="Arial" w:hAnsi="Arial" w:cs="Arial"/>
          <w:sz w:val="22"/>
          <w:szCs w:val="22"/>
        </w:rPr>
        <w:t>the altitude of the horizon was calculated using the HeyWhatsThat online tool.</w:t>
      </w:r>
      <w:r w:rsidR="00766EB2">
        <w:rPr>
          <w:rStyle w:val="FootnoteReference"/>
          <w:rFonts w:ascii="Arial" w:hAnsi="Arial" w:cs="Arial"/>
          <w:sz w:val="22"/>
          <w:szCs w:val="22"/>
        </w:rPr>
        <w:footnoteReference w:id="28"/>
      </w:r>
      <w:r w:rsidR="00766EB2">
        <w:rPr>
          <w:rFonts w:ascii="Arial" w:hAnsi="Arial" w:cs="Arial"/>
          <w:sz w:val="22"/>
          <w:szCs w:val="22"/>
        </w:rPr>
        <w:t xml:space="preserve"> </w:t>
      </w:r>
    </w:p>
    <w:p w14:paraId="3E8C6828" w14:textId="44D1E197" w:rsidR="000C474D" w:rsidRDefault="000C474D" w:rsidP="007152DE">
      <w:pPr>
        <w:spacing w:after="0" w:line="240" w:lineRule="auto"/>
        <w:ind w:firstLine="720"/>
        <w:contextualSpacing/>
        <w:rPr>
          <w:rFonts w:ascii="Arial" w:hAnsi="Arial" w:cs="Arial"/>
          <w:sz w:val="22"/>
          <w:szCs w:val="22"/>
        </w:rPr>
      </w:pPr>
      <w:r>
        <w:rPr>
          <w:rFonts w:ascii="Arial" w:hAnsi="Arial" w:cs="Arial"/>
          <w:sz w:val="22"/>
          <w:szCs w:val="22"/>
        </w:rPr>
        <w:t xml:space="preserve">The </w:t>
      </w:r>
      <w:r w:rsidR="00DD13E5">
        <w:rPr>
          <w:rFonts w:ascii="Arial" w:hAnsi="Arial" w:cs="Arial"/>
          <w:sz w:val="22"/>
          <w:szCs w:val="22"/>
        </w:rPr>
        <w:t>measured azimuth and altitude are then converted into a declination, taking account of atmospheric refraction.</w:t>
      </w:r>
      <w:r w:rsidR="00DD13E5">
        <w:rPr>
          <w:rStyle w:val="FootnoteReference"/>
          <w:rFonts w:ascii="Arial" w:hAnsi="Arial" w:cs="Arial"/>
          <w:sz w:val="22"/>
          <w:szCs w:val="22"/>
        </w:rPr>
        <w:footnoteReference w:id="29"/>
      </w:r>
      <w:r w:rsidR="00DD13E5">
        <w:rPr>
          <w:rFonts w:ascii="Arial" w:hAnsi="Arial" w:cs="Arial"/>
          <w:sz w:val="22"/>
          <w:szCs w:val="22"/>
        </w:rPr>
        <w:t xml:space="preserve"> </w:t>
      </w:r>
      <w:r w:rsidR="00CB342E">
        <w:rPr>
          <w:rFonts w:ascii="Arial" w:hAnsi="Arial" w:cs="Arial"/>
          <w:sz w:val="22"/>
          <w:szCs w:val="22"/>
        </w:rPr>
        <w:t>The formula for the declination is as follows:</w:t>
      </w:r>
    </w:p>
    <w:p w14:paraId="42C82AEB" w14:textId="14235F6D" w:rsidR="00CB342E" w:rsidRDefault="00CB342E" w:rsidP="007152DE">
      <w:pPr>
        <w:spacing w:after="0" w:line="240" w:lineRule="auto"/>
        <w:ind w:firstLine="720"/>
        <w:contextualSpacing/>
        <w:rPr>
          <w:rFonts w:ascii="Arial" w:hAnsi="Arial" w:cs="Arial"/>
          <w:sz w:val="22"/>
          <w:szCs w:val="22"/>
        </w:rPr>
      </w:pPr>
    </w:p>
    <w:p w14:paraId="2C109B36" w14:textId="2334C63F" w:rsidR="00CB342E" w:rsidRDefault="00000000" w:rsidP="007152DE">
      <w:pPr>
        <w:spacing w:after="0" w:line="240" w:lineRule="auto"/>
        <w:ind w:firstLine="720"/>
        <w:contextualSpacing/>
        <w:rPr>
          <w:rFonts w:ascii="Arial" w:hAnsi="Arial" w:cs="Arial"/>
          <w:sz w:val="22"/>
          <w:szCs w:val="22"/>
        </w:rPr>
      </w:pPr>
      <m:oMathPara>
        <m:oMath>
          <m:func>
            <m:funcPr>
              <m:ctrlPr>
                <w:rPr>
                  <w:rFonts w:ascii="Cambria Math" w:hAnsi="Cambria Math" w:cs="Arial"/>
                  <w:i/>
                  <w:sz w:val="22"/>
                  <w:szCs w:val="22"/>
                </w:rPr>
              </m:ctrlPr>
            </m:funcPr>
            <m:fName>
              <m:r>
                <m:rPr>
                  <m:sty m:val="p"/>
                </m:rPr>
                <w:rPr>
                  <w:rFonts w:ascii="Cambria Math" w:hAnsi="Cambria Math" w:cs="Arial"/>
                  <w:sz w:val="22"/>
                  <w:szCs w:val="22"/>
                </w:rPr>
                <m:t>sin</m:t>
              </m:r>
            </m:fName>
            <m:e>
              <m:r>
                <w:rPr>
                  <w:rFonts w:ascii="Cambria Math" w:hAnsi="Cambria Math" w:cs="Arial"/>
                  <w:sz w:val="22"/>
                  <w:szCs w:val="22"/>
                </w:rPr>
                <m:t>δ=</m:t>
              </m:r>
              <m:func>
                <m:funcPr>
                  <m:ctrlPr>
                    <w:rPr>
                      <w:rFonts w:ascii="Cambria Math" w:hAnsi="Cambria Math" w:cs="Arial"/>
                      <w:i/>
                      <w:sz w:val="22"/>
                      <w:szCs w:val="22"/>
                    </w:rPr>
                  </m:ctrlPr>
                </m:funcPr>
                <m:fName>
                  <m:r>
                    <m:rPr>
                      <m:sty m:val="p"/>
                    </m:rPr>
                    <w:rPr>
                      <w:rFonts w:ascii="Cambria Math" w:hAnsi="Cambria Math" w:cs="Arial"/>
                    </w:rPr>
                    <m:t>sin</m:t>
                  </m:r>
                </m:fName>
                <m:e>
                  <m:r>
                    <w:rPr>
                      <w:rFonts w:ascii="Cambria Math" w:hAnsi="Cambria Math" w:cs="Arial"/>
                      <w:sz w:val="22"/>
                      <w:szCs w:val="22"/>
                    </w:rPr>
                    <m:t>φ</m:t>
                  </m:r>
                </m:e>
              </m:func>
              <m:func>
                <m:funcPr>
                  <m:ctrlPr>
                    <w:rPr>
                      <w:rFonts w:ascii="Cambria Math" w:hAnsi="Cambria Math" w:cs="Arial"/>
                      <w:i/>
                      <w:sz w:val="22"/>
                      <w:szCs w:val="22"/>
                    </w:rPr>
                  </m:ctrlPr>
                </m:funcPr>
                <m:fName>
                  <m:r>
                    <m:rPr>
                      <m:sty m:val="p"/>
                    </m:rPr>
                    <w:rPr>
                      <w:rFonts w:ascii="Cambria Math" w:hAnsi="Cambria Math" w:cs="Arial"/>
                    </w:rPr>
                    <m:t>sin</m:t>
                  </m:r>
                </m:fName>
                <m:e>
                  <m:r>
                    <w:rPr>
                      <w:rFonts w:ascii="Cambria Math" w:hAnsi="Cambria Math" w:cs="Arial"/>
                      <w:sz w:val="22"/>
                      <w:szCs w:val="22"/>
                    </w:rPr>
                    <m:t>h</m:t>
                  </m:r>
                </m:e>
              </m:func>
              <m:r>
                <w:rPr>
                  <w:rFonts w:ascii="Cambria Math" w:hAnsi="Cambria Math" w:cs="Arial"/>
                  <w:sz w:val="22"/>
                  <w:szCs w:val="22"/>
                </w:rPr>
                <m:t>+</m:t>
              </m:r>
              <m:func>
                <m:funcPr>
                  <m:ctrlPr>
                    <w:rPr>
                      <w:rFonts w:ascii="Cambria Math" w:hAnsi="Cambria Math" w:cs="Arial"/>
                      <w:i/>
                      <w:sz w:val="22"/>
                      <w:szCs w:val="22"/>
                    </w:rPr>
                  </m:ctrlPr>
                </m:funcPr>
                <m:fName>
                  <m:r>
                    <m:rPr>
                      <m:sty m:val="p"/>
                    </m:rPr>
                    <w:rPr>
                      <w:rFonts w:ascii="Cambria Math" w:hAnsi="Cambria Math" w:cs="Arial"/>
                    </w:rPr>
                    <m:t>cos</m:t>
                  </m:r>
                </m:fName>
                <m:e>
                  <m:r>
                    <w:rPr>
                      <w:rFonts w:ascii="Cambria Math" w:hAnsi="Cambria Math" w:cs="Arial"/>
                      <w:sz w:val="22"/>
                      <w:szCs w:val="22"/>
                    </w:rPr>
                    <m:t>φ</m:t>
                  </m:r>
                </m:e>
              </m:func>
              <m:func>
                <m:funcPr>
                  <m:ctrlPr>
                    <w:rPr>
                      <w:rFonts w:ascii="Cambria Math" w:hAnsi="Cambria Math" w:cs="Arial"/>
                      <w:i/>
                      <w:sz w:val="22"/>
                      <w:szCs w:val="22"/>
                    </w:rPr>
                  </m:ctrlPr>
                </m:funcPr>
                <m:fName>
                  <m:r>
                    <m:rPr>
                      <m:sty m:val="p"/>
                    </m:rPr>
                    <w:rPr>
                      <w:rFonts w:ascii="Cambria Math" w:hAnsi="Cambria Math" w:cs="Arial"/>
                    </w:rPr>
                    <m:t>cos</m:t>
                  </m:r>
                </m:fName>
                <m:e>
                  <m:r>
                    <w:rPr>
                      <w:rFonts w:ascii="Cambria Math" w:hAnsi="Cambria Math" w:cs="Arial"/>
                      <w:sz w:val="22"/>
                      <w:szCs w:val="22"/>
                    </w:rPr>
                    <m:t>h</m:t>
                  </m:r>
                </m:e>
              </m:func>
              <m:func>
                <m:funcPr>
                  <m:ctrlPr>
                    <w:rPr>
                      <w:rFonts w:ascii="Cambria Math" w:hAnsi="Cambria Math" w:cs="Arial"/>
                      <w:i/>
                      <w:sz w:val="22"/>
                      <w:szCs w:val="22"/>
                    </w:rPr>
                  </m:ctrlPr>
                </m:funcPr>
                <m:fName>
                  <m:r>
                    <m:rPr>
                      <m:sty m:val="p"/>
                    </m:rPr>
                    <w:rPr>
                      <w:rFonts w:ascii="Cambria Math" w:hAnsi="Cambria Math" w:cs="Arial"/>
                    </w:rPr>
                    <m:t>cos</m:t>
                  </m:r>
                </m:fName>
                <m:e>
                  <m:r>
                    <w:rPr>
                      <w:rFonts w:ascii="Cambria Math" w:hAnsi="Cambria Math" w:cs="Arial"/>
                      <w:sz w:val="22"/>
                      <w:szCs w:val="22"/>
                    </w:rPr>
                    <m:t>A</m:t>
                  </m:r>
                </m:e>
              </m:func>
            </m:e>
          </m:func>
        </m:oMath>
      </m:oMathPara>
    </w:p>
    <w:p w14:paraId="0AF91CB6" w14:textId="5FBEE8A8" w:rsidR="00CB342E" w:rsidRDefault="00CB342E" w:rsidP="002F4731">
      <w:pPr>
        <w:spacing w:after="0" w:line="240" w:lineRule="auto"/>
        <w:contextualSpacing/>
        <w:rPr>
          <w:rFonts w:ascii="Arial" w:hAnsi="Arial" w:cs="Arial"/>
          <w:sz w:val="22"/>
          <w:szCs w:val="22"/>
        </w:rPr>
      </w:pPr>
    </w:p>
    <w:p w14:paraId="7A0982E4" w14:textId="77777777" w:rsidR="00755CD0" w:rsidRDefault="002F4731" w:rsidP="002F4731">
      <w:pPr>
        <w:spacing w:after="0" w:line="240" w:lineRule="auto"/>
        <w:contextualSpacing/>
        <w:rPr>
          <w:rFonts w:ascii="Arial" w:hAnsi="Arial" w:cs="Arial"/>
          <w:sz w:val="22"/>
          <w:szCs w:val="22"/>
        </w:rPr>
      </w:pPr>
      <w:r>
        <w:rPr>
          <w:rFonts w:ascii="Arial" w:hAnsi="Arial" w:cs="Arial"/>
          <w:sz w:val="22"/>
          <w:szCs w:val="22"/>
        </w:rPr>
        <w:t xml:space="preserve">where </w:t>
      </w:r>
      <m:oMath>
        <m:r>
          <w:rPr>
            <w:rFonts w:ascii="Cambria Math" w:hAnsi="Cambria Math" w:cs="Arial"/>
            <w:sz w:val="22"/>
            <w:szCs w:val="22"/>
          </w:rPr>
          <m:t>δ</m:t>
        </m:r>
      </m:oMath>
      <w:r>
        <w:rPr>
          <w:rFonts w:ascii="Arial" w:hAnsi="Arial" w:cs="Arial"/>
          <w:sz w:val="22"/>
          <w:szCs w:val="22"/>
        </w:rPr>
        <w:t xml:space="preserve"> is the declination, </w:t>
      </w:r>
      <m:oMath>
        <m:r>
          <w:rPr>
            <w:rFonts w:ascii="Cambria Math" w:hAnsi="Cambria Math" w:cs="Arial"/>
            <w:sz w:val="22"/>
            <w:szCs w:val="22"/>
          </w:rPr>
          <m:t>φ</m:t>
        </m:r>
      </m:oMath>
      <w:r>
        <w:rPr>
          <w:rFonts w:ascii="Arial" w:hAnsi="Arial" w:cs="Arial"/>
          <w:sz w:val="22"/>
          <w:szCs w:val="22"/>
        </w:rPr>
        <w:t xml:space="preserve"> </w:t>
      </w:r>
      <w:r w:rsidR="00163791">
        <w:rPr>
          <w:rFonts w:ascii="Arial" w:hAnsi="Arial" w:cs="Arial"/>
          <w:sz w:val="22"/>
          <w:szCs w:val="22"/>
        </w:rPr>
        <w:t xml:space="preserve">is the latitude, </w:t>
      </w:r>
      <m:oMath>
        <m:r>
          <w:rPr>
            <w:rFonts w:ascii="Cambria Math" w:hAnsi="Cambria Math" w:cs="Arial"/>
            <w:sz w:val="22"/>
            <w:szCs w:val="22"/>
          </w:rPr>
          <m:t>h</m:t>
        </m:r>
      </m:oMath>
      <w:r>
        <w:rPr>
          <w:rFonts w:ascii="Arial" w:hAnsi="Arial" w:cs="Arial"/>
          <w:sz w:val="22"/>
          <w:szCs w:val="22"/>
        </w:rPr>
        <w:t xml:space="preserve"> </w:t>
      </w:r>
      <w:r w:rsidR="00163791">
        <w:rPr>
          <w:rFonts w:ascii="Arial" w:hAnsi="Arial" w:cs="Arial"/>
          <w:sz w:val="22"/>
          <w:szCs w:val="22"/>
        </w:rPr>
        <w:t>is the horizon altitude</w:t>
      </w:r>
      <w:r>
        <w:rPr>
          <w:rFonts w:ascii="Arial" w:hAnsi="Arial" w:cs="Arial"/>
          <w:sz w:val="22"/>
          <w:szCs w:val="22"/>
        </w:rPr>
        <w:t xml:space="preserve"> </w:t>
      </w:r>
      <w:r w:rsidR="00163791">
        <w:rPr>
          <w:rFonts w:ascii="Arial" w:hAnsi="Arial" w:cs="Arial"/>
          <w:sz w:val="22"/>
          <w:szCs w:val="22"/>
        </w:rPr>
        <w:t xml:space="preserve">and </w:t>
      </w:r>
      <m:oMath>
        <m:r>
          <w:rPr>
            <w:rFonts w:ascii="Cambria Math" w:hAnsi="Cambria Math" w:cs="Arial"/>
            <w:sz w:val="22"/>
            <w:szCs w:val="22"/>
          </w:rPr>
          <m:t>A</m:t>
        </m:r>
      </m:oMath>
      <w:r>
        <w:rPr>
          <w:rFonts w:ascii="Arial" w:hAnsi="Arial" w:cs="Arial"/>
          <w:sz w:val="22"/>
          <w:szCs w:val="22"/>
        </w:rPr>
        <w:t xml:space="preserve"> </w:t>
      </w:r>
      <w:r w:rsidR="006B26B5">
        <w:rPr>
          <w:rFonts w:ascii="Arial" w:hAnsi="Arial" w:cs="Arial"/>
          <w:sz w:val="22"/>
          <w:szCs w:val="22"/>
        </w:rPr>
        <w:t>is the azimuth.</w:t>
      </w:r>
      <w:r w:rsidR="006B26B5">
        <w:rPr>
          <w:rStyle w:val="FootnoteReference"/>
          <w:rFonts w:ascii="Arial" w:hAnsi="Arial" w:cs="Arial"/>
          <w:sz w:val="22"/>
          <w:szCs w:val="22"/>
        </w:rPr>
        <w:footnoteReference w:id="30"/>
      </w:r>
      <w:r w:rsidR="006B26B5">
        <w:rPr>
          <w:rFonts w:ascii="Arial" w:hAnsi="Arial" w:cs="Arial"/>
          <w:sz w:val="22"/>
          <w:szCs w:val="22"/>
        </w:rPr>
        <w:t xml:space="preserve"> The benefit of calculating a declination associated with the orientation is that</w:t>
      </w:r>
      <w:r w:rsidR="000D41FF">
        <w:rPr>
          <w:rFonts w:ascii="Arial" w:hAnsi="Arial" w:cs="Arial"/>
          <w:sz w:val="22"/>
          <w:szCs w:val="22"/>
        </w:rPr>
        <w:t>,</w:t>
      </w:r>
      <w:r w:rsidR="006B26B5">
        <w:rPr>
          <w:rFonts w:ascii="Arial" w:hAnsi="Arial" w:cs="Arial"/>
          <w:sz w:val="22"/>
          <w:szCs w:val="22"/>
        </w:rPr>
        <w:t xml:space="preserve"> on human timescales</w:t>
      </w:r>
      <w:r w:rsidR="000D41FF">
        <w:rPr>
          <w:rFonts w:ascii="Arial" w:hAnsi="Arial" w:cs="Arial"/>
          <w:sz w:val="22"/>
          <w:szCs w:val="22"/>
        </w:rPr>
        <w:t>,</w:t>
      </w:r>
      <w:r w:rsidR="006B26B5">
        <w:rPr>
          <w:rFonts w:ascii="Arial" w:hAnsi="Arial" w:cs="Arial"/>
          <w:sz w:val="22"/>
          <w:szCs w:val="22"/>
        </w:rPr>
        <w:t xml:space="preserve"> the celestial bodies move in circles of constant declination. This means that </w:t>
      </w:r>
      <w:r w:rsidR="00BD771C">
        <w:rPr>
          <w:rFonts w:ascii="Arial" w:hAnsi="Arial" w:cs="Arial"/>
          <w:sz w:val="22"/>
          <w:szCs w:val="22"/>
        </w:rPr>
        <w:t xml:space="preserve">archaeoastronomers can know with certainty which celestial bodies will rise or set on a distant horizon, and </w:t>
      </w:r>
      <w:r w:rsidR="000D41FF">
        <w:rPr>
          <w:rFonts w:ascii="Arial" w:hAnsi="Arial" w:cs="Arial"/>
          <w:sz w:val="22"/>
          <w:szCs w:val="22"/>
        </w:rPr>
        <w:t xml:space="preserve">for the case where the orientation is </w:t>
      </w:r>
      <w:r w:rsidR="000228BE">
        <w:rPr>
          <w:rFonts w:ascii="Arial" w:hAnsi="Arial" w:cs="Arial"/>
          <w:sz w:val="22"/>
          <w:szCs w:val="22"/>
        </w:rPr>
        <w:t>within the ‘solar sunrise arc’ between the limits of the most northerly and southerly sunrise azimuths</w:t>
      </w:r>
      <w:r w:rsidR="000D41FF">
        <w:rPr>
          <w:rFonts w:ascii="Arial" w:hAnsi="Arial" w:cs="Arial"/>
          <w:sz w:val="22"/>
          <w:szCs w:val="22"/>
        </w:rPr>
        <w:t>,</w:t>
      </w:r>
      <w:r w:rsidR="000228BE">
        <w:rPr>
          <w:rStyle w:val="FootnoteReference"/>
          <w:rFonts w:ascii="Arial" w:hAnsi="Arial" w:cs="Arial"/>
          <w:sz w:val="22"/>
          <w:szCs w:val="22"/>
        </w:rPr>
        <w:footnoteReference w:id="31"/>
      </w:r>
      <w:r w:rsidR="000D41FF">
        <w:rPr>
          <w:rFonts w:ascii="Arial" w:hAnsi="Arial" w:cs="Arial"/>
          <w:sz w:val="22"/>
          <w:szCs w:val="22"/>
        </w:rPr>
        <w:t xml:space="preserve"> the days on which the sun will rise in alignment. There are slight variations to the declinations of stars due to the precession of the equinoxes and to the rising and setting positions of the sun, moon and planets due to the obliquity of the ecliptic,</w:t>
      </w:r>
      <w:r w:rsidR="000D41FF">
        <w:rPr>
          <w:rStyle w:val="FootnoteReference"/>
          <w:rFonts w:ascii="Arial" w:hAnsi="Arial" w:cs="Arial"/>
          <w:sz w:val="22"/>
          <w:szCs w:val="22"/>
        </w:rPr>
        <w:footnoteReference w:id="32"/>
      </w:r>
      <w:r w:rsidR="000D41FF">
        <w:rPr>
          <w:rFonts w:ascii="Arial" w:hAnsi="Arial" w:cs="Arial"/>
          <w:sz w:val="22"/>
          <w:szCs w:val="22"/>
        </w:rPr>
        <w:t xml:space="preserve"> however these effects are either not relevant or so small as to be negligible in this case.</w:t>
      </w:r>
      <w:r w:rsidR="00F8268B">
        <w:rPr>
          <w:rFonts w:ascii="Arial" w:hAnsi="Arial" w:cs="Arial"/>
          <w:sz w:val="22"/>
          <w:szCs w:val="22"/>
        </w:rPr>
        <w:t xml:space="preserve"> The most significant correction to be aware of when identifying days associated with solar declinations is that any British church built before 1752 was built to the Roman Julian calendar of 365.25 days per year, instead of the revised Gregorian calendar.</w:t>
      </w:r>
      <w:r w:rsidR="00F8268B">
        <w:rPr>
          <w:rStyle w:val="FootnoteReference"/>
          <w:rFonts w:ascii="Arial" w:hAnsi="Arial" w:cs="Arial"/>
          <w:sz w:val="22"/>
          <w:szCs w:val="22"/>
        </w:rPr>
        <w:footnoteReference w:id="33"/>
      </w:r>
      <w:r w:rsidR="00F8268B">
        <w:rPr>
          <w:rFonts w:ascii="Arial" w:hAnsi="Arial" w:cs="Arial"/>
          <w:sz w:val="22"/>
          <w:szCs w:val="22"/>
        </w:rPr>
        <w:t xml:space="preserve"> </w:t>
      </w:r>
    </w:p>
    <w:p w14:paraId="39F06F17" w14:textId="07675169" w:rsidR="002F4731" w:rsidRPr="001F56DB" w:rsidRDefault="00E43A04" w:rsidP="00755CD0">
      <w:pPr>
        <w:spacing w:after="0" w:line="240" w:lineRule="auto"/>
        <w:ind w:firstLine="720"/>
        <w:contextualSpacing/>
        <w:rPr>
          <w:rFonts w:ascii="Arial" w:hAnsi="Arial" w:cs="Arial"/>
          <w:sz w:val="22"/>
          <w:szCs w:val="22"/>
        </w:rPr>
      </w:pPr>
      <w:r>
        <w:rPr>
          <w:rFonts w:ascii="Arial" w:hAnsi="Arial" w:cs="Arial"/>
          <w:sz w:val="22"/>
          <w:szCs w:val="22"/>
        </w:rPr>
        <w:t>T</w:t>
      </w:r>
      <w:r w:rsidR="00755CD0">
        <w:rPr>
          <w:rFonts w:ascii="Arial" w:hAnsi="Arial" w:cs="Arial"/>
          <w:sz w:val="22"/>
          <w:szCs w:val="22"/>
        </w:rPr>
        <w:t>he church is located on the flood plain of the River Great Ouse, the surrounding landscape is relatively flat with low lying hills some distance away making the horizon altitude very small, this means a correction needs to be added due to atmospheric refraction. At very low altitudes, sunlight has to travel through more of the earth’s atmosphere to reach the observer, causing the light to be bent downwards and for the sun to appear higher up than it actually is</w:t>
      </w:r>
      <w:r>
        <w:rPr>
          <w:rFonts w:ascii="Arial" w:hAnsi="Arial" w:cs="Arial"/>
          <w:sz w:val="22"/>
          <w:szCs w:val="22"/>
        </w:rPr>
        <w:t xml:space="preserve"> and may cause an uncertainty in the declination as great as 0.5°</w:t>
      </w:r>
      <w:r w:rsidR="00755CD0">
        <w:rPr>
          <w:rFonts w:ascii="Arial" w:hAnsi="Arial" w:cs="Arial"/>
          <w:sz w:val="22"/>
          <w:szCs w:val="22"/>
        </w:rPr>
        <w:t>.</w:t>
      </w:r>
      <w:r w:rsidR="00B8755B">
        <w:rPr>
          <w:rStyle w:val="FootnoteReference"/>
          <w:rFonts w:ascii="Arial" w:hAnsi="Arial" w:cs="Arial"/>
          <w:sz w:val="22"/>
          <w:szCs w:val="22"/>
        </w:rPr>
        <w:footnoteReference w:id="34"/>
      </w:r>
      <w:r w:rsidR="00B8755B">
        <w:rPr>
          <w:rFonts w:ascii="Arial" w:hAnsi="Arial" w:cs="Arial"/>
          <w:sz w:val="22"/>
          <w:szCs w:val="22"/>
        </w:rPr>
        <w:t xml:space="preserve"> </w:t>
      </w:r>
      <w:r>
        <w:rPr>
          <w:rFonts w:ascii="Arial" w:hAnsi="Arial" w:cs="Arial"/>
          <w:sz w:val="22"/>
          <w:szCs w:val="22"/>
        </w:rPr>
        <w:t>An additional uncertainty arises because the sun is not a point object, but has a diameter of 0.5° and because we cannot know which limb of the sun the original builders used, an additional uncertainty of 0.25° is also included.</w:t>
      </w:r>
      <w:r>
        <w:rPr>
          <w:rStyle w:val="FootnoteReference"/>
          <w:rFonts w:ascii="Arial" w:hAnsi="Arial" w:cs="Arial"/>
          <w:sz w:val="22"/>
          <w:szCs w:val="22"/>
        </w:rPr>
        <w:footnoteReference w:id="35"/>
      </w:r>
      <w:r>
        <w:rPr>
          <w:rFonts w:ascii="Arial" w:hAnsi="Arial" w:cs="Arial"/>
          <w:sz w:val="22"/>
          <w:szCs w:val="22"/>
        </w:rPr>
        <w:t xml:space="preserve"> </w:t>
      </w:r>
    </w:p>
    <w:p w14:paraId="7EE5779D" w14:textId="21AAD581" w:rsidR="00994E1E" w:rsidRDefault="0089059D" w:rsidP="00994E1E">
      <w:pPr>
        <w:pStyle w:val="Heading1"/>
        <w:rPr>
          <w:sz w:val="28"/>
          <w:szCs w:val="28"/>
        </w:rPr>
      </w:pPr>
      <w:r>
        <w:rPr>
          <w:sz w:val="28"/>
          <w:szCs w:val="28"/>
        </w:rPr>
        <w:t>Results</w:t>
      </w:r>
    </w:p>
    <w:p w14:paraId="31CD7DB9" w14:textId="48E175E1" w:rsidR="00E43A04" w:rsidRDefault="003B4608" w:rsidP="00C708AC">
      <w:pPr>
        <w:spacing w:after="0" w:line="240" w:lineRule="auto"/>
        <w:contextualSpacing/>
        <w:rPr>
          <w:rFonts w:ascii="Arial" w:hAnsi="Arial" w:cs="Arial"/>
          <w:sz w:val="22"/>
          <w:szCs w:val="22"/>
        </w:rPr>
      </w:pPr>
      <w:r>
        <w:rPr>
          <w:rFonts w:ascii="Arial" w:hAnsi="Arial" w:cs="Arial"/>
          <w:sz w:val="22"/>
          <w:szCs w:val="22"/>
        </w:rPr>
        <w:t>St Guthlac’s church is located at latitude 52.047880°, longitude -0.863545°. On the day of the site visit, 9 April 2023, this location had a magnetic declination of 0.38° E ± 0.39°.</w:t>
      </w:r>
      <w:r w:rsidR="005E713E">
        <w:rPr>
          <w:rFonts w:ascii="Arial" w:hAnsi="Arial" w:cs="Arial"/>
          <w:sz w:val="22"/>
          <w:szCs w:val="22"/>
        </w:rPr>
        <w:t xml:space="preserve"> An eastern </w:t>
      </w:r>
      <w:r w:rsidR="00C708AC">
        <w:rPr>
          <w:rFonts w:ascii="Arial" w:hAnsi="Arial" w:cs="Arial"/>
          <w:sz w:val="22"/>
          <w:szCs w:val="22"/>
        </w:rPr>
        <w:t xml:space="preserve">magnetic </w:t>
      </w:r>
      <w:r w:rsidR="005E713E">
        <w:rPr>
          <w:rFonts w:ascii="Arial" w:hAnsi="Arial" w:cs="Arial"/>
          <w:sz w:val="22"/>
          <w:szCs w:val="22"/>
        </w:rPr>
        <w:t xml:space="preserve">declination must be added to a magnetic compass measurement to give the true azimuth. The </w:t>
      </w:r>
      <w:r w:rsidR="00C708AC">
        <w:rPr>
          <w:rFonts w:ascii="Arial" w:hAnsi="Arial" w:cs="Arial"/>
          <w:sz w:val="22"/>
          <w:szCs w:val="22"/>
        </w:rPr>
        <w:t>compass measurement of the church along its orientation was found</w:t>
      </w:r>
      <w:r w:rsidR="005E713E">
        <w:rPr>
          <w:rFonts w:ascii="Arial" w:hAnsi="Arial" w:cs="Arial"/>
          <w:sz w:val="22"/>
          <w:szCs w:val="22"/>
        </w:rPr>
        <w:t xml:space="preserve"> to be 74° ± 1°</w:t>
      </w:r>
      <w:r w:rsidR="00C708AC">
        <w:rPr>
          <w:rFonts w:ascii="Arial" w:hAnsi="Arial" w:cs="Arial"/>
          <w:sz w:val="22"/>
          <w:szCs w:val="22"/>
        </w:rPr>
        <w:t>, giving an azimuth of 74.38° ± 1.39°.</w:t>
      </w:r>
      <w:r w:rsidR="005231DB">
        <w:rPr>
          <w:rFonts w:ascii="Arial" w:hAnsi="Arial" w:cs="Arial"/>
          <w:sz w:val="22"/>
          <w:szCs w:val="22"/>
        </w:rPr>
        <w:t xml:space="preserve"> Google Earth Pro confirmed this result with an average measurement along the church’s roof ridge of 75.20°</w:t>
      </w:r>
      <w:r w:rsidR="00197AAE">
        <w:rPr>
          <w:rFonts w:ascii="Arial" w:hAnsi="Arial" w:cs="Arial"/>
          <w:sz w:val="22"/>
          <w:szCs w:val="22"/>
        </w:rPr>
        <w:t>.</w:t>
      </w:r>
    </w:p>
    <w:p w14:paraId="2B24A533" w14:textId="699593E7" w:rsidR="00C708AC" w:rsidRDefault="00E60653" w:rsidP="00EF7CC5">
      <w:pPr>
        <w:spacing w:before="240" w:after="0" w:line="240" w:lineRule="auto"/>
        <w:ind w:firstLine="720"/>
        <w:contextualSpacing/>
        <w:rPr>
          <w:rFonts w:ascii="Arial" w:hAnsi="Arial" w:cs="Arial"/>
          <w:sz w:val="22"/>
          <w:szCs w:val="22"/>
        </w:rPr>
      </w:pPr>
      <w:r>
        <w:rPr>
          <w:rFonts w:ascii="Arial" w:hAnsi="Arial" w:cs="Arial"/>
          <w:sz w:val="22"/>
          <w:szCs w:val="22"/>
        </w:rPr>
        <w:lastRenderedPageBreak/>
        <w:t>Entering the values for the latitude and longitude</w:t>
      </w:r>
      <w:r w:rsidR="00197AAE">
        <w:rPr>
          <w:rFonts w:ascii="Arial" w:hAnsi="Arial" w:cs="Arial"/>
          <w:sz w:val="22"/>
          <w:szCs w:val="22"/>
        </w:rPr>
        <w:t xml:space="preserve"> and selecting for an azimuth of 7</w:t>
      </w:r>
      <w:r w:rsidR="00FB7923">
        <w:rPr>
          <w:rFonts w:ascii="Arial" w:hAnsi="Arial" w:cs="Arial"/>
          <w:sz w:val="22"/>
          <w:szCs w:val="22"/>
        </w:rPr>
        <w:t>4</w:t>
      </w:r>
      <w:r w:rsidR="00197AAE">
        <w:rPr>
          <w:rFonts w:ascii="Arial" w:hAnsi="Arial" w:cs="Arial"/>
          <w:sz w:val="22"/>
          <w:szCs w:val="22"/>
        </w:rPr>
        <w:t>°</w:t>
      </w:r>
      <w:r>
        <w:rPr>
          <w:rFonts w:ascii="Arial" w:hAnsi="Arial" w:cs="Arial"/>
          <w:sz w:val="22"/>
          <w:szCs w:val="22"/>
        </w:rPr>
        <w:t xml:space="preserve"> </w:t>
      </w:r>
      <w:r w:rsidR="00FB7923">
        <w:rPr>
          <w:rFonts w:ascii="Arial" w:hAnsi="Arial" w:cs="Arial"/>
          <w:sz w:val="22"/>
          <w:szCs w:val="22"/>
        </w:rPr>
        <w:t xml:space="preserve">(more precise values cannot be selecting in HeyWhatsThat) </w:t>
      </w:r>
      <w:r>
        <w:rPr>
          <w:rFonts w:ascii="Arial" w:hAnsi="Arial" w:cs="Arial"/>
          <w:sz w:val="22"/>
          <w:szCs w:val="22"/>
        </w:rPr>
        <w:t>produces diagrams</w:t>
      </w:r>
      <w:r w:rsidR="00EF7CC5">
        <w:rPr>
          <w:rFonts w:ascii="Arial" w:hAnsi="Arial" w:cs="Arial"/>
          <w:sz w:val="22"/>
          <w:szCs w:val="22"/>
        </w:rPr>
        <w:t xml:space="preserve"> </w:t>
      </w:r>
      <w:r>
        <w:rPr>
          <w:rFonts w:ascii="Arial" w:hAnsi="Arial" w:cs="Arial"/>
          <w:sz w:val="22"/>
          <w:szCs w:val="22"/>
        </w:rPr>
        <w:t xml:space="preserve">showing the horizon altitude and the elevation above sea level along the line of sight of the </w:t>
      </w:r>
      <w:r w:rsidR="00197AAE">
        <w:rPr>
          <w:rFonts w:ascii="Arial" w:hAnsi="Arial" w:cs="Arial"/>
          <w:sz w:val="22"/>
          <w:szCs w:val="22"/>
        </w:rPr>
        <w:t>azimuth</w:t>
      </w:r>
      <w:r w:rsidR="00EF7CC5">
        <w:rPr>
          <w:rFonts w:ascii="Arial" w:hAnsi="Arial" w:cs="Arial"/>
          <w:sz w:val="22"/>
          <w:szCs w:val="22"/>
        </w:rPr>
        <w:t xml:space="preserve"> (Fig.2)</w:t>
      </w:r>
      <w:r w:rsidR="00197AAE">
        <w:rPr>
          <w:rFonts w:ascii="Arial" w:hAnsi="Arial" w:cs="Arial"/>
          <w:sz w:val="22"/>
          <w:szCs w:val="22"/>
        </w:rPr>
        <w:t xml:space="preserve">; and </w:t>
      </w:r>
      <w:r w:rsidR="00EF7CC5">
        <w:rPr>
          <w:rFonts w:ascii="Arial" w:hAnsi="Arial" w:cs="Arial"/>
          <w:sz w:val="22"/>
          <w:szCs w:val="22"/>
        </w:rPr>
        <w:t>another</w:t>
      </w:r>
      <w:r w:rsidR="00197AAE">
        <w:rPr>
          <w:rFonts w:ascii="Arial" w:hAnsi="Arial" w:cs="Arial"/>
          <w:sz w:val="22"/>
          <w:szCs w:val="22"/>
        </w:rPr>
        <w:t xml:space="preserve"> </w:t>
      </w:r>
      <w:r w:rsidR="00EF7CC5">
        <w:rPr>
          <w:rFonts w:ascii="Arial" w:hAnsi="Arial" w:cs="Arial"/>
          <w:sz w:val="22"/>
          <w:szCs w:val="22"/>
        </w:rPr>
        <w:t xml:space="preserve">diagram </w:t>
      </w:r>
      <w:r w:rsidR="00197AAE">
        <w:rPr>
          <w:rFonts w:ascii="Arial" w:hAnsi="Arial" w:cs="Arial"/>
          <w:sz w:val="22"/>
          <w:szCs w:val="22"/>
        </w:rPr>
        <w:t>showing in red the surrounding area that is visible from the site itself</w:t>
      </w:r>
      <w:r w:rsidR="00EF7CC5">
        <w:rPr>
          <w:rFonts w:ascii="Arial" w:hAnsi="Arial" w:cs="Arial"/>
          <w:sz w:val="22"/>
          <w:szCs w:val="22"/>
        </w:rPr>
        <w:t xml:space="preserve"> (Fig.3)</w:t>
      </w:r>
      <w:r w:rsidR="00197AAE">
        <w:rPr>
          <w:rFonts w:ascii="Arial" w:hAnsi="Arial" w:cs="Arial"/>
          <w:sz w:val="22"/>
          <w:szCs w:val="22"/>
        </w:rPr>
        <w:t>.</w:t>
      </w:r>
    </w:p>
    <w:p w14:paraId="6BB4BBB6" w14:textId="0F922F07" w:rsidR="00197AAE" w:rsidRDefault="00197AAE" w:rsidP="00E43A04">
      <w:pPr>
        <w:spacing w:after="0" w:line="240" w:lineRule="auto"/>
        <w:ind w:firstLine="720"/>
        <w:contextualSpacing/>
        <w:rPr>
          <w:rFonts w:ascii="Arial" w:hAnsi="Arial" w:cs="Arial"/>
          <w:sz w:val="22"/>
          <w:szCs w:val="22"/>
        </w:rPr>
      </w:pPr>
    </w:p>
    <w:p w14:paraId="31645DE5" w14:textId="77777777" w:rsidR="00EF7CC5" w:rsidRDefault="00197AAE" w:rsidP="00EF7CC5">
      <w:pPr>
        <w:keepNext/>
        <w:spacing w:after="0" w:line="240" w:lineRule="auto"/>
        <w:ind w:firstLine="720"/>
        <w:contextualSpacing/>
      </w:pPr>
      <w:r>
        <w:rPr>
          <w:rFonts w:ascii="Arial" w:hAnsi="Arial" w:cs="Arial"/>
          <w:noProof/>
          <w:sz w:val="22"/>
          <w:szCs w:val="22"/>
        </w:rPr>
        <w:drawing>
          <wp:inline distT="0" distB="0" distL="0" distR="0" wp14:anchorId="7436BF16" wp14:editId="0CE9C283">
            <wp:extent cx="5490210" cy="272034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90210" cy="2720340"/>
                    </a:xfrm>
                    <a:prstGeom prst="rect">
                      <a:avLst/>
                    </a:prstGeom>
                  </pic:spPr>
                </pic:pic>
              </a:graphicData>
            </a:graphic>
          </wp:inline>
        </w:drawing>
      </w:r>
    </w:p>
    <w:p w14:paraId="7272D575" w14:textId="41BCAFF7" w:rsidR="00EF7CC5" w:rsidRPr="00EF7CC5" w:rsidRDefault="00EF7CC5" w:rsidP="00EF7CC5">
      <w:pPr>
        <w:pStyle w:val="Caption"/>
        <w:rPr>
          <w:rFonts w:ascii="Arial" w:hAnsi="Arial" w:cs="Arial"/>
          <w:i w:val="0"/>
          <w:iCs w:val="0"/>
        </w:rPr>
      </w:pPr>
      <w:r w:rsidRPr="00EF7CC5">
        <w:rPr>
          <w:rFonts w:ascii="Arial" w:hAnsi="Arial" w:cs="Arial"/>
          <w:i w:val="0"/>
          <w:iCs w:val="0"/>
        </w:rPr>
        <w:t xml:space="preserve">Figure </w:t>
      </w:r>
      <w:r w:rsidRPr="00EF7CC5">
        <w:rPr>
          <w:rFonts w:ascii="Arial" w:hAnsi="Arial" w:cs="Arial"/>
          <w:i w:val="0"/>
          <w:iCs w:val="0"/>
        </w:rPr>
        <w:fldChar w:fldCharType="begin"/>
      </w:r>
      <w:r w:rsidRPr="00EF7CC5">
        <w:rPr>
          <w:rFonts w:ascii="Arial" w:hAnsi="Arial" w:cs="Arial"/>
          <w:i w:val="0"/>
          <w:iCs w:val="0"/>
        </w:rPr>
        <w:instrText xml:space="preserve"> SEQ Figure \* ARABIC </w:instrText>
      </w:r>
      <w:r w:rsidRPr="00EF7CC5">
        <w:rPr>
          <w:rFonts w:ascii="Arial" w:hAnsi="Arial" w:cs="Arial"/>
          <w:i w:val="0"/>
          <w:iCs w:val="0"/>
        </w:rPr>
        <w:fldChar w:fldCharType="separate"/>
      </w:r>
      <w:r w:rsidR="002C36BA">
        <w:rPr>
          <w:rFonts w:ascii="Arial" w:hAnsi="Arial" w:cs="Arial"/>
          <w:i w:val="0"/>
          <w:iCs w:val="0"/>
          <w:noProof/>
        </w:rPr>
        <w:t>2</w:t>
      </w:r>
      <w:r w:rsidRPr="00EF7CC5">
        <w:rPr>
          <w:rFonts w:ascii="Arial" w:hAnsi="Arial" w:cs="Arial"/>
          <w:i w:val="0"/>
          <w:iCs w:val="0"/>
        </w:rPr>
        <w:fldChar w:fldCharType="end"/>
      </w:r>
      <w:r w:rsidRPr="00EF7CC5">
        <w:rPr>
          <w:rFonts w:ascii="Arial" w:hAnsi="Arial" w:cs="Arial"/>
          <w:i w:val="0"/>
          <w:iCs w:val="0"/>
        </w:rPr>
        <w:t xml:space="preserve">. </w:t>
      </w:r>
      <w:r>
        <w:rPr>
          <w:rFonts w:ascii="Arial" w:hAnsi="Arial" w:cs="Arial"/>
          <w:i w:val="0"/>
          <w:iCs w:val="0"/>
        </w:rPr>
        <w:t>H</w:t>
      </w:r>
      <w:r w:rsidRPr="00EF7CC5">
        <w:rPr>
          <w:rFonts w:ascii="Arial" w:hAnsi="Arial" w:cs="Arial"/>
          <w:i w:val="0"/>
          <w:iCs w:val="0"/>
        </w:rPr>
        <w:t>orizon altitude</w:t>
      </w:r>
      <w:r>
        <w:rPr>
          <w:rFonts w:ascii="Arial" w:hAnsi="Arial" w:cs="Arial"/>
          <w:i w:val="0"/>
          <w:iCs w:val="0"/>
        </w:rPr>
        <w:t xml:space="preserve"> surrounding St. Guthlac’s church</w:t>
      </w:r>
      <w:r w:rsidRPr="00EF7CC5">
        <w:rPr>
          <w:rFonts w:ascii="Arial" w:hAnsi="Arial" w:cs="Arial"/>
          <w:i w:val="0"/>
          <w:iCs w:val="0"/>
        </w:rPr>
        <w:t xml:space="preserve"> (above) and the elevation above sea level along the line of sight of the azimuth (below)</w:t>
      </w:r>
      <w:r>
        <w:rPr>
          <w:rFonts w:ascii="Arial" w:hAnsi="Arial" w:cs="Arial"/>
          <w:i w:val="0"/>
          <w:iCs w:val="0"/>
        </w:rPr>
        <w:t xml:space="preserve">. </w:t>
      </w:r>
      <w:r w:rsidRPr="00EF7CC5">
        <w:rPr>
          <w:rFonts w:ascii="Arial" w:hAnsi="Arial" w:cs="Arial"/>
        </w:rPr>
        <w:t>Image</w:t>
      </w:r>
      <w:r w:rsidRPr="00EF7CC5">
        <w:rPr>
          <w:rFonts w:ascii="Arial" w:hAnsi="Arial" w:cs="Arial"/>
          <w:i w:val="0"/>
          <w:iCs w:val="0"/>
        </w:rPr>
        <w:t>: HeyWhatsThat.</w:t>
      </w:r>
    </w:p>
    <w:p w14:paraId="7622E765" w14:textId="77131047" w:rsidR="00197AAE" w:rsidRDefault="00197AAE" w:rsidP="00E43A04">
      <w:pPr>
        <w:spacing w:after="0" w:line="240" w:lineRule="auto"/>
        <w:ind w:firstLine="720"/>
        <w:contextualSpacing/>
        <w:rPr>
          <w:rFonts w:ascii="Arial" w:hAnsi="Arial" w:cs="Arial"/>
          <w:sz w:val="22"/>
          <w:szCs w:val="22"/>
        </w:rPr>
      </w:pPr>
    </w:p>
    <w:p w14:paraId="204A6095" w14:textId="6067E7D4" w:rsidR="00197AAE" w:rsidRDefault="00197AAE" w:rsidP="00E43A04">
      <w:pPr>
        <w:spacing w:after="0" w:line="240" w:lineRule="auto"/>
        <w:ind w:firstLine="720"/>
        <w:contextualSpacing/>
        <w:rPr>
          <w:rFonts w:ascii="Arial" w:hAnsi="Arial" w:cs="Arial"/>
          <w:sz w:val="22"/>
          <w:szCs w:val="22"/>
        </w:rPr>
      </w:pPr>
    </w:p>
    <w:p w14:paraId="2CCEC9EA" w14:textId="77777777" w:rsidR="00EF7CC5" w:rsidRDefault="00197AAE" w:rsidP="00EF7CC5">
      <w:pPr>
        <w:keepNext/>
        <w:spacing w:after="0" w:line="240" w:lineRule="auto"/>
        <w:ind w:firstLine="720"/>
        <w:contextualSpacing/>
      </w:pPr>
      <w:r>
        <w:rPr>
          <w:rFonts w:ascii="Arial" w:hAnsi="Arial" w:cs="Arial"/>
          <w:noProof/>
          <w:sz w:val="22"/>
          <w:szCs w:val="22"/>
        </w:rPr>
        <w:drawing>
          <wp:inline distT="0" distB="0" distL="0" distR="0" wp14:anchorId="001A475A" wp14:editId="2FE0629B">
            <wp:extent cx="5490210" cy="3143250"/>
            <wp:effectExtent l="0" t="0" r="0" b="0"/>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90210" cy="3143250"/>
                    </a:xfrm>
                    <a:prstGeom prst="rect">
                      <a:avLst/>
                    </a:prstGeom>
                  </pic:spPr>
                </pic:pic>
              </a:graphicData>
            </a:graphic>
          </wp:inline>
        </w:drawing>
      </w:r>
    </w:p>
    <w:p w14:paraId="0D359699" w14:textId="334728F3" w:rsidR="00197AAE" w:rsidRPr="00EF7CC5" w:rsidRDefault="00EF7CC5" w:rsidP="00EF7CC5">
      <w:pPr>
        <w:pStyle w:val="Caption"/>
        <w:rPr>
          <w:rFonts w:ascii="Arial" w:hAnsi="Arial" w:cs="Arial"/>
          <w:i w:val="0"/>
          <w:iCs w:val="0"/>
        </w:rPr>
      </w:pPr>
      <w:r w:rsidRPr="00EF7CC5">
        <w:rPr>
          <w:rFonts w:ascii="Arial" w:hAnsi="Arial" w:cs="Arial"/>
          <w:i w:val="0"/>
          <w:iCs w:val="0"/>
        </w:rPr>
        <w:t xml:space="preserve">Figure </w:t>
      </w:r>
      <w:r w:rsidRPr="00EF7CC5">
        <w:rPr>
          <w:rFonts w:ascii="Arial" w:hAnsi="Arial" w:cs="Arial"/>
          <w:i w:val="0"/>
          <w:iCs w:val="0"/>
        </w:rPr>
        <w:fldChar w:fldCharType="begin"/>
      </w:r>
      <w:r w:rsidRPr="00EF7CC5">
        <w:rPr>
          <w:rFonts w:ascii="Arial" w:hAnsi="Arial" w:cs="Arial"/>
          <w:i w:val="0"/>
          <w:iCs w:val="0"/>
        </w:rPr>
        <w:instrText xml:space="preserve"> SEQ Figure \* ARABIC </w:instrText>
      </w:r>
      <w:r w:rsidRPr="00EF7CC5">
        <w:rPr>
          <w:rFonts w:ascii="Arial" w:hAnsi="Arial" w:cs="Arial"/>
          <w:i w:val="0"/>
          <w:iCs w:val="0"/>
        </w:rPr>
        <w:fldChar w:fldCharType="separate"/>
      </w:r>
      <w:r w:rsidR="002C36BA">
        <w:rPr>
          <w:rFonts w:ascii="Arial" w:hAnsi="Arial" w:cs="Arial"/>
          <w:i w:val="0"/>
          <w:iCs w:val="0"/>
          <w:noProof/>
        </w:rPr>
        <w:t>3</w:t>
      </w:r>
      <w:r w:rsidRPr="00EF7CC5">
        <w:rPr>
          <w:rFonts w:ascii="Arial" w:hAnsi="Arial" w:cs="Arial"/>
          <w:i w:val="0"/>
          <w:iCs w:val="0"/>
        </w:rPr>
        <w:fldChar w:fldCharType="end"/>
      </w:r>
      <w:r w:rsidRPr="00EF7CC5">
        <w:rPr>
          <w:rFonts w:ascii="Arial" w:hAnsi="Arial" w:cs="Arial"/>
          <w:i w:val="0"/>
          <w:iCs w:val="0"/>
        </w:rPr>
        <w:t xml:space="preserve">. </w:t>
      </w:r>
      <w:r>
        <w:rPr>
          <w:rFonts w:ascii="Arial" w:hAnsi="Arial" w:cs="Arial"/>
          <w:i w:val="0"/>
          <w:iCs w:val="0"/>
        </w:rPr>
        <w:t>HeyWhatsThat layers a visibility cloak (shown here in red) around the desired location (the church, shown here by a purple cross) displaying the surrounding countryside that is visible from it. The azimuth line from the church is shown in green</w:t>
      </w:r>
      <w:r w:rsidR="001B1179">
        <w:rPr>
          <w:rFonts w:ascii="Arial" w:hAnsi="Arial" w:cs="Arial"/>
          <w:i w:val="0"/>
          <w:iCs w:val="0"/>
        </w:rPr>
        <w:t>, terminating at the</w:t>
      </w:r>
      <w:r>
        <w:rPr>
          <w:rFonts w:ascii="Arial" w:hAnsi="Arial" w:cs="Arial"/>
          <w:i w:val="0"/>
          <w:iCs w:val="0"/>
        </w:rPr>
        <w:t xml:space="preserve"> black cross. </w:t>
      </w:r>
      <w:r w:rsidR="00B51E4B">
        <w:rPr>
          <w:rFonts w:ascii="Arial" w:hAnsi="Arial" w:cs="Arial"/>
          <w:i w:val="0"/>
          <w:iCs w:val="0"/>
        </w:rPr>
        <w:t xml:space="preserve">Note that the black cross is positioned just south of Watling Street. </w:t>
      </w:r>
      <w:r w:rsidRPr="00EF7CC5">
        <w:rPr>
          <w:rFonts w:ascii="Arial" w:hAnsi="Arial" w:cs="Arial"/>
        </w:rPr>
        <w:t>Image</w:t>
      </w:r>
      <w:r w:rsidRPr="00EF7CC5">
        <w:rPr>
          <w:rFonts w:ascii="Arial" w:hAnsi="Arial" w:cs="Arial"/>
          <w:i w:val="0"/>
          <w:iCs w:val="0"/>
        </w:rPr>
        <w:t>: HeyWhatsThat.</w:t>
      </w:r>
    </w:p>
    <w:p w14:paraId="2F259F8E" w14:textId="5166E5D9" w:rsidR="00197AAE" w:rsidRDefault="00197AAE" w:rsidP="00E43A04">
      <w:pPr>
        <w:spacing w:after="0" w:line="240" w:lineRule="auto"/>
        <w:ind w:firstLine="720"/>
        <w:contextualSpacing/>
        <w:rPr>
          <w:rFonts w:ascii="Arial" w:hAnsi="Arial" w:cs="Arial"/>
          <w:sz w:val="22"/>
          <w:szCs w:val="22"/>
        </w:rPr>
      </w:pPr>
    </w:p>
    <w:p w14:paraId="01826F37" w14:textId="74204F6C" w:rsidR="00197AAE" w:rsidRPr="00E43A04" w:rsidRDefault="00197AAE" w:rsidP="007A43E3">
      <w:pPr>
        <w:spacing w:after="0" w:line="240" w:lineRule="auto"/>
        <w:contextualSpacing/>
        <w:rPr>
          <w:rFonts w:ascii="Arial" w:hAnsi="Arial" w:cs="Arial"/>
          <w:sz w:val="22"/>
          <w:szCs w:val="22"/>
        </w:rPr>
      </w:pPr>
      <w:r>
        <w:rPr>
          <w:rFonts w:ascii="Arial" w:hAnsi="Arial" w:cs="Arial"/>
          <w:sz w:val="22"/>
          <w:szCs w:val="22"/>
        </w:rPr>
        <w:t>According to HeyWhatsThat, the horizon altitude at an azimuth of 7</w:t>
      </w:r>
      <w:r w:rsidR="00FB7923">
        <w:rPr>
          <w:rFonts w:ascii="Arial" w:hAnsi="Arial" w:cs="Arial"/>
          <w:sz w:val="22"/>
          <w:szCs w:val="22"/>
        </w:rPr>
        <w:t>4</w:t>
      </w:r>
      <w:r>
        <w:rPr>
          <w:rFonts w:ascii="Arial" w:hAnsi="Arial" w:cs="Arial"/>
          <w:sz w:val="22"/>
          <w:szCs w:val="22"/>
        </w:rPr>
        <w:t>° is 0.</w:t>
      </w:r>
      <w:r w:rsidR="00FB7923">
        <w:rPr>
          <w:rFonts w:ascii="Arial" w:hAnsi="Arial" w:cs="Arial"/>
          <w:sz w:val="22"/>
          <w:szCs w:val="22"/>
        </w:rPr>
        <w:t>60</w:t>
      </w:r>
      <w:r>
        <w:rPr>
          <w:rFonts w:ascii="Arial" w:hAnsi="Arial" w:cs="Arial"/>
          <w:sz w:val="22"/>
          <w:szCs w:val="22"/>
        </w:rPr>
        <w:t>°.</w:t>
      </w:r>
      <w:r w:rsidR="00FB7923">
        <w:rPr>
          <w:rFonts w:ascii="Arial" w:hAnsi="Arial" w:cs="Arial"/>
          <w:sz w:val="22"/>
          <w:szCs w:val="22"/>
        </w:rPr>
        <w:t xml:space="preserve"> This gives a declination </w:t>
      </w:r>
      <w:r w:rsidR="004C777E">
        <w:rPr>
          <w:rFonts w:ascii="Arial" w:hAnsi="Arial" w:cs="Arial"/>
          <w:sz w:val="22"/>
          <w:szCs w:val="22"/>
        </w:rPr>
        <w:t xml:space="preserve">of </w:t>
      </w:r>
      <w:r w:rsidR="00FB7923">
        <w:rPr>
          <w:rFonts w:ascii="Arial" w:hAnsi="Arial" w:cs="Arial"/>
          <w:sz w:val="22"/>
          <w:szCs w:val="22"/>
        </w:rPr>
        <w:t>10.01° ± 2.14°.</w:t>
      </w:r>
    </w:p>
    <w:p w14:paraId="08D586B0" w14:textId="0D382118" w:rsidR="00994E1E" w:rsidRDefault="0089059D" w:rsidP="00994E1E">
      <w:pPr>
        <w:pStyle w:val="Heading1"/>
        <w:rPr>
          <w:sz w:val="28"/>
          <w:szCs w:val="28"/>
        </w:rPr>
      </w:pPr>
      <w:r>
        <w:rPr>
          <w:sz w:val="28"/>
          <w:szCs w:val="28"/>
        </w:rPr>
        <w:lastRenderedPageBreak/>
        <w:t>Interpretation of Celestial Information</w:t>
      </w:r>
    </w:p>
    <w:p w14:paraId="1CF55643" w14:textId="502C2A3B" w:rsidR="007A43E3" w:rsidRDefault="007A43E3" w:rsidP="007A43E3">
      <w:pPr>
        <w:spacing w:after="0" w:line="240" w:lineRule="auto"/>
        <w:contextualSpacing/>
        <w:rPr>
          <w:rFonts w:ascii="Arial" w:hAnsi="Arial" w:cs="Arial"/>
          <w:sz w:val="22"/>
          <w:szCs w:val="22"/>
        </w:rPr>
      </w:pPr>
      <w:r w:rsidRPr="007A43E3">
        <w:rPr>
          <w:rFonts w:ascii="Arial" w:hAnsi="Arial" w:cs="Arial"/>
          <w:sz w:val="22"/>
          <w:szCs w:val="22"/>
        </w:rPr>
        <w:t>T</w:t>
      </w:r>
      <w:r w:rsidR="00526D66">
        <w:rPr>
          <w:rFonts w:ascii="Arial" w:hAnsi="Arial" w:cs="Arial"/>
          <w:sz w:val="22"/>
          <w:szCs w:val="22"/>
        </w:rPr>
        <w:t xml:space="preserve">he solar declination varies throughout the course of a year. </w:t>
      </w:r>
      <w:r w:rsidR="004C777E">
        <w:rPr>
          <w:rFonts w:ascii="Arial" w:hAnsi="Arial" w:cs="Arial"/>
          <w:sz w:val="22"/>
          <w:szCs w:val="22"/>
        </w:rPr>
        <w:t>According to the Reference Tables for Skyscape Archaeology provided by Fabio Silva,</w:t>
      </w:r>
      <w:r w:rsidR="004C777E">
        <w:rPr>
          <w:rStyle w:val="FootnoteReference"/>
          <w:rFonts w:ascii="Arial" w:hAnsi="Arial" w:cs="Arial"/>
          <w:sz w:val="22"/>
          <w:szCs w:val="22"/>
        </w:rPr>
        <w:footnoteReference w:id="36"/>
      </w:r>
      <w:r w:rsidR="004C777E">
        <w:rPr>
          <w:rFonts w:ascii="Arial" w:hAnsi="Arial" w:cs="Arial"/>
          <w:sz w:val="22"/>
          <w:szCs w:val="22"/>
        </w:rPr>
        <w:t xml:space="preserve"> in 2000 C</w:t>
      </w:r>
      <w:r w:rsidR="0097302F">
        <w:rPr>
          <w:rFonts w:ascii="Arial" w:hAnsi="Arial" w:cs="Arial"/>
          <w:sz w:val="22"/>
          <w:szCs w:val="22"/>
        </w:rPr>
        <w:t>.</w:t>
      </w:r>
      <w:r w:rsidR="004C777E">
        <w:rPr>
          <w:rFonts w:ascii="Arial" w:hAnsi="Arial" w:cs="Arial"/>
          <w:sz w:val="22"/>
          <w:szCs w:val="22"/>
        </w:rPr>
        <w:t>E</w:t>
      </w:r>
      <w:r w:rsidR="0097302F">
        <w:rPr>
          <w:rFonts w:ascii="Arial" w:hAnsi="Arial" w:cs="Arial"/>
          <w:sz w:val="22"/>
          <w:szCs w:val="22"/>
        </w:rPr>
        <w:t>.</w:t>
      </w:r>
      <w:r w:rsidR="004C777E">
        <w:rPr>
          <w:rFonts w:ascii="Arial" w:hAnsi="Arial" w:cs="Arial"/>
          <w:sz w:val="22"/>
          <w:szCs w:val="22"/>
        </w:rPr>
        <w:t xml:space="preserve"> the sun had a declination of 10.01° ± 2.14° on 15-16 April ± 5 days and on 26-27 August ± 5 days.</w:t>
      </w:r>
    </w:p>
    <w:p w14:paraId="35D9B88C" w14:textId="183EF4F3" w:rsidR="007A43E3" w:rsidRPr="007A43E3" w:rsidRDefault="001F0254" w:rsidP="007A43E3">
      <w:pPr>
        <w:spacing w:after="0" w:line="240" w:lineRule="auto"/>
        <w:ind w:firstLine="720"/>
        <w:contextualSpacing/>
        <w:rPr>
          <w:rFonts w:ascii="Arial" w:hAnsi="Arial" w:cs="Arial"/>
          <w:sz w:val="22"/>
          <w:szCs w:val="22"/>
        </w:rPr>
      </w:pPr>
      <w:r>
        <w:rPr>
          <w:rFonts w:ascii="Arial" w:hAnsi="Arial" w:cs="Arial"/>
          <w:sz w:val="22"/>
          <w:szCs w:val="22"/>
        </w:rPr>
        <w:t>However</w:t>
      </w:r>
      <w:r w:rsidR="00093B9F">
        <w:rPr>
          <w:rFonts w:ascii="Arial" w:hAnsi="Arial" w:cs="Arial"/>
          <w:sz w:val="22"/>
          <w:szCs w:val="22"/>
        </w:rPr>
        <w:t>,</w:t>
      </w:r>
      <w:r>
        <w:rPr>
          <w:rFonts w:ascii="Arial" w:hAnsi="Arial" w:cs="Arial"/>
          <w:sz w:val="22"/>
          <w:szCs w:val="22"/>
        </w:rPr>
        <w:t xml:space="preserve"> by the time of the </w:t>
      </w:r>
      <w:r w:rsidR="0097302F">
        <w:rPr>
          <w:rFonts w:ascii="Arial" w:hAnsi="Arial" w:cs="Arial"/>
          <w:sz w:val="22"/>
          <w:szCs w:val="22"/>
        </w:rPr>
        <w:t>ninth</w:t>
      </w:r>
      <w:r>
        <w:rPr>
          <w:rFonts w:ascii="Arial" w:hAnsi="Arial" w:cs="Arial"/>
          <w:sz w:val="22"/>
          <w:szCs w:val="22"/>
        </w:rPr>
        <w:t xml:space="preserve"> century, the Julian calendar was out of sync with the solar year by 4 days</w:t>
      </w:r>
      <w:r w:rsidR="00093B9F">
        <w:rPr>
          <w:rStyle w:val="FootnoteReference"/>
          <w:rFonts w:ascii="Arial" w:hAnsi="Arial" w:cs="Arial"/>
          <w:sz w:val="22"/>
          <w:szCs w:val="22"/>
        </w:rPr>
        <w:footnoteReference w:id="37"/>
      </w:r>
      <w:r>
        <w:rPr>
          <w:rFonts w:ascii="Arial" w:hAnsi="Arial" w:cs="Arial"/>
          <w:sz w:val="22"/>
          <w:szCs w:val="22"/>
        </w:rPr>
        <w:t xml:space="preserve"> and it is thought that St Guthlac’s </w:t>
      </w:r>
      <w:r w:rsidR="00093B9F">
        <w:rPr>
          <w:rFonts w:ascii="Arial" w:hAnsi="Arial" w:cs="Arial"/>
          <w:sz w:val="22"/>
          <w:szCs w:val="22"/>
        </w:rPr>
        <w:t xml:space="preserve">was built in the </w:t>
      </w:r>
      <w:r w:rsidR="0097302F">
        <w:rPr>
          <w:rFonts w:ascii="Arial" w:hAnsi="Arial" w:cs="Arial"/>
          <w:sz w:val="22"/>
          <w:szCs w:val="22"/>
        </w:rPr>
        <w:t>tenth</w:t>
      </w:r>
      <w:r w:rsidR="00093B9F">
        <w:rPr>
          <w:rFonts w:ascii="Arial" w:hAnsi="Arial" w:cs="Arial"/>
          <w:sz w:val="22"/>
          <w:szCs w:val="22"/>
        </w:rPr>
        <w:t xml:space="preserve"> century. Hence it is necessary to convert the modern dates into Julian dates for 921 C</w:t>
      </w:r>
      <w:r w:rsidR="009B0A98">
        <w:rPr>
          <w:rFonts w:ascii="Arial" w:hAnsi="Arial" w:cs="Arial"/>
          <w:sz w:val="22"/>
          <w:szCs w:val="22"/>
        </w:rPr>
        <w:t>.</w:t>
      </w:r>
      <w:r w:rsidR="00093B9F">
        <w:rPr>
          <w:rFonts w:ascii="Arial" w:hAnsi="Arial" w:cs="Arial"/>
          <w:sz w:val="22"/>
          <w:szCs w:val="22"/>
        </w:rPr>
        <w:t>E</w:t>
      </w:r>
      <w:r w:rsidR="009B0A98">
        <w:rPr>
          <w:rFonts w:ascii="Arial" w:hAnsi="Arial" w:cs="Arial"/>
          <w:sz w:val="22"/>
          <w:szCs w:val="22"/>
        </w:rPr>
        <w:t>.</w:t>
      </w:r>
      <w:r w:rsidR="00093B9F">
        <w:rPr>
          <w:rFonts w:ascii="Arial" w:hAnsi="Arial" w:cs="Arial"/>
          <w:sz w:val="22"/>
          <w:szCs w:val="22"/>
        </w:rPr>
        <w:t>, which gives a solar declination of 10.01° the revised dates of 10-11 April and 21-22 August.</w:t>
      </w:r>
      <w:r w:rsidR="00093B9F">
        <w:rPr>
          <w:rStyle w:val="FootnoteReference"/>
          <w:rFonts w:ascii="Arial" w:hAnsi="Arial" w:cs="Arial"/>
          <w:sz w:val="22"/>
          <w:szCs w:val="22"/>
        </w:rPr>
        <w:footnoteReference w:id="38"/>
      </w:r>
      <w:r w:rsidR="00093B9F">
        <w:rPr>
          <w:rFonts w:ascii="Arial" w:hAnsi="Arial" w:cs="Arial"/>
          <w:sz w:val="22"/>
          <w:szCs w:val="22"/>
        </w:rPr>
        <w:t xml:space="preserve"> The feast day for St. Guthlac falls on 11 April.</w:t>
      </w:r>
    </w:p>
    <w:p w14:paraId="087095C0" w14:textId="1814ADCE" w:rsidR="0089059D" w:rsidRDefault="0089059D" w:rsidP="00994E1E">
      <w:pPr>
        <w:pStyle w:val="Heading1"/>
        <w:rPr>
          <w:sz w:val="28"/>
          <w:szCs w:val="28"/>
        </w:rPr>
      </w:pPr>
      <w:r>
        <w:rPr>
          <w:sz w:val="28"/>
          <w:szCs w:val="28"/>
        </w:rPr>
        <w:t>Discussion</w:t>
      </w:r>
    </w:p>
    <w:p w14:paraId="33482E4F" w14:textId="40F691A1" w:rsidR="004E7540" w:rsidRDefault="001B1179" w:rsidP="004E7540">
      <w:pPr>
        <w:spacing w:after="0" w:line="240" w:lineRule="auto"/>
        <w:contextualSpacing/>
        <w:rPr>
          <w:rFonts w:ascii="Arial" w:hAnsi="Arial" w:cs="Arial"/>
          <w:sz w:val="22"/>
          <w:szCs w:val="22"/>
        </w:rPr>
      </w:pPr>
      <w:bookmarkStart w:id="0" w:name="_Hlk134006204"/>
      <w:r>
        <w:rPr>
          <w:rFonts w:ascii="Arial" w:hAnsi="Arial" w:cs="Arial"/>
          <w:sz w:val="22"/>
          <w:szCs w:val="22"/>
        </w:rPr>
        <w:t xml:space="preserve">While the orientation of St Guthlac’s church suggests that it </w:t>
      </w:r>
      <w:r w:rsidR="000B55B4">
        <w:rPr>
          <w:rFonts w:ascii="Arial" w:hAnsi="Arial" w:cs="Arial"/>
          <w:sz w:val="22"/>
          <w:szCs w:val="22"/>
        </w:rPr>
        <w:t>may have been</w:t>
      </w:r>
      <w:r>
        <w:rPr>
          <w:rFonts w:ascii="Arial" w:hAnsi="Arial" w:cs="Arial"/>
          <w:sz w:val="22"/>
          <w:szCs w:val="22"/>
        </w:rPr>
        <w:t xml:space="preserve"> intended to align with the sunrise on St. Guthlac’s feast day that does not mean that it was indeed the intended target. It is necessary to consider whether the builders of St. Guthlac’s church would have intended to use this orientation and could they have intended this orientation. Furthermore</w:t>
      </w:r>
      <w:r w:rsidR="00A40CD5">
        <w:rPr>
          <w:rFonts w:ascii="Arial" w:hAnsi="Arial" w:cs="Arial"/>
          <w:sz w:val="22"/>
          <w:szCs w:val="22"/>
        </w:rPr>
        <w:t>,</w:t>
      </w:r>
      <w:r>
        <w:rPr>
          <w:rFonts w:ascii="Arial" w:hAnsi="Arial" w:cs="Arial"/>
          <w:sz w:val="22"/>
          <w:szCs w:val="22"/>
        </w:rPr>
        <w:t xml:space="preserve"> there are issues associated with the renaming and rededication of medieval churches and the rebuilding of stone churches on the sites of older wooden </w:t>
      </w:r>
      <w:r w:rsidR="0097302F">
        <w:rPr>
          <w:rFonts w:ascii="Arial" w:hAnsi="Arial" w:cs="Arial"/>
          <w:sz w:val="22"/>
          <w:szCs w:val="22"/>
        </w:rPr>
        <w:t>ones</w:t>
      </w:r>
      <w:r>
        <w:rPr>
          <w:rFonts w:ascii="Arial" w:hAnsi="Arial" w:cs="Arial"/>
          <w:sz w:val="22"/>
          <w:szCs w:val="22"/>
        </w:rPr>
        <w:t>.</w:t>
      </w:r>
    </w:p>
    <w:p w14:paraId="6C5C7D84" w14:textId="3275516D" w:rsidR="004E7540" w:rsidRPr="004E7540" w:rsidRDefault="001B1179" w:rsidP="004E7540">
      <w:pPr>
        <w:spacing w:after="0" w:line="240" w:lineRule="auto"/>
        <w:ind w:firstLine="720"/>
        <w:contextualSpacing/>
        <w:rPr>
          <w:rFonts w:ascii="Arial" w:hAnsi="Arial" w:cs="Arial"/>
          <w:sz w:val="22"/>
          <w:szCs w:val="22"/>
        </w:rPr>
      </w:pPr>
      <w:r>
        <w:rPr>
          <w:rFonts w:ascii="Arial" w:hAnsi="Arial" w:cs="Arial"/>
          <w:sz w:val="22"/>
          <w:szCs w:val="22"/>
        </w:rPr>
        <w:t>Although not widespread</w:t>
      </w:r>
      <w:r w:rsidR="00A40CD5">
        <w:rPr>
          <w:rFonts w:ascii="Arial" w:hAnsi="Arial" w:cs="Arial"/>
          <w:sz w:val="22"/>
          <w:szCs w:val="22"/>
        </w:rPr>
        <w:t>,</w:t>
      </w:r>
      <w:r>
        <w:rPr>
          <w:rFonts w:ascii="Arial" w:hAnsi="Arial" w:cs="Arial"/>
          <w:sz w:val="22"/>
          <w:szCs w:val="22"/>
        </w:rPr>
        <w:t xml:space="preserve"> there are other churches that</w:t>
      </w:r>
      <w:r w:rsidR="00A40CD5">
        <w:rPr>
          <w:rFonts w:ascii="Arial" w:hAnsi="Arial" w:cs="Arial"/>
          <w:sz w:val="22"/>
          <w:szCs w:val="22"/>
        </w:rPr>
        <w:t xml:space="preserve"> display signs of being aligned with the feast day of the patron saint. St. Catherine’s chapel, a mid-fourteenth century church </w:t>
      </w:r>
      <w:bookmarkEnd w:id="0"/>
      <w:r w:rsidR="00A40CD5">
        <w:rPr>
          <w:rFonts w:ascii="Arial" w:hAnsi="Arial" w:cs="Arial"/>
          <w:sz w:val="22"/>
          <w:szCs w:val="22"/>
        </w:rPr>
        <w:t>in Houghton St. Giles, Norfolk is aligned directly with the rising sun on St. Catherine of Alexandria’s feast day.</w:t>
      </w:r>
      <w:r w:rsidR="00A40CD5">
        <w:rPr>
          <w:rStyle w:val="FootnoteReference"/>
          <w:rFonts w:ascii="Arial" w:hAnsi="Arial" w:cs="Arial"/>
          <w:sz w:val="22"/>
          <w:szCs w:val="22"/>
        </w:rPr>
        <w:footnoteReference w:id="39"/>
      </w:r>
      <w:r w:rsidR="00A40CD5">
        <w:rPr>
          <w:rFonts w:ascii="Arial" w:hAnsi="Arial" w:cs="Arial"/>
          <w:sz w:val="22"/>
          <w:szCs w:val="22"/>
        </w:rPr>
        <w:t xml:space="preserve"> Peter Hoare suggests that churches adopting a patron saint was ‘probably a general practice in England’</w:t>
      </w:r>
      <w:r w:rsidR="00A51712">
        <w:rPr>
          <w:rFonts w:ascii="Arial" w:hAnsi="Arial" w:cs="Arial"/>
          <w:sz w:val="22"/>
          <w:szCs w:val="22"/>
        </w:rPr>
        <w:t xml:space="preserve"> from the time of the Anglo-Saxons conversion to Christianity in 597 C.E.</w:t>
      </w:r>
      <w:r w:rsidR="00A51712">
        <w:rPr>
          <w:rStyle w:val="FootnoteReference"/>
          <w:rFonts w:ascii="Arial" w:hAnsi="Arial" w:cs="Arial"/>
          <w:sz w:val="22"/>
          <w:szCs w:val="22"/>
        </w:rPr>
        <w:footnoteReference w:id="40"/>
      </w:r>
      <w:r w:rsidR="00A51712">
        <w:rPr>
          <w:rFonts w:ascii="Arial" w:hAnsi="Arial" w:cs="Arial"/>
          <w:sz w:val="22"/>
          <w:szCs w:val="22"/>
        </w:rPr>
        <w:t xml:space="preserve"> However, it does not follow that these buildings were dedicated and aligned to the appropriate feast day at the onset of construction,</w:t>
      </w:r>
      <w:r w:rsidR="00A51712">
        <w:rPr>
          <w:rStyle w:val="FootnoteReference"/>
          <w:rFonts w:ascii="Arial" w:hAnsi="Arial" w:cs="Arial"/>
          <w:sz w:val="22"/>
          <w:szCs w:val="22"/>
        </w:rPr>
        <w:footnoteReference w:id="41"/>
      </w:r>
      <w:r w:rsidR="00A51712">
        <w:rPr>
          <w:rFonts w:ascii="Arial" w:hAnsi="Arial" w:cs="Arial"/>
          <w:sz w:val="22"/>
          <w:szCs w:val="22"/>
        </w:rPr>
        <w:t xml:space="preserve"> especially when it is likely that some were dedications of pre-existing sacred sites.</w:t>
      </w:r>
      <w:r w:rsidR="00A51712">
        <w:rPr>
          <w:rStyle w:val="FootnoteReference"/>
          <w:rFonts w:ascii="Arial" w:hAnsi="Arial" w:cs="Arial"/>
          <w:sz w:val="22"/>
          <w:szCs w:val="22"/>
        </w:rPr>
        <w:footnoteReference w:id="42"/>
      </w:r>
      <w:r w:rsidR="00A51712">
        <w:rPr>
          <w:rFonts w:ascii="Arial" w:hAnsi="Arial" w:cs="Arial"/>
          <w:sz w:val="22"/>
          <w:szCs w:val="22"/>
        </w:rPr>
        <w:t xml:space="preserve"> </w:t>
      </w:r>
    </w:p>
    <w:p w14:paraId="26504211" w14:textId="4BEC0D98" w:rsidR="00A51712" w:rsidRDefault="00A51712" w:rsidP="0089059D">
      <w:pPr>
        <w:pStyle w:val="Heading1"/>
        <w:rPr>
          <w:i/>
          <w:iCs/>
          <w:sz w:val="24"/>
          <w:szCs w:val="24"/>
        </w:rPr>
      </w:pPr>
      <w:r w:rsidRPr="00A51712">
        <w:rPr>
          <w:i/>
          <w:iCs/>
          <w:sz w:val="24"/>
          <w:szCs w:val="24"/>
        </w:rPr>
        <w:t>The Cult of St. Guthlac</w:t>
      </w:r>
    </w:p>
    <w:p w14:paraId="35600528" w14:textId="4E6F3280" w:rsidR="00A51712" w:rsidRDefault="00A51712" w:rsidP="00A51712">
      <w:pPr>
        <w:spacing w:after="0" w:line="240" w:lineRule="auto"/>
        <w:contextualSpacing/>
        <w:rPr>
          <w:rFonts w:ascii="Arial" w:hAnsi="Arial" w:cs="Arial"/>
          <w:sz w:val="22"/>
          <w:szCs w:val="22"/>
        </w:rPr>
      </w:pPr>
      <w:r w:rsidRPr="007A43E3">
        <w:rPr>
          <w:rFonts w:ascii="Arial" w:hAnsi="Arial" w:cs="Arial"/>
          <w:sz w:val="22"/>
          <w:szCs w:val="22"/>
        </w:rPr>
        <w:t>T</w:t>
      </w:r>
      <w:r w:rsidR="00DC3460">
        <w:rPr>
          <w:rFonts w:ascii="Arial" w:hAnsi="Arial" w:cs="Arial"/>
          <w:sz w:val="22"/>
          <w:szCs w:val="22"/>
        </w:rPr>
        <w:t>he Anglo-Saxon Chronicles record</w:t>
      </w:r>
      <w:r w:rsidR="00160A18">
        <w:rPr>
          <w:rFonts w:ascii="Arial" w:hAnsi="Arial" w:cs="Arial"/>
          <w:sz w:val="22"/>
          <w:szCs w:val="22"/>
        </w:rPr>
        <w:t>s</w:t>
      </w:r>
      <w:r w:rsidR="00DC3460">
        <w:rPr>
          <w:rFonts w:ascii="Arial" w:hAnsi="Arial" w:cs="Arial"/>
          <w:sz w:val="22"/>
          <w:szCs w:val="22"/>
        </w:rPr>
        <w:t xml:space="preserve"> that St. Guthlac died in 714.</w:t>
      </w:r>
      <w:r w:rsidR="00DC3460">
        <w:rPr>
          <w:rStyle w:val="FootnoteReference"/>
          <w:rFonts w:ascii="Arial" w:hAnsi="Arial" w:cs="Arial"/>
          <w:sz w:val="22"/>
          <w:szCs w:val="22"/>
        </w:rPr>
        <w:footnoteReference w:id="43"/>
      </w:r>
      <w:r w:rsidR="00DC3460">
        <w:rPr>
          <w:rFonts w:ascii="Arial" w:hAnsi="Arial" w:cs="Arial"/>
          <w:sz w:val="22"/>
          <w:szCs w:val="22"/>
        </w:rPr>
        <w:t xml:space="preserve"> </w:t>
      </w:r>
      <w:r w:rsidR="00160A18">
        <w:rPr>
          <w:rFonts w:ascii="Arial" w:hAnsi="Arial" w:cs="Arial"/>
          <w:sz w:val="22"/>
          <w:szCs w:val="22"/>
        </w:rPr>
        <w:t>The earliest written source for his life</w:t>
      </w:r>
      <w:r w:rsidR="004E44F2">
        <w:rPr>
          <w:rFonts w:ascii="Arial" w:hAnsi="Arial" w:cs="Arial"/>
          <w:sz w:val="22"/>
          <w:szCs w:val="22"/>
        </w:rPr>
        <w:t xml:space="preserve">, the </w:t>
      </w:r>
      <w:r w:rsidR="00F96172" w:rsidRPr="00F96172">
        <w:rPr>
          <w:rFonts w:ascii="Arial" w:hAnsi="Arial" w:cs="Arial"/>
          <w:i/>
          <w:iCs/>
          <w:sz w:val="22"/>
          <w:szCs w:val="22"/>
        </w:rPr>
        <w:t>Vita Sancti Guthlaci</w:t>
      </w:r>
      <w:r w:rsidR="00F96172">
        <w:rPr>
          <w:rFonts w:ascii="Arial" w:hAnsi="Arial" w:cs="Arial"/>
          <w:sz w:val="22"/>
          <w:szCs w:val="22"/>
        </w:rPr>
        <w:t>,</w:t>
      </w:r>
      <w:r w:rsidR="00160A18">
        <w:rPr>
          <w:rFonts w:ascii="Arial" w:hAnsi="Arial" w:cs="Arial"/>
          <w:sz w:val="22"/>
          <w:szCs w:val="22"/>
        </w:rPr>
        <w:t xml:space="preserve"> was written in around 730-740 by the poet Felix</w:t>
      </w:r>
      <w:r w:rsidR="00160A18">
        <w:rPr>
          <w:rStyle w:val="FootnoteReference"/>
          <w:rFonts w:ascii="Arial" w:hAnsi="Arial" w:cs="Arial"/>
          <w:sz w:val="22"/>
          <w:szCs w:val="22"/>
        </w:rPr>
        <w:footnoteReference w:id="44"/>
      </w:r>
      <w:r w:rsidR="00160A18">
        <w:rPr>
          <w:rFonts w:ascii="Arial" w:hAnsi="Arial" w:cs="Arial"/>
          <w:sz w:val="22"/>
          <w:szCs w:val="22"/>
        </w:rPr>
        <w:t xml:space="preserve"> for the </w:t>
      </w:r>
      <w:r w:rsidR="00160A18" w:rsidRPr="00160A18">
        <w:rPr>
          <w:rFonts w:ascii="Arial" w:hAnsi="Arial" w:cs="Arial"/>
          <w:sz w:val="22"/>
          <w:szCs w:val="22"/>
        </w:rPr>
        <w:t>East Anglian king Ælfwald</w:t>
      </w:r>
      <w:r w:rsidR="00160A18">
        <w:rPr>
          <w:rFonts w:ascii="Arial" w:hAnsi="Arial" w:cs="Arial"/>
          <w:sz w:val="22"/>
          <w:szCs w:val="22"/>
        </w:rPr>
        <w:t>.</w:t>
      </w:r>
      <w:r w:rsidR="00C26510">
        <w:rPr>
          <w:rStyle w:val="FootnoteReference"/>
          <w:rFonts w:ascii="Arial" w:hAnsi="Arial" w:cs="Arial"/>
          <w:sz w:val="22"/>
          <w:szCs w:val="22"/>
        </w:rPr>
        <w:footnoteReference w:id="45"/>
      </w:r>
      <w:r w:rsidR="00C26510">
        <w:rPr>
          <w:rFonts w:ascii="Arial" w:hAnsi="Arial" w:cs="Arial"/>
          <w:sz w:val="22"/>
          <w:szCs w:val="22"/>
        </w:rPr>
        <w:t xml:space="preserve"> According to Felix, he was born into a royal family in Mercia and spent time as a warrior on the Welsh marches before a conversion experience that led to him entering a monastery in Repton, Derbyshire.</w:t>
      </w:r>
      <w:r w:rsidR="00C26510">
        <w:rPr>
          <w:rStyle w:val="FootnoteReference"/>
          <w:rFonts w:ascii="Arial" w:hAnsi="Arial" w:cs="Arial"/>
          <w:sz w:val="22"/>
          <w:szCs w:val="22"/>
        </w:rPr>
        <w:footnoteReference w:id="46"/>
      </w:r>
      <w:r w:rsidR="00C26510">
        <w:rPr>
          <w:rFonts w:ascii="Arial" w:hAnsi="Arial" w:cs="Arial"/>
          <w:sz w:val="22"/>
          <w:szCs w:val="22"/>
        </w:rPr>
        <w:t xml:space="preserve"> </w:t>
      </w:r>
      <w:r w:rsidR="000F52F7">
        <w:rPr>
          <w:rFonts w:ascii="Arial" w:hAnsi="Arial" w:cs="Arial"/>
          <w:sz w:val="22"/>
          <w:szCs w:val="22"/>
        </w:rPr>
        <w:t>After two years in Repton he was inspired by St. Antony and other desert fathers to lead an ascetic lifestyle and returned to the region of his birth where he founded a hermitage in Crowland</w:t>
      </w:r>
      <w:r w:rsidR="004E44F2">
        <w:rPr>
          <w:rFonts w:ascii="Arial" w:hAnsi="Arial" w:cs="Arial"/>
          <w:sz w:val="22"/>
          <w:szCs w:val="22"/>
        </w:rPr>
        <w:t>, Lincolnshire</w:t>
      </w:r>
      <w:r w:rsidR="000F52F7">
        <w:rPr>
          <w:rFonts w:ascii="Arial" w:hAnsi="Arial" w:cs="Arial"/>
          <w:sz w:val="22"/>
          <w:szCs w:val="22"/>
        </w:rPr>
        <w:t>.</w:t>
      </w:r>
      <w:r w:rsidR="004E44F2">
        <w:rPr>
          <w:rStyle w:val="FootnoteReference"/>
          <w:rFonts w:ascii="Arial" w:hAnsi="Arial" w:cs="Arial"/>
          <w:sz w:val="22"/>
          <w:szCs w:val="22"/>
        </w:rPr>
        <w:footnoteReference w:id="47"/>
      </w:r>
    </w:p>
    <w:p w14:paraId="3FB2ACF8" w14:textId="009484EF" w:rsidR="00A51712" w:rsidRPr="004E7540" w:rsidRDefault="00865D9D" w:rsidP="00A51712">
      <w:pPr>
        <w:spacing w:after="0" w:line="240" w:lineRule="auto"/>
        <w:ind w:firstLine="720"/>
        <w:contextualSpacing/>
        <w:rPr>
          <w:rFonts w:ascii="Arial" w:hAnsi="Arial" w:cs="Arial"/>
          <w:sz w:val="22"/>
          <w:szCs w:val="22"/>
        </w:rPr>
      </w:pPr>
      <w:r>
        <w:rPr>
          <w:rFonts w:ascii="Arial" w:hAnsi="Arial" w:cs="Arial"/>
          <w:sz w:val="22"/>
          <w:szCs w:val="22"/>
        </w:rPr>
        <w:lastRenderedPageBreak/>
        <w:t>At a later date</w:t>
      </w:r>
      <w:r w:rsidR="00F36D84">
        <w:rPr>
          <w:rFonts w:ascii="Arial" w:hAnsi="Arial" w:cs="Arial"/>
          <w:sz w:val="22"/>
          <w:szCs w:val="22"/>
        </w:rPr>
        <w:t>,</w:t>
      </w:r>
      <w:r>
        <w:rPr>
          <w:rFonts w:ascii="Arial" w:hAnsi="Arial" w:cs="Arial"/>
          <w:sz w:val="22"/>
          <w:szCs w:val="22"/>
        </w:rPr>
        <w:t xml:space="preserve"> an abbey was founded at Crowland. The earliest material that provides the history of the abbey is recorded in the </w:t>
      </w:r>
      <w:r w:rsidRPr="00865D9D">
        <w:rPr>
          <w:rFonts w:ascii="Arial" w:hAnsi="Arial" w:cs="Arial"/>
          <w:i/>
          <w:iCs/>
          <w:sz w:val="22"/>
          <w:szCs w:val="22"/>
        </w:rPr>
        <w:t>Historia Croylandensis</w:t>
      </w:r>
      <w:r>
        <w:rPr>
          <w:rFonts w:ascii="Arial" w:hAnsi="Arial" w:cs="Arial"/>
          <w:sz w:val="22"/>
          <w:szCs w:val="22"/>
        </w:rPr>
        <w:t>, which was compiled in the late fourteenth or early fifteenth century.</w:t>
      </w:r>
      <w:r>
        <w:rPr>
          <w:rStyle w:val="FootnoteReference"/>
          <w:rFonts w:ascii="Arial" w:hAnsi="Arial" w:cs="Arial"/>
          <w:sz w:val="22"/>
          <w:szCs w:val="22"/>
        </w:rPr>
        <w:footnoteReference w:id="48"/>
      </w:r>
      <w:r>
        <w:rPr>
          <w:rFonts w:ascii="Arial" w:hAnsi="Arial" w:cs="Arial"/>
          <w:sz w:val="22"/>
          <w:szCs w:val="22"/>
        </w:rPr>
        <w:t xml:space="preserve"> </w:t>
      </w:r>
      <w:r w:rsidR="008C3BE7">
        <w:rPr>
          <w:rFonts w:ascii="Arial" w:hAnsi="Arial" w:cs="Arial"/>
          <w:sz w:val="22"/>
          <w:szCs w:val="22"/>
        </w:rPr>
        <w:t>A legend recorded in the Anglo-Saxon section tells of Viking raids during the ninth century</w:t>
      </w:r>
      <w:r w:rsidR="009F505A">
        <w:rPr>
          <w:rFonts w:ascii="Arial" w:hAnsi="Arial" w:cs="Arial"/>
          <w:sz w:val="22"/>
          <w:szCs w:val="22"/>
        </w:rPr>
        <w:t>. To fight back against them, Crowland provided an army of</w:t>
      </w:r>
      <w:r w:rsidR="008C3BE7">
        <w:rPr>
          <w:rFonts w:ascii="Arial" w:hAnsi="Arial" w:cs="Arial"/>
          <w:sz w:val="22"/>
          <w:szCs w:val="22"/>
        </w:rPr>
        <w:t xml:space="preserve"> 200 men, mostly fugitives who had sought sanctuary</w:t>
      </w:r>
      <w:r w:rsidR="009F505A">
        <w:rPr>
          <w:rFonts w:ascii="Arial" w:hAnsi="Arial" w:cs="Arial"/>
          <w:sz w:val="22"/>
          <w:szCs w:val="22"/>
        </w:rPr>
        <w:t xml:space="preserve"> </w:t>
      </w:r>
      <w:r w:rsidR="008C3BE7">
        <w:rPr>
          <w:rFonts w:ascii="Arial" w:hAnsi="Arial" w:cs="Arial"/>
          <w:sz w:val="22"/>
          <w:szCs w:val="22"/>
        </w:rPr>
        <w:t xml:space="preserve">from the monastery, commanded by </w:t>
      </w:r>
      <w:r w:rsidR="009F505A">
        <w:rPr>
          <w:rFonts w:ascii="Arial" w:hAnsi="Arial" w:cs="Arial"/>
          <w:sz w:val="22"/>
          <w:szCs w:val="22"/>
        </w:rPr>
        <w:t xml:space="preserve">Brother </w:t>
      </w:r>
      <w:r w:rsidR="008C3BE7">
        <w:rPr>
          <w:rFonts w:ascii="Arial" w:hAnsi="Arial" w:cs="Arial"/>
          <w:sz w:val="22"/>
          <w:szCs w:val="22"/>
        </w:rPr>
        <w:t>Toley</w:t>
      </w:r>
      <w:r w:rsidR="009F505A">
        <w:rPr>
          <w:rFonts w:ascii="Arial" w:hAnsi="Arial" w:cs="Arial"/>
          <w:sz w:val="22"/>
          <w:szCs w:val="22"/>
        </w:rPr>
        <w:t>, a former warrior like Guthlac.</w:t>
      </w:r>
      <w:r w:rsidR="009F505A">
        <w:rPr>
          <w:rStyle w:val="FootnoteReference"/>
          <w:rFonts w:ascii="Arial" w:hAnsi="Arial" w:cs="Arial"/>
          <w:sz w:val="22"/>
          <w:szCs w:val="22"/>
        </w:rPr>
        <w:footnoteReference w:id="49"/>
      </w:r>
      <w:r w:rsidR="009F505A">
        <w:rPr>
          <w:rFonts w:ascii="Arial" w:hAnsi="Arial" w:cs="Arial"/>
          <w:sz w:val="22"/>
          <w:szCs w:val="22"/>
        </w:rPr>
        <w:t xml:space="preserve"> </w:t>
      </w:r>
      <w:r w:rsidR="00F06905">
        <w:rPr>
          <w:rFonts w:ascii="Arial" w:hAnsi="Arial" w:cs="Arial"/>
          <w:sz w:val="22"/>
          <w:szCs w:val="22"/>
        </w:rPr>
        <w:t>The late date of the source compared to the events it describes means that caution must be used in accepting the legend at face value. However, the parallels between the lives of Guthlac and Brother Toley as warriors turned holy men turned warriors for God is striking</w:t>
      </w:r>
      <w:r w:rsidR="00F06905">
        <w:rPr>
          <w:rStyle w:val="FootnoteReference"/>
          <w:rFonts w:ascii="Arial" w:hAnsi="Arial" w:cs="Arial"/>
          <w:sz w:val="22"/>
          <w:szCs w:val="22"/>
        </w:rPr>
        <w:footnoteReference w:id="50"/>
      </w:r>
      <w:r w:rsidR="00F06905">
        <w:rPr>
          <w:rFonts w:ascii="Arial" w:hAnsi="Arial" w:cs="Arial"/>
          <w:sz w:val="22"/>
          <w:szCs w:val="22"/>
        </w:rPr>
        <w:t xml:space="preserve"> and suggests that part of the cult of St. Guthlac was recognition of the need for righteous soldiers to fight battles spiritual and physical, especially during a time of warfare.</w:t>
      </w:r>
    </w:p>
    <w:p w14:paraId="5D59724E" w14:textId="0D2B2DDA" w:rsidR="00F36D84" w:rsidRDefault="000E5099" w:rsidP="00F36D84">
      <w:pPr>
        <w:pStyle w:val="Heading1"/>
        <w:rPr>
          <w:i/>
          <w:iCs/>
          <w:sz w:val="24"/>
          <w:szCs w:val="24"/>
        </w:rPr>
      </w:pPr>
      <w:r>
        <w:rPr>
          <w:i/>
          <w:iCs/>
          <w:sz w:val="24"/>
          <w:szCs w:val="24"/>
        </w:rPr>
        <w:t xml:space="preserve">Scientific and </w:t>
      </w:r>
      <w:r w:rsidR="00F36D84">
        <w:rPr>
          <w:i/>
          <w:iCs/>
          <w:sz w:val="24"/>
          <w:szCs w:val="24"/>
        </w:rPr>
        <w:t>Astronomical Knowledge</w:t>
      </w:r>
      <w:r w:rsidR="00F460A9">
        <w:rPr>
          <w:i/>
          <w:iCs/>
          <w:sz w:val="24"/>
          <w:szCs w:val="24"/>
        </w:rPr>
        <w:t xml:space="preserve"> in the Middle Ages</w:t>
      </w:r>
    </w:p>
    <w:p w14:paraId="5F81D2F1" w14:textId="4FD90A43" w:rsidR="00F36D84" w:rsidRDefault="009A1CC1" w:rsidP="00F36D84">
      <w:pPr>
        <w:spacing w:after="0" w:line="240" w:lineRule="auto"/>
        <w:contextualSpacing/>
        <w:rPr>
          <w:rFonts w:ascii="Arial" w:hAnsi="Arial" w:cs="Arial"/>
          <w:sz w:val="22"/>
          <w:szCs w:val="22"/>
        </w:rPr>
      </w:pPr>
      <w:r>
        <w:rPr>
          <w:rFonts w:ascii="Arial" w:hAnsi="Arial" w:cs="Arial"/>
          <w:sz w:val="22"/>
          <w:szCs w:val="22"/>
        </w:rPr>
        <w:t>Some scholars suggest the deviations from a due east orientation reflect a lack of skill on the part of the builders. For example</w:t>
      </w:r>
      <w:r w:rsidR="00AD0F05">
        <w:rPr>
          <w:rFonts w:ascii="Arial" w:hAnsi="Arial" w:cs="Arial"/>
          <w:sz w:val="22"/>
          <w:szCs w:val="22"/>
        </w:rPr>
        <w:t>,</w:t>
      </w:r>
      <w:r>
        <w:rPr>
          <w:rFonts w:ascii="Arial" w:hAnsi="Arial" w:cs="Arial"/>
          <w:sz w:val="22"/>
          <w:szCs w:val="22"/>
        </w:rPr>
        <w:t xml:space="preserve"> it is known that the magnetic declination in England, which was as little as 0.38° E on the day of the site visit has varied considerably throughout history</w:t>
      </w:r>
      <w:r w:rsidR="0097302F">
        <w:rPr>
          <w:rFonts w:ascii="Arial" w:hAnsi="Arial" w:cs="Arial"/>
          <w:sz w:val="22"/>
          <w:szCs w:val="22"/>
        </w:rPr>
        <w:t>.</w:t>
      </w:r>
      <w:r>
        <w:rPr>
          <w:rFonts w:ascii="Arial" w:hAnsi="Arial" w:cs="Arial"/>
          <w:sz w:val="22"/>
          <w:szCs w:val="22"/>
        </w:rPr>
        <w:t xml:space="preserve"> </w:t>
      </w:r>
      <w:r w:rsidR="0097302F">
        <w:rPr>
          <w:rFonts w:ascii="Arial" w:hAnsi="Arial" w:cs="Arial"/>
          <w:sz w:val="22"/>
          <w:szCs w:val="22"/>
        </w:rPr>
        <w:t>The magnetic declination in England in 800 C.E. was</w:t>
      </w:r>
      <w:r>
        <w:rPr>
          <w:rFonts w:ascii="Arial" w:hAnsi="Arial" w:cs="Arial"/>
          <w:sz w:val="22"/>
          <w:szCs w:val="22"/>
        </w:rPr>
        <w:t xml:space="preserve"> 8° E </w:t>
      </w:r>
      <w:r w:rsidR="0097302F">
        <w:rPr>
          <w:rFonts w:ascii="Arial" w:hAnsi="Arial" w:cs="Arial"/>
          <w:sz w:val="22"/>
          <w:szCs w:val="22"/>
        </w:rPr>
        <w:t xml:space="preserve">and increased </w:t>
      </w:r>
      <w:r>
        <w:rPr>
          <w:rFonts w:ascii="Arial" w:hAnsi="Arial" w:cs="Arial"/>
          <w:sz w:val="22"/>
          <w:szCs w:val="22"/>
        </w:rPr>
        <w:t>to 28° E in 1000</w:t>
      </w:r>
      <w:r w:rsidR="0097302F">
        <w:rPr>
          <w:rFonts w:ascii="Arial" w:hAnsi="Arial" w:cs="Arial"/>
          <w:sz w:val="22"/>
          <w:szCs w:val="22"/>
        </w:rPr>
        <w:t>,</w:t>
      </w:r>
      <w:r w:rsidR="009B0A98">
        <w:rPr>
          <w:rFonts w:ascii="Arial" w:hAnsi="Arial" w:cs="Arial"/>
          <w:sz w:val="22"/>
          <w:szCs w:val="22"/>
        </w:rPr>
        <w:t xml:space="preserve"> before declining to 20° E in 1100.</w:t>
      </w:r>
      <w:r w:rsidR="009B0A98">
        <w:rPr>
          <w:rStyle w:val="FootnoteReference"/>
          <w:rFonts w:ascii="Arial" w:hAnsi="Arial" w:cs="Arial"/>
          <w:sz w:val="22"/>
          <w:szCs w:val="22"/>
        </w:rPr>
        <w:footnoteReference w:id="51"/>
      </w:r>
      <w:r w:rsidR="009B0A98">
        <w:rPr>
          <w:rFonts w:ascii="Arial" w:hAnsi="Arial" w:cs="Arial"/>
          <w:sz w:val="22"/>
          <w:szCs w:val="22"/>
        </w:rPr>
        <w:t xml:space="preserve"> Therefore, any buildings that were constructed with </w:t>
      </w:r>
      <w:r w:rsidR="00857E91">
        <w:rPr>
          <w:rFonts w:ascii="Arial" w:hAnsi="Arial" w:cs="Arial"/>
          <w:sz w:val="22"/>
          <w:szCs w:val="22"/>
        </w:rPr>
        <w:t xml:space="preserve">the aid of </w:t>
      </w:r>
      <w:r w:rsidR="009B0A98">
        <w:rPr>
          <w:rFonts w:ascii="Arial" w:hAnsi="Arial" w:cs="Arial"/>
          <w:sz w:val="22"/>
          <w:szCs w:val="22"/>
        </w:rPr>
        <w:t>a magnetic compass should show a</w:t>
      </w:r>
      <w:r w:rsidR="00857E91">
        <w:rPr>
          <w:rFonts w:ascii="Arial" w:hAnsi="Arial" w:cs="Arial"/>
          <w:sz w:val="22"/>
          <w:szCs w:val="22"/>
        </w:rPr>
        <w:t xml:space="preserve"> </w:t>
      </w:r>
      <w:r w:rsidR="00857E91">
        <w:rPr>
          <w:rFonts w:ascii="Arial" w:hAnsi="Arial" w:cs="Arial"/>
          <w:sz w:val="22"/>
          <w:szCs w:val="22"/>
        </w:rPr>
        <w:t>south of east</w:t>
      </w:r>
      <w:r w:rsidR="00857E91">
        <w:rPr>
          <w:rFonts w:ascii="Arial" w:hAnsi="Arial" w:cs="Arial"/>
          <w:sz w:val="22"/>
          <w:szCs w:val="22"/>
        </w:rPr>
        <w:t xml:space="preserve"> deviation in their</w:t>
      </w:r>
      <w:r w:rsidR="009B0A98">
        <w:rPr>
          <w:rFonts w:ascii="Arial" w:hAnsi="Arial" w:cs="Arial"/>
          <w:sz w:val="22"/>
          <w:szCs w:val="22"/>
        </w:rPr>
        <w:t xml:space="preserve"> orientation to the value of the magnetic declination.</w:t>
      </w:r>
      <w:r w:rsidR="009B0A98">
        <w:rPr>
          <w:rStyle w:val="FootnoteReference"/>
          <w:rFonts w:ascii="Arial" w:hAnsi="Arial" w:cs="Arial"/>
          <w:sz w:val="22"/>
          <w:szCs w:val="22"/>
        </w:rPr>
        <w:footnoteReference w:id="52"/>
      </w:r>
      <w:r w:rsidR="009B0A98">
        <w:rPr>
          <w:rFonts w:ascii="Arial" w:hAnsi="Arial" w:cs="Arial"/>
          <w:sz w:val="22"/>
          <w:szCs w:val="22"/>
        </w:rPr>
        <w:t xml:space="preserve"> </w:t>
      </w:r>
      <w:r w:rsidR="00587C4A">
        <w:rPr>
          <w:rFonts w:ascii="Arial" w:hAnsi="Arial" w:cs="Arial"/>
          <w:sz w:val="22"/>
          <w:szCs w:val="22"/>
        </w:rPr>
        <w:t>A study of 143 English Christian sites dating to the mid-eleventh and late twelfth centuries by Jason Ali and Peter Cunich could find no evidence of the use of a magnetic compasses in their construction.</w:t>
      </w:r>
      <w:r w:rsidR="00587C4A">
        <w:rPr>
          <w:rStyle w:val="FootnoteReference"/>
          <w:rFonts w:ascii="Arial" w:hAnsi="Arial" w:cs="Arial"/>
          <w:sz w:val="22"/>
          <w:szCs w:val="22"/>
        </w:rPr>
        <w:footnoteReference w:id="53"/>
      </w:r>
    </w:p>
    <w:p w14:paraId="724A052B" w14:textId="77777777" w:rsidR="00531FEC" w:rsidRDefault="00010F20" w:rsidP="00F36D84">
      <w:pPr>
        <w:spacing w:after="0" w:line="240" w:lineRule="auto"/>
        <w:ind w:firstLine="720"/>
        <w:contextualSpacing/>
        <w:rPr>
          <w:rFonts w:ascii="Arial" w:hAnsi="Arial" w:cs="Arial"/>
          <w:sz w:val="22"/>
          <w:szCs w:val="22"/>
        </w:rPr>
      </w:pPr>
      <w:r>
        <w:rPr>
          <w:rFonts w:ascii="Arial" w:hAnsi="Arial" w:cs="Arial"/>
          <w:sz w:val="22"/>
          <w:szCs w:val="22"/>
        </w:rPr>
        <w:t>Despite being, by modern standards, not as knowledgeable with regards to astronomy, scholars in the Middle Ages still possessed quite sophisticated knowledge. It was t</w:t>
      </w:r>
      <w:r w:rsidR="00F10F23">
        <w:rPr>
          <w:rFonts w:ascii="Arial" w:hAnsi="Arial" w:cs="Arial"/>
          <w:sz w:val="22"/>
          <w:szCs w:val="22"/>
        </w:rPr>
        <w:t>h</w:t>
      </w:r>
      <w:r>
        <w:rPr>
          <w:rFonts w:ascii="Arial" w:hAnsi="Arial" w:cs="Arial"/>
          <w:sz w:val="22"/>
          <w:szCs w:val="22"/>
        </w:rPr>
        <w:t xml:space="preserve">e Romans who first recorded that the sun moves daily on circles or arcs. </w:t>
      </w:r>
      <w:r w:rsidR="00D16F68">
        <w:rPr>
          <w:rFonts w:ascii="Arial" w:hAnsi="Arial" w:cs="Arial"/>
          <w:sz w:val="22"/>
          <w:szCs w:val="22"/>
        </w:rPr>
        <w:t>Martianus Capella wrote that the sun moves through 183 circles across the sky from the summer solstice to the winter solstice and back again, taking 365</w:t>
      </w:r>
      <w:r w:rsidR="00617C18" w:rsidRPr="00617C18">
        <w:rPr>
          <w:rFonts w:ascii="Arial" w:hAnsi="Arial" w:cs="Arial"/>
          <w:sz w:val="22"/>
          <w:szCs w:val="22"/>
        </w:rPr>
        <w:t>¼</w:t>
      </w:r>
      <w:r w:rsidR="00D16F68">
        <w:rPr>
          <w:rFonts w:ascii="Arial" w:hAnsi="Arial" w:cs="Arial"/>
          <w:sz w:val="22"/>
          <w:szCs w:val="22"/>
        </w:rPr>
        <w:t xml:space="preserve"> days to complete the full journey in a year.</w:t>
      </w:r>
      <w:r w:rsidR="00D16F68">
        <w:rPr>
          <w:rStyle w:val="FootnoteReference"/>
          <w:rFonts w:ascii="Arial" w:hAnsi="Arial" w:cs="Arial"/>
          <w:sz w:val="22"/>
          <w:szCs w:val="22"/>
        </w:rPr>
        <w:footnoteReference w:id="54"/>
      </w:r>
      <w:r w:rsidR="00D16F68">
        <w:rPr>
          <w:rFonts w:ascii="Arial" w:hAnsi="Arial" w:cs="Arial"/>
          <w:sz w:val="22"/>
          <w:szCs w:val="22"/>
        </w:rPr>
        <w:t xml:space="preserve"> </w:t>
      </w:r>
      <w:r w:rsidR="00EE0DD5">
        <w:rPr>
          <w:rFonts w:ascii="Arial" w:hAnsi="Arial" w:cs="Arial"/>
          <w:sz w:val="22"/>
          <w:szCs w:val="22"/>
        </w:rPr>
        <w:t xml:space="preserve">It is noteworthy that </w:t>
      </w:r>
      <w:r w:rsidR="00EE0DD5" w:rsidRPr="00EE0DD5">
        <w:rPr>
          <w:rFonts w:ascii="Arial" w:hAnsi="Arial" w:cs="Arial"/>
          <w:sz w:val="22"/>
          <w:szCs w:val="22"/>
        </w:rPr>
        <w:t>McCluskey</w:t>
      </w:r>
      <w:r w:rsidR="00EE0DD5">
        <w:rPr>
          <w:rFonts w:ascii="Arial" w:hAnsi="Arial" w:cs="Arial"/>
          <w:sz w:val="22"/>
          <w:szCs w:val="22"/>
        </w:rPr>
        <w:t xml:space="preserve"> suggests that ninth-century commentators on Martianus’s writing pay so little attention to the idea of the 183 daily arcs that it suggests these were thought to be common knowledge requiring no further elaboration.</w:t>
      </w:r>
      <w:r w:rsidR="00EE0DD5">
        <w:rPr>
          <w:rStyle w:val="FootnoteReference"/>
          <w:rFonts w:ascii="Arial" w:hAnsi="Arial" w:cs="Arial"/>
          <w:sz w:val="22"/>
          <w:szCs w:val="22"/>
        </w:rPr>
        <w:footnoteReference w:id="55"/>
      </w:r>
      <w:r w:rsidR="00617C18">
        <w:rPr>
          <w:rFonts w:ascii="Arial" w:hAnsi="Arial" w:cs="Arial"/>
          <w:sz w:val="22"/>
          <w:szCs w:val="22"/>
        </w:rPr>
        <w:t xml:space="preserve"> </w:t>
      </w:r>
    </w:p>
    <w:p w14:paraId="12864BE2" w14:textId="1132C842" w:rsidR="00F36D84" w:rsidRPr="004E7540" w:rsidRDefault="00574A6D" w:rsidP="00F36D84">
      <w:pPr>
        <w:spacing w:after="0" w:line="240" w:lineRule="auto"/>
        <w:ind w:firstLine="720"/>
        <w:contextualSpacing/>
        <w:rPr>
          <w:rFonts w:ascii="Arial" w:hAnsi="Arial" w:cs="Arial"/>
          <w:sz w:val="22"/>
          <w:szCs w:val="22"/>
        </w:rPr>
      </w:pPr>
      <w:r>
        <w:rPr>
          <w:rFonts w:ascii="Arial" w:hAnsi="Arial" w:cs="Arial"/>
          <w:sz w:val="22"/>
          <w:szCs w:val="22"/>
        </w:rPr>
        <w:t xml:space="preserve">In antiquity, cultures possessed knowledge of star paths. </w:t>
      </w:r>
      <w:r w:rsidR="00531FEC">
        <w:rPr>
          <w:rFonts w:ascii="Arial" w:hAnsi="Arial" w:cs="Arial"/>
          <w:sz w:val="22"/>
          <w:szCs w:val="22"/>
        </w:rPr>
        <w:t>Th</w:t>
      </w:r>
      <w:r>
        <w:rPr>
          <w:rFonts w:ascii="Arial" w:hAnsi="Arial" w:cs="Arial"/>
          <w:sz w:val="22"/>
          <w:szCs w:val="22"/>
        </w:rPr>
        <w:t>ese are</w:t>
      </w:r>
      <w:r w:rsidR="00531FEC">
        <w:rPr>
          <w:rFonts w:ascii="Arial" w:hAnsi="Arial" w:cs="Arial"/>
          <w:sz w:val="22"/>
          <w:szCs w:val="22"/>
        </w:rPr>
        <w:t xml:space="preserve"> lines of stars </w:t>
      </w:r>
      <w:r>
        <w:rPr>
          <w:rFonts w:ascii="Arial" w:hAnsi="Arial" w:cs="Arial"/>
          <w:sz w:val="22"/>
          <w:szCs w:val="22"/>
        </w:rPr>
        <w:t xml:space="preserve">that </w:t>
      </w:r>
      <w:r w:rsidR="00531FEC">
        <w:rPr>
          <w:rFonts w:ascii="Arial" w:hAnsi="Arial" w:cs="Arial"/>
          <w:sz w:val="22"/>
          <w:szCs w:val="22"/>
        </w:rPr>
        <w:t xml:space="preserve">rise and set on particular points on the horizon </w:t>
      </w:r>
      <w:r>
        <w:rPr>
          <w:rFonts w:ascii="Arial" w:hAnsi="Arial" w:cs="Arial"/>
          <w:sz w:val="22"/>
          <w:szCs w:val="22"/>
        </w:rPr>
        <w:t xml:space="preserve">and were the means by which </w:t>
      </w:r>
      <w:r w:rsidR="00531FEC">
        <w:rPr>
          <w:rFonts w:ascii="Arial" w:hAnsi="Arial" w:cs="Arial"/>
          <w:sz w:val="22"/>
          <w:szCs w:val="22"/>
        </w:rPr>
        <w:t xml:space="preserve">Polynesian and Micronesian peoples </w:t>
      </w:r>
      <w:r>
        <w:rPr>
          <w:rFonts w:ascii="Arial" w:hAnsi="Arial" w:cs="Arial"/>
          <w:sz w:val="22"/>
          <w:szCs w:val="22"/>
        </w:rPr>
        <w:t>were able to</w:t>
      </w:r>
      <w:r w:rsidR="00531FEC">
        <w:rPr>
          <w:rFonts w:ascii="Arial" w:hAnsi="Arial" w:cs="Arial"/>
          <w:sz w:val="22"/>
          <w:szCs w:val="22"/>
        </w:rPr>
        <w:t xml:space="preserve"> navigat</w:t>
      </w:r>
      <w:r>
        <w:rPr>
          <w:rFonts w:ascii="Arial" w:hAnsi="Arial" w:cs="Arial"/>
          <w:sz w:val="22"/>
          <w:szCs w:val="22"/>
        </w:rPr>
        <w:t>e</w:t>
      </w:r>
      <w:r w:rsidR="00531FEC">
        <w:rPr>
          <w:rFonts w:ascii="Arial" w:hAnsi="Arial" w:cs="Arial"/>
          <w:sz w:val="22"/>
          <w:szCs w:val="22"/>
        </w:rPr>
        <w:t xml:space="preserve"> at sea.</w:t>
      </w:r>
      <w:r w:rsidR="00531FEC">
        <w:rPr>
          <w:rStyle w:val="FootnoteReference"/>
          <w:rFonts w:ascii="Arial" w:hAnsi="Arial" w:cs="Arial"/>
          <w:sz w:val="22"/>
          <w:szCs w:val="22"/>
        </w:rPr>
        <w:footnoteReference w:id="56"/>
      </w:r>
      <w:r w:rsidR="00531FEC">
        <w:rPr>
          <w:rFonts w:ascii="Arial" w:hAnsi="Arial" w:cs="Arial"/>
          <w:sz w:val="22"/>
          <w:szCs w:val="22"/>
        </w:rPr>
        <w:t xml:space="preserve"> </w:t>
      </w:r>
      <w:r>
        <w:rPr>
          <w:rFonts w:ascii="Arial" w:hAnsi="Arial" w:cs="Arial"/>
          <w:sz w:val="22"/>
          <w:szCs w:val="22"/>
        </w:rPr>
        <w:t xml:space="preserve">Brady argues that solstice-aligned Welsh churches are evidence that the Welsh Druids also </w:t>
      </w:r>
      <w:r>
        <w:rPr>
          <w:rFonts w:ascii="Arial" w:hAnsi="Arial" w:cs="Arial"/>
          <w:sz w:val="22"/>
          <w:szCs w:val="22"/>
        </w:rPr>
        <w:lastRenderedPageBreak/>
        <w:t>possessed knowledge of star paths.</w:t>
      </w:r>
      <w:r>
        <w:rPr>
          <w:rStyle w:val="FootnoteReference"/>
          <w:rFonts w:ascii="Arial" w:hAnsi="Arial" w:cs="Arial"/>
          <w:sz w:val="22"/>
          <w:szCs w:val="22"/>
        </w:rPr>
        <w:footnoteReference w:id="57"/>
      </w:r>
      <w:r>
        <w:rPr>
          <w:rFonts w:ascii="Arial" w:hAnsi="Arial" w:cs="Arial"/>
          <w:sz w:val="22"/>
          <w:szCs w:val="22"/>
        </w:rPr>
        <w:t xml:space="preserve"> Given that the 183 daily arcs of the sun were considered common knowledge during the Middle Ages, it is not unreasonable to suspect that scholars of the time were also familiar with star paths of particular declinations as would be needed to align church buildings to the sunrise or sunset of a patron saint’s feast day.</w:t>
      </w:r>
    </w:p>
    <w:p w14:paraId="0D475270" w14:textId="1AE47C6B" w:rsidR="0049280B" w:rsidRDefault="00D37EDE" w:rsidP="0049280B">
      <w:pPr>
        <w:pStyle w:val="Heading1"/>
        <w:rPr>
          <w:i/>
          <w:iCs/>
          <w:sz w:val="24"/>
          <w:szCs w:val="24"/>
        </w:rPr>
      </w:pPr>
      <w:r>
        <w:rPr>
          <w:i/>
          <w:iCs/>
          <w:sz w:val="24"/>
          <w:szCs w:val="24"/>
        </w:rPr>
        <w:t xml:space="preserve">Issues with </w:t>
      </w:r>
      <w:r w:rsidR="0049280B">
        <w:rPr>
          <w:i/>
          <w:iCs/>
          <w:sz w:val="24"/>
          <w:szCs w:val="24"/>
        </w:rPr>
        <w:t>Patronal Dedication</w:t>
      </w:r>
    </w:p>
    <w:p w14:paraId="6A2D514B" w14:textId="405FE171" w:rsidR="0049280B" w:rsidRPr="004E7540" w:rsidRDefault="0049280B" w:rsidP="00A734A5">
      <w:pPr>
        <w:spacing w:after="0" w:line="240" w:lineRule="auto"/>
        <w:contextualSpacing/>
        <w:rPr>
          <w:rFonts w:ascii="Arial" w:hAnsi="Arial" w:cs="Arial"/>
          <w:sz w:val="22"/>
          <w:szCs w:val="22"/>
        </w:rPr>
      </w:pPr>
      <w:r w:rsidRPr="007A43E3">
        <w:rPr>
          <w:rFonts w:ascii="Arial" w:hAnsi="Arial" w:cs="Arial"/>
          <w:sz w:val="22"/>
          <w:szCs w:val="22"/>
        </w:rPr>
        <w:t>T</w:t>
      </w:r>
      <w:r>
        <w:rPr>
          <w:rFonts w:ascii="Arial" w:hAnsi="Arial" w:cs="Arial"/>
          <w:sz w:val="22"/>
          <w:szCs w:val="22"/>
        </w:rPr>
        <w:t xml:space="preserve">his paper has already touched upon the possibility that </w:t>
      </w:r>
      <w:r w:rsidR="00D37EDE">
        <w:rPr>
          <w:rFonts w:ascii="Arial" w:hAnsi="Arial" w:cs="Arial"/>
          <w:sz w:val="22"/>
          <w:szCs w:val="22"/>
        </w:rPr>
        <w:t xml:space="preserve">the </w:t>
      </w:r>
      <w:r>
        <w:rPr>
          <w:rFonts w:ascii="Arial" w:hAnsi="Arial" w:cs="Arial"/>
          <w:sz w:val="22"/>
          <w:szCs w:val="22"/>
        </w:rPr>
        <w:t>dedication to a patron saint may have occurred after the construction of the church building.</w:t>
      </w:r>
      <w:r w:rsidR="003E1E8D">
        <w:rPr>
          <w:rFonts w:ascii="Arial" w:hAnsi="Arial" w:cs="Arial"/>
          <w:sz w:val="22"/>
          <w:szCs w:val="22"/>
        </w:rPr>
        <w:t xml:space="preserve"> </w:t>
      </w:r>
      <w:r w:rsidR="00C22C52">
        <w:rPr>
          <w:rFonts w:ascii="Arial" w:hAnsi="Arial" w:cs="Arial"/>
          <w:sz w:val="22"/>
          <w:szCs w:val="22"/>
        </w:rPr>
        <w:t>Furthermore</w:t>
      </w:r>
      <w:r w:rsidR="00D37EDE">
        <w:rPr>
          <w:rFonts w:ascii="Arial" w:hAnsi="Arial" w:cs="Arial"/>
          <w:sz w:val="22"/>
          <w:szCs w:val="22"/>
        </w:rPr>
        <w:t>,</w:t>
      </w:r>
      <w:r w:rsidR="00C22C52">
        <w:rPr>
          <w:rFonts w:ascii="Arial" w:hAnsi="Arial" w:cs="Arial"/>
          <w:sz w:val="22"/>
          <w:szCs w:val="22"/>
        </w:rPr>
        <w:t xml:space="preserve"> </w:t>
      </w:r>
      <w:r w:rsidR="000A2603">
        <w:rPr>
          <w:rFonts w:ascii="Arial" w:hAnsi="Arial" w:cs="Arial"/>
          <w:sz w:val="22"/>
          <w:szCs w:val="22"/>
        </w:rPr>
        <w:t>some</w:t>
      </w:r>
      <w:r w:rsidR="00C22C52">
        <w:rPr>
          <w:rFonts w:ascii="Arial" w:hAnsi="Arial" w:cs="Arial"/>
          <w:sz w:val="22"/>
          <w:szCs w:val="22"/>
        </w:rPr>
        <w:t xml:space="preserve"> churches are known to have lost their original dedication during the </w:t>
      </w:r>
      <w:r w:rsidR="000A2603">
        <w:rPr>
          <w:rFonts w:ascii="Arial" w:hAnsi="Arial" w:cs="Arial"/>
          <w:sz w:val="22"/>
          <w:szCs w:val="22"/>
        </w:rPr>
        <w:t xml:space="preserve">English </w:t>
      </w:r>
      <w:r w:rsidR="00C22C52">
        <w:rPr>
          <w:rFonts w:ascii="Arial" w:hAnsi="Arial" w:cs="Arial"/>
          <w:sz w:val="22"/>
          <w:szCs w:val="22"/>
        </w:rPr>
        <w:t>Reformation</w:t>
      </w:r>
      <w:r w:rsidR="00D37EDE">
        <w:rPr>
          <w:rFonts w:ascii="Arial" w:hAnsi="Arial" w:cs="Arial"/>
          <w:sz w:val="22"/>
          <w:szCs w:val="22"/>
        </w:rPr>
        <w:t xml:space="preserve"> and the subsequent Puritan Commonwealth era under Cromwell.</w:t>
      </w:r>
      <w:r w:rsidR="000A2603">
        <w:rPr>
          <w:rStyle w:val="FootnoteReference"/>
          <w:rFonts w:ascii="Arial" w:hAnsi="Arial" w:cs="Arial"/>
          <w:sz w:val="22"/>
          <w:szCs w:val="22"/>
        </w:rPr>
        <w:footnoteReference w:id="58"/>
      </w:r>
      <w:r w:rsidR="004D5E7C">
        <w:rPr>
          <w:rFonts w:ascii="Arial" w:hAnsi="Arial" w:cs="Arial"/>
          <w:sz w:val="22"/>
          <w:szCs w:val="22"/>
        </w:rPr>
        <w:t xml:space="preserve"> Therefore the current patron saint cannot be assumed to be the same as the original patron saint.</w:t>
      </w:r>
      <w:r w:rsidR="008645C7">
        <w:rPr>
          <w:rFonts w:ascii="Arial" w:hAnsi="Arial" w:cs="Arial"/>
          <w:sz w:val="22"/>
          <w:szCs w:val="22"/>
        </w:rPr>
        <w:t xml:space="preserve"> St. Guthlac’s church may have escaped such Protestant renaming, its patron in the seventeenth century was Sir Robert Banastre who died in 1649 and was responsible for the building of the chancel at the western end in 1626, along with its wagon roof, painted starry ceiling and </w:t>
      </w:r>
      <w:r w:rsidR="00032C35">
        <w:rPr>
          <w:rFonts w:ascii="Arial" w:hAnsi="Arial" w:cs="Arial"/>
          <w:sz w:val="22"/>
          <w:szCs w:val="22"/>
        </w:rPr>
        <w:t>Venetian-style wall paintings</w:t>
      </w:r>
      <w:r w:rsidR="00570EE5">
        <w:rPr>
          <w:rFonts w:ascii="Arial" w:hAnsi="Arial" w:cs="Arial"/>
          <w:sz w:val="22"/>
          <w:szCs w:val="22"/>
        </w:rPr>
        <w:t xml:space="preserve"> (refurbished in the 1960s by E. Clive Rouse)</w:t>
      </w:r>
      <w:r w:rsidR="008645C7">
        <w:rPr>
          <w:rFonts w:ascii="Arial" w:hAnsi="Arial" w:cs="Arial"/>
          <w:sz w:val="22"/>
          <w:szCs w:val="22"/>
        </w:rPr>
        <w:t>.</w:t>
      </w:r>
      <w:r w:rsidR="00032C35">
        <w:rPr>
          <w:rStyle w:val="FootnoteReference"/>
          <w:rFonts w:ascii="Arial" w:hAnsi="Arial" w:cs="Arial"/>
          <w:sz w:val="22"/>
          <w:szCs w:val="22"/>
        </w:rPr>
        <w:footnoteReference w:id="59"/>
      </w:r>
      <w:r w:rsidR="00032C35">
        <w:rPr>
          <w:rFonts w:ascii="Arial" w:hAnsi="Arial" w:cs="Arial"/>
          <w:sz w:val="22"/>
          <w:szCs w:val="22"/>
        </w:rPr>
        <w:t xml:space="preserve"> Such Popish interior decoration is suggestive that Sir Robert was a Catholic sympathizer.</w:t>
      </w:r>
    </w:p>
    <w:p w14:paraId="6C8EB2DA" w14:textId="235686BA" w:rsidR="00A734A5" w:rsidRDefault="00A734A5" w:rsidP="00A734A5">
      <w:pPr>
        <w:pStyle w:val="Heading1"/>
        <w:rPr>
          <w:i/>
          <w:iCs/>
          <w:sz w:val="24"/>
          <w:szCs w:val="24"/>
        </w:rPr>
      </w:pPr>
      <w:r>
        <w:rPr>
          <w:i/>
          <w:iCs/>
          <w:sz w:val="24"/>
          <w:szCs w:val="24"/>
        </w:rPr>
        <w:t>Norman Reorientation</w:t>
      </w:r>
    </w:p>
    <w:p w14:paraId="0E5F1A8F" w14:textId="01DE5F62" w:rsidR="00A734A5" w:rsidRPr="004E7540" w:rsidRDefault="00A734A5" w:rsidP="005E2A90">
      <w:pPr>
        <w:spacing w:after="0" w:line="240" w:lineRule="auto"/>
        <w:contextualSpacing/>
        <w:rPr>
          <w:rFonts w:ascii="Arial" w:hAnsi="Arial" w:cs="Arial"/>
          <w:sz w:val="22"/>
          <w:szCs w:val="22"/>
        </w:rPr>
      </w:pPr>
      <w:r>
        <w:rPr>
          <w:rFonts w:ascii="Arial" w:hAnsi="Arial" w:cs="Arial"/>
          <w:sz w:val="22"/>
          <w:szCs w:val="22"/>
        </w:rPr>
        <w:t>This essay has suggested that the church in Passenham may have been founded in 921 while the West Saxon army was encamped at the site.</w:t>
      </w:r>
      <w:r w:rsidR="000C29B6">
        <w:rPr>
          <w:rFonts w:ascii="Arial" w:hAnsi="Arial" w:cs="Arial"/>
          <w:sz w:val="22"/>
          <w:szCs w:val="22"/>
        </w:rPr>
        <w:t xml:space="preserve"> If the church’s origin was in the early tenth century it would have been a wooden building. </w:t>
      </w:r>
      <w:r w:rsidR="00644EDE">
        <w:rPr>
          <w:rFonts w:ascii="Arial" w:hAnsi="Arial" w:cs="Arial"/>
          <w:sz w:val="22"/>
          <w:szCs w:val="22"/>
        </w:rPr>
        <w:t>It is thought by some scholars that most of England’s wooden churches were rebuilt in stone during the early years after the Norman Conquest (1066-1150 C.E.) and were also reoriented at the same time.</w:t>
      </w:r>
      <w:r w:rsidR="00644EDE">
        <w:rPr>
          <w:rStyle w:val="FootnoteReference"/>
          <w:rFonts w:ascii="Arial" w:hAnsi="Arial" w:cs="Arial"/>
          <w:sz w:val="22"/>
          <w:szCs w:val="22"/>
        </w:rPr>
        <w:footnoteReference w:id="60"/>
      </w:r>
      <w:r w:rsidR="00644EDE">
        <w:rPr>
          <w:rFonts w:ascii="Arial" w:hAnsi="Arial" w:cs="Arial"/>
          <w:sz w:val="22"/>
          <w:szCs w:val="22"/>
        </w:rPr>
        <w:t xml:space="preserve"> </w:t>
      </w:r>
      <w:r w:rsidR="00DF7AF6">
        <w:rPr>
          <w:rFonts w:ascii="Arial" w:hAnsi="Arial" w:cs="Arial"/>
          <w:sz w:val="22"/>
          <w:szCs w:val="22"/>
        </w:rPr>
        <w:t xml:space="preserve">Liturgically intended </w:t>
      </w:r>
      <w:r w:rsidR="00634415">
        <w:rPr>
          <w:rFonts w:ascii="Arial" w:hAnsi="Arial" w:cs="Arial"/>
          <w:sz w:val="22"/>
          <w:szCs w:val="22"/>
        </w:rPr>
        <w:t xml:space="preserve">reorientations </w:t>
      </w:r>
      <w:r w:rsidR="00DF7AF6">
        <w:rPr>
          <w:rFonts w:ascii="Arial" w:hAnsi="Arial" w:cs="Arial"/>
          <w:sz w:val="22"/>
          <w:szCs w:val="22"/>
        </w:rPr>
        <w:t>were likely to</w:t>
      </w:r>
      <w:r w:rsidR="00634415">
        <w:rPr>
          <w:rFonts w:ascii="Arial" w:hAnsi="Arial" w:cs="Arial"/>
          <w:sz w:val="22"/>
          <w:szCs w:val="22"/>
        </w:rPr>
        <w:t xml:space="preserve"> </w:t>
      </w:r>
      <w:r w:rsidR="00031E14">
        <w:rPr>
          <w:rFonts w:ascii="Arial" w:hAnsi="Arial" w:cs="Arial"/>
          <w:sz w:val="22"/>
          <w:szCs w:val="22"/>
        </w:rPr>
        <w:t xml:space="preserve">be towards </w:t>
      </w:r>
      <w:r w:rsidR="00634415">
        <w:rPr>
          <w:rFonts w:ascii="Arial" w:hAnsi="Arial" w:cs="Arial"/>
          <w:sz w:val="22"/>
          <w:szCs w:val="22"/>
        </w:rPr>
        <w:t>due east</w:t>
      </w:r>
      <w:r w:rsidR="00DF7AF6">
        <w:rPr>
          <w:rFonts w:ascii="Arial" w:hAnsi="Arial" w:cs="Arial"/>
          <w:sz w:val="22"/>
          <w:szCs w:val="22"/>
        </w:rPr>
        <w:t xml:space="preserve"> or the direction of the spring equinox sunrise.</w:t>
      </w:r>
      <w:r w:rsidR="005E2A90">
        <w:rPr>
          <w:rStyle w:val="FootnoteReference"/>
          <w:rFonts w:ascii="Arial" w:hAnsi="Arial" w:cs="Arial"/>
          <w:sz w:val="22"/>
          <w:szCs w:val="22"/>
        </w:rPr>
        <w:footnoteReference w:id="61"/>
      </w:r>
      <w:r w:rsidR="00DF7AF6">
        <w:rPr>
          <w:rFonts w:ascii="Arial" w:hAnsi="Arial" w:cs="Arial"/>
          <w:sz w:val="22"/>
          <w:szCs w:val="22"/>
        </w:rPr>
        <w:t xml:space="preserve"> It should be noted that medieval calendars were not consistent on the day of the spring equinox, giving 21, 24 and 25 March as possibilities.</w:t>
      </w:r>
      <w:r w:rsidR="005E2A90">
        <w:rPr>
          <w:rStyle w:val="FootnoteReference"/>
          <w:rFonts w:ascii="Arial" w:hAnsi="Arial" w:cs="Arial"/>
          <w:sz w:val="22"/>
          <w:szCs w:val="22"/>
        </w:rPr>
        <w:footnoteReference w:id="62"/>
      </w:r>
      <w:r w:rsidR="00DF7AF6">
        <w:rPr>
          <w:rFonts w:ascii="Arial" w:hAnsi="Arial" w:cs="Arial"/>
          <w:sz w:val="22"/>
          <w:szCs w:val="22"/>
        </w:rPr>
        <w:t xml:space="preserve"> </w:t>
      </w:r>
      <w:r w:rsidR="00F4454F">
        <w:rPr>
          <w:rFonts w:ascii="Arial" w:hAnsi="Arial" w:cs="Arial"/>
          <w:sz w:val="22"/>
          <w:szCs w:val="22"/>
        </w:rPr>
        <w:t xml:space="preserve">Sassin Allen suggests that the contemporary landscape of castles and streets around </w:t>
      </w:r>
      <w:r w:rsidR="00031E14">
        <w:rPr>
          <w:rFonts w:ascii="Arial" w:hAnsi="Arial" w:cs="Arial"/>
          <w:sz w:val="22"/>
          <w:szCs w:val="22"/>
        </w:rPr>
        <w:t xml:space="preserve">a </w:t>
      </w:r>
      <w:r w:rsidR="00F4454F">
        <w:rPr>
          <w:rFonts w:ascii="Arial" w:hAnsi="Arial" w:cs="Arial"/>
          <w:sz w:val="22"/>
          <w:szCs w:val="22"/>
        </w:rPr>
        <w:t>church may also have been a factor in its orientation and any subsequent reorientation.</w:t>
      </w:r>
      <w:r w:rsidR="00F4454F">
        <w:rPr>
          <w:rStyle w:val="FootnoteReference"/>
          <w:rFonts w:ascii="Arial" w:hAnsi="Arial" w:cs="Arial"/>
          <w:sz w:val="22"/>
          <w:szCs w:val="22"/>
        </w:rPr>
        <w:footnoteReference w:id="63"/>
      </w:r>
      <w:r w:rsidR="00F4454F">
        <w:rPr>
          <w:rFonts w:ascii="Arial" w:hAnsi="Arial" w:cs="Arial"/>
          <w:sz w:val="22"/>
          <w:szCs w:val="22"/>
        </w:rPr>
        <w:t xml:space="preserve"> </w:t>
      </w:r>
      <w:r w:rsidR="00634415">
        <w:rPr>
          <w:rFonts w:ascii="Arial" w:hAnsi="Arial" w:cs="Arial"/>
          <w:sz w:val="22"/>
          <w:szCs w:val="22"/>
        </w:rPr>
        <w:t>The nave of St. Guthlac’s church dates to the thirteenth century</w:t>
      </w:r>
      <w:r w:rsidR="005E2A90">
        <w:rPr>
          <w:rFonts w:ascii="Arial" w:hAnsi="Arial" w:cs="Arial"/>
          <w:sz w:val="22"/>
          <w:szCs w:val="22"/>
        </w:rPr>
        <w:t xml:space="preserve">, but without excavations to find the orientation of the original </w:t>
      </w:r>
      <w:r w:rsidR="00B708C4">
        <w:rPr>
          <w:rFonts w:ascii="Arial" w:hAnsi="Arial" w:cs="Arial"/>
          <w:sz w:val="22"/>
          <w:szCs w:val="22"/>
        </w:rPr>
        <w:t>structure,</w:t>
      </w:r>
      <w:r w:rsidR="005E2A90">
        <w:rPr>
          <w:rFonts w:ascii="Arial" w:hAnsi="Arial" w:cs="Arial"/>
          <w:sz w:val="22"/>
          <w:szCs w:val="22"/>
        </w:rPr>
        <w:t xml:space="preserve"> the possibility that the church was reoriented cannot be ruled out.</w:t>
      </w:r>
    </w:p>
    <w:p w14:paraId="425036BE" w14:textId="5BEFC606" w:rsidR="008F24F9" w:rsidRDefault="00994E1E" w:rsidP="0089059D">
      <w:pPr>
        <w:pStyle w:val="Heading1"/>
        <w:rPr>
          <w:sz w:val="28"/>
          <w:szCs w:val="28"/>
        </w:rPr>
      </w:pPr>
      <w:r w:rsidRPr="00994E1E">
        <w:rPr>
          <w:sz w:val="28"/>
          <w:szCs w:val="28"/>
        </w:rPr>
        <w:t>Conclusion</w:t>
      </w:r>
    </w:p>
    <w:p w14:paraId="0668E3D9" w14:textId="6BDA2927" w:rsidR="004E7540" w:rsidRDefault="004E7540" w:rsidP="004E7540">
      <w:pPr>
        <w:spacing w:after="0" w:line="240" w:lineRule="auto"/>
        <w:contextualSpacing/>
        <w:rPr>
          <w:rFonts w:ascii="Arial" w:hAnsi="Arial" w:cs="Arial"/>
          <w:sz w:val="22"/>
          <w:szCs w:val="22"/>
        </w:rPr>
      </w:pPr>
      <w:r w:rsidRPr="007A43E3">
        <w:rPr>
          <w:rFonts w:ascii="Arial" w:hAnsi="Arial" w:cs="Arial"/>
          <w:sz w:val="22"/>
          <w:szCs w:val="22"/>
        </w:rPr>
        <w:t>T</w:t>
      </w:r>
      <w:r w:rsidR="00E670CA">
        <w:rPr>
          <w:rFonts w:ascii="Arial" w:hAnsi="Arial" w:cs="Arial"/>
          <w:sz w:val="22"/>
          <w:szCs w:val="22"/>
        </w:rPr>
        <w:t>his essay sought to answer the question as to whether the orientation of St. Guthlac’s church, Passenham had a religious significance. The evidence suggests that there may indeed be a religious significance.</w:t>
      </w:r>
    </w:p>
    <w:p w14:paraId="3AB9D68E" w14:textId="7E9E835E" w:rsidR="004E7540" w:rsidRDefault="00E670CA" w:rsidP="004E7540">
      <w:pPr>
        <w:spacing w:after="0" w:line="240" w:lineRule="auto"/>
        <w:ind w:firstLine="720"/>
        <w:contextualSpacing/>
        <w:rPr>
          <w:rFonts w:ascii="Arial" w:hAnsi="Arial" w:cs="Arial"/>
          <w:sz w:val="22"/>
          <w:szCs w:val="22"/>
        </w:rPr>
      </w:pPr>
      <w:r>
        <w:rPr>
          <w:rFonts w:ascii="Arial" w:hAnsi="Arial" w:cs="Arial"/>
          <w:sz w:val="22"/>
          <w:szCs w:val="22"/>
        </w:rPr>
        <w:t>The church has an orientation towards a solar declination of 10.01° ± 2.14°. This corresponds to the sunrise on 10-11 April ± 5 days in 921 C.E.</w:t>
      </w:r>
      <w:r w:rsidR="00F948BE">
        <w:rPr>
          <w:rFonts w:ascii="Arial" w:hAnsi="Arial" w:cs="Arial"/>
          <w:sz w:val="22"/>
          <w:szCs w:val="22"/>
        </w:rPr>
        <w:t xml:space="preserve"> Saint Guthlac’s feast day is celebrated on 11 April.</w:t>
      </w:r>
    </w:p>
    <w:p w14:paraId="55509F48" w14:textId="3CE24947" w:rsidR="00E670CA" w:rsidRDefault="00E670CA" w:rsidP="004E7540">
      <w:pPr>
        <w:spacing w:after="0" w:line="240" w:lineRule="auto"/>
        <w:ind w:firstLine="720"/>
        <w:contextualSpacing/>
        <w:rPr>
          <w:rFonts w:ascii="Arial" w:hAnsi="Arial" w:cs="Arial"/>
          <w:sz w:val="22"/>
          <w:szCs w:val="22"/>
        </w:rPr>
      </w:pPr>
      <w:r>
        <w:rPr>
          <w:rFonts w:ascii="Arial" w:hAnsi="Arial" w:cs="Arial"/>
          <w:sz w:val="22"/>
          <w:szCs w:val="22"/>
        </w:rPr>
        <w:t xml:space="preserve">While the date of the actual founding of the church is unknown, The Anglo-Saxon Chronicles records that King Edward and the West Saxon army camped </w:t>
      </w:r>
      <w:r w:rsidR="00031E14">
        <w:rPr>
          <w:rFonts w:ascii="Arial" w:hAnsi="Arial" w:cs="Arial"/>
          <w:sz w:val="22"/>
          <w:szCs w:val="22"/>
        </w:rPr>
        <w:t>at the site</w:t>
      </w:r>
      <w:r>
        <w:rPr>
          <w:rFonts w:ascii="Arial" w:hAnsi="Arial" w:cs="Arial"/>
          <w:sz w:val="22"/>
          <w:szCs w:val="22"/>
        </w:rPr>
        <w:t xml:space="preserve"> for some time.</w:t>
      </w:r>
      <w:r>
        <w:rPr>
          <w:rStyle w:val="FootnoteReference"/>
          <w:rFonts w:ascii="Arial" w:hAnsi="Arial" w:cs="Arial"/>
          <w:sz w:val="22"/>
          <w:szCs w:val="22"/>
        </w:rPr>
        <w:footnoteReference w:id="64"/>
      </w:r>
      <w:r>
        <w:rPr>
          <w:rFonts w:ascii="Arial" w:hAnsi="Arial" w:cs="Arial"/>
          <w:sz w:val="22"/>
          <w:szCs w:val="22"/>
        </w:rPr>
        <w:t xml:space="preserve"> </w:t>
      </w:r>
      <w:r w:rsidR="00F948BE">
        <w:rPr>
          <w:rFonts w:ascii="Arial" w:hAnsi="Arial" w:cs="Arial"/>
          <w:sz w:val="22"/>
          <w:szCs w:val="22"/>
        </w:rPr>
        <w:t xml:space="preserve">If no church was already present, one would need to have been </w:t>
      </w:r>
      <w:r w:rsidR="00F948BE">
        <w:rPr>
          <w:rFonts w:ascii="Arial" w:hAnsi="Arial" w:cs="Arial"/>
          <w:sz w:val="22"/>
          <w:szCs w:val="22"/>
        </w:rPr>
        <w:lastRenderedPageBreak/>
        <w:t xml:space="preserve">built for </w:t>
      </w:r>
      <w:r w:rsidR="001B3FD5">
        <w:rPr>
          <w:rFonts w:ascii="Arial" w:hAnsi="Arial" w:cs="Arial"/>
          <w:sz w:val="22"/>
          <w:szCs w:val="22"/>
        </w:rPr>
        <w:t xml:space="preserve">such </w:t>
      </w:r>
      <w:r w:rsidR="00F948BE">
        <w:rPr>
          <w:rFonts w:ascii="Arial" w:hAnsi="Arial" w:cs="Arial"/>
          <w:sz w:val="22"/>
          <w:szCs w:val="22"/>
        </w:rPr>
        <w:t xml:space="preserve">an extended stay. </w:t>
      </w:r>
      <w:r>
        <w:rPr>
          <w:rFonts w:ascii="Arial" w:hAnsi="Arial" w:cs="Arial"/>
          <w:sz w:val="22"/>
          <w:szCs w:val="22"/>
        </w:rPr>
        <w:t>Ninth-century commentators on Martianus Capella assume that readers are familiar with the 183 arcs of the sun throughout the year.</w:t>
      </w:r>
      <w:r w:rsidR="0085359A">
        <w:rPr>
          <w:rStyle w:val="FootnoteReference"/>
          <w:rFonts w:ascii="Arial" w:hAnsi="Arial" w:cs="Arial"/>
          <w:sz w:val="22"/>
          <w:szCs w:val="22"/>
        </w:rPr>
        <w:footnoteReference w:id="65"/>
      </w:r>
      <w:r>
        <w:rPr>
          <w:rFonts w:ascii="Arial" w:hAnsi="Arial" w:cs="Arial"/>
          <w:sz w:val="22"/>
          <w:szCs w:val="22"/>
        </w:rPr>
        <w:t xml:space="preserve"> It therefore seems reasonable to expect that King Edward would have access to </w:t>
      </w:r>
      <w:r w:rsidR="00F948BE">
        <w:rPr>
          <w:rFonts w:ascii="Arial" w:hAnsi="Arial" w:cs="Arial"/>
          <w:sz w:val="22"/>
          <w:szCs w:val="22"/>
        </w:rPr>
        <w:t xml:space="preserve">a </w:t>
      </w:r>
      <w:r>
        <w:rPr>
          <w:rFonts w:ascii="Arial" w:hAnsi="Arial" w:cs="Arial"/>
          <w:sz w:val="22"/>
          <w:szCs w:val="22"/>
        </w:rPr>
        <w:t>scholar knowledgeable enough</w:t>
      </w:r>
      <w:r w:rsidR="00F948BE">
        <w:rPr>
          <w:rFonts w:ascii="Arial" w:hAnsi="Arial" w:cs="Arial"/>
          <w:sz w:val="22"/>
          <w:szCs w:val="22"/>
        </w:rPr>
        <w:t xml:space="preserve"> to orient a</w:t>
      </w:r>
      <w:r w:rsidR="00031E14">
        <w:rPr>
          <w:rFonts w:ascii="Arial" w:hAnsi="Arial" w:cs="Arial"/>
          <w:sz w:val="22"/>
          <w:szCs w:val="22"/>
        </w:rPr>
        <w:t>ny new</w:t>
      </w:r>
      <w:r w:rsidR="00F948BE">
        <w:rPr>
          <w:rFonts w:ascii="Arial" w:hAnsi="Arial" w:cs="Arial"/>
          <w:sz w:val="22"/>
          <w:szCs w:val="22"/>
        </w:rPr>
        <w:t xml:space="preserve"> church building to the feast day of a chosen patron saint.</w:t>
      </w:r>
    </w:p>
    <w:p w14:paraId="072BA0AB" w14:textId="2D2937F1" w:rsidR="001B3FD5" w:rsidRDefault="001B3FD5" w:rsidP="004E7540">
      <w:pPr>
        <w:spacing w:after="0" w:line="240" w:lineRule="auto"/>
        <w:ind w:firstLine="720"/>
        <w:contextualSpacing/>
        <w:rPr>
          <w:rFonts w:ascii="Arial" w:hAnsi="Arial" w:cs="Arial"/>
          <w:sz w:val="22"/>
          <w:szCs w:val="22"/>
        </w:rPr>
      </w:pPr>
      <w:r>
        <w:rPr>
          <w:rFonts w:ascii="Arial" w:hAnsi="Arial" w:cs="Arial"/>
          <w:sz w:val="22"/>
          <w:szCs w:val="22"/>
        </w:rPr>
        <w:t>The origin tale of St. Guthlac himself as written by Felix</w:t>
      </w:r>
      <w:r>
        <w:rPr>
          <w:rStyle w:val="FootnoteReference"/>
          <w:rFonts w:ascii="Arial" w:hAnsi="Arial" w:cs="Arial"/>
          <w:sz w:val="22"/>
          <w:szCs w:val="22"/>
        </w:rPr>
        <w:footnoteReference w:id="66"/>
      </w:r>
      <w:r>
        <w:rPr>
          <w:rFonts w:ascii="Arial" w:hAnsi="Arial" w:cs="Arial"/>
          <w:sz w:val="22"/>
          <w:szCs w:val="22"/>
        </w:rPr>
        <w:t xml:space="preserve"> is of a warrior monk or Christian soldier who gives up physical warfare for spiritual warfare. The later legend of Brother Toley and the founding of Crowland Abbey at the site of St. Guthlac’s hermitage, if it was known to the West Saxon men at Passenham in 921, would also have reminded them of the importance</w:t>
      </w:r>
      <w:r w:rsidR="0085359A">
        <w:rPr>
          <w:rFonts w:ascii="Arial" w:hAnsi="Arial" w:cs="Arial"/>
          <w:sz w:val="22"/>
          <w:szCs w:val="22"/>
        </w:rPr>
        <w:t xml:space="preserve"> of</w:t>
      </w:r>
      <w:r>
        <w:rPr>
          <w:rFonts w:ascii="Arial" w:hAnsi="Arial" w:cs="Arial"/>
          <w:sz w:val="22"/>
          <w:szCs w:val="22"/>
        </w:rPr>
        <w:t xml:space="preserve"> being a Christian soldier who, having become a member of a religious order, was prepared to retake up physical arms against the pagan Vikings. Passenham is located </w:t>
      </w:r>
      <w:r w:rsidR="003E2747">
        <w:rPr>
          <w:rFonts w:ascii="Arial" w:hAnsi="Arial" w:cs="Arial"/>
          <w:sz w:val="22"/>
          <w:szCs w:val="22"/>
        </w:rPr>
        <w:t>within sight of</w:t>
      </w:r>
      <w:r>
        <w:rPr>
          <w:rFonts w:ascii="Arial" w:hAnsi="Arial" w:cs="Arial"/>
          <w:sz w:val="22"/>
          <w:szCs w:val="22"/>
        </w:rPr>
        <w:t xml:space="preserve"> </w:t>
      </w:r>
      <w:r w:rsidR="0085359A">
        <w:rPr>
          <w:rFonts w:ascii="Arial" w:hAnsi="Arial" w:cs="Arial"/>
          <w:sz w:val="22"/>
          <w:szCs w:val="22"/>
        </w:rPr>
        <w:t>Watling Street</w:t>
      </w:r>
      <w:r>
        <w:rPr>
          <w:rFonts w:ascii="Arial" w:hAnsi="Arial" w:cs="Arial"/>
          <w:sz w:val="22"/>
          <w:szCs w:val="22"/>
        </w:rPr>
        <w:t xml:space="preserve">, which served in those days as part of the boundary between the Anglo-Saxons to the west and Danelaw on the east. </w:t>
      </w:r>
      <w:r w:rsidR="0018283E">
        <w:rPr>
          <w:rFonts w:ascii="Arial" w:hAnsi="Arial" w:cs="Arial"/>
          <w:sz w:val="22"/>
          <w:szCs w:val="22"/>
        </w:rPr>
        <w:t xml:space="preserve">King Edward and his West Saxon Army were camped at Passenham purely because </w:t>
      </w:r>
      <w:r w:rsidR="0085359A">
        <w:rPr>
          <w:rFonts w:ascii="Arial" w:hAnsi="Arial" w:cs="Arial"/>
          <w:sz w:val="22"/>
          <w:szCs w:val="22"/>
        </w:rPr>
        <w:t xml:space="preserve">previous </w:t>
      </w:r>
      <w:r w:rsidR="0018283E">
        <w:rPr>
          <w:rFonts w:ascii="Arial" w:hAnsi="Arial" w:cs="Arial"/>
          <w:sz w:val="22"/>
          <w:szCs w:val="22"/>
        </w:rPr>
        <w:t>Viking raids had damaged the walls of Towcester and they needed to be rebuilt. The</w:t>
      </w:r>
      <w:r w:rsidR="0085359A">
        <w:rPr>
          <w:rFonts w:ascii="Arial" w:hAnsi="Arial" w:cs="Arial"/>
          <w:sz w:val="22"/>
          <w:szCs w:val="22"/>
        </w:rPr>
        <w:t>ir close proximity to Danelaw and the</w:t>
      </w:r>
      <w:r w:rsidR="0018283E">
        <w:rPr>
          <w:rFonts w:ascii="Arial" w:hAnsi="Arial" w:cs="Arial"/>
          <w:sz w:val="22"/>
          <w:szCs w:val="22"/>
        </w:rPr>
        <w:t xml:space="preserve"> ongoing struggles between </w:t>
      </w:r>
      <w:r w:rsidR="0085359A">
        <w:rPr>
          <w:rFonts w:ascii="Arial" w:hAnsi="Arial" w:cs="Arial"/>
          <w:sz w:val="22"/>
          <w:szCs w:val="22"/>
        </w:rPr>
        <w:t>the Danes</w:t>
      </w:r>
      <w:r w:rsidR="0018283E">
        <w:rPr>
          <w:rFonts w:ascii="Arial" w:hAnsi="Arial" w:cs="Arial"/>
          <w:sz w:val="22"/>
          <w:szCs w:val="22"/>
        </w:rPr>
        <w:t xml:space="preserve"> and the Anglo-Saxon</w:t>
      </w:r>
      <w:r w:rsidR="0085359A">
        <w:rPr>
          <w:rFonts w:ascii="Arial" w:hAnsi="Arial" w:cs="Arial"/>
          <w:sz w:val="22"/>
          <w:szCs w:val="22"/>
        </w:rPr>
        <w:t>s</w:t>
      </w:r>
      <w:r w:rsidR="0018283E">
        <w:rPr>
          <w:rFonts w:ascii="Arial" w:hAnsi="Arial" w:cs="Arial"/>
          <w:sz w:val="22"/>
          <w:szCs w:val="22"/>
        </w:rPr>
        <w:t xml:space="preserve"> would have been at the forefront of their minds.</w:t>
      </w:r>
    </w:p>
    <w:p w14:paraId="1BD2ACB1" w14:textId="67FF33FD" w:rsidR="0085359A" w:rsidRDefault="0085359A" w:rsidP="004E7540">
      <w:pPr>
        <w:spacing w:after="0" w:line="240" w:lineRule="auto"/>
        <w:ind w:firstLine="720"/>
        <w:contextualSpacing/>
        <w:rPr>
          <w:rFonts w:ascii="Arial" w:hAnsi="Arial" w:cs="Arial"/>
          <w:sz w:val="22"/>
          <w:szCs w:val="22"/>
        </w:rPr>
      </w:pPr>
      <w:r>
        <w:rPr>
          <w:rFonts w:ascii="Arial" w:hAnsi="Arial" w:cs="Arial"/>
          <w:sz w:val="22"/>
          <w:szCs w:val="22"/>
        </w:rPr>
        <w:t>Putting all the evidence together suggests that it is possible that King Edward and his West Saxon Army, being camped at a site close to the border with Danelaw and needing to rebuild a defensive wall that had been damaged by Viking parties who had broken the peace between the nations, sought to align their new place of worship with a saint associated with holy warfare and with the ongoing struggle against the pagan Danes.</w:t>
      </w:r>
      <w:r w:rsidR="00033753">
        <w:rPr>
          <w:rFonts w:ascii="Arial" w:hAnsi="Arial" w:cs="Arial"/>
          <w:sz w:val="22"/>
          <w:szCs w:val="22"/>
        </w:rPr>
        <w:t xml:space="preserve"> If this was the case, then St. Guthlac’s church would have served as a form of religious morale boost for an army that, if not currently at war, was nonetheless still dealing with the aftereffects of an enemy’s incursions. Just as Vera Lynn served to rally the troops’ confidence during the Second World War, perhaps the myths surrounding St. Guthlac provided inspiration to the men a</w:t>
      </w:r>
      <w:r w:rsidR="005B328E">
        <w:rPr>
          <w:rFonts w:ascii="Arial" w:hAnsi="Arial" w:cs="Arial"/>
          <w:sz w:val="22"/>
          <w:szCs w:val="22"/>
        </w:rPr>
        <w:t>t</w:t>
      </w:r>
      <w:r w:rsidR="00033753">
        <w:rPr>
          <w:rFonts w:ascii="Arial" w:hAnsi="Arial" w:cs="Arial"/>
          <w:sz w:val="22"/>
          <w:szCs w:val="22"/>
        </w:rPr>
        <w:t xml:space="preserve"> Passenham.</w:t>
      </w:r>
    </w:p>
    <w:p w14:paraId="185115A1" w14:textId="0895E87B" w:rsidR="0085359A" w:rsidRPr="004E7540" w:rsidRDefault="0085359A" w:rsidP="004E7540">
      <w:pPr>
        <w:spacing w:after="0" w:line="240" w:lineRule="auto"/>
        <w:ind w:firstLine="720"/>
        <w:contextualSpacing/>
        <w:rPr>
          <w:rFonts w:ascii="Arial" w:hAnsi="Arial" w:cs="Arial"/>
          <w:sz w:val="22"/>
          <w:szCs w:val="22"/>
        </w:rPr>
      </w:pPr>
      <w:r>
        <w:rPr>
          <w:rFonts w:ascii="Arial" w:hAnsi="Arial" w:cs="Arial"/>
          <w:sz w:val="22"/>
          <w:szCs w:val="22"/>
        </w:rPr>
        <w:t xml:space="preserve">It is possible that the </w:t>
      </w:r>
      <w:r w:rsidR="00033753">
        <w:rPr>
          <w:rFonts w:ascii="Arial" w:hAnsi="Arial" w:cs="Arial"/>
          <w:sz w:val="22"/>
          <w:szCs w:val="22"/>
        </w:rPr>
        <w:t>measured orientation is a coincidence. Improved measurements with more accurate instruments would be beneficial to reduce the size of the error bars on the dates, which currently stand at ± 5 days. Similarly, the orientation has been determined for the church that currently stands, which is a stone building from the thirteenth century</w:t>
      </w:r>
      <w:r w:rsidR="005B328E">
        <w:rPr>
          <w:rFonts w:ascii="Arial" w:hAnsi="Arial" w:cs="Arial"/>
          <w:sz w:val="22"/>
          <w:szCs w:val="22"/>
        </w:rPr>
        <w:t>. However, it is not known if an older, wooden building once existed on the same site and what its orientation might have been. Only an archaeological dig at the s</w:t>
      </w:r>
      <w:r w:rsidR="003E2747">
        <w:rPr>
          <w:rFonts w:ascii="Arial" w:hAnsi="Arial" w:cs="Arial"/>
          <w:sz w:val="22"/>
          <w:szCs w:val="22"/>
        </w:rPr>
        <w:t>i</w:t>
      </w:r>
      <w:r w:rsidR="005B328E">
        <w:rPr>
          <w:rFonts w:ascii="Arial" w:hAnsi="Arial" w:cs="Arial"/>
          <w:sz w:val="22"/>
          <w:szCs w:val="22"/>
        </w:rPr>
        <w:t>t</w:t>
      </w:r>
      <w:r w:rsidR="003E2747">
        <w:rPr>
          <w:rFonts w:ascii="Arial" w:hAnsi="Arial" w:cs="Arial"/>
          <w:sz w:val="22"/>
          <w:szCs w:val="22"/>
        </w:rPr>
        <w:t>e</w:t>
      </w:r>
      <w:r w:rsidR="005B328E">
        <w:rPr>
          <w:rFonts w:ascii="Arial" w:hAnsi="Arial" w:cs="Arial"/>
          <w:sz w:val="22"/>
          <w:szCs w:val="22"/>
        </w:rPr>
        <w:t xml:space="preserve"> would reveal that information.</w:t>
      </w:r>
    </w:p>
    <w:p w14:paraId="21CBAA34" w14:textId="0223BED4" w:rsidR="00032BC1" w:rsidRPr="00CF3AE2" w:rsidRDefault="00994E1E" w:rsidP="00CF3AE2">
      <w:pPr>
        <w:pStyle w:val="Heading1"/>
        <w:rPr>
          <w:sz w:val="28"/>
          <w:szCs w:val="28"/>
        </w:rPr>
      </w:pPr>
      <w:r w:rsidRPr="00994E1E">
        <w:rPr>
          <w:sz w:val="28"/>
          <w:szCs w:val="28"/>
        </w:rPr>
        <w:t>Bibliography</w:t>
      </w:r>
    </w:p>
    <w:p w14:paraId="1F0274CA" w14:textId="7F5D6A51" w:rsidR="00FB4E24" w:rsidRDefault="00FB4E24" w:rsidP="0083394A">
      <w:pPr>
        <w:pStyle w:val="Heading1"/>
        <w:ind w:left="720" w:hanging="720"/>
        <w:rPr>
          <w:rFonts w:cs="Arial"/>
          <w:b w:val="0"/>
          <w:bCs/>
          <w:sz w:val="22"/>
          <w:szCs w:val="22"/>
        </w:rPr>
      </w:pPr>
      <w:r w:rsidRPr="00FB4E24">
        <w:rPr>
          <w:rFonts w:cs="Arial"/>
          <w:b w:val="0"/>
          <w:bCs/>
          <w:sz w:val="22"/>
          <w:szCs w:val="22"/>
        </w:rPr>
        <w:t xml:space="preserve">Ali, Jason R. and Peter Cunich, </w:t>
      </w:r>
      <w:r>
        <w:rPr>
          <w:rFonts w:cs="Arial"/>
          <w:b w:val="0"/>
          <w:bCs/>
          <w:sz w:val="22"/>
          <w:szCs w:val="22"/>
        </w:rPr>
        <w:t>‘</w:t>
      </w:r>
      <w:r w:rsidRPr="00FB4E24">
        <w:rPr>
          <w:rFonts w:cs="Arial"/>
          <w:b w:val="0"/>
          <w:bCs/>
          <w:sz w:val="22"/>
          <w:szCs w:val="22"/>
        </w:rPr>
        <w:t>The Orientation of Churches: Some New Evidence’, </w:t>
      </w:r>
      <w:r w:rsidRPr="00FB4E24">
        <w:rPr>
          <w:rFonts w:cs="Arial"/>
          <w:b w:val="0"/>
          <w:bCs/>
          <w:i/>
          <w:iCs/>
          <w:sz w:val="22"/>
          <w:szCs w:val="22"/>
        </w:rPr>
        <w:t>The Antiquaries Journal</w:t>
      </w:r>
      <w:r w:rsidRPr="00FB4E24">
        <w:rPr>
          <w:rFonts w:cs="Arial"/>
          <w:b w:val="0"/>
          <w:bCs/>
          <w:sz w:val="22"/>
          <w:szCs w:val="22"/>
        </w:rPr>
        <w:t>, 81 (2001), 155-193.</w:t>
      </w:r>
    </w:p>
    <w:p w14:paraId="65019D84" w14:textId="594DF6D0" w:rsidR="008B36D7" w:rsidRDefault="00F07E5C" w:rsidP="0083394A">
      <w:pPr>
        <w:pStyle w:val="Heading1"/>
        <w:ind w:left="720" w:hanging="720"/>
        <w:rPr>
          <w:rFonts w:cs="Arial"/>
          <w:b w:val="0"/>
          <w:bCs/>
          <w:sz w:val="22"/>
          <w:szCs w:val="22"/>
        </w:rPr>
      </w:pPr>
      <w:r w:rsidRPr="00F07E5C">
        <w:rPr>
          <w:rFonts w:cs="Arial"/>
          <w:b w:val="0"/>
          <w:bCs/>
          <w:sz w:val="22"/>
          <w:szCs w:val="22"/>
        </w:rPr>
        <w:t xml:space="preserve">Bailey, </w:t>
      </w:r>
      <w:r w:rsidR="00C63FED">
        <w:rPr>
          <w:rFonts w:cs="Arial"/>
          <w:b w:val="0"/>
          <w:bCs/>
          <w:sz w:val="22"/>
          <w:szCs w:val="22"/>
        </w:rPr>
        <w:t xml:space="preserve">Bruce, </w:t>
      </w:r>
      <w:r w:rsidRPr="00F07E5C">
        <w:rPr>
          <w:rFonts w:cs="Arial"/>
          <w:b w:val="0"/>
          <w:bCs/>
          <w:sz w:val="22"/>
          <w:szCs w:val="22"/>
        </w:rPr>
        <w:t xml:space="preserve">Nikolaus Pevsner, and Bridget Cherry, </w:t>
      </w:r>
      <w:r w:rsidRPr="00F07E5C">
        <w:rPr>
          <w:rFonts w:cs="Arial"/>
          <w:b w:val="0"/>
          <w:bCs/>
          <w:i/>
          <w:iCs/>
          <w:sz w:val="22"/>
          <w:szCs w:val="22"/>
        </w:rPr>
        <w:t>Northamptonshire: The Buildings of Englan</w:t>
      </w:r>
      <w:r w:rsidRPr="00F07E5C">
        <w:rPr>
          <w:rFonts w:cs="Arial"/>
          <w:b w:val="0"/>
          <w:bCs/>
          <w:sz w:val="22"/>
          <w:szCs w:val="22"/>
        </w:rPr>
        <w:t>d (New Haven and London: Yale University Press, 2013)</w:t>
      </w:r>
      <w:r>
        <w:rPr>
          <w:rFonts w:cs="Arial"/>
          <w:b w:val="0"/>
          <w:bCs/>
          <w:sz w:val="22"/>
          <w:szCs w:val="22"/>
        </w:rPr>
        <w:t>.</w:t>
      </w:r>
    </w:p>
    <w:p w14:paraId="4EEBC4C4" w14:textId="3929ACC4" w:rsidR="00511D5D" w:rsidRDefault="00511D5D" w:rsidP="0083394A">
      <w:pPr>
        <w:pStyle w:val="Heading1"/>
        <w:ind w:left="720" w:hanging="720"/>
        <w:rPr>
          <w:rFonts w:cs="Arial"/>
          <w:b w:val="0"/>
          <w:bCs/>
          <w:sz w:val="22"/>
          <w:szCs w:val="22"/>
        </w:rPr>
      </w:pPr>
      <w:r w:rsidRPr="00511D5D">
        <w:rPr>
          <w:rFonts w:cs="Arial"/>
          <w:b w:val="0"/>
          <w:bCs/>
          <w:sz w:val="22"/>
          <w:szCs w:val="22"/>
        </w:rPr>
        <w:t>Belmonte</w:t>
      </w:r>
      <w:r>
        <w:rPr>
          <w:rFonts w:cs="Arial"/>
          <w:b w:val="0"/>
          <w:bCs/>
          <w:sz w:val="22"/>
          <w:szCs w:val="22"/>
        </w:rPr>
        <w:t>,</w:t>
      </w:r>
      <w:r w:rsidRPr="00511D5D">
        <w:rPr>
          <w:rFonts w:cs="Arial"/>
          <w:b w:val="0"/>
          <w:bCs/>
          <w:sz w:val="22"/>
          <w:szCs w:val="22"/>
        </w:rPr>
        <w:t xml:space="preserve"> Juan Antonio, ‘Solar Alignments – Identification and Analysis’, in </w:t>
      </w:r>
      <w:r w:rsidRPr="00511D5D">
        <w:rPr>
          <w:rFonts w:cs="Arial"/>
          <w:b w:val="0"/>
          <w:bCs/>
          <w:i/>
          <w:iCs/>
          <w:sz w:val="22"/>
          <w:szCs w:val="22"/>
        </w:rPr>
        <w:t>Handbook of Archaeoastronomy and Ethnoastronomy</w:t>
      </w:r>
      <w:r w:rsidRPr="00511D5D">
        <w:rPr>
          <w:rFonts w:cs="Arial"/>
          <w:b w:val="0"/>
          <w:bCs/>
          <w:sz w:val="22"/>
          <w:szCs w:val="22"/>
        </w:rPr>
        <w:t>, ed. by Clive L. N. Ruggles (New York, NY: Springer New York, 2015), pp. 483-492 &lt;https://doi.org/10.1007/978-1-4614-6141-8_36&gt;.</w:t>
      </w:r>
    </w:p>
    <w:p w14:paraId="76E545F6" w14:textId="6B64098B" w:rsidR="004A39B3" w:rsidRDefault="004A39B3" w:rsidP="0083394A">
      <w:pPr>
        <w:pStyle w:val="Heading1"/>
        <w:ind w:left="720" w:hanging="720"/>
        <w:rPr>
          <w:rFonts w:cs="Arial"/>
          <w:b w:val="0"/>
          <w:bCs/>
          <w:sz w:val="22"/>
          <w:szCs w:val="22"/>
        </w:rPr>
      </w:pPr>
      <w:r w:rsidRPr="004A39B3">
        <w:rPr>
          <w:rFonts w:cs="Arial"/>
          <w:b w:val="0"/>
          <w:bCs/>
          <w:sz w:val="22"/>
          <w:szCs w:val="22"/>
        </w:rPr>
        <w:lastRenderedPageBreak/>
        <w:t>Brady, Bernadette</w:t>
      </w:r>
      <w:r>
        <w:rPr>
          <w:rFonts w:cs="Arial"/>
          <w:b w:val="0"/>
          <w:bCs/>
          <w:sz w:val="22"/>
          <w:szCs w:val="22"/>
        </w:rPr>
        <w:t>,</w:t>
      </w:r>
      <w:r w:rsidRPr="004A39B3">
        <w:rPr>
          <w:rFonts w:cs="Arial"/>
          <w:b w:val="0"/>
          <w:bCs/>
          <w:sz w:val="22"/>
          <w:szCs w:val="22"/>
        </w:rPr>
        <w:t xml:space="preserve"> ‘Chartres Cathedral and the Rule of the Sun in the Cathedral’s Christian Platonist Theology’, </w:t>
      </w:r>
      <w:r w:rsidRPr="000E1B21">
        <w:rPr>
          <w:rFonts w:cs="Arial"/>
          <w:b w:val="0"/>
          <w:bCs/>
          <w:i/>
          <w:iCs/>
          <w:sz w:val="22"/>
          <w:szCs w:val="22"/>
        </w:rPr>
        <w:t>in Sky and Psyche: The Relationship Between Cosmos and Consciousness</w:t>
      </w:r>
      <w:r w:rsidRPr="004A39B3">
        <w:rPr>
          <w:rFonts w:cs="Arial"/>
          <w:b w:val="0"/>
          <w:bCs/>
          <w:sz w:val="22"/>
          <w:szCs w:val="22"/>
        </w:rPr>
        <w:t>, ed. by Nicholas Campion and Patrick Curry (Edinburgh: Floris Books, 2006), pp. 59-76.</w:t>
      </w:r>
    </w:p>
    <w:p w14:paraId="422FDE0B" w14:textId="3E41A1B4" w:rsidR="009A31AA" w:rsidRDefault="009A31AA" w:rsidP="0083394A">
      <w:pPr>
        <w:pStyle w:val="Heading1"/>
        <w:ind w:left="720" w:hanging="720"/>
        <w:rPr>
          <w:rFonts w:cs="Arial"/>
          <w:b w:val="0"/>
          <w:bCs/>
          <w:sz w:val="22"/>
          <w:szCs w:val="22"/>
        </w:rPr>
      </w:pPr>
      <w:r w:rsidRPr="009A31AA">
        <w:rPr>
          <w:rFonts w:cs="Arial"/>
          <w:b w:val="0"/>
          <w:bCs/>
          <w:sz w:val="22"/>
          <w:szCs w:val="22"/>
        </w:rPr>
        <w:t xml:space="preserve">Brady, Bernadette, </w:t>
      </w:r>
      <w:r>
        <w:rPr>
          <w:rFonts w:cs="Arial"/>
          <w:b w:val="0"/>
          <w:bCs/>
          <w:sz w:val="22"/>
          <w:szCs w:val="22"/>
        </w:rPr>
        <w:t>‘</w:t>
      </w:r>
      <w:r w:rsidRPr="009A31AA">
        <w:rPr>
          <w:rFonts w:cs="Arial"/>
          <w:b w:val="0"/>
          <w:bCs/>
          <w:sz w:val="22"/>
          <w:szCs w:val="22"/>
        </w:rPr>
        <w:t>The Dual Alignments of the Solstitial Churches in North Wales</w:t>
      </w:r>
      <w:r>
        <w:rPr>
          <w:rFonts w:cs="Arial"/>
          <w:b w:val="0"/>
          <w:bCs/>
          <w:sz w:val="22"/>
          <w:szCs w:val="22"/>
        </w:rPr>
        <w:t>’</w:t>
      </w:r>
      <w:r w:rsidRPr="009A31AA">
        <w:rPr>
          <w:rFonts w:cs="Arial"/>
          <w:b w:val="0"/>
          <w:bCs/>
          <w:sz w:val="22"/>
          <w:szCs w:val="22"/>
        </w:rPr>
        <w:t>, </w:t>
      </w:r>
      <w:r w:rsidRPr="009A31AA">
        <w:rPr>
          <w:rFonts w:cs="Arial"/>
          <w:b w:val="0"/>
          <w:bCs/>
          <w:i/>
          <w:iCs/>
          <w:sz w:val="22"/>
          <w:szCs w:val="22"/>
        </w:rPr>
        <w:t>Journal of Skyscape Archaeology</w:t>
      </w:r>
      <w:r w:rsidRPr="009A31AA">
        <w:rPr>
          <w:rFonts w:cs="Arial"/>
          <w:b w:val="0"/>
          <w:bCs/>
          <w:sz w:val="22"/>
          <w:szCs w:val="22"/>
        </w:rPr>
        <w:t>, 3 (2017), 5-28 &lt;</w:t>
      </w:r>
      <w:hyperlink r:id="rId12" w:tgtFrame="_blank" w:history="1">
        <w:r w:rsidRPr="009A31AA">
          <w:rPr>
            <w:rFonts w:cs="Arial"/>
            <w:b w:val="0"/>
            <w:bCs/>
            <w:sz w:val="22"/>
            <w:szCs w:val="22"/>
          </w:rPr>
          <w:t>https://doi.org/10.1558/jsa.30562&gt;</w:t>
        </w:r>
      </w:hyperlink>
      <w:r w:rsidRPr="009A31AA">
        <w:rPr>
          <w:rFonts w:cs="Arial"/>
          <w:b w:val="0"/>
          <w:bCs/>
          <w:sz w:val="22"/>
          <w:szCs w:val="22"/>
        </w:rPr>
        <w:t>.</w:t>
      </w:r>
    </w:p>
    <w:p w14:paraId="7367A3B4" w14:textId="2C189E82" w:rsidR="00B15C6A" w:rsidRDefault="00B15C6A" w:rsidP="0083394A">
      <w:pPr>
        <w:pStyle w:val="Heading1"/>
        <w:ind w:left="720" w:hanging="720"/>
        <w:rPr>
          <w:rFonts w:cs="Arial"/>
          <w:b w:val="0"/>
          <w:bCs/>
          <w:sz w:val="22"/>
          <w:szCs w:val="22"/>
        </w:rPr>
      </w:pPr>
      <w:r w:rsidRPr="00B15C6A">
        <w:rPr>
          <w:rFonts w:cs="Arial"/>
          <w:b w:val="0"/>
          <w:bCs/>
          <w:sz w:val="22"/>
          <w:szCs w:val="22"/>
        </w:rPr>
        <w:t>Brady,</w:t>
      </w:r>
      <w:r>
        <w:rPr>
          <w:rFonts w:cs="Arial"/>
          <w:b w:val="0"/>
          <w:bCs/>
          <w:sz w:val="22"/>
          <w:szCs w:val="22"/>
        </w:rPr>
        <w:t xml:space="preserve"> </w:t>
      </w:r>
      <w:r w:rsidRPr="00B15C6A">
        <w:rPr>
          <w:rFonts w:cs="Arial"/>
          <w:b w:val="0"/>
          <w:bCs/>
          <w:sz w:val="22"/>
          <w:szCs w:val="22"/>
        </w:rPr>
        <w:t>Bernadette</w:t>
      </w:r>
      <w:r>
        <w:rPr>
          <w:rFonts w:cs="Arial"/>
          <w:b w:val="0"/>
          <w:bCs/>
          <w:sz w:val="22"/>
          <w:szCs w:val="22"/>
        </w:rPr>
        <w:t>,</w:t>
      </w:r>
      <w:r w:rsidRPr="00B15C6A">
        <w:rPr>
          <w:rFonts w:cs="Arial"/>
          <w:b w:val="0"/>
          <w:bCs/>
          <w:sz w:val="22"/>
          <w:szCs w:val="22"/>
        </w:rPr>
        <w:t xml:space="preserve"> Darrelyn Gunzburg and Fabio Silva, ‘The Orientation of Cistercian Churches in Wales: A Cultural Astronomy Case Study’, </w:t>
      </w:r>
      <w:r w:rsidRPr="002A4A7B">
        <w:rPr>
          <w:rFonts w:cs="Arial"/>
          <w:b w:val="0"/>
          <w:bCs/>
          <w:i/>
          <w:iCs/>
          <w:sz w:val="22"/>
          <w:szCs w:val="22"/>
        </w:rPr>
        <w:t>Cîteaux – Commentarii cisttercienses</w:t>
      </w:r>
      <w:r w:rsidRPr="00B15C6A">
        <w:rPr>
          <w:rFonts w:cs="Arial"/>
          <w:b w:val="0"/>
          <w:bCs/>
          <w:sz w:val="22"/>
          <w:szCs w:val="22"/>
        </w:rPr>
        <w:t>, 67, no. 3-4 (2016), 275-302.</w:t>
      </w:r>
    </w:p>
    <w:p w14:paraId="3E929B9E" w14:textId="570451D9" w:rsidR="002A4A7B" w:rsidRDefault="002A4A7B" w:rsidP="0083394A">
      <w:pPr>
        <w:pStyle w:val="Heading1"/>
        <w:ind w:left="720" w:hanging="720"/>
        <w:rPr>
          <w:rFonts w:cs="Arial"/>
          <w:b w:val="0"/>
          <w:bCs/>
          <w:sz w:val="22"/>
          <w:szCs w:val="22"/>
        </w:rPr>
      </w:pPr>
      <w:r w:rsidRPr="00B15C6A">
        <w:rPr>
          <w:rFonts w:cs="Arial"/>
          <w:b w:val="0"/>
          <w:bCs/>
          <w:sz w:val="22"/>
          <w:szCs w:val="22"/>
        </w:rPr>
        <w:t>Brady,</w:t>
      </w:r>
      <w:r>
        <w:rPr>
          <w:rFonts w:cs="Arial"/>
          <w:b w:val="0"/>
          <w:bCs/>
          <w:sz w:val="22"/>
          <w:szCs w:val="22"/>
        </w:rPr>
        <w:t xml:space="preserve"> </w:t>
      </w:r>
      <w:r w:rsidRPr="00B15C6A">
        <w:rPr>
          <w:rFonts w:cs="Arial"/>
          <w:b w:val="0"/>
          <w:bCs/>
          <w:sz w:val="22"/>
          <w:szCs w:val="22"/>
        </w:rPr>
        <w:t>Bernadette</w:t>
      </w:r>
      <w:r w:rsidRPr="002A4A7B">
        <w:rPr>
          <w:rFonts w:cs="Arial"/>
          <w:b w:val="0"/>
          <w:bCs/>
          <w:sz w:val="22"/>
          <w:szCs w:val="22"/>
        </w:rPr>
        <w:t>, Darrelyn Gunzburg and Fabio Silva, ‘The Sun’s Light at Michaelmas and the Cistercians of Britain and Ireland’, </w:t>
      </w:r>
      <w:r w:rsidRPr="002A4A7B">
        <w:rPr>
          <w:rFonts w:cs="Arial"/>
          <w:b w:val="0"/>
          <w:bCs/>
          <w:i/>
          <w:iCs/>
          <w:sz w:val="22"/>
          <w:szCs w:val="22"/>
        </w:rPr>
        <w:t>Cîteaux – Commentarii cisttercienses</w:t>
      </w:r>
      <w:r w:rsidRPr="002A4A7B">
        <w:rPr>
          <w:rFonts w:cs="Arial"/>
          <w:b w:val="0"/>
          <w:bCs/>
          <w:sz w:val="22"/>
          <w:szCs w:val="22"/>
        </w:rPr>
        <w:t>, 72, no. 1-4 (2021), 47-65.</w:t>
      </w:r>
    </w:p>
    <w:p w14:paraId="204236B4" w14:textId="27396A30" w:rsidR="00865D9D" w:rsidRDefault="00865D9D" w:rsidP="0083394A">
      <w:pPr>
        <w:pStyle w:val="Heading1"/>
        <w:ind w:left="720" w:hanging="720"/>
        <w:rPr>
          <w:rFonts w:cs="Arial"/>
          <w:b w:val="0"/>
          <w:bCs/>
          <w:sz w:val="22"/>
          <w:szCs w:val="22"/>
        </w:rPr>
      </w:pPr>
      <w:r w:rsidRPr="00865D9D">
        <w:rPr>
          <w:rFonts w:cs="Arial"/>
          <w:b w:val="0"/>
          <w:bCs/>
          <w:sz w:val="22"/>
          <w:szCs w:val="22"/>
        </w:rPr>
        <w:t xml:space="preserve">Brady, Lindy, ‘Crowland Abbey as Anglo-Saxon Sanctuary in the Pseudo-Ingulf Chronicle’, </w:t>
      </w:r>
      <w:r w:rsidRPr="00865D9D">
        <w:rPr>
          <w:rFonts w:cs="Arial"/>
          <w:b w:val="0"/>
          <w:bCs/>
          <w:i/>
          <w:iCs/>
          <w:sz w:val="22"/>
          <w:szCs w:val="22"/>
        </w:rPr>
        <w:t>Traditio</w:t>
      </w:r>
      <w:r w:rsidRPr="00865D9D">
        <w:rPr>
          <w:rFonts w:cs="Arial"/>
          <w:b w:val="0"/>
          <w:bCs/>
          <w:sz w:val="22"/>
          <w:szCs w:val="22"/>
        </w:rPr>
        <w:t>, 73 (2018), 19-42.</w:t>
      </w:r>
    </w:p>
    <w:p w14:paraId="7F40FC83" w14:textId="61EEC681" w:rsidR="00D12B32" w:rsidRDefault="00D12B32" w:rsidP="0083394A">
      <w:pPr>
        <w:pStyle w:val="Heading1"/>
        <w:ind w:left="720" w:hanging="720"/>
        <w:rPr>
          <w:rFonts w:cs="Arial"/>
          <w:b w:val="0"/>
          <w:bCs/>
          <w:sz w:val="22"/>
          <w:szCs w:val="22"/>
        </w:rPr>
      </w:pPr>
      <w:r w:rsidRPr="00D12B32">
        <w:rPr>
          <w:rFonts w:cs="Arial"/>
          <w:b w:val="0"/>
          <w:bCs/>
          <w:sz w:val="22"/>
          <w:szCs w:val="22"/>
        </w:rPr>
        <w:t xml:space="preserve">Council for the Care of Churches, </w:t>
      </w:r>
      <w:r w:rsidRPr="00D12B32">
        <w:rPr>
          <w:rFonts w:cs="Arial"/>
          <w:b w:val="0"/>
          <w:bCs/>
          <w:i/>
          <w:iCs/>
          <w:sz w:val="22"/>
          <w:szCs w:val="22"/>
        </w:rPr>
        <w:t>Passenham, St. Guthlac</w:t>
      </w:r>
      <w:r>
        <w:rPr>
          <w:rFonts w:cs="Arial"/>
          <w:b w:val="0"/>
          <w:bCs/>
          <w:i/>
          <w:iCs/>
          <w:sz w:val="22"/>
          <w:szCs w:val="22"/>
        </w:rPr>
        <w:t>,</w:t>
      </w:r>
      <w:r w:rsidRPr="00D12B32">
        <w:rPr>
          <w:rFonts w:cs="Arial"/>
          <w:b w:val="0"/>
          <w:bCs/>
          <w:i/>
          <w:iCs/>
          <w:sz w:val="22"/>
          <w:szCs w:val="22"/>
        </w:rPr>
        <w:t xml:space="preserve"> Northamptonshire (Peterborough)</w:t>
      </w:r>
      <w:r w:rsidRPr="00D12B32">
        <w:rPr>
          <w:rFonts w:cs="Arial"/>
          <w:b w:val="0"/>
          <w:bCs/>
          <w:sz w:val="22"/>
          <w:szCs w:val="22"/>
        </w:rPr>
        <w:t>, PM 1716 (Unpublished n.d.).</w:t>
      </w:r>
    </w:p>
    <w:p w14:paraId="5E244295" w14:textId="301B3BAD" w:rsidR="00BF1A30" w:rsidRDefault="00BF1A30" w:rsidP="0083394A">
      <w:pPr>
        <w:pStyle w:val="Heading1"/>
        <w:ind w:left="720" w:hanging="720"/>
        <w:rPr>
          <w:rFonts w:cs="Arial"/>
          <w:b w:val="0"/>
          <w:bCs/>
          <w:sz w:val="22"/>
          <w:szCs w:val="22"/>
        </w:rPr>
      </w:pPr>
      <w:r w:rsidRPr="00BF1A30">
        <w:rPr>
          <w:rFonts w:cs="Arial"/>
          <w:b w:val="0"/>
          <w:bCs/>
          <w:sz w:val="22"/>
          <w:szCs w:val="22"/>
        </w:rPr>
        <w:t xml:space="preserve">Fourmilab, </w:t>
      </w:r>
      <w:r w:rsidRPr="00BF1A30">
        <w:rPr>
          <w:rFonts w:cs="Arial"/>
          <w:b w:val="0"/>
          <w:bCs/>
          <w:i/>
          <w:iCs/>
          <w:sz w:val="22"/>
          <w:szCs w:val="22"/>
        </w:rPr>
        <w:t>Calendar Converter</w:t>
      </w:r>
      <w:r w:rsidRPr="00BF1A30">
        <w:rPr>
          <w:rFonts w:cs="Arial"/>
          <w:b w:val="0"/>
          <w:bCs/>
          <w:sz w:val="22"/>
          <w:szCs w:val="22"/>
        </w:rPr>
        <w:t xml:space="preserve"> (2023) &lt;https://www.fourmilab.ch/documents/calendar/&gt; [accessed 2 April 2023].</w:t>
      </w:r>
    </w:p>
    <w:p w14:paraId="1E249028" w14:textId="2CC35F1A" w:rsidR="00C17744" w:rsidRDefault="00C17744" w:rsidP="0083394A">
      <w:pPr>
        <w:pStyle w:val="Heading1"/>
        <w:ind w:left="720" w:hanging="720"/>
        <w:rPr>
          <w:rFonts w:cs="Arial"/>
          <w:b w:val="0"/>
          <w:bCs/>
          <w:sz w:val="22"/>
          <w:szCs w:val="22"/>
        </w:rPr>
      </w:pPr>
      <w:r w:rsidRPr="00C17744">
        <w:rPr>
          <w:rFonts w:cs="Arial"/>
          <w:b w:val="0"/>
          <w:bCs/>
          <w:sz w:val="22"/>
          <w:szCs w:val="22"/>
        </w:rPr>
        <w:t xml:space="preserve">Google, </w:t>
      </w:r>
      <w:r w:rsidRPr="00C17744">
        <w:rPr>
          <w:rFonts w:cs="Arial"/>
          <w:b w:val="0"/>
          <w:bCs/>
          <w:i/>
          <w:iCs/>
          <w:sz w:val="22"/>
          <w:szCs w:val="22"/>
        </w:rPr>
        <w:t>Earth Versions</w:t>
      </w:r>
      <w:r w:rsidRPr="00C17744">
        <w:rPr>
          <w:rFonts w:cs="Arial"/>
          <w:b w:val="0"/>
          <w:bCs/>
          <w:sz w:val="22"/>
          <w:szCs w:val="22"/>
        </w:rPr>
        <w:t xml:space="preserve"> (2023) &lt; https://www.google.com/intl/en_uk/earth/versions/&gt; [accessed 25 April 2023].</w:t>
      </w:r>
    </w:p>
    <w:p w14:paraId="21740A48" w14:textId="7BBB3E46" w:rsidR="007323CB" w:rsidRDefault="007323CB" w:rsidP="0083394A">
      <w:pPr>
        <w:pStyle w:val="Heading1"/>
        <w:ind w:left="720" w:hanging="720"/>
        <w:rPr>
          <w:rFonts w:cs="Arial"/>
          <w:b w:val="0"/>
          <w:bCs/>
          <w:sz w:val="22"/>
          <w:szCs w:val="22"/>
        </w:rPr>
      </w:pPr>
      <w:r w:rsidRPr="007323CB">
        <w:rPr>
          <w:rFonts w:cs="Arial"/>
          <w:b w:val="0"/>
          <w:bCs/>
          <w:sz w:val="22"/>
          <w:szCs w:val="22"/>
        </w:rPr>
        <w:t xml:space="preserve">HeyWhatsThat, </w:t>
      </w:r>
      <w:r w:rsidRPr="007323CB">
        <w:rPr>
          <w:rFonts w:cs="Arial"/>
          <w:b w:val="0"/>
          <w:bCs/>
          <w:i/>
          <w:iCs/>
          <w:sz w:val="22"/>
          <w:szCs w:val="22"/>
        </w:rPr>
        <w:t>HeyWhat’sThat</w:t>
      </w:r>
      <w:r w:rsidRPr="007323CB">
        <w:rPr>
          <w:rFonts w:cs="Arial"/>
          <w:b w:val="0"/>
          <w:bCs/>
          <w:sz w:val="22"/>
          <w:szCs w:val="22"/>
        </w:rPr>
        <w:t xml:space="preserve"> (2023) &lt; https://www.heywhatsthat.com/&gt; [accessed 25 April 2023].</w:t>
      </w:r>
    </w:p>
    <w:p w14:paraId="109037FA" w14:textId="250726EF" w:rsidR="00A16662" w:rsidRDefault="00A16662" w:rsidP="0083394A">
      <w:pPr>
        <w:pStyle w:val="Heading1"/>
        <w:ind w:left="720" w:hanging="720"/>
        <w:rPr>
          <w:rFonts w:cs="Arial"/>
          <w:b w:val="0"/>
          <w:bCs/>
          <w:sz w:val="22"/>
          <w:szCs w:val="22"/>
        </w:rPr>
      </w:pPr>
      <w:r w:rsidRPr="00A16662">
        <w:rPr>
          <w:rFonts w:cs="Arial"/>
          <w:b w:val="0"/>
          <w:bCs/>
          <w:sz w:val="22"/>
          <w:szCs w:val="22"/>
        </w:rPr>
        <w:t>Hoare</w:t>
      </w:r>
      <w:r>
        <w:rPr>
          <w:rFonts w:cs="Arial"/>
          <w:b w:val="0"/>
          <w:bCs/>
          <w:sz w:val="22"/>
          <w:szCs w:val="22"/>
        </w:rPr>
        <w:t>,</w:t>
      </w:r>
      <w:r w:rsidRPr="00A16662">
        <w:rPr>
          <w:rFonts w:cs="Arial"/>
          <w:b w:val="0"/>
          <w:bCs/>
          <w:sz w:val="22"/>
          <w:szCs w:val="22"/>
        </w:rPr>
        <w:t xml:space="preserve"> Peter G., ‘Orientation of English Medieval Parish Churches’, in </w:t>
      </w:r>
      <w:r w:rsidRPr="00195A8F">
        <w:rPr>
          <w:rFonts w:cs="Arial"/>
          <w:b w:val="0"/>
          <w:bCs/>
          <w:i/>
          <w:iCs/>
          <w:sz w:val="22"/>
          <w:szCs w:val="22"/>
        </w:rPr>
        <w:t>Handbook of Archaeoastronomy and Ethnoastronomy</w:t>
      </w:r>
      <w:r w:rsidRPr="00A16662">
        <w:rPr>
          <w:rFonts w:cs="Arial"/>
          <w:b w:val="0"/>
          <w:bCs/>
          <w:sz w:val="22"/>
          <w:szCs w:val="22"/>
        </w:rPr>
        <w:t>, ed. by Clive L. N. Ruggles (New York, NY: Springer New York, 2015), pp. 1711-1718 &lt;https://doi.org/10.1007/978-1-4614-6141-8_174&gt;.</w:t>
      </w:r>
    </w:p>
    <w:p w14:paraId="717E4E6C" w14:textId="767C14B1" w:rsidR="00574A6D" w:rsidRDefault="00574A6D" w:rsidP="0083394A">
      <w:pPr>
        <w:pStyle w:val="Heading1"/>
        <w:ind w:left="720" w:hanging="720"/>
        <w:rPr>
          <w:rFonts w:cs="Arial"/>
          <w:b w:val="0"/>
          <w:bCs/>
          <w:sz w:val="22"/>
          <w:szCs w:val="22"/>
        </w:rPr>
      </w:pPr>
      <w:r w:rsidRPr="00574A6D">
        <w:rPr>
          <w:rFonts w:cs="Arial"/>
          <w:b w:val="0"/>
          <w:bCs/>
          <w:sz w:val="22"/>
          <w:szCs w:val="22"/>
        </w:rPr>
        <w:t>Lewis,</w:t>
      </w:r>
      <w:r>
        <w:rPr>
          <w:rFonts w:cs="Arial"/>
          <w:b w:val="0"/>
          <w:bCs/>
          <w:sz w:val="22"/>
          <w:szCs w:val="22"/>
        </w:rPr>
        <w:t xml:space="preserve"> </w:t>
      </w:r>
      <w:r w:rsidRPr="00574A6D">
        <w:rPr>
          <w:rFonts w:cs="Arial"/>
          <w:b w:val="0"/>
          <w:bCs/>
          <w:sz w:val="22"/>
          <w:szCs w:val="22"/>
        </w:rPr>
        <w:t>D.</w:t>
      </w:r>
      <w:r>
        <w:rPr>
          <w:rFonts w:cs="Arial"/>
          <w:b w:val="0"/>
          <w:bCs/>
          <w:sz w:val="22"/>
          <w:szCs w:val="22"/>
        </w:rPr>
        <w:t>,</w:t>
      </w:r>
      <w:r w:rsidRPr="00574A6D">
        <w:rPr>
          <w:rFonts w:cs="Arial"/>
          <w:b w:val="0"/>
          <w:bCs/>
          <w:sz w:val="22"/>
          <w:szCs w:val="22"/>
        </w:rPr>
        <w:t xml:space="preserve"> ‘Voyaging Stars: Aspects of Polynesian and Micronesian Astronomy’, </w:t>
      </w:r>
      <w:r w:rsidRPr="00574A6D">
        <w:rPr>
          <w:rFonts w:cs="Arial"/>
          <w:b w:val="0"/>
          <w:bCs/>
          <w:i/>
          <w:iCs/>
          <w:sz w:val="22"/>
          <w:szCs w:val="22"/>
        </w:rPr>
        <w:t>Philosophical Transactions of the Royal Society of London. Series A, Mathematical and Physical Sciences</w:t>
      </w:r>
      <w:r w:rsidRPr="00574A6D">
        <w:rPr>
          <w:rFonts w:cs="Arial"/>
          <w:b w:val="0"/>
          <w:bCs/>
          <w:sz w:val="22"/>
          <w:szCs w:val="22"/>
        </w:rPr>
        <w:t>, 276.1257 (1974), 133-148.</w:t>
      </w:r>
    </w:p>
    <w:p w14:paraId="26567AAC" w14:textId="366C3D74" w:rsidR="00DC14C4" w:rsidRDefault="00DC14C4" w:rsidP="0083394A">
      <w:pPr>
        <w:pStyle w:val="Heading1"/>
        <w:ind w:left="720" w:hanging="720"/>
        <w:rPr>
          <w:rFonts w:cs="Arial"/>
          <w:b w:val="0"/>
          <w:bCs/>
          <w:sz w:val="22"/>
          <w:szCs w:val="22"/>
        </w:rPr>
      </w:pPr>
      <w:r w:rsidRPr="00DC14C4">
        <w:rPr>
          <w:rFonts w:cs="Arial"/>
          <w:b w:val="0"/>
          <w:bCs/>
          <w:sz w:val="22"/>
          <w:szCs w:val="22"/>
        </w:rPr>
        <w:t xml:space="preserve">Martianus Capella, </w:t>
      </w:r>
      <w:r w:rsidRPr="00DC14C4">
        <w:rPr>
          <w:rFonts w:cs="Arial"/>
          <w:b w:val="0"/>
          <w:bCs/>
          <w:i/>
          <w:iCs/>
          <w:sz w:val="22"/>
          <w:szCs w:val="22"/>
        </w:rPr>
        <w:t>Martianus Capella and the Seven Liberal Arts, Volume II, The Marriage of Philology and Mercury</w:t>
      </w:r>
      <w:r w:rsidRPr="00DC14C4">
        <w:rPr>
          <w:rFonts w:cs="Arial"/>
          <w:b w:val="0"/>
          <w:bCs/>
          <w:sz w:val="22"/>
          <w:szCs w:val="22"/>
        </w:rPr>
        <w:t>, trans. by William Harris Stahl and Richard Johnson with E. L. Burge (New York, NY: Columbia University Press, 1977).</w:t>
      </w:r>
    </w:p>
    <w:p w14:paraId="4BDA59E1" w14:textId="5862F7DB" w:rsidR="00AA05D3" w:rsidRDefault="00AA05D3" w:rsidP="0083394A">
      <w:pPr>
        <w:pStyle w:val="Heading1"/>
        <w:ind w:left="720" w:hanging="720"/>
        <w:rPr>
          <w:rFonts w:cs="Arial"/>
          <w:b w:val="0"/>
          <w:bCs/>
          <w:sz w:val="22"/>
          <w:szCs w:val="22"/>
        </w:rPr>
      </w:pPr>
      <w:r w:rsidRPr="00AA05D3">
        <w:rPr>
          <w:rFonts w:cs="Arial"/>
          <w:b w:val="0"/>
          <w:bCs/>
          <w:sz w:val="22"/>
          <w:szCs w:val="22"/>
        </w:rPr>
        <w:t>McCluskey, Stephen C., ‘Orientation of Christian Churches’, in </w:t>
      </w:r>
      <w:r w:rsidRPr="00AA05D3">
        <w:rPr>
          <w:rFonts w:cs="Arial"/>
          <w:b w:val="0"/>
          <w:bCs/>
          <w:i/>
          <w:iCs/>
          <w:sz w:val="22"/>
          <w:szCs w:val="22"/>
        </w:rPr>
        <w:t>Handbook of Archaeoastronomy and Ethnoastronomy</w:t>
      </w:r>
      <w:r w:rsidRPr="00AA05D3">
        <w:rPr>
          <w:rFonts w:cs="Arial"/>
          <w:b w:val="0"/>
          <w:bCs/>
          <w:sz w:val="22"/>
          <w:szCs w:val="22"/>
        </w:rPr>
        <w:t>, ed. by Clive L. N. Ruggles (New York, NY: Springer New York, 2015), pp. 1703-1710 &lt;</w:t>
      </w:r>
      <w:hyperlink r:id="rId13" w:tgtFrame="_blank" w:history="1">
        <w:r w:rsidRPr="00AA05D3">
          <w:rPr>
            <w:rFonts w:cs="Arial"/>
            <w:b w:val="0"/>
            <w:bCs/>
            <w:sz w:val="22"/>
            <w:szCs w:val="22"/>
          </w:rPr>
          <w:t>https://doi.org/10.1007/978-1-4614-6141-8_173&gt;</w:t>
        </w:r>
      </w:hyperlink>
      <w:r w:rsidRPr="00AA05D3">
        <w:rPr>
          <w:rFonts w:cs="Arial"/>
          <w:b w:val="0"/>
          <w:bCs/>
          <w:sz w:val="22"/>
          <w:szCs w:val="22"/>
        </w:rPr>
        <w:t>.</w:t>
      </w:r>
    </w:p>
    <w:p w14:paraId="67CB6E57" w14:textId="0254DB06" w:rsidR="00161E61" w:rsidRDefault="00161E61" w:rsidP="0083394A">
      <w:pPr>
        <w:pStyle w:val="Heading1"/>
        <w:ind w:left="720" w:hanging="720"/>
        <w:rPr>
          <w:rFonts w:cs="Arial"/>
          <w:b w:val="0"/>
          <w:bCs/>
          <w:sz w:val="22"/>
          <w:szCs w:val="22"/>
        </w:rPr>
      </w:pPr>
      <w:r w:rsidRPr="00161E61">
        <w:rPr>
          <w:rFonts w:cs="Arial"/>
          <w:b w:val="0"/>
          <w:bCs/>
          <w:sz w:val="22"/>
          <w:szCs w:val="22"/>
        </w:rPr>
        <w:t>McCluskey, Stephen C., ‘Astronomy in the Service of Christianity’, in </w:t>
      </w:r>
      <w:r w:rsidRPr="00161E61">
        <w:rPr>
          <w:rFonts w:cs="Arial"/>
          <w:b w:val="0"/>
          <w:bCs/>
          <w:i/>
          <w:iCs/>
          <w:sz w:val="22"/>
          <w:szCs w:val="22"/>
        </w:rPr>
        <w:t>Handbook of Archaeoastronomy and Ethnoastronomy</w:t>
      </w:r>
      <w:r w:rsidRPr="00161E61">
        <w:rPr>
          <w:rFonts w:cs="Arial"/>
          <w:b w:val="0"/>
          <w:bCs/>
          <w:sz w:val="22"/>
          <w:szCs w:val="22"/>
        </w:rPr>
        <w:t xml:space="preserve">, ed. by Clive L. N. Ruggles (New </w:t>
      </w:r>
      <w:r w:rsidRPr="00161E61">
        <w:rPr>
          <w:rFonts w:cs="Arial"/>
          <w:b w:val="0"/>
          <w:bCs/>
          <w:sz w:val="22"/>
          <w:szCs w:val="22"/>
        </w:rPr>
        <w:lastRenderedPageBreak/>
        <w:t>York, NY: Springer New York, 2015), pp. 165-179 &lt;</w:t>
      </w:r>
      <w:hyperlink r:id="rId14" w:tgtFrame="_blank" w:history="1">
        <w:r w:rsidRPr="00161E61">
          <w:rPr>
            <w:rFonts w:cs="Arial"/>
            <w:b w:val="0"/>
            <w:bCs/>
            <w:sz w:val="22"/>
            <w:szCs w:val="22"/>
          </w:rPr>
          <w:t>https://doi.org/10.1007/978-1-4614-6141-8_15&gt;</w:t>
        </w:r>
      </w:hyperlink>
      <w:r w:rsidRPr="00161E61">
        <w:rPr>
          <w:rFonts w:cs="Arial"/>
          <w:b w:val="0"/>
          <w:bCs/>
          <w:sz w:val="22"/>
          <w:szCs w:val="22"/>
        </w:rPr>
        <w:t>.</w:t>
      </w:r>
    </w:p>
    <w:p w14:paraId="62EC1A64" w14:textId="27090F7D" w:rsidR="00AC032D" w:rsidRDefault="00AC032D" w:rsidP="0083394A">
      <w:pPr>
        <w:pStyle w:val="Heading1"/>
        <w:ind w:left="720" w:hanging="720"/>
        <w:rPr>
          <w:rFonts w:cs="Arial"/>
          <w:b w:val="0"/>
          <w:bCs/>
          <w:sz w:val="22"/>
          <w:szCs w:val="22"/>
        </w:rPr>
      </w:pPr>
      <w:r w:rsidRPr="00AC032D">
        <w:rPr>
          <w:rFonts w:cs="Arial"/>
          <w:b w:val="0"/>
          <w:bCs/>
          <w:sz w:val="22"/>
          <w:szCs w:val="22"/>
        </w:rPr>
        <w:t xml:space="preserve">National Centers for Environmental Information, </w:t>
      </w:r>
      <w:r w:rsidRPr="00AC032D">
        <w:rPr>
          <w:rFonts w:cs="Arial"/>
          <w:b w:val="0"/>
          <w:bCs/>
          <w:i/>
          <w:iCs/>
          <w:sz w:val="22"/>
          <w:szCs w:val="22"/>
        </w:rPr>
        <w:t>Magnetic Field Calculators</w:t>
      </w:r>
      <w:r w:rsidRPr="00AC032D">
        <w:rPr>
          <w:rFonts w:cs="Arial"/>
          <w:b w:val="0"/>
          <w:bCs/>
          <w:sz w:val="22"/>
          <w:szCs w:val="22"/>
        </w:rPr>
        <w:t xml:space="preserve"> (2023) &lt;http://www.ngdc.noaa.gov/geomag-web&gt; [accessed 25 April 2023].</w:t>
      </w:r>
    </w:p>
    <w:p w14:paraId="09E28397" w14:textId="21B2C995" w:rsidR="009042CA" w:rsidRDefault="009042CA" w:rsidP="0083394A">
      <w:pPr>
        <w:pStyle w:val="Heading1"/>
        <w:ind w:left="720" w:hanging="720"/>
        <w:rPr>
          <w:rFonts w:cs="Arial"/>
          <w:b w:val="0"/>
          <w:bCs/>
          <w:sz w:val="22"/>
          <w:szCs w:val="22"/>
        </w:rPr>
      </w:pPr>
      <w:r w:rsidRPr="009042CA">
        <w:rPr>
          <w:rFonts w:cs="Arial"/>
          <w:b w:val="0"/>
          <w:bCs/>
          <w:sz w:val="22"/>
          <w:szCs w:val="22"/>
        </w:rPr>
        <w:t>Page</w:t>
      </w:r>
      <w:r>
        <w:rPr>
          <w:rFonts w:cs="Arial"/>
          <w:b w:val="0"/>
          <w:bCs/>
          <w:sz w:val="22"/>
          <w:szCs w:val="22"/>
        </w:rPr>
        <w:t>, Mark</w:t>
      </w:r>
      <w:r w:rsidRPr="009042CA">
        <w:rPr>
          <w:rFonts w:cs="Arial"/>
          <w:b w:val="0"/>
          <w:bCs/>
          <w:sz w:val="22"/>
          <w:szCs w:val="22"/>
        </w:rPr>
        <w:t xml:space="preserve"> and Richard Jones, ‘The Whittlewood Project Interim Report 2000-1’, </w:t>
      </w:r>
      <w:r w:rsidRPr="009042CA">
        <w:rPr>
          <w:rFonts w:cs="Arial"/>
          <w:b w:val="0"/>
          <w:bCs/>
          <w:i/>
          <w:iCs/>
          <w:sz w:val="22"/>
          <w:szCs w:val="22"/>
        </w:rPr>
        <w:t>Medieval Settlement Research Group Annual Report</w:t>
      </w:r>
      <w:r w:rsidRPr="009042CA">
        <w:rPr>
          <w:rFonts w:cs="Arial"/>
          <w:b w:val="0"/>
          <w:bCs/>
          <w:sz w:val="22"/>
          <w:szCs w:val="22"/>
        </w:rPr>
        <w:t>, Vol. 15 (2000), 10-18, &lt; https://archaeologydataservice.ac.uk/archiveDS/archiveDownload?t=arch-2907-1/dissemination/pdf/Annual_Report_15_2000.pdf&gt; [accessed 20 April 2023].</w:t>
      </w:r>
    </w:p>
    <w:p w14:paraId="30E9AD3A" w14:textId="7CD9C5B5" w:rsidR="00C16736" w:rsidRDefault="00C16736" w:rsidP="0083394A">
      <w:pPr>
        <w:pStyle w:val="Heading1"/>
        <w:ind w:left="720" w:hanging="720"/>
        <w:rPr>
          <w:rFonts w:cs="Arial"/>
          <w:b w:val="0"/>
          <w:bCs/>
          <w:sz w:val="22"/>
          <w:szCs w:val="22"/>
        </w:rPr>
      </w:pPr>
      <w:r w:rsidRPr="00C16736">
        <w:rPr>
          <w:rFonts w:cs="Arial"/>
          <w:b w:val="0"/>
          <w:bCs/>
          <w:sz w:val="22"/>
          <w:szCs w:val="22"/>
        </w:rPr>
        <w:t>Ruggles</w:t>
      </w:r>
      <w:r>
        <w:rPr>
          <w:rFonts w:cs="Arial"/>
          <w:b w:val="0"/>
          <w:bCs/>
          <w:sz w:val="22"/>
          <w:szCs w:val="22"/>
        </w:rPr>
        <w:t>,</w:t>
      </w:r>
      <w:r w:rsidRPr="00C16736">
        <w:rPr>
          <w:rFonts w:cs="Arial"/>
          <w:b w:val="0"/>
          <w:bCs/>
          <w:sz w:val="22"/>
          <w:szCs w:val="22"/>
        </w:rPr>
        <w:t xml:space="preserve"> Clive L. N., ‘Analyzing Orientations’, in </w:t>
      </w:r>
      <w:r w:rsidRPr="00C16736">
        <w:rPr>
          <w:rFonts w:cs="Arial"/>
          <w:b w:val="0"/>
          <w:bCs/>
          <w:i/>
          <w:iCs/>
          <w:sz w:val="22"/>
          <w:szCs w:val="22"/>
        </w:rPr>
        <w:t>Handbook of Archaeoastronomy and Ethnoastronomy</w:t>
      </w:r>
      <w:r w:rsidRPr="00C16736">
        <w:rPr>
          <w:rFonts w:cs="Arial"/>
          <w:b w:val="0"/>
          <w:bCs/>
          <w:sz w:val="22"/>
          <w:szCs w:val="22"/>
        </w:rPr>
        <w:t>, ed. by Clive L. N. Ruggles (New York, NY: Springer New York, 2015), pp. 411-425 &lt;https://doi.org/10.1007/978-1-4614-6141-8_26&gt;</w:t>
      </w:r>
      <w:r w:rsidR="00511D5D">
        <w:rPr>
          <w:rFonts w:cs="Arial"/>
          <w:b w:val="0"/>
          <w:bCs/>
          <w:sz w:val="22"/>
          <w:szCs w:val="22"/>
        </w:rPr>
        <w:t>.</w:t>
      </w:r>
    </w:p>
    <w:p w14:paraId="558CE327" w14:textId="0A1563D6" w:rsidR="00AB32D7" w:rsidRDefault="00AB32D7" w:rsidP="0083394A">
      <w:pPr>
        <w:pStyle w:val="Heading1"/>
        <w:ind w:left="720" w:hanging="720"/>
        <w:rPr>
          <w:rFonts w:cs="Arial"/>
          <w:b w:val="0"/>
          <w:bCs/>
          <w:sz w:val="22"/>
          <w:szCs w:val="22"/>
        </w:rPr>
      </w:pPr>
      <w:r w:rsidRPr="00C16736">
        <w:rPr>
          <w:rFonts w:cs="Arial"/>
          <w:b w:val="0"/>
          <w:bCs/>
          <w:sz w:val="22"/>
          <w:szCs w:val="22"/>
        </w:rPr>
        <w:t>Ruggles</w:t>
      </w:r>
      <w:r>
        <w:rPr>
          <w:rFonts w:cs="Arial"/>
          <w:b w:val="0"/>
          <w:bCs/>
          <w:sz w:val="22"/>
          <w:szCs w:val="22"/>
        </w:rPr>
        <w:t>,</w:t>
      </w:r>
      <w:r w:rsidRPr="00C16736">
        <w:rPr>
          <w:rFonts w:cs="Arial"/>
          <w:b w:val="0"/>
          <w:bCs/>
          <w:sz w:val="22"/>
          <w:szCs w:val="22"/>
        </w:rPr>
        <w:t xml:space="preserve"> Clive L. N.</w:t>
      </w:r>
      <w:r w:rsidRPr="00AB32D7">
        <w:rPr>
          <w:rFonts w:cs="Arial"/>
          <w:b w:val="0"/>
          <w:bCs/>
          <w:sz w:val="22"/>
          <w:szCs w:val="22"/>
        </w:rPr>
        <w:t xml:space="preserve">, ‘Basic Concepts of Positional Astronomy’, in </w:t>
      </w:r>
      <w:r w:rsidRPr="00AB32D7">
        <w:rPr>
          <w:rFonts w:cs="Arial"/>
          <w:b w:val="0"/>
          <w:bCs/>
          <w:i/>
          <w:iCs/>
          <w:sz w:val="22"/>
          <w:szCs w:val="22"/>
        </w:rPr>
        <w:t>Handbook of Archaeoastronomy and Ethnoastronomy</w:t>
      </w:r>
      <w:r w:rsidRPr="00AB32D7">
        <w:rPr>
          <w:rFonts w:cs="Arial"/>
          <w:b w:val="0"/>
          <w:bCs/>
          <w:sz w:val="22"/>
          <w:szCs w:val="22"/>
        </w:rPr>
        <w:t>, ed. by Clive L. N. Ruggles (New York, NY: Springer New York, 2015), pp. 459-472 &lt;https://doi.org/10.1007/978-1-4614-6141-8_33&gt;.</w:t>
      </w:r>
    </w:p>
    <w:p w14:paraId="7AFB0A6A" w14:textId="5B032BED" w:rsidR="00021CFB" w:rsidRDefault="00021CFB" w:rsidP="0083394A">
      <w:pPr>
        <w:pStyle w:val="Heading1"/>
        <w:ind w:left="720" w:hanging="720"/>
        <w:rPr>
          <w:rFonts w:cs="Arial"/>
          <w:b w:val="0"/>
          <w:bCs/>
          <w:sz w:val="22"/>
          <w:szCs w:val="22"/>
        </w:rPr>
      </w:pPr>
      <w:r w:rsidRPr="00021CFB">
        <w:rPr>
          <w:rFonts w:cs="Arial"/>
          <w:b w:val="0"/>
          <w:bCs/>
          <w:sz w:val="22"/>
          <w:szCs w:val="22"/>
        </w:rPr>
        <w:t>Sassin Allen,</w:t>
      </w:r>
      <w:r>
        <w:rPr>
          <w:rFonts w:cs="Arial"/>
          <w:b w:val="0"/>
          <w:bCs/>
          <w:sz w:val="22"/>
          <w:szCs w:val="22"/>
        </w:rPr>
        <w:t xml:space="preserve"> </w:t>
      </w:r>
      <w:r w:rsidRPr="00021CFB">
        <w:rPr>
          <w:rFonts w:cs="Arial"/>
          <w:b w:val="0"/>
          <w:bCs/>
          <w:sz w:val="22"/>
          <w:szCs w:val="22"/>
        </w:rPr>
        <w:t>Anne</w:t>
      </w:r>
      <w:r>
        <w:rPr>
          <w:rFonts w:cs="Arial"/>
          <w:b w:val="0"/>
          <w:bCs/>
          <w:sz w:val="22"/>
          <w:szCs w:val="22"/>
        </w:rPr>
        <w:t>,</w:t>
      </w:r>
      <w:r w:rsidRPr="00021CFB">
        <w:rPr>
          <w:rFonts w:cs="Arial"/>
          <w:b w:val="0"/>
          <w:bCs/>
          <w:sz w:val="22"/>
          <w:szCs w:val="22"/>
        </w:rPr>
        <w:t xml:space="preserve"> ‘Church Orientation in the Landscape: A Perspective from Medieval Wales’, </w:t>
      </w:r>
      <w:r w:rsidRPr="00021CFB">
        <w:rPr>
          <w:rFonts w:cs="Arial"/>
          <w:b w:val="0"/>
          <w:bCs/>
          <w:i/>
          <w:iCs/>
          <w:sz w:val="22"/>
          <w:szCs w:val="22"/>
        </w:rPr>
        <w:t>Archaeological Journal</w:t>
      </w:r>
      <w:r w:rsidRPr="00021CFB">
        <w:rPr>
          <w:rFonts w:cs="Arial"/>
          <w:b w:val="0"/>
          <w:bCs/>
          <w:sz w:val="22"/>
          <w:szCs w:val="22"/>
        </w:rPr>
        <w:t>, 173 (2016), 154-187 &lt;</w:t>
      </w:r>
      <w:hyperlink r:id="rId15" w:tgtFrame="_blank" w:history="1">
        <w:r w:rsidRPr="00021CFB">
          <w:rPr>
            <w:rFonts w:cs="Arial"/>
            <w:b w:val="0"/>
            <w:bCs/>
            <w:sz w:val="22"/>
            <w:szCs w:val="22"/>
          </w:rPr>
          <w:t>https://doi.org/10.1080/00665983.2016.1110781&gt;</w:t>
        </w:r>
      </w:hyperlink>
      <w:r w:rsidRPr="00021CFB">
        <w:rPr>
          <w:rFonts w:cs="Arial"/>
          <w:b w:val="0"/>
          <w:bCs/>
          <w:sz w:val="22"/>
          <w:szCs w:val="22"/>
        </w:rPr>
        <w:t>.</w:t>
      </w:r>
    </w:p>
    <w:p w14:paraId="25FA32A3" w14:textId="1E534141" w:rsidR="001F0254" w:rsidRDefault="001F0254" w:rsidP="0083394A">
      <w:pPr>
        <w:pStyle w:val="Heading1"/>
        <w:ind w:left="720" w:hanging="720"/>
        <w:rPr>
          <w:rFonts w:cs="Arial"/>
          <w:b w:val="0"/>
          <w:bCs/>
          <w:sz w:val="22"/>
          <w:szCs w:val="22"/>
        </w:rPr>
      </w:pPr>
      <w:r w:rsidRPr="001F0254">
        <w:rPr>
          <w:rFonts w:cs="Arial"/>
          <w:b w:val="0"/>
          <w:bCs/>
          <w:sz w:val="22"/>
          <w:szCs w:val="22"/>
        </w:rPr>
        <w:t>Silva,</w:t>
      </w:r>
      <w:r>
        <w:rPr>
          <w:rFonts w:cs="Arial"/>
          <w:b w:val="0"/>
          <w:bCs/>
          <w:sz w:val="22"/>
          <w:szCs w:val="22"/>
        </w:rPr>
        <w:t xml:space="preserve"> Fabio,</w:t>
      </w:r>
      <w:r w:rsidRPr="001F0254">
        <w:rPr>
          <w:rFonts w:cs="Arial"/>
          <w:b w:val="0"/>
          <w:bCs/>
          <w:sz w:val="22"/>
          <w:szCs w:val="22"/>
        </w:rPr>
        <w:t xml:space="preserve"> </w:t>
      </w:r>
      <w:r w:rsidRPr="001F0254">
        <w:rPr>
          <w:rFonts w:cs="Arial"/>
          <w:b w:val="0"/>
          <w:bCs/>
          <w:i/>
          <w:iCs/>
          <w:sz w:val="22"/>
          <w:szCs w:val="22"/>
        </w:rPr>
        <w:t>Reference Tables for Skyscape Archaeology</w:t>
      </w:r>
      <w:r w:rsidRPr="001F0254">
        <w:rPr>
          <w:rFonts w:cs="Arial"/>
          <w:b w:val="0"/>
          <w:bCs/>
          <w:sz w:val="22"/>
          <w:szCs w:val="22"/>
        </w:rPr>
        <w:t xml:space="preserve"> (2023) &lt; http://s3.eu-west-2.amazonaws.com/skyscape-archaeology/ReferenceTables.html&gt; [accessed 2 April 2023].</w:t>
      </w:r>
    </w:p>
    <w:p w14:paraId="6D378F79" w14:textId="38E287DE" w:rsidR="00C63FED" w:rsidRDefault="00C63FED" w:rsidP="0083394A">
      <w:pPr>
        <w:pStyle w:val="Heading1"/>
        <w:ind w:left="720" w:hanging="720"/>
        <w:rPr>
          <w:rFonts w:cs="Arial"/>
          <w:b w:val="0"/>
          <w:bCs/>
          <w:sz w:val="22"/>
          <w:szCs w:val="22"/>
        </w:rPr>
      </w:pPr>
      <w:r w:rsidRPr="00C63FED">
        <w:rPr>
          <w:rFonts w:cs="Arial"/>
          <w:b w:val="0"/>
          <w:bCs/>
          <w:sz w:val="22"/>
          <w:szCs w:val="22"/>
        </w:rPr>
        <w:t>Swanton</w:t>
      </w:r>
      <w:r>
        <w:rPr>
          <w:rFonts w:cs="Arial"/>
          <w:b w:val="0"/>
          <w:bCs/>
          <w:sz w:val="22"/>
          <w:szCs w:val="22"/>
        </w:rPr>
        <w:t>, Michael</w:t>
      </w:r>
      <w:r w:rsidRPr="00C63FED">
        <w:rPr>
          <w:rFonts w:cs="Arial"/>
          <w:b w:val="0"/>
          <w:bCs/>
          <w:sz w:val="22"/>
          <w:szCs w:val="22"/>
        </w:rPr>
        <w:t xml:space="preserve">, </w:t>
      </w:r>
      <w:r w:rsidRPr="00C63FED">
        <w:rPr>
          <w:rFonts w:cs="Arial"/>
          <w:b w:val="0"/>
          <w:bCs/>
          <w:i/>
          <w:iCs/>
          <w:sz w:val="22"/>
          <w:szCs w:val="22"/>
        </w:rPr>
        <w:t>The Anglo-Saxon Chronicles</w:t>
      </w:r>
      <w:r w:rsidR="000702F0">
        <w:rPr>
          <w:rFonts w:cs="Arial"/>
          <w:b w:val="0"/>
          <w:bCs/>
          <w:sz w:val="22"/>
          <w:szCs w:val="22"/>
        </w:rPr>
        <w:t>, New edn.</w:t>
      </w:r>
      <w:r w:rsidRPr="00C63FED">
        <w:rPr>
          <w:rFonts w:cs="Arial"/>
          <w:b w:val="0"/>
          <w:bCs/>
          <w:sz w:val="22"/>
          <w:szCs w:val="22"/>
        </w:rPr>
        <w:t xml:space="preserve"> (London: Phoenix Press, 2000).</w:t>
      </w:r>
    </w:p>
    <w:p w14:paraId="65831242" w14:textId="7DD017DF" w:rsidR="0011235A" w:rsidRPr="00B5204D" w:rsidRDefault="0011235A" w:rsidP="0083394A">
      <w:pPr>
        <w:pStyle w:val="Heading1"/>
        <w:ind w:left="720" w:hanging="720"/>
        <w:rPr>
          <w:rFonts w:cs="Arial"/>
          <w:b w:val="0"/>
          <w:bCs/>
          <w:sz w:val="22"/>
          <w:szCs w:val="22"/>
        </w:rPr>
      </w:pPr>
      <w:r w:rsidRPr="0011235A">
        <w:rPr>
          <w:rFonts w:cs="Arial"/>
          <w:b w:val="0"/>
          <w:bCs/>
          <w:sz w:val="22"/>
          <w:szCs w:val="22"/>
        </w:rPr>
        <w:t>Wragg</w:t>
      </w:r>
      <w:r>
        <w:rPr>
          <w:rFonts w:cs="Arial"/>
          <w:b w:val="0"/>
          <w:bCs/>
          <w:sz w:val="22"/>
          <w:szCs w:val="22"/>
        </w:rPr>
        <w:t>,</w:t>
      </w:r>
      <w:r w:rsidRPr="0011235A">
        <w:rPr>
          <w:rFonts w:cs="Arial"/>
          <w:b w:val="0"/>
          <w:bCs/>
          <w:sz w:val="22"/>
          <w:szCs w:val="22"/>
        </w:rPr>
        <w:t xml:space="preserve"> Stefany J., ‘The Early Texts of the Cult of Saint Guthlac’, </w:t>
      </w:r>
      <w:r w:rsidRPr="0011235A">
        <w:rPr>
          <w:rFonts w:cs="Arial"/>
          <w:b w:val="0"/>
          <w:bCs/>
          <w:i/>
          <w:iCs/>
          <w:sz w:val="22"/>
          <w:szCs w:val="22"/>
        </w:rPr>
        <w:t>English Studies</w:t>
      </w:r>
      <w:r w:rsidRPr="0011235A">
        <w:rPr>
          <w:rFonts w:cs="Arial"/>
          <w:b w:val="0"/>
          <w:bCs/>
          <w:sz w:val="22"/>
          <w:szCs w:val="22"/>
        </w:rPr>
        <w:t>, 100.3 (2019), 253-272 (p. 255) &lt;DOI: 10.1080/0013838X.2018.1558700&gt;.</w:t>
      </w:r>
    </w:p>
    <w:sectPr w:rsidR="0011235A" w:rsidRPr="00B5204D" w:rsidSect="002C36BA">
      <w:headerReference w:type="default" r:id="rId16"/>
      <w:footerReference w:type="default" r:id="rId17"/>
      <w:pgSz w:w="11906" w:h="16838" w:code="9"/>
      <w:pgMar w:top="567" w:right="1797" w:bottom="567" w:left="1797"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13297" w14:textId="77777777" w:rsidR="007E34AB" w:rsidRDefault="007E34AB">
      <w:pPr>
        <w:spacing w:after="0" w:line="240" w:lineRule="auto"/>
      </w:pPr>
      <w:r>
        <w:separator/>
      </w:r>
    </w:p>
  </w:endnote>
  <w:endnote w:type="continuationSeparator" w:id="0">
    <w:p w14:paraId="2CC60094" w14:textId="77777777" w:rsidR="007E34AB" w:rsidRDefault="007E3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charset w:val="00"/>
    <w:family w:val="auto"/>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1FC7C" w14:textId="77777777" w:rsidR="0050563C" w:rsidRDefault="00000000">
    <w:pPr>
      <w:pStyle w:val="Footer"/>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A0A0A" w14:textId="77777777" w:rsidR="007E34AB" w:rsidRDefault="007E34AB">
      <w:pPr>
        <w:spacing w:after="0" w:line="240" w:lineRule="auto"/>
      </w:pPr>
      <w:r>
        <w:separator/>
      </w:r>
    </w:p>
  </w:footnote>
  <w:footnote w:type="continuationSeparator" w:id="0">
    <w:p w14:paraId="11065DA9" w14:textId="77777777" w:rsidR="007E34AB" w:rsidRDefault="007E34AB">
      <w:pPr>
        <w:spacing w:after="0" w:line="240" w:lineRule="auto"/>
      </w:pPr>
      <w:r>
        <w:continuationSeparator/>
      </w:r>
    </w:p>
  </w:footnote>
  <w:footnote w:id="1">
    <w:p w14:paraId="681B081B" w14:textId="64FF8FB5" w:rsidR="005F58B7" w:rsidRDefault="005F58B7">
      <w:pPr>
        <w:pStyle w:val="FootnoteText"/>
      </w:pPr>
      <w:r>
        <w:rPr>
          <w:rStyle w:val="FootnoteReference"/>
        </w:rPr>
        <w:footnoteRef/>
      </w:r>
      <w:r>
        <w:t xml:space="preserve"> </w:t>
      </w:r>
      <w:r w:rsidRPr="00EF71C4">
        <w:rPr>
          <w:sz w:val="18"/>
          <w:szCs w:val="18"/>
        </w:rPr>
        <w:t xml:space="preserve">Bruce Bailey, Nikolaus Pevsner, and Bridget Cherry, </w:t>
      </w:r>
      <w:r w:rsidRPr="00EF71C4">
        <w:rPr>
          <w:i/>
          <w:iCs/>
          <w:sz w:val="18"/>
          <w:szCs w:val="18"/>
        </w:rPr>
        <w:t>Northamptonshire:</w:t>
      </w:r>
      <w:r w:rsidRPr="00EF71C4">
        <w:rPr>
          <w:sz w:val="18"/>
          <w:szCs w:val="18"/>
        </w:rPr>
        <w:t xml:space="preserve"> </w:t>
      </w:r>
      <w:r w:rsidRPr="00EF71C4">
        <w:rPr>
          <w:i/>
          <w:iCs/>
          <w:sz w:val="18"/>
          <w:szCs w:val="18"/>
        </w:rPr>
        <w:t xml:space="preserve">The Buildings of England </w:t>
      </w:r>
      <w:r w:rsidRPr="00EF71C4">
        <w:rPr>
          <w:sz w:val="18"/>
          <w:szCs w:val="18"/>
        </w:rPr>
        <w:t xml:space="preserve">(New Haven and London: Yale University Press, 2013), p. </w:t>
      </w:r>
      <w:r>
        <w:rPr>
          <w:sz w:val="18"/>
          <w:szCs w:val="18"/>
        </w:rPr>
        <w:t>1</w:t>
      </w:r>
      <w:r w:rsidRPr="00EF71C4">
        <w:rPr>
          <w:sz w:val="18"/>
          <w:szCs w:val="18"/>
        </w:rPr>
        <w:t>5.</w:t>
      </w:r>
    </w:p>
  </w:footnote>
  <w:footnote w:id="2">
    <w:p w14:paraId="33A31C0D" w14:textId="2CEE7294" w:rsidR="00693D42" w:rsidRDefault="00693D42">
      <w:pPr>
        <w:pStyle w:val="FootnoteText"/>
      </w:pPr>
      <w:r>
        <w:rPr>
          <w:rStyle w:val="FootnoteReference"/>
        </w:rPr>
        <w:footnoteRef/>
      </w:r>
      <w:r>
        <w:t xml:space="preserve"> </w:t>
      </w:r>
      <w:r w:rsidRPr="00EF71C4">
        <w:rPr>
          <w:sz w:val="18"/>
          <w:szCs w:val="18"/>
        </w:rPr>
        <w:t xml:space="preserve">Bailey, Pevsner, and Cherry, </w:t>
      </w:r>
      <w:r w:rsidRPr="00EF71C4">
        <w:rPr>
          <w:i/>
          <w:iCs/>
          <w:sz w:val="18"/>
          <w:szCs w:val="18"/>
        </w:rPr>
        <w:t>Northamptonshire</w:t>
      </w:r>
      <w:r w:rsidRPr="00EF71C4">
        <w:rPr>
          <w:sz w:val="18"/>
          <w:szCs w:val="18"/>
        </w:rPr>
        <w:t>, p. 520.</w:t>
      </w:r>
    </w:p>
  </w:footnote>
  <w:footnote w:id="3">
    <w:p w14:paraId="684C7E61" w14:textId="45AFACF2" w:rsidR="00693D42" w:rsidRDefault="00693D42">
      <w:pPr>
        <w:pStyle w:val="FootnoteText"/>
      </w:pPr>
      <w:r>
        <w:rPr>
          <w:rStyle w:val="FootnoteReference"/>
        </w:rPr>
        <w:footnoteRef/>
      </w:r>
      <w:r>
        <w:t xml:space="preserve"> </w:t>
      </w:r>
      <w:r w:rsidR="00F07E5C" w:rsidRPr="00EF71C4">
        <w:rPr>
          <w:sz w:val="18"/>
          <w:szCs w:val="18"/>
        </w:rPr>
        <w:t xml:space="preserve">Bailey, Pevsner, and Cherry, </w:t>
      </w:r>
      <w:r w:rsidR="00F07E5C" w:rsidRPr="00EF71C4">
        <w:rPr>
          <w:i/>
          <w:iCs/>
          <w:sz w:val="18"/>
          <w:szCs w:val="18"/>
        </w:rPr>
        <w:t>Northamptonshire</w:t>
      </w:r>
      <w:r w:rsidR="00F07E5C" w:rsidRPr="00EF71C4">
        <w:rPr>
          <w:sz w:val="18"/>
          <w:szCs w:val="18"/>
        </w:rPr>
        <w:t xml:space="preserve">, </w:t>
      </w:r>
      <w:r w:rsidRPr="00EF71C4">
        <w:rPr>
          <w:sz w:val="18"/>
          <w:szCs w:val="18"/>
        </w:rPr>
        <w:t>p. 519.</w:t>
      </w:r>
    </w:p>
  </w:footnote>
  <w:footnote w:id="4">
    <w:p w14:paraId="386E9DA3" w14:textId="5918C671" w:rsidR="0083394A" w:rsidRDefault="0083394A">
      <w:pPr>
        <w:pStyle w:val="FootnoteText"/>
      </w:pPr>
      <w:r>
        <w:rPr>
          <w:rStyle w:val="FootnoteReference"/>
        </w:rPr>
        <w:footnoteRef/>
      </w:r>
      <w:r>
        <w:t xml:space="preserve"> </w:t>
      </w:r>
      <w:r w:rsidR="00C63FED" w:rsidRPr="00EF71C4">
        <w:rPr>
          <w:sz w:val="18"/>
          <w:szCs w:val="18"/>
        </w:rPr>
        <w:t xml:space="preserve">Michael Swanton, </w:t>
      </w:r>
      <w:r w:rsidR="00C63FED" w:rsidRPr="00EF71C4">
        <w:rPr>
          <w:i/>
          <w:iCs/>
          <w:sz w:val="18"/>
          <w:szCs w:val="18"/>
        </w:rPr>
        <w:t>The Anglo-Saxon Chronicles</w:t>
      </w:r>
      <w:r w:rsidR="00DC3460">
        <w:rPr>
          <w:sz w:val="18"/>
          <w:szCs w:val="18"/>
        </w:rPr>
        <w:t>, New edn.</w:t>
      </w:r>
      <w:r w:rsidR="00C63FED" w:rsidRPr="00EF71C4">
        <w:rPr>
          <w:i/>
          <w:iCs/>
          <w:sz w:val="18"/>
          <w:szCs w:val="18"/>
        </w:rPr>
        <w:t xml:space="preserve"> </w:t>
      </w:r>
      <w:r w:rsidR="00C63FED" w:rsidRPr="00EF71C4">
        <w:rPr>
          <w:sz w:val="18"/>
          <w:szCs w:val="18"/>
        </w:rPr>
        <w:t>(London: Phoenix Press, 2000), p. 102.</w:t>
      </w:r>
    </w:p>
  </w:footnote>
  <w:footnote w:id="5">
    <w:p w14:paraId="0B8AF3E7" w14:textId="04FC6E75" w:rsidR="00A52D51" w:rsidRDefault="00A52D51">
      <w:pPr>
        <w:pStyle w:val="FootnoteText"/>
      </w:pPr>
      <w:r>
        <w:rPr>
          <w:rStyle w:val="FootnoteReference"/>
        </w:rPr>
        <w:footnoteRef/>
      </w:r>
      <w:r>
        <w:t xml:space="preserve"> </w:t>
      </w:r>
      <w:r w:rsidRPr="00EF71C4">
        <w:rPr>
          <w:sz w:val="18"/>
          <w:szCs w:val="18"/>
        </w:rPr>
        <w:t xml:space="preserve">Bailey, Pevsner, and Cherry, </w:t>
      </w:r>
      <w:r w:rsidRPr="00EF71C4">
        <w:rPr>
          <w:i/>
          <w:iCs/>
          <w:sz w:val="18"/>
          <w:szCs w:val="18"/>
        </w:rPr>
        <w:t>Northamptonshire</w:t>
      </w:r>
      <w:r w:rsidRPr="00EF71C4">
        <w:rPr>
          <w:sz w:val="18"/>
          <w:szCs w:val="18"/>
        </w:rPr>
        <w:t>, pp. 519-520.</w:t>
      </w:r>
    </w:p>
  </w:footnote>
  <w:footnote w:id="6">
    <w:p w14:paraId="4532C37C" w14:textId="469D2538" w:rsidR="004D6C4A" w:rsidRDefault="004D6C4A">
      <w:pPr>
        <w:pStyle w:val="FootnoteText"/>
      </w:pPr>
      <w:r>
        <w:rPr>
          <w:rStyle w:val="FootnoteReference"/>
        </w:rPr>
        <w:footnoteRef/>
      </w:r>
      <w:r>
        <w:t xml:space="preserve"> </w:t>
      </w:r>
      <w:r w:rsidRPr="00EF71C4">
        <w:rPr>
          <w:sz w:val="18"/>
          <w:szCs w:val="18"/>
        </w:rPr>
        <w:t xml:space="preserve">Mark Page and Richard Jones, ‘The Whittlewood Project Interim Report 2000-1’, </w:t>
      </w:r>
      <w:r w:rsidR="00773425" w:rsidRPr="00EF71C4">
        <w:rPr>
          <w:i/>
          <w:iCs/>
          <w:sz w:val="18"/>
          <w:szCs w:val="18"/>
        </w:rPr>
        <w:t>Medieval Settlement Research Group Annual Report</w:t>
      </w:r>
      <w:r w:rsidRPr="00EF71C4">
        <w:rPr>
          <w:sz w:val="18"/>
          <w:szCs w:val="18"/>
        </w:rPr>
        <w:t>, Vol. 1</w:t>
      </w:r>
      <w:r w:rsidR="00773425" w:rsidRPr="00EF71C4">
        <w:rPr>
          <w:sz w:val="18"/>
          <w:szCs w:val="18"/>
        </w:rPr>
        <w:t>5</w:t>
      </w:r>
      <w:r w:rsidRPr="00EF71C4">
        <w:rPr>
          <w:sz w:val="18"/>
          <w:szCs w:val="18"/>
        </w:rPr>
        <w:t xml:space="preserve"> (20</w:t>
      </w:r>
      <w:r w:rsidR="00773425" w:rsidRPr="00EF71C4">
        <w:rPr>
          <w:sz w:val="18"/>
          <w:szCs w:val="18"/>
        </w:rPr>
        <w:t>00</w:t>
      </w:r>
      <w:r w:rsidRPr="00EF71C4">
        <w:rPr>
          <w:sz w:val="18"/>
          <w:szCs w:val="18"/>
        </w:rPr>
        <w:t xml:space="preserve">), </w:t>
      </w:r>
      <w:r w:rsidR="009042CA" w:rsidRPr="00EF71C4">
        <w:rPr>
          <w:sz w:val="18"/>
          <w:szCs w:val="18"/>
        </w:rPr>
        <w:t xml:space="preserve">10-18 </w:t>
      </w:r>
      <w:r w:rsidR="00773425" w:rsidRPr="00EF71C4">
        <w:rPr>
          <w:sz w:val="18"/>
          <w:szCs w:val="18"/>
        </w:rPr>
        <w:t>(</w:t>
      </w:r>
      <w:r w:rsidRPr="00EF71C4">
        <w:rPr>
          <w:sz w:val="18"/>
          <w:szCs w:val="18"/>
        </w:rPr>
        <w:t>p. 13</w:t>
      </w:r>
      <w:r w:rsidR="00773425" w:rsidRPr="00EF71C4">
        <w:rPr>
          <w:sz w:val="18"/>
          <w:szCs w:val="18"/>
        </w:rPr>
        <w:t>),</w:t>
      </w:r>
      <w:r w:rsidR="009042CA" w:rsidRPr="00EF71C4">
        <w:rPr>
          <w:sz w:val="18"/>
          <w:szCs w:val="18"/>
        </w:rPr>
        <w:t xml:space="preserve"> </w:t>
      </w:r>
      <w:r w:rsidR="00773425" w:rsidRPr="00EF71C4">
        <w:rPr>
          <w:sz w:val="18"/>
          <w:szCs w:val="18"/>
        </w:rPr>
        <w:t>&lt;</w:t>
      </w:r>
      <w:r w:rsidR="009042CA" w:rsidRPr="00EF71C4">
        <w:rPr>
          <w:sz w:val="18"/>
          <w:szCs w:val="18"/>
        </w:rPr>
        <w:t xml:space="preserve"> https://archaeologydataservice.ac.uk/archiveDS/archiveDownload?t=arch-2907-1/dissemination/pdf/Annual</w:t>
      </w:r>
      <w:r w:rsidR="00EF71C4" w:rsidRPr="00EF71C4">
        <w:rPr>
          <w:sz w:val="18"/>
          <w:szCs w:val="18"/>
        </w:rPr>
        <w:t>_</w:t>
      </w:r>
      <w:r w:rsidR="009042CA" w:rsidRPr="00EF71C4">
        <w:rPr>
          <w:sz w:val="18"/>
          <w:szCs w:val="18"/>
        </w:rPr>
        <w:t>Report_15_2000.pdf</w:t>
      </w:r>
      <w:r w:rsidR="00773425" w:rsidRPr="00EF71C4">
        <w:rPr>
          <w:sz w:val="18"/>
          <w:szCs w:val="18"/>
        </w:rPr>
        <w:t>&gt; [accessed 20 April 2023]</w:t>
      </w:r>
      <w:r w:rsidRPr="00EF71C4">
        <w:rPr>
          <w:sz w:val="18"/>
          <w:szCs w:val="18"/>
        </w:rPr>
        <w:t>.</w:t>
      </w:r>
    </w:p>
  </w:footnote>
  <w:footnote w:id="7">
    <w:p w14:paraId="7C7CE7A4" w14:textId="74E077DA" w:rsidR="00D12B32" w:rsidRDefault="00D12B32">
      <w:pPr>
        <w:pStyle w:val="FootnoteText"/>
      </w:pPr>
      <w:r>
        <w:rPr>
          <w:rStyle w:val="FootnoteReference"/>
        </w:rPr>
        <w:footnoteRef/>
      </w:r>
      <w:r>
        <w:t xml:space="preserve"> </w:t>
      </w:r>
      <w:r w:rsidRPr="00EF71C4">
        <w:rPr>
          <w:sz w:val="18"/>
          <w:szCs w:val="18"/>
        </w:rPr>
        <w:t>Page and Jones, ‘The Whittlewood Project Interim Report 2000-1’, p. 13).</w:t>
      </w:r>
    </w:p>
  </w:footnote>
  <w:footnote w:id="8">
    <w:p w14:paraId="69FEAE3E" w14:textId="54D27165" w:rsidR="00EF71C4" w:rsidRDefault="00EF71C4">
      <w:pPr>
        <w:pStyle w:val="FootnoteText"/>
      </w:pPr>
      <w:r>
        <w:rPr>
          <w:rStyle w:val="FootnoteReference"/>
        </w:rPr>
        <w:footnoteRef/>
      </w:r>
      <w:r>
        <w:t xml:space="preserve"> </w:t>
      </w:r>
      <w:r w:rsidRPr="00EF71C4">
        <w:rPr>
          <w:sz w:val="18"/>
          <w:szCs w:val="18"/>
        </w:rPr>
        <w:t xml:space="preserve">Council for the Care of Churches, </w:t>
      </w:r>
      <w:r w:rsidRPr="00EF71C4">
        <w:rPr>
          <w:i/>
          <w:iCs/>
          <w:sz w:val="18"/>
          <w:szCs w:val="18"/>
        </w:rPr>
        <w:t>Passenham, St. Guthlac</w:t>
      </w:r>
      <w:r w:rsidR="00D12B32">
        <w:rPr>
          <w:i/>
          <w:iCs/>
          <w:sz w:val="18"/>
          <w:szCs w:val="18"/>
        </w:rPr>
        <w:t>,</w:t>
      </w:r>
      <w:r w:rsidRPr="00EF71C4">
        <w:rPr>
          <w:i/>
          <w:iCs/>
          <w:sz w:val="18"/>
          <w:szCs w:val="18"/>
        </w:rPr>
        <w:t xml:space="preserve"> Northamptonshire (Peterborough)</w:t>
      </w:r>
      <w:r w:rsidRPr="00EF71C4">
        <w:rPr>
          <w:sz w:val="18"/>
          <w:szCs w:val="18"/>
        </w:rPr>
        <w:t>, PM 1716 (Unpublished n.d.).</w:t>
      </w:r>
    </w:p>
  </w:footnote>
  <w:footnote w:id="9">
    <w:p w14:paraId="29BDD636" w14:textId="512EA3AF" w:rsidR="00C16736" w:rsidRDefault="00C16736" w:rsidP="00C16736">
      <w:pPr>
        <w:pStyle w:val="FootnoteText"/>
      </w:pPr>
      <w:r>
        <w:rPr>
          <w:rStyle w:val="FootnoteReference"/>
        </w:rPr>
        <w:footnoteRef/>
      </w:r>
      <w:r>
        <w:t xml:space="preserve"> </w:t>
      </w:r>
      <w:r w:rsidRPr="00647299">
        <w:rPr>
          <w:sz w:val="18"/>
          <w:szCs w:val="18"/>
        </w:rPr>
        <w:t xml:space="preserve">Clive L. N. Ruggles, ‘Analyzing Orientations’, in </w:t>
      </w:r>
      <w:r w:rsidRPr="00647299">
        <w:rPr>
          <w:i/>
          <w:iCs/>
          <w:sz w:val="18"/>
          <w:szCs w:val="18"/>
        </w:rPr>
        <w:t>Handbook of Archaeoastronomy and Ethnoastronomy</w:t>
      </w:r>
      <w:r w:rsidRPr="00647299">
        <w:rPr>
          <w:sz w:val="18"/>
          <w:szCs w:val="18"/>
        </w:rPr>
        <w:t>, ed. by Clive L. N. Ruggles (New York, NY: Springer New York, 2015), pp. 411-425</w:t>
      </w:r>
      <w:r>
        <w:rPr>
          <w:sz w:val="18"/>
          <w:szCs w:val="18"/>
        </w:rPr>
        <w:t xml:space="preserve"> (p. 412)</w:t>
      </w:r>
      <w:r w:rsidRPr="00647299">
        <w:rPr>
          <w:sz w:val="18"/>
          <w:szCs w:val="18"/>
        </w:rPr>
        <w:t xml:space="preserve"> &lt;https://doi.org/10.1007/978-1-4614-6141-8_26&gt;</w:t>
      </w:r>
      <w:r w:rsidR="00511D5D">
        <w:rPr>
          <w:sz w:val="18"/>
          <w:szCs w:val="18"/>
        </w:rPr>
        <w:t>.</w:t>
      </w:r>
    </w:p>
  </w:footnote>
  <w:footnote w:id="10">
    <w:p w14:paraId="5016A2B6" w14:textId="540A947C" w:rsidR="00A929AB" w:rsidRDefault="00A929AB">
      <w:pPr>
        <w:pStyle w:val="FootnoteText"/>
      </w:pPr>
      <w:r>
        <w:rPr>
          <w:rStyle w:val="FootnoteReference"/>
        </w:rPr>
        <w:footnoteRef/>
      </w:r>
      <w:r>
        <w:t xml:space="preserve"> </w:t>
      </w:r>
      <w:r w:rsidRPr="00511D5D">
        <w:rPr>
          <w:sz w:val="18"/>
          <w:szCs w:val="18"/>
        </w:rPr>
        <w:t xml:space="preserve">Juan Antonio Belmonte, ‘Solar Alignments – Identification and Analysis’, in </w:t>
      </w:r>
      <w:r w:rsidRPr="00511D5D">
        <w:rPr>
          <w:i/>
          <w:iCs/>
          <w:sz w:val="18"/>
          <w:szCs w:val="18"/>
        </w:rPr>
        <w:t>Handbook of Archaeoastronomy and Ethnoastronomy</w:t>
      </w:r>
      <w:r w:rsidRPr="00511D5D">
        <w:rPr>
          <w:sz w:val="18"/>
          <w:szCs w:val="18"/>
        </w:rPr>
        <w:t>, ed. by Clive L. N. Ruggles (New York, NY: Springer New York, 2015), pp. 483-492 (pp. 483-484) &lt;https://doi.org/10.1007/978-1-4614-6141-8_36&gt;</w:t>
      </w:r>
      <w:r w:rsidR="00511D5D">
        <w:rPr>
          <w:sz w:val="18"/>
          <w:szCs w:val="18"/>
        </w:rPr>
        <w:t>.</w:t>
      </w:r>
    </w:p>
  </w:footnote>
  <w:footnote w:id="11">
    <w:p w14:paraId="515DA227" w14:textId="466AFCA5" w:rsidR="00162411" w:rsidRPr="00A06FC6" w:rsidRDefault="00162411">
      <w:pPr>
        <w:pStyle w:val="FootnoteText"/>
        <w:rPr>
          <w:sz w:val="18"/>
          <w:szCs w:val="18"/>
        </w:rPr>
      </w:pPr>
      <w:r>
        <w:rPr>
          <w:rStyle w:val="FootnoteReference"/>
        </w:rPr>
        <w:footnoteRef/>
      </w:r>
      <w:r>
        <w:t xml:space="preserve"> </w:t>
      </w:r>
      <w:r w:rsidRPr="00A06FC6">
        <w:rPr>
          <w:sz w:val="18"/>
          <w:szCs w:val="18"/>
        </w:rPr>
        <w:t>Stephen C.</w:t>
      </w:r>
      <w:r w:rsidR="002E7DF1" w:rsidRPr="002E7DF1">
        <w:rPr>
          <w:sz w:val="18"/>
          <w:szCs w:val="18"/>
        </w:rPr>
        <w:t xml:space="preserve"> </w:t>
      </w:r>
      <w:r w:rsidR="002E7DF1" w:rsidRPr="00A06FC6">
        <w:rPr>
          <w:sz w:val="18"/>
          <w:szCs w:val="18"/>
        </w:rPr>
        <w:t>McCluskey</w:t>
      </w:r>
      <w:r w:rsidRPr="00A06FC6">
        <w:rPr>
          <w:sz w:val="18"/>
          <w:szCs w:val="18"/>
        </w:rPr>
        <w:t xml:space="preserve">, </w:t>
      </w:r>
      <w:r w:rsidR="00A06FC6">
        <w:rPr>
          <w:sz w:val="18"/>
          <w:szCs w:val="18"/>
        </w:rPr>
        <w:t>‘</w:t>
      </w:r>
      <w:r w:rsidRPr="00A06FC6">
        <w:rPr>
          <w:sz w:val="18"/>
          <w:szCs w:val="18"/>
        </w:rPr>
        <w:t>Orientation of Christian Churches</w:t>
      </w:r>
      <w:r w:rsidR="00A06FC6">
        <w:rPr>
          <w:sz w:val="18"/>
          <w:szCs w:val="18"/>
        </w:rPr>
        <w:t>’</w:t>
      </w:r>
      <w:r w:rsidRPr="00A06FC6">
        <w:rPr>
          <w:sz w:val="18"/>
          <w:szCs w:val="18"/>
        </w:rPr>
        <w:t>, in </w:t>
      </w:r>
      <w:r w:rsidRPr="00A06FC6">
        <w:rPr>
          <w:i/>
          <w:iCs/>
          <w:sz w:val="18"/>
          <w:szCs w:val="18"/>
        </w:rPr>
        <w:t>Handbook of Archaeoastronomy and Ethnoastronomy</w:t>
      </w:r>
      <w:r w:rsidRPr="00A06FC6">
        <w:rPr>
          <w:sz w:val="18"/>
          <w:szCs w:val="18"/>
        </w:rPr>
        <w:t>, ed. by Clive L. N. Ruggles</w:t>
      </w:r>
      <w:r w:rsidR="00A06FC6">
        <w:rPr>
          <w:sz w:val="18"/>
          <w:szCs w:val="18"/>
        </w:rPr>
        <w:t xml:space="preserve"> </w:t>
      </w:r>
      <w:r w:rsidRPr="00A06FC6">
        <w:rPr>
          <w:sz w:val="18"/>
          <w:szCs w:val="18"/>
        </w:rPr>
        <w:t xml:space="preserve">(New York, NY: Springer New York, 2015), pp. 1703-1710 </w:t>
      </w:r>
      <w:r w:rsidR="00464B54">
        <w:rPr>
          <w:sz w:val="18"/>
          <w:szCs w:val="18"/>
        </w:rPr>
        <w:t>(</w:t>
      </w:r>
      <w:r w:rsidR="00AA05D3">
        <w:rPr>
          <w:sz w:val="18"/>
          <w:szCs w:val="18"/>
        </w:rPr>
        <w:t xml:space="preserve">pp. </w:t>
      </w:r>
      <w:r w:rsidR="00464B54">
        <w:rPr>
          <w:sz w:val="18"/>
          <w:szCs w:val="18"/>
        </w:rPr>
        <w:t xml:space="preserve">1704-1705) </w:t>
      </w:r>
      <w:r w:rsidRPr="00A06FC6">
        <w:rPr>
          <w:sz w:val="18"/>
          <w:szCs w:val="18"/>
        </w:rPr>
        <w:t>&lt;</w:t>
      </w:r>
      <w:hyperlink r:id="rId1" w:tgtFrame="_blank" w:history="1">
        <w:r w:rsidRPr="00A06FC6">
          <w:rPr>
            <w:sz w:val="18"/>
            <w:szCs w:val="18"/>
          </w:rPr>
          <w:t>https://doi.org/10.1007/978-1-4614-6141-8_173&gt;</w:t>
        </w:r>
      </w:hyperlink>
      <w:r w:rsidR="00A06FC6">
        <w:rPr>
          <w:sz w:val="18"/>
          <w:szCs w:val="18"/>
        </w:rPr>
        <w:t>.</w:t>
      </w:r>
    </w:p>
  </w:footnote>
  <w:footnote w:id="12">
    <w:p w14:paraId="17001407" w14:textId="69C7044C" w:rsidR="004A45C4" w:rsidRDefault="004A45C4">
      <w:pPr>
        <w:pStyle w:val="FootnoteText"/>
      </w:pPr>
      <w:r>
        <w:rPr>
          <w:rStyle w:val="FootnoteReference"/>
        </w:rPr>
        <w:footnoteRef/>
      </w:r>
      <w:r>
        <w:t xml:space="preserve"> </w:t>
      </w:r>
      <w:r w:rsidRPr="00A06FC6">
        <w:rPr>
          <w:sz w:val="18"/>
          <w:szCs w:val="18"/>
        </w:rPr>
        <w:t xml:space="preserve">McCluskey, </w:t>
      </w:r>
      <w:r>
        <w:rPr>
          <w:sz w:val="18"/>
          <w:szCs w:val="18"/>
        </w:rPr>
        <w:t>‘</w:t>
      </w:r>
      <w:r w:rsidRPr="00A06FC6">
        <w:rPr>
          <w:sz w:val="18"/>
          <w:szCs w:val="18"/>
        </w:rPr>
        <w:t>Orientation of Christian Churches</w:t>
      </w:r>
      <w:r>
        <w:rPr>
          <w:sz w:val="18"/>
          <w:szCs w:val="18"/>
        </w:rPr>
        <w:t>’</w:t>
      </w:r>
      <w:r w:rsidRPr="00A06FC6">
        <w:rPr>
          <w:sz w:val="18"/>
          <w:szCs w:val="18"/>
        </w:rPr>
        <w:t xml:space="preserve">, </w:t>
      </w:r>
      <w:r>
        <w:rPr>
          <w:sz w:val="18"/>
          <w:szCs w:val="18"/>
        </w:rPr>
        <w:t>p. 170</w:t>
      </w:r>
      <w:r w:rsidR="00AB34D3">
        <w:rPr>
          <w:sz w:val="18"/>
          <w:szCs w:val="18"/>
        </w:rPr>
        <w:t>7</w:t>
      </w:r>
      <w:r>
        <w:rPr>
          <w:sz w:val="18"/>
          <w:szCs w:val="18"/>
        </w:rPr>
        <w:t>.</w:t>
      </w:r>
    </w:p>
  </w:footnote>
  <w:footnote w:id="13">
    <w:p w14:paraId="5B99D759" w14:textId="4CEB79EE" w:rsidR="00D96EE2" w:rsidRDefault="00D96EE2">
      <w:pPr>
        <w:pStyle w:val="FootnoteText"/>
      </w:pPr>
      <w:r>
        <w:rPr>
          <w:rStyle w:val="FootnoteReference"/>
        </w:rPr>
        <w:footnoteRef/>
      </w:r>
      <w:r>
        <w:t xml:space="preserve"> </w:t>
      </w:r>
      <w:r w:rsidRPr="00A06FC6">
        <w:rPr>
          <w:sz w:val="18"/>
          <w:szCs w:val="18"/>
        </w:rPr>
        <w:t xml:space="preserve">McCluskey, </w:t>
      </w:r>
      <w:r>
        <w:rPr>
          <w:sz w:val="18"/>
          <w:szCs w:val="18"/>
        </w:rPr>
        <w:t>‘</w:t>
      </w:r>
      <w:r w:rsidRPr="00A06FC6">
        <w:rPr>
          <w:sz w:val="18"/>
          <w:szCs w:val="18"/>
        </w:rPr>
        <w:t>Orientation of Christian Churches</w:t>
      </w:r>
      <w:r>
        <w:rPr>
          <w:sz w:val="18"/>
          <w:szCs w:val="18"/>
        </w:rPr>
        <w:t>’</w:t>
      </w:r>
      <w:r w:rsidRPr="00A06FC6">
        <w:rPr>
          <w:sz w:val="18"/>
          <w:szCs w:val="18"/>
        </w:rPr>
        <w:t xml:space="preserve">, </w:t>
      </w:r>
      <w:r>
        <w:rPr>
          <w:sz w:val="18"/>
          <w:szCs w:val="18"/>
        </w:rPr>
        <w:t>p. 1707.</w:t>
      </w:r>
    </w:p>
  </w:footnote>
  <w:footnote w:id="14">
    <w:p w14:paraId="54894C9B" w14:textId="67903E12" w:rsidR="00DF18DE" w:rsidRDefault="00DF18DE">
      <w:pPr>
        <w:pStyle w:val="FootnoteText"/>
      </w:pPr>
      <w:r>
        <w:rPr>
          <w:rStyle w:val="FootnoteReference"/>
        </w:rPr>
        <w:footnoteRef/>
      </w:r>
      <w:r>
        <w:t xml:space="preserve"> </w:t>
      </w:r>
      <w:r w:rsidRPr="00511D5D">
        <w:rPr>
          <w:sz w:val="18"/>
          <w:szCs w:val="18"/>
        </w:rPr>
        <w:t>Belmonte, ‘Solar Alignments – Identification and Analysis’,</w:t>
      </w:r>
      <w:r w:rsidR="00452E6A" w:rsidRPr="00511D5D">
        <w:rPr>
          <w:sz w:val="18"/>
          <w:szCs w:val="18"/>
        </w:rPr>
        <w:t xml:space="preserve"> </w:t>
      </w:r>
      <w:r w:rsidRPr="00511D5D">
        <w:rPr>
          <w:sz w:val="18"/>
          <w:szCs w:val="18"/>
        </w:rPr>
        <w:t>p. 48</w:t>
      </w:r>
      <w:r>
        <w:rPr>
          <w:sz w:val="18"/>
          <w:szCs w:val="18"/>
        </w:rPr>
        <w:t>5.</w:t>
      </w:r>
    </w:p>
  </w:footnote>
  <w:footnote w:id="15">
    <w:p w14:paraId="6902FF87" w14:textId="4EE0614A" w:rsidR="00647F8D" w:rsidRDefault="00647F8D">
      <w:pPr>
        <w:pStyle w:val="FootnoteText"/>
      </w:pPr>
      <w:r>
        <w:rPr>
          <w:rStyle w:val="FootnoteReference"/>
        </w:rPr>
        <w:footnoteRef/>
      </w:r>
      <w:r>
        <w:t xml:space="preserve"> </w:t>
      </w:r>
      <w:r w:rsidRPr="00511D5D">
        <w:rPr>
          <w:sz w:val="18"/>
          <w:szCs w:val="18"/>
        </w:rPr>
        <w:t>Belmonte, ‘Solar Alignments – Identification and Analysis’, p. 48</w:t>
      </w:r>
      <w:r>
        <w:rPr>
          <w:sz w:val="18"/>
          <w:szCs w:val="18"/>
        </w:rPr>
        <w:t>9.</w:t>
      </w:r>
    </w:p>
  </w:footnote>
  <w:footnote w:id="16">
    <w:p w14:paraId="332CDF98" w14:textId="17AE4EB9" w:rsidR="00566165" w:rsidRDefault="00566165">
      <w:pPr>
        <w:pStyle w:val="FootnoteText"/>
      </w:pPr>
      <w:r>
        <w:rPr>
          <w:rStyle w:val="FootnoteReference"/>
        </w:rPr>
        <w:footnoteRef/>
      </w:r>
      <w:r>
        <w:t xml:space="preserve"> </w:t>
      </w:r>
      <w:r w:rsidRPr="00A06FC6">
        <w:rPr>
          <w:sz w:val="18"/>
          <w:szCs w:val="18"/>
        </w:rPr>
        <w:t xml:space="preserve">McCluskey, </w:t>
      </w:r>
      <w:r>
        <w:rPr>
          <w:sz w:val="18"/>
          <w:szCs w:val="18"/>
        </w:rPr>
        <w:t>‘</w:t>
      </w:r>
      <w:r w:rsidRPr="00A06FC6">
        <w:rPr>
          <w:sz w:val="18"/>
          <w:szCs w:val="18"/>
        </w:rPr>
        <w:t>Orientation of Christian Churches</w:t>
      </w:r>
      <w:r>
        <w:rPr>
          <w:sz w:val="18"/>
          <w:szCs w:val="18"/>
        </w:rPr>
        <w:t>’</w:t>
      </w:r>
      <w:r w:rsidRPr="00A06FC6">
        <w:rPr>
          <w:sz w:val="18"/>
          <w:szCs w:val="18"/>
        </w:rPr>
        <w:t xml:space="preserve">, </w:t>
      </w:r>
      <w:r>
        <w:rPr>
          <w:sz w:val="18"/>
          <w:szCs w:val="18"/>
        </w:rPr>
        <w:t>p. 1708.</w:t>
      </w:r>
    </w:p>
  </w:footnote>
  <w:footnote w:id="17">
    <w:p w14:paraId="211ED589" w14:textId="59DB3EE9" w:rsidR="00ED4B26" w:rsidRPr="009A31AA" w:rsidRDefault="00ED4B26">
      <w:pPr>
        <w:pStyle w:val="FootnoteText"/>
        <w:rPr>
          <w:sz w:val="18"/>
          <w:szCs w:val="18"/>
        </w:rPr>
      </w:pPr>
      <w:r>
        <w:rPr>
          <w:rStyle w:val="FootnoteReference"/>
        </w:rPr>
        <w:footnoteRef/>
      </w:r>
      <w:r>
        <w:t xml:space="preserve"> </w:t>
      </w:r>
      <w:r w:rsidR="009A31AA" w:rsidRPr="009A31AA">
        <w:rPr>
          <w:sz w:val="18"/>
          <w:szCs w:val="18"/>
        </w:rPr>
        <w:t xml:space="preserve">Bernadette Brady, </w:t>
      </w:r>
      <w:r w:rsidR="009A31AA">
        <w:rPr>
          <w:sz w:val="18"/>
          <w:szCs w:val="18"/>
        </w:rPr>
        <w:t>‘</w:t>
      </w:r>
      <w:r w:rsidR="009A31AA" w:rsidRPr="009A31AA">
        <w:rPr>
          <w:sz w:val="18"/>
          <w:szCs w:val="18"/>
        </w:rPr>
        <w:t>The Dual Alignments of the Solstitial Churches in North Wales</w:t>
      </w:r>
      <w:r w:rsidR="009A31AA">
        <w:rPr>
          <w:sz w:val="18"/>
          <w:szCs w:val="18"/>
        </w:rPr>
        <w:t>’</w:t>
      </w:r>
      <w:r w:rsidR="009A31AA" w:rsidRPr="009A31AA">
        <w:rPr>
          <w:sz w:val="18"/>
          <w:szCs w:val="18"/>
        </w:rPr>
        <w:t>, </w:t>
      </w:r>
      <w:r w:rsidR="009A31AA" w:rsidRPr="009A31AA">
        <w:rPr>
          <w:i/>
          <w:iCs/>
          <w:sz w:val="18"/>
          <w:szCs w:val="18"/>
        </w:rPr>
        <w:t>Journal of Skyscape Archaeology</w:t>
      </w:r>
      <w:r w:rsidR="009A31AA" w:rsidRPr="009A31AA">
        <w:rPr>
          <w:sz w:val="18"/>
          <w:szCs w:val="18"/>
        </w:rPr>
        <w:t>, 3 (2017), 5-28 &lt;</w:t>
      </w:r>
      <w:hyperlink r:id="rId2" w:tgtFrame="_blank" w:history="1">
        <w:r w:rsidR="009A31AA" w:rsidRPr="009A31AA">
          <w:rPr>
            <w:sz w:val="18"/>
            <w:szCs w:val="18"/>
          </w:rPr>
          <w:t>https://doi.org/10.1558/jsa.30562&gt;</w:t>
        </w:r>
      </w:hyperlink>
      <w:r w:rsidR="009A31AA" w:rsidRPr="009A31AA">
        <w:rPr>
          <w:sz w:val="18"/>
          <w:szCs w:val="18"/>
        </w:rPr>
        <w:t>.</w:t>
      </w:r>
    </w:p>
  </w:footnote>
  <w:footnote w:id="18">
    <w:p w14:paraId="70DCA485" w14:textId="6072BFAC" w:rsidR="00503108" w:rsidRDefault="00503108">
      <w:pPr>
        <w:pStyle w:val="FootnoteText"/>
      </w:pPr>
      <w:r>
        <w:rPr>
          <w:rStyle w:val="FootnoteReference"/>
        </w:rPr>
        <w:footnoteRef/>
      </w:r>
      <w:r>
        <w:t xml:space="preserve"> </w:t>
      </w:r>
      <w:r w:rsidRPr="00503108">
        <w:rPr>
          <w:sz w:val="18"/>
          <w:szCs w:val="18"/>
        </w:rPr>
        <w:t>Bernadette Brady, ‘</w:t>
      </w:r>
      <w:r>
        <w:rPr>
          <w:sz w:val="18"/>
          <w:szCs w:val="18"/>
        </w:rPr>
        <w:t>Chartres Cathedral and the Rule of the Sun in the Cathedral’s Christian Platonist Theology</w:t>
      </w:r>
      <w:r w:rsidRPr="00647299">
        <w:rPr>
          <w:sz w:val="18"/>
          <w:szCs w:val="18"/>
        </w:rPr>
        <w:t xml:space="preserve">’, in </w:t>
      </w:r>
      <w:r>
        <w:rPr>
          <w:i/>
          <w:iCs/>
          <w:sz w:val="18"/>
          <w:szCs w:val="18"/>
        </w:rPr>
        <w:t>Sky and Psyche: The Relationship Between Cosmos and Consciousness</w:t>
      </w:r>
      <w:r w:rsidRPr="00647299">
        <w:rPr>
          <w:sz w:val="18"/>
          <w:szCs w:val="18"/>
        </w:rPr>
        <w:t xml:space="preserve">, ed. by </w:t>
      </w:r>
      <w:r>
        <w:t>Nicholas Campion</w:t>
      </w:r>
      <w:r>
        <w:rPr>
          <w:sz w:val="18"/>
          <w:szCs w:val="18"/>
        </w:rPr>
        <w:t xml:space="preserve"> and Patrick Curry</w:t>
      </w:r>
      <w:r w:rsidRPr="00647299">
        <w:rPr>
          <w:sz w:val="18"/>
          <w:szCs w:val="18"/>
        </w:rPr>
        <w:t xml:space="preserve"> (</w:t>
      </w:r>
      <w:r>
        <w:rPr>
          <w:sz w:val="18"/>
          <w:szCs w:val="18"/>
        </w:rPr>
        <w:t>Edinburgh</w:t>
      </w:r>
      <w:r w:rsidRPr="00647299">
        <w:rPr>
          <w:sz w:val="18"/>
          <w:szCs w:val="18"/>
        </w:rPr>
        <w:t xml:space="preserve">: </w:t>
      </w:r>
      <w:r>
        <w:rPr>
          <w:sz w:val="18"/>
          <w:szCs w:val="18"/>
        </w:rPr>
        <w:t>Floris Books</w:t>
      </w:r>
      <w:r w:rsidRPr="00647299">
        <w:rPr>
          <w:sz w:val="18"/>
          <w:szCs w:val="18"/>
        </w:rPr>
        <w:t>, 20</w:t>
      </w:r>
      <w:r>
        <w:rPr>
          <w:sz w:val="18"/>
          <w:szCs w:val="18"/>
        </w:rPr>
        <w:t>06</w:t>
      </w:r>
      <w:r w:rsidRPr="00647299">
        <w:rPr>
          <w:sz w:val="18"/>
          <w:szCs w:val="18"/>
        </w:rPr>
        <w:t xml:space="preserve">), pp. </w:t>
      </w:r>
      <w:r>
        <w:rPr>
          <w:sz w:val="18"/>
          <w:szCs w:val="18"/>
        </w:rPr>
        <w:t>59</w:t>
      </w:r>
      <w:r w:rsidRPr="00647299">
        <w:rPr>
          <w:sz w:val="18"/>
          <w:szCs w:val="18"/>
        </w:rPr>
        <w:t>-</w:t>
      </w:r>
      <w:r>
        <w:rPr>
          <w:sz w:val="18"/>
          <w:szCs w:val="18"/>
        </w:rPr>
        <w:t>76 (p. 69).</w:t>
      </w:r>
    </w:p>
  </w:footnote>
  <w:footnote w:id="19">
    <w:p w14:paraId="5F0CF297" w14:textId="150ECE60" w:rsidR="00B15C6A" w:rsidRDefault="00B15C6A">
      <w:pPr>
        <w:pStyle w:val="FootnoteText"/>
      </w:pPr>
      <w:r>
        <w:rPr>
          <w:rStyle w:val="FootnoteReference"/>
        </w:rPr>
        <w:footnoteRef/>
      </w:r>
      <w:r>
        <w:t xml:space="preserve"> </w:t>
      </w:r>
      <w:r w:rsidRPr="009A31AA">
        <w:rPr>
          <w:sz w:val="18"/>
          <w:szCs w:val="18"/>
        </w:rPr>
        <w:t xml:space="preserve">Bernadette Brady, </w:t>
      </w:r>
      <w:r>
        <w:rPr>
          <w:sz w:val="18"/>
          <w:szCs w:val="18"/>
        </w:rPr>
        <w:t>Darrelyn Gunzburg</w:t>
      </w:r>
      <w:r w:rsidR="00BB5C66">
        <w:rPr>
          <w:sz w:val="18"/>
          <w:szCs w:val="18"/>
        </w:rPr>
        <w:t>,</w:t>
      </w:r>
      <w:r>
        <w:rPr>
          <w:sz w:val="18"/>
          <w:szCs w:val="18"/>
        </w:rPr>
        <w:t xml:space="preserve"> and Fabio Silva, ‘</w:t>
      </w:r>
      <w:r w:rsidRPr="009A31AA">
        <w:rPr>
          <w:sz w:val="18"/>
          <w:szCs w:val="18"/>
        </w:rPr>
        <w:t xml:space="preserve">The </w:t>
      </w:r>
      <w:r>
        <w:rPr>
          <w:sz w:val="18"/>
          <w:szCs w:val="18"/>
        </w:rPr>
        <w:t xml:space="preserve">Orientation of Cistercian </w:t>
      </w:r>
      <w:r w:rsidRPr="009A31AA">
        <w:rPr>
          <w:sz w:val="18"/>
          <w:szCs w:val="18"/>
        </w:rPr>
        <w:t>Churches in Wales</w:t>
      </w:r>
      <w:r>
        <w:rPr>
          <w:sz w:val="18"/>
          <w:szCs w:val="18"/>
        </w:rPr>
        <w:t>: A Cultural Astronomy Case Study’</w:t>
      </w:r>
      <w:r w:rsidRPr="009A31AA">
        <w:rPr>
          <w:sz w:val="18"/>
          <w:szCs w:val="18"/>
        </w:rPr>
        <w:t>, </w:t>
      </w:r>
      <w:r>
        <w:rPr>
          <w:i/>
          <w:iCs/>
          <w:sz w:val="18"/>
          <w:szCs w:val="18"/>
        </w:rPr>
        <w:t>Cîteaux – Commentarii cisttercienses</w:t>
      </w:r>
      <w:r w:rsidRPr="009A31AA">
        <w:rPr>
          <w:sz w:val="18"/>
          <w:szCs w:val="18"/>
        </w:rPr>
        <w:t>, </w:t>
      </w:r>
      <w:r>
        <w:rPr>
          <w:sz w:val="18"/>
          <w:szCs w:val="18"/>
        </w:rPr>
        <w:t>67, no. 3-4</w:t>
      </w:r>
      <w:r w:rsidRPr="009A31AA">
        <w:rPr>
          <w:sz w:val="18"/>
          <w:szCs w:val="18"/>
        </w:rPr>
        <w:t xml:space="preserve"> (201</w:t>
      </w:r>
      <w:r>
        <w:rPr>
          <w:sz w:val="18"/>
          <w:szCs w:val="18"/>
        </w:rPr>
        <w:t>6</w:t>
      </w:r>
      <w:r w:rsidRPr="009A31AA">
        <w:rPr>
          <w:sz w:val="18"/>
          <w:szCs w:val="18"/>
        </w:rPr>
        <w:t xml:space="preserve">), </w:t>
      </w:r>
      <w:r>
        <w:rPr>
          <w:sz w:val="18"/>
          <w:szCs w:val="18"/>
        </w:rPr>
        <w:t>27</w:t>
      </w:r>
      <w:r w:rsidRPr="009A31AA">
        <w:rPr>
          <w:sz w:val="18"/>
          <w:szCs w:val="18"/>
        </w:rPr>
        <w:t>5-</w:t>
      </w:r>
      <w:r>
        <w:rPr>
          <w:sz w:val="18"/>
          <w:szCs w:val="18"/>
        </w:rPr>
        <w:t>302.</w:t>
      </w:r>
      <w:r>
        <w:t xml:space="preserve"> </w:t>
      </w:r>
    </w:p>
  </w:footnote>
  <w:footnote w:id="20">
    <w:p w14:paraId="0165E064" w14:textId="740FF112" w:rsidR="00B15C6A" w:rsidRDefault="00B15C6A">
      <w:pPr>
        <w:pStyle w:val="FootnoteText"/>
      </w:pPr>
      <w:r>
        <w:rPr>
          <w:rStyle w:val="FootnoteReference"/>
        </w:rPr>
        <w:footnoteRef/>
      </w:r>
      <w:r>
        <w:t xml:space="preserve"> </w:t>
      </w:r>
      <w:r w:rsidRPr="009A31AA">
        <w:rPr>
          <w:sz w:val="18"/>
          <w:szCs w:val="18"/>
        </w:rPr>
        <w:t xml:space="preserve">Bernadette Brady, </w:t>
      </w:r>
      <w:r>
        <w:rPr>
          <w:sz w:val="18"/>
          <w:szCs w:val="18"/>
        </w:rPr>
        <w:t>Darrelyn Gunzburg</w:t>
      </w:r>
      <w:r w:rsidR="00BB5C66">
        <w:rPr>
          <w:sz w:val="18"/>
          <w:szCs w:val="18"/>
        </w:rPr>
        <w:t>,</w:t>
      </w:r>
      <w:r>
        <w:rPr>
          <w:sz w:val="18"/>
          <w:szCs w:val="18"/>
        </w:rPr>
        <w:t xml:space="preserve"> and Fabio Silva, ‘</w:t>
      </w:r>
      <w:r w:rsidRPr="009A31AA">
        <w:rPr>
          <w:sz w:val="18"/>
          <w:szCs w:val="18"/>
        </w:rPr>
        <w:t xml:space="preserve">The </w:t>
      </w:r>
      <w:r>
        <w:rPr>
          <w:sz w:val="18"/>
          <w:szCs w:val="18"/>
        </w:rPr>
        <w:t>Sun’s Light at Michaelmas and the Cistercians of Britain and Ireland’</w:t>
      </w:r>
      <w:r w:rsidRPr="009A31AA">
        <w:rPr>
          <w:sz w:val="18"/>
          <w:szCs w:val="18"/>
        </w:rPr>
        <w:t>, </w:t>
      </w:r>
      <w:r>
        <w:rPr>
          <w:i/>
          <w:iCs/>
          <w:sz w:val="18"/>
          <w:szCs w:val="18"/>
        </w:rPr>
        <w:t>Cîteaux – Commentarii cisttercienses</w:t>
      </w:r>
      <w:r w:rsidRPr="009A31AA">
        <w:rPr>
          <w:sz w:val="18"/>
          <w:szCs w:val="18"/>
        </w:rPr>
        <w:t>, </w:t>
      </w:r>
      <w:r>
        <w:rPr>
          <w:sz w:val="18"/>
          <w:szCs w:val="18"/>
        </w:rPr>
        <w:t>72, no. 1-4</w:t>
      </w:r>
      <w:r w:rsidRPr="009A31AA">
        <w:rPr>
          <w:sz w:val="18"/>
          <w:szCs w:val="18"/>
        </w:rPr>
        <w:t xml:space="preserve"> (20</w:t>
      </w:r>
      <w:r>
        <w:rPr>
          <w:sz w:val="18"/>
          <w:szCs w:val="18"/>
        </w:rPr>
        <w:t>2</w:t>
      </w:r>
      <w:r w:rsidRPr="009A31AA">
        <w:rPr>
          <w:sz w:val="18"/>
          <w:szCs w:val="18"/>
        </w:rPr>
        <w:t xml:space="preserve">1), </w:t>
      </w:r>
      <w:r>
        <w:rPr>
          <w:sz w:val="18"/>
          <w:szCs w:val="18"/>
        </w:rPr>
        <w:t>47</w:t>
      </w:r>
      <w:r w:rsidRPr="009A31AA">
        <w:rPr>
          <w:sz w:val="18"/>
          <w:szCs w:val="18"/>
        </w:rPr>
        <w:t>-</w:t>
      </w:r>
      <w:r>
        <w:rPr>
          <w:sz w:val="18"/>
          <w:szCs w:val="18"/>
        </w:rPr>
        <w:t>65.</w:t>
      </w:r>
    </w:p>
  </w:footnote>
  <w:footnote w:id="21">
    <w:p w14:paraId="446C10EF" w14:textId="023ADC65" w:rsidR="002A4A7B" w:rsidRDefault="002A4A7B">
      <w:pPr>
        <w:pStyle w:val="FootnoteText"/>
      </w:pPr>
      <w:r>
        <w:rPr>
          <w:rStyle w:val="FootnoteReference"/>
        </w:rPr>
        <w:footnoteRef/>
      </w:r>
      <w:r>
        <w:t xml:space="preserve"> </w:t>
      </w:r>
      <w:r w:rsidRPr="009A31AA">
        <w:rPr>
          <w:sz w:val="18"/>
          <w:szCs w:val="18"/>
        </w:rPr>
        <w:t xml:space="preserve">Brady, </w:t>
      </w:r>
      <w:r>
        <w:rPr>
          <w:sz w:val="18"/>
          <w:szCs w:val="18"/>
        </w:rPr>
        <w:t>Gunzburg</w:t>
      </w:r>
      <w:r w:rsidR="0058002F">
        <w:rPr>
          <w:sz w:val="18"/>
          <w:szCs w:val="18"/>
        </w:rPr>
        <w:t>,</w:t>
      </w:r>
      <w:r>
        <w:rPr>
          <w:sz w:val="18"/>
          <w:szCs w:val="18"/>
        </w:rPr>
        <w:t xml:space="preserve"> and Silva, ‘</w:t>
      </w:r>
      <w:r w:rsidRPr="009A31AA">
        <w:rPr>
          <w:sz w:val="18"/>
          <w:szCs w:val="18"/>
        </w:rPr>
        <w:t xml:space="preserve">The </w:t>
      </w:r>
      <w:r>
        <w:rPr>
          <w:sz w:val="18"/>
          <w:szCs w:val="18"/>
        </w:rPr>
        <w:t xml:space="preserve">Orientation of Cistercian </w:t>
      </w:r>
      <w:r w:rsidRPr="009A31AA">
        <w:rPr>
          <w:sz w:val="18"/>
          <w:szCs w:val="18"/>
        </w:rPr>
        <w:t>Churches in Wales</w:t>
      </w:r>
      <w:r>
        <w:rPr>
          <w:sz w:val="18"/>
          <w:szCs w:val="18"/>
        </w:rPr>
        <w:t>’</w:t>
      </w:r>
      <w:r w:rsidRPr="009A31AA">
        <w:rPr>
          <w:sz w:val="18"/>
          <w:szCs w:val="18"/>
        </w:rPr>
        <w:t>, </w:t>
      </w:r>
      <w:r w:rsidR="002D6B60">
        <w:rPr>
          <w:sz w:val="18"/>
          <w:szCs w:val="18"/>
        </w:rPr>
        <w:t xml:space="preserve">pp. </w:t>
      </w:r>
      <w:r>
        <w:rPr>
          <w:sz w:val="18"/>
          <w:szCs w:val="18"/>
        </w:rPr>
        <w:t>27</w:t>
      </w:r>
      <w:r w:rsidRPr="009A31AA">
        <w:rPr>
          <w:sz w:val="18"/>
          <w:szCs w:val="18"/>
        </w:rPr>
        <w:t>5-</w:t>
      </w:r>
      <w:r>
        <w:rPr>
          <w:sz w:val="18"/>
          <w:szCs w:val="18"/>
        </w:rPr>
        <w:t>302.</w:t>
      </w:r>
    </w:p>
  </w:footnote>
  <w:footnote w:id="22">
    <w:p w14:paraId="694424D3" w14:textId="27FDC891" w:rsidR="001F56DB" w:rsidRDefault="001F56DB">
      <w:pPr>
        <w:pStyle w:val="FootnoteText"/>
      </w:pPr>
      <w:r>
        <w:rPr>
          <w:rStyle w:val="FootnoteReference"/>
        </w:rPr>
        <w:footnoteRef/>
      </w:r>
      <w:r>
        <w:t xml:space="preserve"> </w:t>
      </w:r>
      <w:r w:rsidRPr="00647299">
        <w:rPr>
          <w:sz w:val="18"/>
          <w:szCs w:val="18"/>
        </w:rPr>
        <w:t xml:space="preserve">Ruggles, ‘Analyzing Orientations’, </w:t>
      </w:r>
      <w:r>
        <w:rPr>
          <w:sz w:val="18"/>
          <w:szCs w:val="18"/>
        </w:rPr>
        <w:t>p. 411.</w:t>
      </w:r>
    </w:p>
  </w:footnote>
  <w:footnote w:id="23">
    <w:p w14:paraId="6E9A3CD1" w14:textId="336D4804" w:rsidR="00C17744" w:rsidRDefault="00C17744">
      <w:pPr>
        <w:pStyle w:val="FootnoteText"/>
      </w:pPr>
      <w:r>
        <w:rPr>
          <w:rStyle w:val="FootnoteReference"/>
        </w:rPr>
        <w:footnoteRef/>
      </w:r>
      <w:r>
        <w:t xml:space="preserve"> </w:t>
      </w:r>
      <w:r w:rsidRPr="00C17744">
        <w:rPr>
          <w:sz w:val="18"/>
          <w:szCs w:val="18"/>
        </w:rPr>
        <w:t xml:space="preserve">Google, </w:t>
      </w:r>
      <w:r w:rsidRPr="00C17744">
        <w:rPr>
          <w:i/>
          <w:iCs/>
          <w:sz w:val="18"/>
          <w:szCs w:val="18"/>
        </w:rPr>
        <w:t>Earth Versions</w:t>
      </w:r>
      <w:r w:rsidRPr="00C17744">
        <w:rPr>
          <w:sz w:val="18"/>
          <w:szCs w:val="18"/>
        </w:rPr>
        <w:t xml:space="preserve"> (2023) &lt; https://www.google.com/intl/en_uk/earth/versions/&gt; [accessed 25 April 2023].</w:t>
      </w:r>
    </w:p>
  </w:footnote>
  <w:footnote w:id="24">
    <w:p w14:paraId="526F1131" w14:textId="4DAEA399" w:rsidR="00D02EB1" w:rsidRDefault="00D02EB1">
      <w:pPr>
        <w:pStyle w:val="FootnoteText"/>
      </w:pPr>
      <w:r>
        <w:rPr>
          <w:rStyle w:val="FootnoteReference"/>
        </w:rPr>
        <w:footnoteRef/>
      </w:r>
      <w:r>
        <w:t xml:space="preserve"> </w:t>
      </w:r>
      <w:r w:rsidR="003D397F" w:rsidRPr="009A31AA">
        <w:rPr>
          <w:sz w:val="18"/>
          <w:szCs w:val="18"/>
        </w:rPr>
        <w:t xml:space="preserve">Brady, </w:t>
      </w:r>
      <w:r w:rsidR="003D397F">
        <w:rPr>
          <w:sz w:val="18"/>
          <w:szCs w:val="18"/>
        </w:rPr>
        <w:t>‘</w:t>
      </w:r>
      <w:r w:rsidR="003D397F" w:rsidRPr="009A31AA">
        <w:rPr>
          <w:sz w:val="18"/>
          <w:szCs w:val="18"/>
        </w:rPr>
        <w:t>The Dual Alignments</w:t>
      </w:r>
      <w:r w:rsidR="003D397F">
        <w:rPr>
          <w:sz w:val="18"/>
          <w:szCs w:val="18"/>
        </w:rPr>
        <w:t>’</w:t>
      </w:r>
      <w:r w:rsidR="003D397F" w:rsidRPr="009A31AA">
        <w:rPr>
          <w:sz w:val="18"/>
          <w:szCs w:val="18"/>
        </w:rPr>
        <w:t>, </w:t>
      </w:r>
      <w:r w:rsidR="003D397F">
        <w:rPr>
          <w:sz w:val="18"/>
          <w:szCs w:val="18"/>
        </w:rPr>
        <w:t>p. 12</w:t>
      </w:r>
      <w:r w:rsidR="003D397F" w:rsidRPr="009A31AA">
        <w:rPr>
          <w:sz w:val="18"/>
          <w:szCs w:val="18"/>
        </w:rPr>
        <w:t>.</w:t>
      </w:r>
    </w:p>
  </w:footnote>
  <w:footnote w:id="25">
    <w:p w14:paraId="6D611FFC" w14:textId="324A8D8A" w:rsidR="003D397F" w:rsidRDefault="003D397F">
      <w:pPr>
        <w:pStyle w:val="FootnoteText"/>
      </w:pPr>
      <w:r>
        <w:rPr>
          <w:rStyle w:val="FootnoteReference"/>
        </w:rPr>
        <w:footnoteRef/>
      </w:r>
      <w:r>
        <w:t xml:space="preserve"> </w:t>
      </w:r>
      <w:r w:rsidRPr="009A31AA">
        <w:rPr>
          <w:sz w:val="18"/>
          <w:szCs w:val="18"/>
        </w:rPr>
        <w:t xml:space="preserve">Brady, </w:t>
      </w:r>
      <w:r>
        <w:rPr>
          <w:sz w:val="18"/>
          <w:szCs w:val="18"/>
        </w:rPr>
        <w:t>‘</w:t>
      </w:r>
      <w:r w:rsidRPr="009A31AA">
        <w:rPr>
          <w:sz w:val="18"/>
          <w:szCs w:val="18"/>
        </w:rPr>
        <w:t>The Dual Alignments</w:t>
      </w:r>
      <w:r>
        <w:rPr>
          <w:sz w:val="18"/>
          <w:szCs w:val="18"/>
        </w:rPr>
        <w:t>’</w:t>
      </w:r>
      <w:r w:rsidRPr="009A31AA">
        <w:rPr>
          <w:sz w:val="18"/>
          <w:szCs w:val="18"/>
        </w:rPr>
        <w:t>,</w:t>
      </w:r>
      <w:r w:rsidR="002D6B60">
        <w:rPr>
          <w:sz w:val="18"/>
          <w:szCs w:val="18"/>
        </w:rPr>
        <w:t xml:space="preserve"> </w:t>
      </w:r>
      <w:r>
        <w:rPr>
          <w:sz w:val="18"/>
          <w:szCs w:val="18"/>
        </w:rPr>
        <w:t>p. 11</w:t>
      </w:r>
      <w:r w:rsidRPr="009A31AA">
        <w:rPr>
          <w:sz w:val="18"/>
          <w:szCs w:val="18"/>
        </w:rPr>
        <w:t>.</w:t>
      </w:r>
    </w:p>
  </w:footnote>
  <w:footnote w:id="26">
    <w:p w14:paraId="2E19EB20" w14:textId="51217200" w:rsidR="001936FC" w:rsidRDefault="001936FC">
      <w:pPr>
        <w:pStyle w:val="FootnoteText"/>
      </w:pPr>
      <w:r>
        <w:rPr>
          <w:rStyle w:val="FootnoteReference"/>
        </w:rPr>
        <w:footnoteRef/>
      </w:r>
      <w:r>
        <w:t xml:space="preserve"> </w:t>
      </w:r>
      <w:r w:rsidRPr="001936FC">
        <w:rPr>
          <w:sz w:val="18"/>
          <w:szCs w:val="18"/>
        </w:rPr>
        <w:t xml:space="preserve">National Centers for Environmental Information, </w:t>
      </w:r>
      <w:r w:rsidRPr="00BA2F78">
        <w:rPr>
          <w:i/>
          <w:iCs/>
          <w:sz w:val="18"/>
          <w:szCs w:val="18"/>
        </w:rPr>
        <w:t>Magnetic Field Calculators</w:t>
      </w:r>
      <w:r w:rsidRPr="001936FC">
        <w:rPr>
          <w:sz w:val="18"/>
          <w:szCs w:val="18"/>
        </w:rPr>
        <w:t xml:space="preserve"> </w:t>
      </w:r>
      <w:r w:rsidR="00BA2F78">
        <w:rPr>
          <w:sz w:val="18"/>
          <w:szCs w:val="18"/>
        </w:rPr>
        <w:t>(2023)</w:t>
      </w:r>
      <w:r w:rsidRPr="001936FC">
        <w:rPr>
          <w:sz w:val="18"/>
          <w:szCs w:val="18"/>
        </w:rPr>
        <w:t xml:space="preserve"> </w:t>
      </w:r>
      <w:r w:rsidR="00BA2F78">
        <w:rPr>
          <w:sz w:val="18"/>
          <w:szCs w:val="18"/>
        </w:rPr>
        <w:t>&lt;</w:t>
      </w:r>
      <w:r w:rsidR="00BA2F78" w:rsidRPr="001936FC">
        <w:rPr>
          <w:sz w:val="18"/>
          <w:szCs w:val="18"/>
        </w:rPr>
        <w:t>http://www.ngdc.noaa.gov/geomag-web</w:t>
      </w:r>
      <w:r w:rsidR="00BA2F78">
        <w:rPr>
          <w:sz w:val="18"/>
          <w:szCs w:val="18"/>
        </w:rPr>
        <w:t xml:space="preserve">&gt; </w:t>
      </w:r>
      <w:r w:rsidR="00AC032D">
        <w:rPr>
          <w:sz w:val="18"/>
          <w:szCs w:val="18"/>
        </w:rPr>
        <w:t>[a</w:t>
      </w:r>
      <w:r w:rsidRPr="001936FC">
        <w:rPr>
          <w:sz w:val="18"/>
          <w:szCs w:val="18"/>
        </w:rPr>
        <w:t>ccessed 25 April 2023</w:t>
      </w:r>
      <w:r w:rsidR="00AC032D">
        <w:rPr>
          <w:sz w:val="18"/>
          <w:szCs w:val="18"/>
        </w:rPr>
        <w:t>].</w:t>
      </w:r>
    </w:p>
  </w:footnote>
  <w:footnote w:id="27">
    <w:p w14:paraId="4F8643D6" w14:textId="4D5AABAF" w:rsidR="004335AA" w:rsidRDefault="004335AA">
      <w:pPr>
        <w:pStyle w:val="FootnoteText"/>
      </w:pPr>
      <w:r>
        <w:rPr>
          <w:rStyle w:val="FootnoteReference"/>
        </w:rPr>
        <w:footnoteRef/>
      </w:r>
      <w:r>
        <w:t xml:space="preserve"> </w:t>
      </w:r>
      <w:r w:rsidRPr="00647299">
        <w:rPr>
          <w:sz w:val="18"/>
          <w:szCs w:val="18"/>
        </w:rPr>
        <w:t>Clive L. N. Ruggles, ‘</w:t>
      </w:r>
      <w:r w:rsidR="00EC378F" w:rsidRPr="00EC378F">
        <w:rPr>
          <w:sz w:val="18"/>
          <w:szCs w:val="18"/>
        </w:rPr>
        <w:t>Basic Concepts of Positional Astronomy</w:t>
      </w:r>
      <w:r w:rsidRPr="00647299">
        <w:rPr>
          <w:sz w:val="18"/>
          <w:szCs w:val="18"/>
        </w:rPr>
        <w:t xml:space="preserve">’, in </w:t>
      </w:r>
      <w:r w:rsidRPr="00647299">
        <w:rPr>
          <w:i/>
          <w:iCs/>
          <w:sz w:val="18"/>
          <w:szCs w:val="18"/>
        </w:rPr>
        <w:t>Handbook of Archaeoastronomy and Ethnoastronomy</w:t>
      </w:r>
      <w:r w:rsidRPr="00647299">
        <w:rPr>
          <w:sz w:val="18"/>
          <w:szCs w:val="18"/>
        </w:rPr>
        <w:t xml:space="preserve">, ed. by Clive L. N. Ruggles (New York, NY: Springer New York, 2015), pp. </w:t>
      </w:r>
      <w:r w:rsidR="00EC378F" w:rsidRPr="00EC378F">
        <w:rPr>
          <w:sz w:val="18"/>
          <w:szCs w:val="18"/>
        </w:rPr>
        <w:t>459-472</w:t>
      </w:r>
      <w:r>
        <w:rPr>
          <w:sz w:val="18"/>
          <w:szCs w:val="18"/>
        </w:rPr>
        <w:t xml:space="preserve"> (p. 4</w:t>
      </w:r>
      <w:r w:rsidR="00EC378F">
        <w:rPr>
          <w:sz w:val="18"/>
          <w:szCs w:val="18"/>
        </w:rPr>
        <w:t>60</w:t>
      </w:r>
      <w:r>
        <w:rPr>
          <w:sz w:val="18"/>
          <w:szCs w:val="18"/>
        </w:rPr>
        <w:t>)</w:t>
      </w:r>
      <w:r w:rsidRPr="00647299">
        <w:rPr>
          <w:sz w:val="18"/>
          <w:szCs w:val="18"/>
        </w:rPr>
        <w:t xml:space="preserve"> &lt;https://doi.org/10.1007/978-1-4614-6141-8_</w:t>
      </w:r>
      <w:r w:rsidR="00EC378F">
        <w:rPr>
          <w:sz w:val="18"/>
          <w:szCs w:val="18"/>
        </w:rPr>
        <w:t>33</w:t>
      </w:r>
      <w:r w:rsidRPr="00647299">
        <w:rPr>
          <w:sz w:val="18"/>
          <w:szCs w:val="18"/>
        </w:rPr>
        <w:t>&gt;</w:t>
      </w:r>
      <w:r>
        <w:rPr>
          <w:sz w:val="18"/>
          <w:szCs w:val="18"/>
        </w:rPr>
        <w:t>.</w:t>
      </w:r>
    </w:p>
  </w:footnote>
  <w:footnote w:id="28">
    <w:p w14:paraId="4FCD7F71" w14:textId="4A559486" w:rsidR="00766EB2" w:rsidRDefault="00766EB2">
      <w:pPr>
        <w:pStyle w:val="FootnoteText"/>
      </w:pPr>
      <w:r>
        <w:rPr>
          <w:rStyle w:val="FootnoteReference"/>
        </w:rPr>
        <w:footnoteRef/>
      </w:r>
      <w:r>
        <w:t xml:space="preserve"> </w:t>
      </w:r>
      <w:r>
        <w:rPr>
          <w:sz w:val="18"/>
          <w:szCs w:val="18"/>
        </w:rPr>
        <w:t>HeyWhatsThat</w:t>
      </w:r>
      <w:r w:rsidRPr="001936FC">
        <w:rPr>
          <w:sz w:val="18"/>
          <w:szCs w:val="18"/>
        </w:rPr>
        <w:t xml:space="preserve">, </w:t>
      </w:r>
      <w:r>
        <w:rPr>
          <w:i/>
          <w:iCs/>
          <w:sz w:val="18"/>
          <w:szCs w:val="18"/>
        </w:rPr>
        <w:t>HeyWhat’sThat</w:t>
      </w:r>
      <w:r w:rsidRPr="001936FC">
        <w:rPr>
          <w:sz w:val="18"/>
          <w:szCs w:val="18"/>
        </w:rPr>
        <w:t xml:space="preserve"> </w:t>
      </w:r>
      <w:r>
        <w:rPr>
          <w:sz w:val="18"/>
          <w:szCs w:val="18"/>
        </w:rPr>
        <w:t>(2023)</w:t>
      </w:r>
      <w:r w:rsidRPr="001936FC">
        <w:rPr>
          <w:sz w:val="18"/>
          <w:szCs w:val="18"/>
        </w:rPr>
        <w:t xml:space="preserve"> </w:t>
      </w:r>
      <w:r>
        <w:rPr>
          <w:sz w:val="18"/>
          <w:szCs w:val="18"/>
        </w:rPr>
        <w:t>&lt;</w:t>
      </w:r>
      <w:r w:rsidRPr="00766EB2">
        <w:t xml:space="preserve"> </w:t>
      </w:r>
      <w:r w:rsidRPr="00766EB2">
        <w:rPr>
          <w:sz w:val="18"/>
          <w:szCs w:val="18"/>
        </w:rPr>
        <w:t>https://www.heywhatsthat.com/</w:t>
      </w:r>
      <w:r>
        <w:rPr>
          <w:sz w:val="18"/>
          <w:szCs w:val="18"/>
        </w:rPr>
        <w:t>&gt; [a</w:t>
      </w:r>
      <w:r w:rsidRPr="001936FC">
        <w:rPr>
          <w:sz w:val="18"/>
          <w:szCs w:val="18"/>
        </w:rPr>
        <w:t>ccessed 25 April 2023</w:t>
      </w:r>
      <w:r>
        <w:rPr>
          <w:sz w:val="18"/>
          <w:szCs w:val="18"/>
        </w:rPr>
        <w:t>].</w:t>
      </w:r>
    </w:p>
  </w:footnote>
  <w:footnote w:id="29">
    <w:p w14:paraId="7113CC55" w14:textId="306C86A4" w:rsidR="00DD13E5" w:rsidRDefault="00DD13E5">
      <w:pPr>
        <w:pStyle w:val="FootnoteText"/>
      </w:pPr>
      <w:r>
        <w:rPr>
          <w:rStyle w:val="FootnoteReference"/>
        </w:rPr>
        <w:footnoteRef/>
      </w:r>
      <w:r>
        <w:t xml:space="preserve"> </w:t>
      </w:r>
      <w:r w:rsidRPr="00647299">
        <w:rPr>
          <w:sz w:val="18"/>
          <w:szCs w:val="18"/>
        </w:rPr>
        <w:t xml:space="preserve">Ruggles, ‘Analyzing Orientations’, </w:t>
      </w:r>
      <w:r>
        <w:rPr>
          <w:sz w:val="18"/>
          <w:szCs w:val="18"/>
        </w:rPr>
        <w:t>p. 416.</w:t>
      </w:r>
    </w:p>
  </w:footnote>
  <w:footnote w:id="30">
    <w:p w14:paraId="4BC1F62F" w14:textId="4159384B" w:rsidR="006B26B5" w:rsidRDefault="006B26B5">
      <w:pPr>
        <w:pStyle w:val="FootnoteText"/>
      </w:pPr>
      <w:r>
        <w:rPr>
          <w:rStyle w:val="FootnoteReference"/>
        </w:rPr>
        <w:footnoteRef/>
      </w:r>
      <w:r>
        <w:t xml:space="preserve"> </w:t>
      </w:r>
      <w:r w:rsidRPr="00647299">
        <w:rPr>
          <w:sz w:val="18"/>
          <w:szCs w:val="18"/>
        </w:rPr>
        <w:t>Ruggles, ‘</w:t>
      </w:r>
      <w:r w:rsidRPr="00EC378F">
        <w:rPr>
          <w:sz w:val="18"/>
          <w:szCs w:val="18"/>
        </w:rPr>
        <w:t>Basic Concepts of Positional Astronomy</w:t>
      </w:r>
      <w:r w:rsidRPr="00647299">
        <w:rPr>
          <w:sz w:val="18"/>
          <w:szCs w:val="18"/>
        </w:rPr>
        <w:t xml:space="preserve">’, </w:t>
      </w:r>
      <w:r>
        <w:rPr>
          <w:sz w:val="18"/>
          <w:szCs w:val="18"/>
        </w:rPr>
        <w:t>p. 461.</w:t>
      </w:r>
    </w:p>
  </w:footnote>
  <w:footnote w:id="31">
    <w:p w14:paraId="02D37768" w14:textId="539E2B32" w:rsidR="000228BE" w:rsidRDefault="000228BE">
      <w:pPr>
        <w:pStyle w:val="FootnoteText"/>
      </w:pPr>
      <w:r>
        <w:rPr>
          <w:rStyle w:val="FootnoteReference"/>
        </w:rPr>
        <w:footnoteRef/>
      </w:r>
      <w:r>
        <w:t xml:space="preserve"> </w:t>
      </w:r>
      <w:r w:rsidR="00A16662" w:rsidRPr="00A16662">
        <w:rPr>
          <w:sz w:val="18"/>
          <w:szCs w:val="18"/>
        </w:rPr>
        <w:t>Peter G.</w:t>
      </w:r>
      <w:r w:rsidR="00A16662">
        <w:rPr>
          <w:sz w:val="18"/>
          <w:szCs w:val="18"/>
        </w:rPr>
        <w:t xml:space="preserve"> </w:t>
      </w:r>
      <w:r w:rsidR="00A16662" w:rsidRPr="00A16662">
        <w:rPr>
          <w:sz w:val="18"/>
          <w:szCs w:val="18"/>
        </w:rPr>
        <w:t xml:space="preserve">Hoare, </w:t>
      </w:r>
      <w:r w:rsidR="00A16662">
        <w:rPr>
          <w:sz w:val="18"/>
          <w:szCs w:val="18"/>
        </w:rPr>
        <w:t>‘</w:t>
      </w:r>
      <w:r w:rsidR="00A16662" w:rsidRPr="00A16662">
        <w:rPr>
          <w:sz w:val="18"/>
          <w:szCs w:val="18"/>
        </w:rPr>
        <w:t>Orientation of English Medieval Parish Churches</w:t>
      </w:r>
      <w:r w:rsidR="00A16662">
        <w:rPr>
          <w:sz w:val="18"/>
          <w:szCs w:val="18"/>
        </w:rPr>
        <w:t>’</w:t>
      </w:r>
      <w:r w:rsidR="00A16662" w:rsidRPr="00A16662">
        <w:rPr>
          <w:sz w:val="18"/>
          <w:szCs w:val="18"/>
        </w:rPr>
        <w:t xml:space="preserve">, in </w:t>
      </w:r>
      <w:r w:rsidR="00A16662" w:rsidRPr="00A16662">
        <w:rPr>
          <w:i/>
          <w:iCs/>
          <w:sz w:val="18"/>
          <w:szCs w:val="18"/>
        </w:rPr>
        <w:t>Handbook of Archaeoastronomy and Ethnoastronomy</w:t>
      </w:r>
      <w:r w:rsidR="00A16662" w:rsidRPr="00A16662">
        <w:rPr>
          <w:sz w:val="18"/>
          <w:szCs w:val="18"/>
        </w:rPr>
        <w:t>, ed. by Clive L. N. Ruggles</w:t>
      </w:r>
      <w:r w:rsidR="00A16662">
        <w:rPr>
          <w:sz w:val="18"/>
          <w:szCs w:val="18"/>
        </w:rPr>
        <w:t xml:space="preserve"> </w:t>
      </w:r>
      <w:r w:rsidR="00A16662" w:rsidRPr="00A16662">
        <w:rPr>
          <w:sz w:val="18"/>
          <w:szCs w:val="18"/>
        </w:rPr>
        <w:t xml:space="preserve">(New York, NY: Springer New York, 2015), pp. 1711-1718 </w:t>
      </w:r>
      <w:r w:rsidR="00A16662">
        <w:rPr>
          <w:sz w:val="18"/>
          <w:szCs w:val="18"/>
        </w:rPr>
        <w:t xml:space="preserve">(p. 1714) </w:t>
      </w:r>
      <w:r w:rsidR="00A16662" w:rsidRPr="00A16662">
        <w:rPr>
          <w:sz w:val="18"/>
          <w:szCs w:val="18"/>
        </w:rPr>
        <w:t>&lt;https://doi.org/10.1007/978-1-4614-6141-8_174&gt;</w:t>
      </w:r>
      <w:r w:rsidR="00A16662">
        <w:rPr>
          <w:sz w:val="18"/>
          <w:szCs w:val="18"/>
        </w:rPr>
        <w:t>.</w:t>
      </w:r>
    </w:p>
  </w:footnote>
  <w:footnote w:id="32">
    <w:p w14:paraId="0A299701" w14:textId="2CD26B42" w:rsidR="000D41FF" w:rsidRDefault="000D41FF">
      <w:pPr>
        <w:pStyle w:val="FootnoteText"/>
      </w:pPr>
      <w:r>
        <w:rPr>
          <w:rStyle w:val="FootnoteReference"/>
        </w:rPr>
        <w:footnoteRef/>
      </w:r>
      <w:r>
        <w:t xml:space="preserve"> </w:t>
      </w:r>
      <w:r w:rsidRPr="00647299">
        <w:rPr>
          <w:sz w:val="18"/>
          <w:szCs w:val="18"/>
        </w:rPr>
        <w:t>Ruggles, ‘</w:t>
      </w:r>
      <w:r w:rsidRPr="00EC378F">
        <w:rPr>
          <w:sz w:val="18"/>
          <w:szCs w:val="18"/>
        </w:rPr>
        <w:t>Basic Concepts of Positional Astronomy</w:t>
      </w:r>
      <w:r w:rsidRPr="00647299">
        <w:rPr>
          <w:sz w:val="18"/>
          <w:szCs w:val="18"/>
        </w:rPr>
        <w:t xml:space="preserve">’, </w:t>
      </w:r>
      <w:r>
        <w:rPr>
          <w:sz w:val="18"/>
          <w:szCs w:val="18"/>
        </w:rPr>
        <w:t>p. 471.</w:t>
      </w:r>
    </w:p>
  </w:footnote>
  <w:footnote w:id="33">
    <w:p w14:paraId="1942126C" w14:textId="4677C2D0" w:rsidR="00F8268B" w:rsidRDefault="00F8268B">
      <w:pPr>
        <w:pStyle w:val="FootnoteText"/>
      </w:pPr>
      <w:r>
        <w:rPr>
          <w:rStyle w:val="FootnoteReference"/>
        </w:rPr>
        <w:footnoteRef/>
      </w:r>
      <w:r>
        <w:t xml:space="preserve"> </w:t>
      </w:r>
      <w:r w:rsidR="00A16662" w:rsidRPr="00A16662">
        <w:rPr>
          <w:sz w:val="18"/>
          <w:szCs w:val="18"/>
        </w:rPr>
        <w:t xml:space="preserve">Hoare, </w:t>
      </w:r>
      <w:r w:rsidR="00A16662">
        <w:rPr>
          <w:sz w:val="18"/>
          <w:szCs w:val="18"/>
        </w:rPr>
        <w:t>‘</w:t>
      </w:r>
      <w:r w:rsidR="00A16662" w:rsidRPr="00A16662">
        <w:rPr>
          <w:sz w:val="18"/>
          <w:szCs w:val="18"/>
        </w:rPr>
        <w:t>Orientation of English Medieval Parish Churches</w:t>
      </w:r>
      <w:r w:rsidR="00A16662">
        <w:rPr>
          <w:sz w:val="18"/>
          <w:szCs w:val="18"/>
        </w:rPr>
        <w:t>’</w:t>
      </w:r>
      <w:r w:rsidR="00A16662" w:rsidRPr="00A16662">
        <w:rPr>
          <w:sz w:val="18"/>
          <w:szCs w:val="18"/>
        </w:rPr>
        <w:t xml:space="preserve">, </w:t>
      </w:r>
      <w:r w:rsidR="00A16662">
        <w:rPr>
          <w:sz w:val="18"/>
          <w:szCs w:val="18"/>
        </w:rPr>
        <w:t>p. 1716.</w:t>
      </w:r>
    </w:p>
  </w:footnote>
  <w:footnote w:id="34">
    <w:p w14:paraId="1927FB5A" w14:textId="29758015" w:rsidR="00B8755B" w:rsidRDefault="00B8755B">
      <w:pPr>
        <w:pStyle w:val="FootnoteText"/>
      </w:pPr>
      <w:r>
        <w:rPr>
          <w:rStyle w:val="FootnoteReference"/>
        </w:rPr>
        <w:footnoteRef/>
      </w:r>
      <w:r>
        <w:t xml:space="preserve"> </w:t>
      </w:r>
      <w:r w:rsidRPr="00647299">
        <w:rPr>
          <w:sz w:val="18"/>
          <w:szCs w:val="18"/>
        </w:rPr>
        <w:t>Ruggles, ‘</w:t>
      </w:r>
      <w:r w:rsidRPr="00EC378F">
        <w:rPr>
          <w:sz w:val="18"/>
          <w:szCs w:val="18"/>
        </w:rPr>
        <w:t>Basic Concepts of Positional Astronomy</w:t>
      </w:r>
      <w:r w:rsidRPr="00647299">
        <w:rPr>
          <w:sz w:val="18"/>
          <w:szCs w:val="18"/>
        </w:rPr>
        <w:t xml:space="preserve">’, </w:t>
      </w:r>
      <w:r>
        <w:rPr>
          <w:sz w:val="18"/>
          <w:szCs w:val="18"/>
        </w:rPr>
        <w:t>p. 463.</w:t>
      </w:r>
    </w:p>
  </w:footnote>
  <w:footnote w:id="35">
    <w:p w14:paraId="4A792197" w14:textId="248E8E60" w:rsidR="00E43A04" w:rsidRDefault="00E43A04">
      <w:pPr>
        <w:pStyle w:val="FootnoteText"/>
      </w:pPr>
      <w:r>
        <w:rPr>
          <w:rStyle w:val="FootnoteReference"/>
        </w:rPr>
        <w:footnoteRef/>
      </w:r>
      <w:r>
        <w:t xml:space="preserve"> </w:t>
      </w:r>
      <w:r w:rsidRPr="009A31AA">
        <w:rPr>
          <w:sz w:val="18"/>
          <w:szCs w:val="18"/>
        </w:rPr>
        <w:t xml:space="preserve">Brady, </w:t>
      </w:r>
      <w:r>
        <w:rPr>
          <w:sz w:val="18"/>
          <w:szCs w:val="18"/>
        </w:rPr>
        <w:t>‘</w:t>
      </w:r>
      <w:r w:rsidRPr="009A31AA">
        <w:rPr>
          <w:sz w:val="18"/>
          <w:szCs w:val="18"/>
        </w:rPr>
        <w:t>The Dual Alignments</w:t>
      </w:r>
      <w:r>
        <w:rPr>
          <w:sz w:val="18"/>
          <w:szCs w:val="18"/>
        </w:rPr>
        <w:t>’</w:t>
      </w:r>
      <w:r w:rsidRPr="009A31AA">
        <w:rPr>
          <w:sz w:val="18"/>
          <w:szCs w:val="18"/>
        </w:rPr>
        <w:t>,</w:t>
      </w:r>
      <w:r w:rsidR="00EC2D0B">
        <w:rPr>
          <w:sz w:val="18"/>
          <w:szCs w:val="18"/>
        </w:rPr>
        <w:t xml:space="preserve"> </w:t>
      </w:r>
      <w:r>
        <w:rPr>
          <w:sz w:val="18"/>
          <w:szCs w:val="18"/>
        </w:rPr>
        <w:t>p. 13</w:t>
      </w:r>
      <w:r w:rsidRPr="009A31AA">
        <w:rPr>
          <w:sz w:val="18"/>
          <w:szCs w:val="18"/>
        </w:rPr>
        <w:t>.</w:t>
      </w:r>
    </w:p>
  </w:footnote>
  <w:footnote w:id="36">
    <w:p w14:paraId="266F9B04" w14:textId="6449474A" w:rsidR="004C777E" w:rsidRDefault="004C777E">
      <w:pPr>
        <w:pStyle w:val="FootnoteText"/>
      </w:pPr>
      <w:r>
        <w:rPr>
          <w:rStyle w:val="FootnoteReference"/>
        </w:rPr>
        <w:footnoteRef/>
      </w:r>
      <w:r>
        <w:t xml:space="preserve"> </w:t>
      </w:r>
      <w:r w:rsidR="001F0254" w:rsidRPr="00093B9F">
        <w:rPr>
          <w:sz w:val="18"/>
          <w:szCs w:val="18"/>
        </w:rPr>
        <w:t xml:space="preserve">Fabio Silva, </w:t>
      </w:r>
      <w:r w:rsidR="001F0254" w:rsidRPr="00093B9F">
        <w:rPr>
          <w:i/>
          <w:iCs/>
          <w:sz w:val="18"/>
          <w:szCs w:val="18"/>
        </w:rPr>
        <w:t>Reference Tables for Skyscape Archaeology</w:t>
      </w:r>
      <w:r w:rsidR="001F0254" w:rsidRPr="00093B9F">
        <w:rPr>
          <w:sz w:val="18"/>
          <w:szCs w:val="18"/>
        </w:rPr>
        <w:t xml:space="preserve"> (2023) &lt; http://s3.eu-west-2.amazonaws.com/skyscape-archaeology/ReferenceTables.html&gt; [accessed 2 April 2023].</w:t>
      </w:r>
    </w:p>
  </w:footnote>
  <w:footnote w:id="37">
    <w:p w14:paraId="67940E74" w14:textId="6E52DBCA" w:rsidR="00093B9F" w:rsidRDefault="00093B9F">
      <w:pPr>
        <w:pStyle w:val="FootnoteText"/>
      </w:pPr>
      <w:r>
        <w:rPr>
          <w:rStyle w:val="FootnoteReference"/>
        </w:rPr>
        <w:footnoteRef/>
      </w:r>
      <w:r>
        <w:t xml:space="preserve"> </w:t>
      </w:r>
      <w:r w:rsidRPr="00093B9F">
        <w:rPr>
          <w:sz w:val="18"/>
          <w:szCs w:val="18"/>
        </w:rPr>
        <w:t>Silva, 2023.</w:t>
      </w:r>
    </w:p>
  </w:footnote>
  <w:footnote w:id="38">
    <w:p w14:paraId="7149C4EF" w14:textId="2F5B702E" w:rsidR="00093B9F" w:rsidRDefault="00093B9F">
      <w:pPr>
        <w:pStyle w:val="FootnoteText"/>
      </w:pPr>
      <w:r>
        <w:rPr>
          <w:rStyle w:val="FootnoteReference"/>
        </w:rPr>
        <w:footnoteRef/>
      </w:r>
      <w:r>
        <w:t xml:space="preserve"> </w:t>
      </w:r>
      <w:r w:rsidRPr="00093B9F">
        <w:rPr>
          <w:sz w:val="18"/>
          <w:szCs w:val="18"/>
        </w:rPr>
        <w:t>F</w:t>
      </w:r>
      <w:r>
        <w:rPr>
          <w:sz w:val="18"/>
          <w:szCs w:val="18"/>
        </w:rPr>
        <w:t>ourmilab</w:t>
      </w:r>
      <w:r w:rsidRPr="00093B9F">
        <w:rPr>
          <w:sz w:val="18"/>
          <w:szCs w:val="18"/>
        </w:rPr>
        <w:t xml:space="preserve">, </w:t>
      </w:r>
      <w:r>
        <w:rPr>
          <w:i/>
          <w:iCs/>
          <w:sz w:val="18"/>
          <w:szCs w:val="18"/>
        </w:rPr>
        <w:t>Calendar Converter</w:t>
      </w:r>
      <w:r w:rsidRPr="00093B9F">
        <w:rPr>
          <w:sz w:val="18"/>
          <w:szCs w:val="18"/>
        </w:rPr>
        <w:t xml:space="preserve"> (2023) &lt;http</w:t>
      </w:r>
      <w:r>
        <w:rPr>
          <w:sz w:val="18"/>
          <w:szCs w:val="18"/>
        </w:rPr>
        <w:t>s</w:t>
      </w:r>
      <w:r w:rsidRPr="00093B9F">
        <w:rPr>
          <w:sz w:val="18"/>
          <w:szCs w:val="18"/>
        </w:rPr>
        <w:t>://</w:t>
      </w:r>
      <w:r>
        <w:rPr>
          <w:sz w:val="18"/>
          <w:szCs w:val="18"/>
        </w:rPr>
        <w:t>www.fourmilab</w:t>
      </w:r>
      <w:r w:rsidRPr="00093B9F">
        <w:rPr>
          <w:sz w:val="18"/>
          <w:szCs w:val="18"/>
        </w:rPr>
        <w:t>.c</w:t>
      </w:r>
      <w:r>
        <w:rPr>
          <w:sz w:val="18"/>
          <w:szCs w:val="18"/>
        </w:rPr>
        <w:t>h</w:t>
      </w:r>
      <w:r w:rsidRPr="00093B9F">
        <w:rPr>
          <w:sz w:val="18"/>
          <w:szCs w:val="18"/>
        </w:rPr>
        <w:t>/</w:t>
      </w:r>
      <w:r>
        <w:rPr>
          <w:sz w:val="18"/>
          <w:szCs w:val="18"/>
        </w:rPr>
        <w:t>documents</w:t>
      </w:r>
      <w:r w:rsidRPr="00093B9F">
        <w:rPr>
          <w:sz w:val="18"/>
          <w:szCs w:val="18"/>
        </w:rPr>
        <w:t>/</w:t>
      </w:r>
      <w:r>
        <w:rPr>
          <w:sz w:val="18"/>
          <w:szCs w:val="18"/>
        </w:rPr>
        <w:t>calendar/</w:t>
      </w:r>
      <w:r w:rsidRPr="00093B9F">
        <w:rPr>
          <w:sz w:val="18"/>
          <w:szCs w:val="18"/>
        </w:rPr>
        <w:t>&gt; [accessed 2 April 2023].</w:t>
      </w:r>
    </w:p>
  </w:footnote>
  <w:footnote w:id="39">
    <w:p w14:paraId="71B3664F" w14:textId="75E7350C" w:rsidR="00A40CD5" w:rsidRDefault="00A40CD5">
      <w:pPr>
        <w:pStyle w:val="FootnoteText"/>
      </w:pPr>
      <w:r>
        <w:rPr>
          <w:rStyle w:val="FootnoteReference"/>
        </w:rPr>
        <w:footnoteRef/>
      </w:r>
      <w:r>
        <w:t xml:space="preserve"> </w:t>
      </w:r>
      <w:r w:rsidRPr="00A16662">
        <w:rPr>
          <w:sz w:val="18"/>
          <w:szCs w:val="18"/>
        </w:rPr>
        <w:t xml:space="preserve">Hoare, </w:t>
      </w:r>
      <w:r>
        <w:rPr>
          <w:sz w:val="18"/>
          <w:szCs w:val="18"/>
        </w:rPr>
        <w:t>‘</w:t>
      </w:r>
      <w:r w:rsidRPr="00A16662">
        <w:rPr>
          <w:sz w:val="18"/>
          <w:szCs w:val="18"/>
        </w:rPr>
        <w:t>Orientation of English Medieval Parish Churches</w:t>
      </w:r>
      <w:r>
        <w:rPr>
          <w:sz w:val="18"/>
          <w:szCs w:val="18"/>
        </w:rPr>
        <w:t>’</w:t>
      </w:r>
      <w:r w:rsidRPr="00A16662">
        <w:rPr>
          <w:sz w:val="18"/>
          <w:szCs w:val="18"/>
        </w:rPr>
        <w:t xml:space="preserve">, </w:t>
      </w:r>
      <w:r>
        <w:rPr>
          <w:sz w:val="18"/>
          <w:szCs w:val="18"/>
        </w:rPr>
        <w:t>p. 1716.</w:t>
      </w:r>
    </w:p>
  </w:footnote>
  <w:footnote w:id="40">
    <w:p w14:paraId="1C9259AF" w14:textId="71A9ECBD" w:rsidR="00A51712" w:rsidRDefault="00A51712">
      <w:pPr>
        <w:pStyle w:val="FootnoteText"/>
      </w:pPr>
      <w:r>
        <w:rPr>
          <w:rStyle w:val="FootnoteReference"/>
        </w:rPr>
        <w:footnoteRef/>
      </w:r>
      <w:r>
        <w:t xml:space="preserve"> </w:t>
      </w:r>
      <w:r w:rsidRPr="00A16662">
        <w:rPr>
          <w:sz w:val="18"/>
          <w:szCs w:val="18"/>
        </w:rPr>
        <w:t xml:space="preserve">Hoare, </w:t>
      </w:r>
      <w:r>
        <w:rPr>
          <w:sz w:val="18"/>
          <w:szCs w:val="18"/>
        </w:rPr>
        <w:t>‘</w:t>
      </w:r>
      <w:r w:rsidRPr="00A16662">
        <w:rPr>
          <w:sz w:val="18"/>
          <w:szCs w:val="18"/>
        </w:rPr>
        <w:t>Orientation of English Medieval Parish Churches</w:t>
      </w:r>
      <w:r>
        <w:rPr>
          <w:sz w:val="18"/>
          <w:szCs w:val="18"/>
        </w:rPr>
        <w:t>’</w:t>
      </w:r>
      <w:r w:rsidRPr="00A16662">
        <w:rPr>
          <w:sz w:val="18"/>
          <w:szCs w:val="18"/>
        </w:rPr>
        <w:t xml:space="preserve">, </w:t>
      </w:r>
      <w:r>
        <w:rPr>
          <w:sz w:val="18"/>
          <w:szCs w:val="18"/>
        </w:rPr>
        <w:t>p. 1715.</w:t>
      </w:r>
    </w:p>
  </w:footnote>
  <w:footnote w:id="41">
    <w:p w14:paraId="5149E2DF" w14:textId="7901B86C" w:rsidR="00A51712" w:rsidRDefault="00A51712">
      <w:pPr>
        <w:pStyle w:val="FootnoteText"/>
      </w:pPr>
      <w:r>
        <w:rPr>
          <w:rStyle w:val="FootnoteReference"/>
        </w:rPr>
        <w:footnoteRef/>
      </w:r>
      <w:r>
        <w:t xml:space="preserve"> </w:t>
      </w:r>
      <w:r w:rsidRPr="00A16662">
        <w:rPr>
          <w:sz w:val="18"/>
          <w:szCs w:val="18"/>
        </w:rPr>
        <w:t xml:space="preserve">Hoare, </w:t>
      </w:r>
      <w:r>
        <w:rPr>
          <w:sz w:val="18"/>
          <w:szCs w:val="18"/>
        </w:rPr>
        <w:t>‘</w:t>
      </w:r>
      <w:r w:rsidRPr="00A16662">
        <w:rPr>
          <w:sz w:val="18"/>
          <w:szCs w:val="18"/>
        </w:rPr>
        <w:t>Orientation of English Medieval Parish Churches</w:t>
      </w:r>
      <w:r>
        <w:rPr>
          <w:sz w:val="18"/>
          <w:szCs w:val="18"/>
        </w:rPr>
        <w:t>’</w:t>
      </w:r>
      <w:r w:rsidRPr="00A16662">
        <w:rPr>
          <w:sz w:val="18"/>
          <w:szCs w:val="18"/>
        </w:rPr>
        <w:t xml:space="preserve">, </w:t>
      </w:r>
      <w:r>
        <w:rPr>
          <w:sz w:val="18"/>
          <w:szCs w:val="18"/>
        </w:rPr>
        <w:t>p. 1715.</w:t>
      </w:r>
    </w:p>
  </w:footnote>
  <w:footnote w:id="42">
    <w:p w14:paraId="59C17E50" w14:textId="115EDFE3" w:rsidR="00A51712" w:rsidRDefault="00A51712">
      <w:pPr>
        <w:pStyle w:val="FootnoteText"/>
      </w:pPr>
      <w:r>
        <w:rPr>
          <w:rStyle w:val="FootnoteReference"/>
        </w:rPr>
        <w:footnoteRef/>
      </w:r>
      <w:r>
        <w:t xml:space="preserve"> </w:t>
      </w:r>
      <w:r w:rsidRPr="009A31AA">
        <w:rPr>
          <w:sz w:val="18"/>
          <w:szCs w:val="18"/>
        </w:rPr>
        <w:t xml:space="preserve">Brady, </w:t>
      </w:r>
      <w:r>
        <w:rPr>
          <w:sz w:val="18"/>
          <w:szCs w:val="18"/>
        </w:rPr>
        <w:t>‘</w:t>
      </w:r>
      <w:r w:rsidRPr="009A31AA">
        <w:rPr>
          <w:sz w:val="18"/>
          <w:szCs w:val="18"/>
        </w:rPr>
        <w:t>The Dual Alignments</w:t>
      </w:r>
      <w:r>
        <w:rPr>
          <w:sz w:val="18"/>
          <w:szCs w:val="18"/>
        </w:rPr>
        <w:t>’</w:t>
      </w:r>
      <w:r w:rsidRPr="009A31AA">
        <w:rPr>
          <w:sz w:val="18"/>
          <w:szCs w:val="18"/>
        </w:rPr>
        <w:t>, </w:t>
      </w:r>
      <w:r w:rsidR="00337367">
        <w:rPr>
          <w:sz w:val="18"/>
          <w:szCs w:val="18"/>
        </w:rPr>
        <w:t>p. 24</w:t>
      </w:r>
      <w:r w:rsidRPr="009A31AA">
        <w:rPr>
          <w:sz w:val="18"/>
          <w:szCs w:val="18"/>
        </w:rPr>
        <w:t>.</w:t>
      </w:r>
    </w:p>
  </w:footnote>
  <w:footnote w:id="43">
    <w:p w14:paraId="45AE2C73" w14:textId="59007E6B" w:rsidR="00DC3460" w:rsidRDefault="00DC3460">
      <w:pPr>
        <w:pStyle w:val="FootnoteText"/>
      </w:pPr>
      <w:r>
        <w:rPr>
          <w:rStyle w:val="FootnoteReference"/>
        </w:rPr>
        <w:footnoteRef/>
      </w:r>
      <w:r>
        <w:t xml:space="preserve"> </w:t>
      </w:r>
      <w:r w:rsidRPr="00EF71C4">
        <w:rPr>
          <w:sz w:val="18"/>
          <w:szCs w:val="18"/>
        </w:rPr>
        <w:t xml:space="preserve">Swanton, </w:t>
      </w:r>
      <w:r w:rsidRPr="00EF71C4">
        <w:rPr>
          <w:i/>
          <w:iCs/>
          <w:sz w:val="18"/>
          <w:szCs w:val="18"/>
        </w:rPr>
        <w:t>The Anglo-Saxon Chronicles</w:t>
      </w:r>
      <w:r w:rsidRPr="00EF71C4">
        <w:rPr>
          <w:sz w:val="18"/>
          <w:szCs w:val="18"/>
        </w:rPr>
        <w:t xml:space="preserve">, p. </w:t>
      </w:r>
      <w:r w:rsidR="000702F0">
        <w:rPr>
          <w:sz w:val="18"/>
          <w:szCs w:val="18"/>
        </w:rPr>
        <w:t>4</w:t>
      </w:r>
      <w:r w:rsidRPr="00EF71C4">
        <w:rPr>
          <w:sz w:val="18"/>
          <w:szCs w:val="18"/>
        </w:rPr>
        <w:t>2.</w:t>
      </w:r>
    </w:p>
  </w:footnote>
  <w:footnote w:id="44">
    <w:p w14:paraId="5E3B65BB" w14:textId="0CDA070D" w:rsidR="00160A18" w:rsidRDefault="00160A18">
      <w:pPr>
        <w:pStyle w:val="FootnoteText"/>
      </w:pPr>
      <w:r>
        <w:rPr>
          <w:rStyle w:val="FootnoteReference"/>
        </w:rPr>
        <w:footnoteRef/>
      </w:r>
      <w:r>
        <w:t xml:space="preserve"> </w:t>
      </w:r>
      <w:r w:rsidRPr="00160A18">
        <w:rPr>
          <w:sz w:val="18"/>
          <w:szCs w:val="18"/>
        </w:rPr>
        <w:t xml:space="preserve">Stefany J. Wragg, ‘The Early Texts of the Cult of Saint Guthlac’, </w:t>
      </w:r>
      <w:r w:rsidRPr="0011235A">
        <w:rPr>
          <w:i/>
          <w:iCs/>
          <w:sz w:val="18"/>
          <w:szCs w:val="18"/>
        </w:rPr>
        <w:t>English Studies</w:t>
      </w:r>
      <w:r w:rsidRPr="00160A18">
        <w:rPr>
          <w:sz w:val="18"/>
          <w:szCs w:val="18"/>
        </w:rPr>
        <w:t>, 100.3 (2019), 253-272 (p. 255) &lt;DOI: 10.1080/0013838X.2018.1558700&gt;.</w:t>
      </w:r>
    </w:p>
  </w:footnote>
  <w:footnote w:id="45">
    <w:p w14:paraId="7B88437A" w14:textId="3EB0025F" w:rsidR="00C26510" w:rsidRDefault="00C26510">
      <w:pPr>
        <w:pStyle w:val="FootnoteText"/>
      </w:pPr>
      <w:r>
        <w:rPr>
          <w:rStyle w:val="FootnoteReference"/>
        </w:rPr>
        <w:footnoteRef/>
      </w:r>
      <w:r>
        <w:t xml:space="preserve"> </w:t>
      </w:r>
      <w:r w:rsidRPr="00160A18">
        <w:rPr>
          <w:sz w:val="18"/>
          <w:szCs w:val="18"/>
        </w:rPr>
        <w:t>Wragg, ‘The Early Texts’, p. 25</w:t>
      </w:r>
      <w:r>
        <w:rPr>
          <w:sz w:val="18"/>
          <w:szCs w:val="18"/>
        </w:rPr>
        <w:t>3</w:t>
      </w:r>
      <w:r w:rsidRPr="00160A18">
        <w:rPr>
          <w:sz w:val="18"/>
          <w:szCs w:val="18"/>
        </w:rPr>
        <w:t>.</w:t>
      </w:r>
    </w:p>
  </w:footnote>
  <w:footnote w:id="46">
    <w:p w14:paraId="3A0C3FAB" w14:textId="28AB950B" w:rsidR="00C26510" w:rsidRDefault="00C26510">
      <w:pPr>
        <w:pStyle w:val="FootnoteText"/>
      </w:pPr>
      <w:r>
        <w:rPr>
          <w:rStyle w:val="FootnoteReference"/>
        </w:rPr>
        <w:footnoteRef/>
      </w:r>
      <w:r>
        <w:t xml:space="preserve"> </w:t>
      </w:r>
      <w:r w:rsidRPr="00160A18">
        <w:rPr>
          <w:sz w:val="18"/>
          <w:szCs w:val="18"/>
        </w:rPr>
        <w:t>Wragg, ‘The Early Texts’, p. 255.</w:t>
      </w:r>
    </w:p>
  </w:footnote>
  <w:footnote w:id="47">
    <w:p w14:paraId="522AA787" w14:textId="52394480" w:rsidR="004E44F2" w:rsidRDefault="004E44F2">
      <w:pPr>
        <w:pStyle w:val="FootnoteText"/>
      </w:pPr>
      <w:r>
        <w:rPr>
          <w:rStyle w:val="FootnoteReference"/>
        </w:rPr>
        <w:footnoteRef/>
      </w:r>
      <w:r>
        <w:t xml:space="preserve"> </w:t>
      </w:r>
      <w:r w:rsidRPr="00160A18">
        <w:rPr>
          <w:sz w:val="18"/>
          <w:szCs w:val="18"/>
        </w:rPr>
        <w:t>Wragg, ‘The Early Texts’, p. 255.</w:t>
      </w:r>
    </w:p>
  </w:footnote>
  <w:footnote w:id="48">
    <w:p w14:paraId="175F46E6" w14:textId="4CC2DF9C" w:rsidR="00865D9D" w:rsidRDefault="00865D9D">
      <w:pPr>
        <w:pStyle w:val="FootnoteText"/>
      </w:pPr>
      <w:r>
        <w:rPr>
          <w:rStyle w:val="FootnoteReference"/>
        </w:rPr>
        <w:footnoteRef/>
      </w:r>
      <w:r>
        <w:t xml:space="preserve"> </w:t>
      </w:r>
      <w:r w:rsidRPr="00865D9D">
        <w:rPr>
          <w:sz w:val="18"/>
          <w:szCs w:val="18"/>
        </w:rPr>
        <w:t xml:space="preserve">Lindy Brady, </w:t>
      </w:r>
      <w:r>
        <w:rPr>
          <w:sz w:val="18"/>
          <w:szCs w:val="18"/>
        </w:rPr>
        <w:t>‘</w:t>
      </w:r>
      <w:r w:rsidRPr="00865D9D">
        <w:rPr>
          <w:sz w:val="18"/>
          <w:szCs w:val="18"/>
        </w:rPr>
        <w:t>Crowland Abbey as Anglo-Saxon Sanctuary in the Pseudo-Ingulf Chronicle</w:t>
      </w:r>
      <w:r>
        <w:rPr>
          <w:sz w:val="18"/>
          <w:szCs w:val="18"/>
        </w:rPr>
        <w:t>’</w:t>
      </w:r>
      <w:r w:rsidRPr="00865D9D">
        <w:rPr>
          <w:sz w:val="18"/>
          <w:szCs w:val="18"/>
        </w:rPr>
        <w:t xml:space="preserve">, </w:t>
      </w:r>
      <w:r w:rsidRPr="00865D9D">
        <w:rPr>
          <w:i/>
          <w:iCs/>
          <w:sz w:val="18"/>
          <w:szCs w:val="18"/>
        </w:rPr>
        <w:t>Traditio</w:t>
      </w:r>
      <w:r w:rsidRPr="00865D9D">
        <w:rPr>
          <w:sz w:val="18"/>
          <w:szCs w:val="18"/>
        </w:rPr>
        <w:t>, 73 (2018), 19-42</w:t>
      </w:r>
      <w:r w:rsidR="009F505A">
        <w:rPr>
          <w:sz w:val="18"/>
          <w:szCs w:val="18"/>
        </w:rPr>
        <w:t xml:space="preserve"> (p. 21)</w:t>
      </w:r>
      <w:r w:rsidRPr="00865D9D">
        <w:rPr>
          <w:sz w:val="18"/>
          <w:szCs w:val="18"/>
        </w:rPr>
        <w:t>.</w:t>
      </w:r>
    </w:p>
  </w:footnote>
  <w:footnote w:id="49">
    <w:p w14:paraId="5EF3A074" w14:textId="3B0B3190" w:rsidR="009F505A" w:rsidRDefault="009F505A">
      <w:pPr>
        <w:pStyle w:val="FootnoteText"/>
      </w:pPr>
      <w:r>
        <w:rPr>
          <w:rStyle w:val="FootnoteReference"/>
        </w:rPr>
        <w:footnoteRef/>
      </w:r>
      <w:r>
        <w:t xml:space="preserve"> </w:t>
      </w:r>
      <w:r w:rsidRPr="00865D9D">
        <w:rPr>
          <w:sz w:val="18"/>
          <w:szCs w:val="18"/>
        </w:rPr>
        <w:t xml:space="preserve">Brady, </w:t>
      </w:r>
      <w:r>
        <w:rPr>
          <w:sz w:val="18"/>
          <w:szCs w:val="18"/>
        </w:rPr>
        <w:t>‘</w:t>
      </w:r>
      <w:r w:rsidRPr="00865D9D">
        <w:rPr>
          <w:sz w:val="18"/>
          <w:szCs w:val="18"/>
        </w:rPr>
        <w:t>Crowland Abbey</w:t>
      </w:r>
      <w:r>
        <w:rPr>
          <w:sz w:val="18"/>
          <w:szCs w:val="18"/>
        </w:rPr>
        <w:t>’</w:t>
      </w:r>
      <w:r w:rsidRPr="00865D9D">
        <w:rPr>
          <w:sz w:val="18"/>
          <w:szCs w:val="18"/>
        </w:rPr>
        <w:t xml:space="preserve">, </w:t>
      </w:r>
      <w:r>
        <w:rPr>
          <w:sz w:val="18"/>
          <w:szCs w:val="18"/>
        </w:rPr>
        <w:t>p. 35</w:t>
      </w:r>
      <w:r w:rsidRPr="00865D9D">
        <w:rPr>
          <w:sz w:val="18"/>
          <w:szCs w:val="18"/>
        </w:rPr>
        <w:t>.</w:t>
      </w:r>
    </w:p>
  </w:footnote>
  <w:footnote w:id="50">
    <w:p w14:paraId="1D5352B9" w14:textId="10F30B9F" w:rsidR="00F06905" w:rsidRDefault="00F06905">
      <w:pPr>
        <w:pStyle w:val="FootnoteText"/>
      </w:pPr>
      <w:r>
        <w:rPr>
          <w:rStyle w:val="FootnoteReference"/>
        </w:rPr>
        <w:footnoteRef/>
      </w:r>
      <w:r>
        <w:t xml:space="preserve"> </w:t>
      </w:r>
      <w:r w:rsidRPr="00865D9D">
        <w:rPr>
          <w:sz w:val="18"/>
          <w:szCs w:val="18"/>
        </w:rPr>
        <w:t xml:space="preserve">Brady, </w:t>
      </w:r>
      <w:r>
        <w:rPr>
          <w:sz w:val="18"/>
          <w:szCs w:val="18"/>
        </w:rPr>
        <w:t>‘</w:t>
      </w:r>
      <w:r w:rsidRPr="00865D9D">
        <w:rPr>
          <w:sz w:val="18"/>
          <w:szCs w:val="18"/>
        </w:rPr>
        <w:t>Crowland Abbey</w:t>
      </w:r>
      <w:r>
        <w:rPr>
          <w:sz w:val="18"/>
          <w:szCs w:val="18"/>
        </w:rPr>
        <w:t>’</w:t>
      </w:r>
      <w:r w:rsidRPr="00865D9D">
        <w:rPr>
          <w:sz w:val="18"/>
          <w:szCs w:val="18"/>
        </w:rPr>
        <w:t>,</w:t>
      </w:r>
      <w:r w:rsidR="00337367">
        <w:rPr>
          <w:sz w:val="18"/>
          <w:szCs w:val="18"/>
        </w:rPr>
        <w:t xml:space="preserve"> </w:t>
      </w:r>
      <w:r>
        <w:rPr>
          <w:sz w:val="18"/>
          <w:szCs w:val="18"/>
        </w:rPr>
        <w:t>p. 35</w:t>
      </w:r>
      <w:r w:rsidRPr="00865D9D">
        <w:rPr>
          <w:sz w:val="18"/>
          <w:szCs w:val="18"/>
        </w:rPr>
        <w:t>.</w:t>
      </w:r>
    </w:p>
  </w:footnote>
  <w:footnote w:id="51">
    <w:p w14:paraId="7C477C69" w14:textId="23873E01" w:rsidR="009B0A98" w:rsidRDefault="009B0A98">
      <w:pPr>
        <w:pStyle w:val="FootnoteText"/>
      </w:pPr>
      <w:r>
        <w:rPr>
          <w:rStyle w:val="FootnoteReference"/>
        </w:rPr>
        <w:footnoteRef/>
      </w:r>
      <w:r>
        <w:t xml:space="preserve"> </w:t>
      </w:r>
      <w:r w:rsidRPr="00A16662">
        <w:rPr>
          <w:sz w:val="18"/>
          <w:szCs w:val="18"/>
        </w:rPr>
        <w:t xml:space="preserve">Hoare, </w:t>
      </w:r>
      <w:r>
        <w:rPr>
          <w:sz w:val="18"/>
          <w:szCs w:val="18"/>
        </w:rPr>
        <w:t>‘</w:t>
      </w:r>
      <w:r w:rsidRPr="00A16662">
        <w:rPr>
          <w:sz w:val="18"/>
          <w:szCs w:val="18"/>
        </w:rPr>
        <w:t>Orientation of English Medieval Parish Churches</w:t>
      </w:r>
      <w:r>
        <w:rPr>
          <w:sz w:val="18"/>
          <w:szCs w:val="18"/>
        </w:rPr>
        <w:t>’</w:t>
      </w:r>
      <w:r w:rsidRPr="00A16662">
        <w:rPr>
          <w:sz w:val="18"/>
          <w:szCs w:val="18"/>
        </w:rPr>
        <w:t xml:space="preserve">, </w:t>
      </w:r>
      <w:r>
        <w:rPr>
          <w:sz w:val="18"/>
          <w:szCs w:val="18"/>
        </w:rPr>
        <w:t>p. 1713.</w:t>
      </w:r>
    </w:p>
  </w:footnote>
  <w:footnote w:id="52">
    <w:p w14:paraId="757BC4C4" w14:textId="64AFB4F1" w:rsidR="009B0A98" w:rsidRDefault="009B0A98">
      <w:pPr>
        <w:pStyle w:val="FootnoteText"/>
      </w:pPr>
      <w:r>
        <w:rPr>
          <w:rStyle w:val="FootnoteReference"/>
        </w:rPr>
        <w:footnoteRef/>
      </w:r>
      <w:r>
        <w:t xml:space="preserve"> </w:t>
      </w:r>
      <w:r w:rsidRPr="00A16662">
        <w:rPr>
          <w:sz w:val="18"/>
          <w:szCs w:val="18"/>
        </w:rPr>
        <w:t xml:space="preserve">Hoare, </w:t>
      </w:r>
      <w:r>
        <w:rPr>
          <w:sz w:val="18"/>
          <w:szCs w:val="18"/>
        </w:rPr>
        <w:t>‘</w:t>
      </w:r>
      <w:r w:rsidRPr="00A16662">
        <w:rPr>
          <w:sz w:val="18"/>
          <w:szCs w:val="18"/>
        </w:rPr>
        <w:t>Orientation of English Medieval Parish Churches</w:t>
      </w:r>
      <w:r>
        <w:rPr>
          <w:sz w:val="18"/>
          <w:szCs w:val="18"/>
        </w:rPr>
        <w:t>’</w:t>
      </w:r>
      <w:r w:rsidRPr="00A16662">
        <w:rPr>
          <w:sz w:val="18"/>
          <w:szCs w:val="18"/>
        </w:rPr>
        <w:t>,</w:t>
      </w:r>
      <w:r w:rsidR="00337367">
        <w:rPr>
          <w:sz w:val="18"/>
          <w:szCs w:val="18"/>
        </w:rPr>
        <w:t xml:space="preserve"> </w:t>
      </w:r>
      <w:r>
        <w:rPr>
          <w:sz w:val="18"/>
          <w:szCs w:val="18"/>
        </w:rPr>
        <w:t>p. 1713.</w:t>
      </w:r>
    </w:p>
  </w:footnote>
  <w:footnote w:id="53">
    <w:p w14:paraId="665CBDF9" w14:textId="23FDC8DA" w:rsidR="00587C4A" w:rsidRDefault="00587C4A">
      <w:pPr>
        <w:pStyle w:val="FootnoteText"/>
      </w:pPr>
      <w:r>
        <w:rPr>
          <w:rStyle w:val="FootnoteReference"/>
        </w:rPr>
        <w:footnoteRef/>
      </w:r>
      <w:r>
        <w:t xml:space="preserve"> </w:t>
      </w:r>
      <w:r w:rsidRPr="00587C4A">
        <w:rPr>
          <w:sz w:val="18"/>
          <w:szCs w:val="18"/>
        </w:rPr>
        <w:t>Jason R.</w:t>
      </w:r>
      <w:r w:rsidR="00FB4E24">
        <w:rPr>
          <w:sz w:val="18"/>
          <w:szCs w:val="18"/>
        </w:rPr>
        <w:t xml:space="preserve"> </w:t>
      </w:r>
      <w:r w:rsidR="00FB4E24" w:rsidRPr="00587C4A">
        <w:rPr>
          <w:sz w:val="18"/>
          <w:szCs w:val="18"/>
        </w:rPr>
        <w:t>Ali</w:t>
      </w:r>
      <w:r w:rsidRPr="00587C4A">
        <w:rPr>
          <w:sz w:val="18"/>
          <w:szCs w:val="18"/>
        </w:rPr>
        <w:t xml:space="preserve"> and Peter Cunich, </w:t>
      </w:r>
      <w:r>
        <w:rPr>
          <w:sz w:val="18"/>
          <w:szCs w:val="18"/>
        </w:rPr>
        <w:t>‘</w:t>
      </w:r>
      <w:r w:rsidRPr="00587C4A">
        <w:rPr>
          <w:sz w:val="18"/>
          <w:szCs w:val="18"/>
        </w:rPr>
        <w:t>The Orientation of Churches: Some New Evidence</w:t>
      </w:r>
      <w:r>
        <w:rPr>
          <w:sz w:val="18"/>
          <w:szCs w:val="18"/>
        </w:rPr>
        <w:t>’</w:t>
      </w:r>
      <w:r w:rsidRPr="00587C4A">
        <w:rPr>
          <w:sz w:val="18"/>
          <w:szCs w:val="18"/>
        </w:rPr>
        <w:t>, </w:t>
      </w:r>
      <w:r w:rsidRPr="00587C4A">
        <w:rPr>
          <w:i/>
          <w:iCs/>
          <w:sz w:val="18"/>
          <w:szCs w:val="18"/>
        </w:rPr>
        <w:t>The Antiquaries Journal</w:t>
      </w:r>
      <w:r w:rsidRPr="00587C4A">
        <w:rPr>
          <w:sz w:val="18"/>
          <w:szCs w:val="18"/>
        </w:rPr>
        <w:t>, 81 (2001), 155-193.</w:t>
      </w:r>
    </w:p>
  </w:footnote>
  <w:footnote w:id="54">
    <w:p w14:paraId="54E30F34" w14:textId="5BCA0D61" w:rsidR="00D16F68" w:rsidRDefault="00D16F68">
      <w:pPr>
        <w:pStyle w:val="FootnoteText"/>
      </w:pPr>
      <w:r>
        <w:rPr>
          <w:rStyle w:val="FootnoteReference"/>
        </w:rPr>
        <w:footnoteRef/>
      </w:r>
      <w:r>
        <w:t xml:space="preserve"> </w:t>
      </w:r>
      <w:r w:rsidRPr="00D16F68">
        <w:t>Martianus Capella</w:t>
      </w:r>
      <w:r>
        <w:t xml:space="preserve">, </w:t>
      </w:r>
      <w:r w:rsidRPr="00DC14C4">
        <w:rPr>
          <w:i/>
          <w:iCs/>
        </w:rPr>
        <w:t>Martianus Capella and the Seven Liberal Arts</w:t>
      </w:r>
      <w:r w:rsidR="00DC14C4" w:rsidRPr="00DC14C4">
        <w:rPr>
          <w:i/>
          <w:iCs/>
        </w:rPr>
        <w:t>, Volume II, The Marriage of Philology and Mercury</w:t>
      </w:r>
      <w:r w:rsidR="00DC14C4">
        <w:t>, trans. by</w:t>
      </w:r>
      <w:r w:rsidRPr="00D16F68">
        <w:t xml:space="preserve"> </w:t>
      </w:r>
      <w:r w:rsidR="00DC14C4">
        <w:t>William Harris Stahl and Richard Johnson with E. L. Burge (New York, NY: Columbia University Press, 1977), Book VIII, 871 (pp.</w:t>
      </w:r>
      <w:r>
        <w:t xml:space="preserve"> 338-339</w:t>
      </w:r>
      <w:r w:rsidR="00DC14C4">
        <w:t>).</w:t>
      </w:r>
    </w:p>
  </w:footnote>
  <w:footnote w:id="55">
    <w:p w14:paraId="08C858EB" w14:textId="0D6DB6AB" w:rsidR="00EE0DD5" w:rsidRDefault="00EE0DD5">
      <w:pPr>
        <w:pStyle w:val="FootnoteText"/>
      </w:pPr>
      <w:r>
        <w:rPr>
          <w:rStyle w:val="FootnoteReference"/>
        </w:rPr>
        <w:footnoteRef/>
      </w:r>
      <w:r>
        <w:t xml:space="preserve"> </w:t>
      </w:r>
      <w:r w:rsidR="00161E61" w:rsidRPr="00161E61">
        <w:t xml:space="preserve">Stephen C. McCluskey, </w:t>
      </w:r>
      <w:r w:rsidR="00161E61">
        <w:t>‘</w:t>
      </w:r>
      <w:r w:rsidR="00161E61" w:rsidRPr="00161E61">
        <w:t>Astronomy in the Service of Christianity</w:t>
      </w:r>
      <w:r w:rsidR="00161E61">
        <w:t>’</w:t>
      </w:r>
      <w:r w:rsidR="00161E61" w:rsidRPr="00161E61">
        <w:t>, in </w:t>
      </w:r>
      <w:r w:rsidR="00161E61" w:rsidRPr="00161E61">
        <w:rPr>
          <w:i/>
          <w:iCs/>
        </w:rPr>
        <w:t>Handbook of Archaeoastronomy and Ethnoastronomy</w:t>
      </w:r>
      <w:r w:rsidR="00161E61" w:rsidRPr="00161E61">
        <w:t>, ed. by Clive L. N. Ruggles</w:t>
      </w:r>
      <w:r w:rsidR="00161E61">
        <w:t xml:space="preserve"> </w:t>
      </w:r>
      <w:r w:rsidR="00161E61" w:rsidRPr="00161E61">
        <w:t xml:space="preserve">(New York, NY: Springer New York, 2015), pp. 165-179 </w:t>
      </w:r>
      <w:r w:rsidR="00EB58DB">
        <w:t xml:space="preserve">(p. 168) </w:t>
      </w:r>
      <w:r w:rsidR="00161E61" w:rsidRPr="00161E61">
        <w:t>&lt;</w:t>
      </w:r>
      <w:hyperlink r:id="rId3" w:tgtFrame="_blank" w:history="1">
        <w:r w:rsidR="00161E61" w:rsidRPr="00161E61">
          <w:t>https://doi.org/10.1007/978-1-4614-6141-8_15&gt;</w:t>
        </w:r>
      </w:hyperlink>
      <w:r w:rsidR="00161E61">
        <w:t>.</w:t>
      </w:r>
    </w:p>
  </w:footnote>
  <w:footnote w:id="56">
    <w:p w14:paraId="5EA7FCEF" w14:textId="09A72A03" w:rsidR="00531FEC" w:rsidRDefault="00531FEC">
      <w:pPr>
        <w:pStyle w:val="FootnoteText"/>
      </w:pPr>
      <w:r>
        <w:rPr>
          <w:rStyle w:val="FootnoteReference"/>
        </w:rPr>
        <w:footnoteRef/>
      </w:r>
      <w:r>
        <w:t xml:space="preserve"> D. Lewis, ‘Voyaging Stars: Aspects of Polynesian and Micronesian Astronomy’, </w:t>
      </w:r>
      <w:r w:rsidRPr="00D02A4B">
        <w:rPr>
          <w:i/>
          <w:iCs/>
        </w:rPr>
        <w:t>Philosophical Transactions of the Royal Society of London. Series A, Mathematical and Physical Sciences</w:t>
      </w:r>
      <w:r>
        <w:t>, 276.1257 (1974), 133-148</w:t>
      </w:r>
      <w:r w:rsidR="00D02A4B">
        <w:t xml:space="preserve"> (p. 141)</w:t>
      </w:r>
      <w:r>
        <w:t>.</w:t>
      </w:r>
    </w:p>
  </w:footnote>
  <w:footnote w:id="57">
    <w:p w14:paraId="2A3501DF" w14:textId="71FC9094" w:rsidR="00574A6D" w:rsidRDefault="00574A6D">
      <w:pPr>
        <w:pStyle w:val="FootnoteText"/>
      </w:pPr>
      <w:r>
        <w:rPr>
          <w:rStyle w:val="FootnoteReference"/>
        </w:rPr>
        <w:footnoteRef/>
      </w:r>
      <w:r>
        <w:t xml:space="preserve"> </w:t>
      </w:r>
      <w:r w:rsidR="000E689C" w:rsidRPr="009A31AA">
        <w:rPr>
          <w:sz w:val="18"/>
          <w:szCs w:val="18"/>
        </w:rPr>
        <w:t xml:space="preserve">Brady, </w:t>
      </w:r>
      <w:r w:rsidR="000E689C">
        <w:rPr>
          <w:sz w:val="18"/>
          <w:szCs w:val="18"/>
        </w:rPr>
        <w:t>‘</w:t>
      </w:r>
      <w:r w:rsidR="000E689C" w:rsidRPr="009A31AA">
        <w:rPr>
          <w:sz w:val="18"/>
          <w:szCs w:val="18"/>
        </w:rPr>
        <w:t>The Dual Alignments</w:t>
      </w:r>
      <w:r w:rsidR="000E689C">
        <w:rPr>
          <w:sz w:val="18"/>
          <w:szCs w:val="18"/>
        </w:rPr>
        <w:t>’</w:t>
      </w:r>
      <w:r w:rsidR="000E689C" w:rsidRPr="009A31AA">
        <w:rPr>
          <w:sz w:val="18"/>
          <w:szCs w:val="18"/>
        </w:rPr>
        <w:t>, </w:t>
      </w:r>
      <w:r w:rsidR="000E689C">
        <w:rPr>
          <w:sz w:val="18"/>
          <w:szCs w:val="18"/>
        </w:rPr>
        <w:t>pp. 24-25</w:t>
      </w:r>
      <w:r w:rsidR="000E689C" w:rsidRPr="009A31AA">
        <w:rPr>
          <w:sz w:val="18"/>
          <w:szCs w:val="18"/>
        </w:rPr>
        <w:t>.</w:t>
      </w:r>
    </w:p>
  </w:footnote>
  <w:footnote w:id="58">
    <w:p w14:paraId="4ED9D621" w14:textId="3140D273" w:rsidR="000A2603" w:rsidRDefault="000A2603">
      <w:pPr>
        <w:pStyle w:val="FootnoteText"/>
      </w:pPr>
      <w:r>
        <w:rPr>
          <w:rStyle w:val="FootnoteReference"/>
        </w:rPr>
        <w:footnoteRef/>
      </w:r>
      <w:r>
        <w:t xml:space="preserve"> </w:t>
      </w:r>
      <w:r w:rsidRPr="00A16662">
        <w:rPr>
          <w:sz w:val="18"/>
          <w:szCs w:val="18"/>
        </w:rPr>
        <w:t xml:space="preserve">Hoare, </w:t>
      </w:r>
      <w:r>
        <w:rPr>
          <w:sz w:val="18"/>
          <w:szCs w:val="18"/>
        </w:rPr>
        <w:t>‘</w:t>
      </w:r>
      <w:r w:rsidRPr="00A16662">
        <w:rPr>
          <w:sz w:val="18"/>
          <w:szCs w:val="18"/>
        </w:rPr>
        <w:t>Orientation of English Medieval Parish Churches</w:t>
      </w:r>
      <w:r>
        <w:rPr>
          <w:sz w:val="18"/>
          <w:szCs w:val="18"/>
        </w:rPr>
        <w:t>’</w:t>
      </w:r>
      <w:r w:rsidRPr="00A16662">
        <w:rPr>
          <w:sz w:val="18"/>
          <w:szCs w:val="18"/>
        </w:rPr>
        <w:t xml:space="preserve">, </w:t>
      </w:r>
      <w:r>
        <w:rPr>
          <w:sz w:val="18"/>
          <w:szCs w:val="18"/>
        </w:rPr>
        <w:t>p. 1715.</w:t>
      </w:r>
    </w:p>
  </w:footnote>
  <w:footnote w:id="59">
    <w:p w14:paraId="0997C20F" w14:textId="09CFA373" w:rsidR="00032C35" w:rsidRDefault="00032C35">
      <w:pPr>
        <w:pStyle w:val="FootnoteText"/>
      </w:pPr>
      <w:r>
        <w:rPr>
          <w:rStyle w:val="FootnoteReference"/>
        </w:rPr>
        <w:footnoteRef/>
      </w:r>
      <w:r>
        <w:t xml:space="preserve"> </w:t>
      </w:r>
      <w:r w:rsidRPr="00EF71C4">
        <w:rPr>
          <w:sz w:val="18"/>
          <w:szCs w:val="18"/>
        </w:rPr>
        <w:t xml:space="preserve">Bailey, Pevsner, and Cherry, </w:t>
      </w:r>
      <w:r w:rsidRPr="00EF71C4">
        <w:rPr>
          <w:i/>
          <w:iCs/>
          <w:sz w:val="18"/>
          <w:szCs w:val="18"/>
        </w:rPr>
        <w:t>Northamptonshire</w:t>
      </w:r>
      <w:r w:rsidRPr="00EF71C4">
        <w:rPr>
          <w:sz w:val="18"/>
          <w:szCs w:val="18"/>
        </w:rPr>
        <w:t>, p. 520.</w:t>
      </w:r>
    </w:p>
  </w:footnote>
  <w:footnote w:id="60">
    <w:p w14:paraId="4D99D8D1" w14:textId="4C65058E" w:rsidR="00644EDE" w:rsidRDefault="00644EDE">
      <w:pPr>
        <w:pStyle w:val="FootnoteText"/>
      </w:pPr>
      <w:r>
        <w:rPr>
          <w:rStyle w:val="FootnoteReference"/>
        </w:rPr>
        <w:footnoteRef/>
      </w:r>
      <w:r>
        <w:t xml:space="preserve"> </w:t>
      </w:r>
      <w:r w:rsidRPr="009A31AA">
        <w:rPr>
          <w:sz w:val="18"/>
          <w:szCs w:val="18"/>
        </w:rPr>
        <w:t xml:space="preserve">Brady, </w:t>
      </w:r>
      <w:r>
        <w:rPr>
          <w:sz w:val="18"/>
          <w:szCs w:val="18"/>
        </w:rPr>
        <w:t>‘</w:t>
      </w:r>
      <w:r w:rsidRPr="009A31AA">
        <w:rPr>
          <w:sz w:val="18"/>
          <w:szCs w:val="18"/>
        </w:rPr>
        <w:t>The Dual Alignments</w:t>
      </w:r>
      <w:r>
        <w:rPr>
          <w:sz w:val="18"/>
          <w:szCs w:val="18"/>
        </w:rPr>
        <w:t>’</w:t>
      </w:r>
      <w:r w:rsidRPr="009A31AA">
        <w:rPr>
          <w:sz w:val="18"/>
          <w:szCs w:val="18"/>
        </w:rPr>
        <w:t>,</w:t>
      </w:r>
      <w:r w:rsidR="00337367">
        <w:rPr>
          <w:sz w:val="18"/>
          <w:szCs w:val="18"/>
        </w:rPr>
        <w:t xml:space="preserve"> </w:t>
      </w:r>
      <w:r>
        <w:rPr>
          <w:sz w:val="18"/>
          <w:szCs w:val="18"/>
        </w:rPr>
        <w:t>p. 8</w:t>
      </w:r>
      <w:r w:rsidRPr="009A31AA">
        <w:rPr>
          <w:sz w:val="18"/>
          <w:szCs w:val="18"/>
        </w:rPr>
        <w:t>.</w:t>
      </w:r>
    </w:p>
  </w:footnote>
  <w:footnote w:id="61">
    <w:p w14:paraId="7F9F0C3C" w14:textId="38D4A34A" w:rsidR="005E2A90" w:rsidRDefault="005E2A90">
      <w:pPr>
        <w:pStyle w:val="FootnoteText"/>
      </w:pPr>
      <w:r>
        <w:rPr>
          <w:rStyle w:val="FootnoteReference"/>
        </w:rPr>
        <w:footnoteRef/>
      </w:r>
      <w:r>
        <w:t xml:space="preserve"> </w:t>
      </w:r>
      <w:r w:rsidRPr="00161E61">
        <w:t xml:space="preserve">McCluskey, </w:t>
      </w:r>
      <w:r>
        <w:t>‘</w:t>
      </w:r>
      <w:r w:rsidRPr="00161E61">
        <w:t>Astronomy in the Service of Christianity</w:t>
      </w:r>
      <w:r>
        <w:t>’</w:t>
      </w:r>
      <w:r w:rsidRPr="00161E61">
        <w:t xml:space="preserve">, </w:t>
      </w:r>
      <w:r>
        <w:t>p. 172.</w:t>
      </w:r>
    </w:p>
  </w:footnote>
  <w:footnote w:id="62">
    <w:p w14:paraId="527803B5" w14:textId="3A3E3B8B" w:rsidR="005E2A90" w:rsidRDefault="005E2A90">
      <w:pPr>
        <w:pStyle w:val="FootnoteText"/>
      </w:pPr>
      <w:r>
        <w:rPr>
          <w:rStyle w:val="FootnoteReference"/>
        </w:rPr>
        <w:footnoteRef/>
      </w:r>
      <w:r>
        <w:t xml:space="preserve"> </w:t>
      </w:r>
      <w:r w:rsidRPr="00161E61">
        <w:t xml:space="preserve">McCluskey, </w:t>
      </w:r>
      <w:r>
        <w:t>‘</w:t>
      </w:r>
      <w:r w:rsidRPr="00161E61">
        <w:t>Astronomy in the Service of Christianity</w:t>
      </w:r>
      <w:r>
        <w:t>’</w:t>
      </w:r>
      <w:r w:rsidRPr="00161E61">
        <w:t xml:space="preserve">, </w:t>
      </w:r>
      <w:r>
        <w:t>pp. 171-172.</w:t>
      </w:r>
    </w:p>
  </w:footnote>
  <w:footnote w:id="63">
    <w:p w14:paraId="02DFACBA" w14:textId="1EF48001" w:rsidR="00F4454F" w:rsidRDefault="00F4454F">
      <w:pPr>
        <w:pStyle w:val="FootnoteText"/>
      </w:pPr>
      <w:r>
        <w:rPr>
          <w:rStyle w:val="FootnoteReference"/>
        </w:rPr>
        <w:footnoteRef/>
      </w:r>
      <w:r>
        <w:t xml:space="preserve"> </w:t>
      </w:r>
      <w:r w:rsidR="00021CFB" w:rsidRPr="00021CFB">
        <w:t>Anne</w:t>
      </w:r>
      <w:r w:rsidR="00021CFB">
        <w:t xml:space="preserve"> </w:t>
      </w:r>
      <w:r w:rsidR="00021CFB" w:rsidRPr="00021CFB">
        <w:t xml:space="preserve">Sassin Allen, </w:t>
      </w:r>
      <w:r w:rsidR="00021CFB">
        <w:t>‘</w:t>
      </w:r>
      <w:r w:rsidR="00021CFB" w:rsidRPr="00021CFB">
        <w:t>Church Orientation in the Landscape: A Perspective from Medieval Wales</w:t>
      </w:r>
      <w:r w:rsidR="00021CFB">
        <w:t>’</w:t>
      </w:r>
      <w:r w:rsidR="00021CFB" w:rsidRPr="00021CFB">
        <w:t>, </w:t>
      </w:r>
      <w:r w:rsidR="00021CFB" w:rsidRPr="00021CFB">
        <w:rPr>
          <w:i/>
          <w:iCs/>
        </w:rPr>
        <w:t>Archaeological Journal</w:t>
      </w:r>
      <w:r w:rsidR="00021CFB" w:rsidRPr="00021CFB">
        <w:t>, 173 (2016), 154-187</w:t>
      </w:r>
      <w:r w:rsidR="00021CFB">
        <w:t xml:space="preserve"> (p.</w:t>
      </w:r>
      <w:r w:rsidR="00D15CC5">
        <w:t xml:space="preserve"> </w:t>
      </w:r>
      <w:r w:rsidR="00021CFB">
        <w:t>176)</w:t>
      </w:r>
      <w:r w:rsidR="00021CFB" w:rsidRPr="00021CFB">
        <w:t xml:space="preserve"> &lt;</w:t>
      </w:r>
      <w:hyperlink r:id="rId4" w:tgtFrame="_blank" w:history="1">
        <w:r w:rsidR="00021CFB" w:rsidRPr="00021CFB">
          <w:t>https://doi.org/10.1080/00665983.2016.1110781&gt;</w:t>
        </w:r>
      </w:hyperlink>
      <w:r w:rsidR="00021CFB">
        <w:t>.</w:t>
      </w:r>
    </w:p>
  </w:footnote>
  <w:footnote w:id="64">
    <w:p w14:paraId="71F0BE6B" w14:textId="50B22E4C" w:rsidR="00E670CA" w:rsidRDefault="00E670CA">
      <w:pPr>
        <w:pStyle w:val="FootnoteText"/>
      </w:pPr>
      <w:r>
        <w:rPr>
          <w:rStyle w:val="FootnoteReference"/>
        </w:rPr>
        <w:footnoteRef/>
      </w:r>
      <w:r>
        <w:t xml:space="preserve"> </w:t>
      </w:r>
      <w:r w:rsidRPr="00EF71C4">
        <w:rPr>
          <w:sz w:val="18"/>
          <w:szCs w:val="18"/>
        </w:rPr>
        <w:t xml:space="preserve">Swanton, </w:t>
      </w:r>
      <w:r w:rsidRPr="00EF71C4">
        <w:rPr>
          <w:i/>
          <w:iCs/>
          <w:sz w:val="18"/>
          <w:szCs w:val="18"/>
        </w:rPr>
        <w:t>The Anglo-Saxon Chronicles</w:t>
      </w:r>
      <w:r w:rsidRPr="00EF71C4">
        <w:rPr>
          <w:sz w:val="18"/>
          <w:szCs w:val="18"/>
        </w:rPr>
        <w:t>, p. 102.</w:t>
      </w:r>
    </w:p>
  </w:footnote>
  <w:footnote w:id="65">
    <w:p w14:paraId="54BAEA83" w14:textId="0D8AF059" w:rsidR="0085359A" w:rsidRDefault="0085359A">
      <w:pPr>
        <w:pStyle w:val="FootnoteText"/>
      </w:pPr>
      <w:r>
        <w:rPr>
          <w:rStyle w:val="FootnoteReference"/>
        </w:rPr>
        <w:footnoteRef/>
      </w:r>
      <w:r>
        <w:t xml:space="preserve"> </w:t>
      </w:r>
      <w:r w:rsidRPr="00161E61">
        <w:t xml:space="preserve">McCluskey, </w:t>
      </w:r>
      <w:r>
        <w:t>‘</w:t>
      </w:r>
      <w:r w:rsidRPr="00161E61">
        <w:t>Astronomy in the Service of Christianity</w:t>
      </w:r>
      <w:r>
        <w:t>’</w:t>
      </w:r>
      <w:r w:rsidRPr="00161E61">
        <w:t>, p. 16</w:t>
      </w:r>
      <w:r w:rsidR="00EB58DB">
        <w:t>8</w:t>
      </w:r>
      <w:r>
        <w:t>.</w:t>
      </w:r>
    </w:p>
  </w:footnote>
  <w:footnote w:id="66">
    <w:p w14:paraId="4D4766C3" w14:textId="36D0B51C" w:rsidR="001B3FD5" w:rsidRDefault="001B3FD5">
      <w:pPr>
        <w:pStyle w:val="FootnoteText"/>
      </w:pPr>
      <w:r>
        <w:rPr>
          <w:rStyle w:val="FootnoteReference"/>
        </w:rPr>
        <w:footnoteRef/>
      </w:r>
      <w:r>
        <w:t xml:space="preserve"> </w:t>
      </w:r>
      <w:r w:rsidRPr="00160A18">
        <w:rPr>
          <w:sz w:val="18"/>
          <w:szCs w:val="18"/>
        </w:rPr>
        <w:t>Wragg, ‘The Early Texts’, p. 255.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831651"/>
      <w:docPartObj>
        <w:docPartGallery w:val="Page Numbers (Top of Page)"/>
        <w:docPartUnique/>
      </w:docPartObj>
    </w:sdtPr>
    <w:sdtEndPr>
      <w:rPr>
        <w:noProof/>
      </w:rPr>
    </w:sdtEndPr>
    <w:sdtContent>
      <w:p w14:paraId="568BF014" w14:textId="2141AFB1" w:rsidR="00A45AB3" w:rsidRDefault="00A45AB3">
        <w:pPr>
          <w:pStyle w:val="Header"/>
        </w:pPr>
        <w:r>
          <w:fldChar w:fldCharType="begin"/>
        </w:r>
        <w:r>
          <w:instrText xml:space="preserve"> PAGE   \* MERGEFORMAT </w:instrText>
        </w:r>
        <w:r>
          <w:fldChar w:fldCharType="separate"/>
        </w:r>
        <w:r>
          <w:rPr>
            <w:noProof/>
          </w:rPr>
          <w:t>2</w:t>
        </w:r>
        <w:r>
          <w:rPr>
            <w:noProof/>
          </w:rPr>
          <w:fldChar w:fldCharType="end"/>
        </w:r>
        <w:r w:rsidR="00994E1E">
          <w:rPr>
            <w:noProof/>
          </w:rPr>
          <w:tab/>
        </w:r>
        <w:r w:rsidR="00994E1E">
          <w:rPr>
            <w:noProof/>
          </w:rPr>
          <w:tab/>
        </w:r>
        <w:r w:rsidR="00994E1E">
          <w:rPr>
            <w:noProof/>
          </w:rPr>
          <w:tab/>
        </w:r>
        <w:r w:rsidR="00994E1E">
          <w:rPr>
            <w:noProof/>
          </w:rPr>
          <w:tab/>
        </w:r>
        <w:r w:rsidR="00994E1E">
          <w:rPr>
            <w:noProof/>
          </w:rPr>
          <w:tab/>
        </w:r>
        <w:r w:rsidR="00994E1E">
          <w:rPr>
            <w:noProof/>
          </w:rPr>
          <w:tab/>
        </w:r>
        <w:r w:rsidR="00994E1E">
          <w:rPr>
            <w:noProof/>
          </w:rPr>
          <w:tab/>
        </w:r>
        <w:r w:rsidR="00994E1E">
          <w:rPr>
            <w:noProof/>
          </w:rPr>
          <w:tab/>
        </w:r>
        <w:r w:rsidR="00994E1E">
          <w:rPr>
            <w:noProof/>
          </w:rPr>
          <w:tab/>
        </w:r>
        <w:sdt>
          <w:sdtPr>
            <w:rPr>
              <w:noProof/>
            </w:rPr>
            <w:alias w:val="Author"/>
            <w:tag w:val=""/>
            <w:id w:val="1508714107"/>
            <w:placeholder>
              <w:docPart w:val="2BC889AC3A5643FBA2EC5068500C4E09"/>
            </w:placeholder>
            <w:dataBinding w:prefixMappings="xmlns:ns0='http://purl.org/dc/elements/1.1/' xmlns:ns1='http://schemas.openxmlformats.org/package/2006/metadata/core-properties' " w:xpath="/ns1:coreProperties[1]/ns0:creator[1]" w:storeItemID="{6C3C8BC8-F283-45AE-878A-BAB7291924A1}"/>
            <w:text/>
          </w:sdtPr>
          <w:sdtContent>
            <w:r w:rsidR="00994E1E">
              <w:rPr>
                <w:noProof/>
              </w:rPr>
              <w:t>Kate Blackham</w:t>
            </w:r>
          </w:sdtContent>
        </w:sdt>
      </w:p>
    </w:sdtContent>
  </w:sdt>
  <w:p w14:paraId="2716B574" w14:textId="77777777" w:rsidR="00A45AB3" w:rsidRDefault="00A45A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A0BDC"/>
    <w:multiLevelType w:val="singleLevel"/>
    <w:tmpl w:val="6562B884"/>
    <w:lvl w:ilvl="0">
      <w:numFmt w:val="bullet"/>
      <w:lvlText w:val=""/>
      <w:lvlJc w:val="left"/>
      <w:pPr>
        <w:ind w:left="360" w:hanging="288"/>
      </w:pPr>
      <w:rPr>
        <w:rFonts w:ascii="Symbol" w:hAnsi="Symbol"/>
      </w:rPr>
    </w:lvl>
  </w:abstractNum>
  <w:abstractNum w:abstractNumId="1" w15:restartNumberingAfterBreak="0">
    <w:nsid w:val="050B1D8E"/>
    <w:multiLevelType w:val="hybridMultilevel"/>
    <w:tmpl w:val="16C25BDE"/>
    <w:lvl w:ilvl="0" w:tplc="BF2233D8">
      <w:start w:val="1"/>
      <w:numFmt w:val="upperRoman"/>
      <w:lvlText w:val="%1."/>
      <w:lvlJc w:val="right"/>
      <w:pPr>
        <w:ind w:left="540" w:hanging="360"/>
      </w:pPr>
    </w:lvl>
    <w:lvl w:ilvl="1" w:tplc="518CE3E6">
      <w:start w:val="1"/>
      <w:numFmt w:val="lowerLetter"/>
      <w:lvlText w:val="%2."/>
      <w:lvlJc w:val="left"/>
      <w:pPr>
        <w:ind w:left="1260" w:hanging="360"/>
      </w:pPr>
    </w:lvl>
    <w:lvl w:ilvl="2" w:tplc="A24EFDE6">
      <w:start w:val="1"/>
      <w:numFmt w:val="lowerRoman"/>
      <w:lvlText w:val="%3."/>
      <w:lvlJc w:val="right"/>
      <w:pPr>
        <w:ind w:left="1980" w:hanging="180"/>
      </w:pPr>
    </w:lvl>
    <w:lvl w:ilvl="3" w:tplc="FA36A386">
      <w:start w:val="1"/>
      <w:numFmt w:val="decimal"/>
      <w:lvlText w:val="%4."/>
      <w:lvlJc w:val="left"/>
      <w:pPr>
        <w:ind w:left="2700" w:hanging="360"/>
      </w:pPr>
    </w:lvl>
    <w:lvl w:ilvl="4" w:tplc="B4C0E23A">
      <w:start w:val="1"/>
      <w:numFmt w:val="lowerLetter"/>
      <w:lvlText w:val="%5."/>
      <w:lvlJc w:val="left"/>
      <w:pPr>
        <w:ind w:left="3420" w:hanging="360"/>
      </w:pPr>
    </w:lvl>
    <w:lvl w:ilvl="5" w:tplc="63DEA060">
      <w:start w:val="1"/>
      <w:numFmt w:val="lowerRoman"/>
      <w:lvlText w:val="%6."/>
      <w:lvlJc w:val="right"/>
      <w:pPr>
        <w:ind w:left="4140" w:hanging="180"/>
      </w:pPr>
    </w:lvl>
    <w:lvl w:ilvl="6" w:tplc="F7868966">
      <w:start w:val="1"/>
      <w:numFmt w:val="decimal"/>
      <w:lvlText w:val="%7."/>
      <w:lvlJc w:val="left"/>
      <w:pPr>
        <w:ind w:left="4860" w:hanging="360"/>
      </w:pPr>
    </w:lvl>
    <w:lvl w:ilvl="7" w:tplc="A0DECF40">
      <w:start w:val="1"/>
      <w:numFmt w:val="lowerLetter"/>
      <w:lvlText w:val="%8."/>
      <w:lvlJc w:val="left"/>
      <w:pPr>
        <w:ind w:left="5580" w:hanging="360"/>
      </w:pPr>
    </w:lvl>
    <w:lvl w:ilvl="8" w:tplc="76E6F5B6">
      <w:start w:val="1"/>
      <w:numFmt w:val="lowerRoman"/>
      <w:lvlText w:val="%9."/>
      <w:lvlJc w:val="right"/>
      <w:pPr>
        <w:ind w:left="6300" w:hanging="180"/>
      </w:pPr>
    </w:lvl>
  </w:abstractNum>
  <w:abstractNum w:abstractNumId="2" w15:restartNumberingAfterBreak="0">
    <w:nsid w:val="052745F5"/>
    <w:multiLevelType w:val="hybridMultilevel"/>
    <w:tmpl w:val="1826E8BC"/>
    <w:lvl w:ilvl="0" w:tplc="045CB58E">
      <w:numFmt w:val="bullet"/>
      <w:lvlText w:val=""/>
      <w:lvlJc w:val="left"/>
      <w:pPr>
        <w:ind w:left="720" w:hanging="360"/>
      </w:pPr>
      <w:rPr>
        <w:rFonts w:ascii="Symbol" w:hAnsi="Symbol"/>
      </w:rPr>
    </w:lvl>
    <w:lvl w:ilvl="1" w:tplc="8506DA12">
      <w:numFmt w:val="bullet"/>
      <w:lvlText w:val="o"/>
      <w:lvlJc w:val="left"/>
      <w:pPr>
        <w:ind w:left="1440" w:hanging="360"/>
      </w:pPr>
      <w:rPr>
        <w:rFonts w:ascii="Courier New" w:hAnsi="Courier New"/>
      </w:rPr>
    </w:lvl>
    <w:lvl w:ilvl="2" w:tplc="7A1E489C">
      <w:numFmt w:val="bullet"/>
      <w:lvlText w:val=""/>
      <w:lvlJc w:val="left"/>
      <w:pPr>
        <w:ind w:left="2160" w:hanging="360"/>
      </w:pPr>
      <w:rPr>
        <w:rFonts w:ascii="Wingdings" w:hAnsi="Wingdings"/>
      </w:rPr>
    </w:lvl>
    <w:lvl w:ilvl="3" w:tplc="F82EC58C">
      <w:numFmt w:val="bullet"/>
      <w:lvlText w:val=""/>
      <w:lvlJc w:val="left"/>
      <w:pPr>
        <w:ind w:left="2880" w:hanging="360"/>
      </w:pPr>
      <w:rPr>
        <w:rFonts w:ascii="Symbol" w:hAnsi="Symbol"/>
      </w:rPr>
    </w:lvl>
    <w:lvl w:ilvl="4" w:tplc="01209BF4">
      <w:numFmt w:val="bullet"/>
      <w:lvlText w:val="o"/>
      <w:lvlJc w:val="left"/>
      <w:pPr>
        <w:ind w:left="3600" w:hanging="360"/>
      </w:pPr>
      <w:rPr>
        <w:rFonts w:ascii="Courier New" w:hAnsi="Courier New"/>
      </w:rPr>
    </w:lvl>
    <w:lvl w:ilvl="5" w:tplc="7A7EBDF6">
      <w:numFmt w:val="bullet"/>
      <w:lvlText w:val=""/>
      <w:lvlJc w:val="left"/>
      <w:pPr>
        <w:ind w:left="4320" w:hanging="360"/>
      </w:pPr>
      <w:rPr>
        <w:rFonts w:ascii="Wingdings" w:hAnsi="Wingdings"/>
      </w:rPr>
    </w:lvl>
    <w:lvl w:ilvl="6" w:tplc="FC2CBD36">
      <w:numFmt w:val="bullet"/>
      <w:lvlText w:val=""/>
      <w:lvlJc w:val="left"/>
      <w:pPr>
        <w:ind w:left="5040" w:hanging="360"/>
      </w:pPr>
      <w:rPr>
        <w:rFonts w:ascii="Symbol" w:hAnsi="Symbol"/>
      </w:rPr>
    </w:lvl>
    <w:lvl w:ilvl="7" w:tplc="5602FD80">
      <w:numFmt w:val="bullet"/>
      <w:lvlText w:val="o"/>
      <w:lvlJc w:val="left"/>
      <w:pPr>
        <w:ind w:left="5760" w:hanging="360"/>
      </w:pPr>
      <w:rPr>
        <w:rFonts w:ascii="Courier New" w:hAnsi="Courier New"/>
      </w:rPr>
    </w:lvl>
    <w:lvl w:ilvl="8" w:tplc="C3345F36">
      <w:numFmt w:val="bullet"/>
      <w:lvlText w:val=""/>
      <w:lvlJc w:val="left"/>
      <w:pPr>
        <w:ind w:left="6480" w:hanging="360"/>
      </w:pPr>
      <w:rPr>
        <w:rFonts w:ascii="Wingdings" w:hAnsi="Wingdings"/>
      </w:rPr>
    </w:lvl>
  </w:abstractNum>
  <w:abstractNum w:abstractNumId="3" w15:restartNumberingAfterBreak="0">
    <w:nsid w:val="05A52DFD"/>
    <w:multiLevelType w:val="hybridMultilevel"/>
    <w:tmpl w:val="EBEA3976"/>
    <w:lvl w:ilvl="0" w:tplc="CA969A82">
      <w:numFmt w:val="bullet"/>
      <w:lvlText w:val=""/>
      <w:lvlJc w:val="left"/>
      <w:pPr>
        <w:ind w:left="720" w:hanging="360"/>
      </w:pPr>
      <w:rPr>
        <w:rFonts w:ascii="Symbol" w:hAnsi="Symbol"/>
      </w:rPr>
    </w:lvl>
    <w:lvl w:ilvl="1" w:tplc="1188E0C0">
      <w:numFmt w:val="bullet"/>
      <w:lvlText w:val="o"/>
      <w:lvlJc w:val="left"/>
      <w:pPr>
        <w:ind w:left="1440" w:hanging="360"/>
      </w:pPr>
      <w:rPr>
        <w:rFonts w:ascii="Courier New" w:hAnsi="Courier New"/>
      </w:rPr>
    </w:lvl>
    <w:lvl w:ilvl="2" w:tplc="D5A252F6">
      <w:numFmt w:val="bullet"/>
      <w:lvlText w:val=""/>
      <w:lvlJc w:val="left"/>
      <w:pPr>
        <w:ind w:left="2160" w:hanging="360"/>
      </w:pPr>
      <w:rPr>
        <w:rFonts w:ascii="Wingdings" w:hAnsi="Wingdings"/>
      </w:rPr>
    </w:lvl>
    <w:lvl w:ilvl="3" w:tplc="FD60EE68">
      <w:numFmt w:val="bullet"/>
      <w:lvlText w:val=""/>
      <w:lvlJc w:val="left"/>
      <w:pPr>
        <w:ind w:left="2880" w:hanging="360"/>
      </w:pPr>
      <w:rPr>
        <w:rFonts w:ascii="Symbol" w:hAnsi="Symbol"/>
      </w:rPr>
    </w:lvl>
    <w:lvl w:ilvl="4" w:tplc="B1CA0C1A">
      <w:numFmt w:val="bullet"/>
      <w:lvlText w:val="o"/>
      <w:lvlJc w:val="left"/>
      <w:pPr>
        <w:ind w:left="3600" w:hanging="360"/>
      </w:pPr>
      <w:rPr>
        <w:rFonts w:ascii="Courier New" w:hAnsi="Courier New"/>
      </w:rPr>
    </w:lvl>
    <w:lvl w:ilvl="5" w:tplc="BF48B0B6">
      <w:numFmt w:val="bullet"/>
      <w:lvlText w:val=""/>
      <w:lvlJc w:val="left"/>
      <w:pPr>
        <w:ind w:left="4320" w:hanging="360"/>
      </w:pPr>
      <w:rPr>
        <w:rFonts w:ascii="Wingdings" w:hAnsi="Wingdings"/>
      </w:rPr>
    </w:lvl>
    <w:lvl w:ilvl="6" w:tplc="B1C2D17C">
      <w:numFmt w:val="bullet"/>
      <w:lvlText w:val=""/>
      <w:lvlJc w:val="left"/>
      <w:pPr>
        <w:ind w:left="5040" w:hanging="360"/>
      </w:pPr>
      <w:rPr>
        <w:rFonts w:ascii="Symbol" w:hAnsi="Symbol"/>
      </w:rPr>
    </w:lvl>
    <w:lvl w:ilvl="7" w:tplc="09266EC6">
      <w:numFmt w:val="bullet"/>
      <w:lvlText w:val="o"/>
      <w:lvlJc w:val="left"/>
      <w:pPr>
        <w:ind w:left="5760" w:hanging="360"/>
      </w:pPr>
      <w:rPr>
        <w:rFonts w:ascii="Courier New" w:hAnsi="Courier New"/>
      </w:rPr>
    </w:lvl>
    <w:lvl w:ilvl="8" w:tplc="08E0CDF8">
      <w:numFmt w:val="bullet"/>
      <w:lvlText w:val=""/>
      <w:lvlJc w:val="left"/>
      <w:pPr>
        <w:ind w:left="6480" w:hanging="360"/>
      </w:pPr>
      <w:rPr>
        <w:rFonts w:ascii="Wingdings" w:hAnsi="Wingdings"/>
      </w:rPr>
    </w:lvl>
  </w:abstractNum>
  <w:abstractNum w:abstractNumId="4" w15:restartNumberingAfterBreak="0">
    <w:nsid w:val="094C47E4"/>
    <w:multiLevelType w:val="singleLevel"/>
    <w:tmpl w:val="637E5C10"/>
    <w:lvl w:ilvl="0">
      <w:numFmt w:val="decimal"/>
      <w:lvlText w:val="*"/>
      <w:lvlJc w:val="left"/>
    </w:lvl>
  </w:abstractNum>
  <w:abstractNum w:abstractNumId="5" w15:restartNumberingAfterBreak="0">
    <w:nsid w:val="115B7738"/>
    <w:multiLevelType w:val="singleLevel"/>
    <w:tmpl w:val="E2A0D4CE"/>
    <w:lvl w:ilvl="0">
      <w:numFmt w:val="bullet"/>
      <w:lvlText w:val=""/>
      <w:lvlJc w:val="left"/>
      <w:pPr>
        <w:ind w:left="360" w:hanging="288"/>
      </w:pPr>
      <w:rPr>
        <w:rFonts w:ascii="Symbol" w:hAnsi="Symbol"/>
      </w:rPr>
    </w:lvl>
  </w:abstractNum>
  <w:abstractNum w:abstractNumId="6" w15:restartNumberingAfterBreak="0">
    <w:nsid w:val="14A65A8F"/>
    <w:multiLevelType w:val="hybridMultilevel"/>
    <w:tmpl w:val="E2C428E0"/>
    <w:lvl w:ilvl="0" w:tplc="71B6B988">
      <w:numFmt w:val="bullet"/>
      <w:lvlText w:val=""/>
      <w:lvlJc w:val="left"/>
      <w:pPr>
        <w:ind w:left="1080" w:hanging="360"/>
      </w:pPr>
      <w:rPr>
        <w:rFonts w:ascii="Symbol" w:hAnsi="Symbol"/>
      </w:rPr>
    </w:lvl>
    <w:lvl w:ilvl="1" w:tplc="5008D6E8">
      <w:numFmt w:val="bullet"/>
      <w:lvlText w:val="o"/>
      <w:lvlJc w:val="left"/>
      <w:pPr>
        <w:ind w:left="1800" w:hanging="360"/>
      </w:pPr>
      <w:rPr>
        <w:rFonts w:ascii="Courier New" w:hAnsi="Courier New"/>
      </w:rPr>
    </w:lvl>
    <w:lvl w:ilvl="2" w:tplc="349CC414">
      <w:numFmt w:val="bullet"/>
      <w:lvlText w:val=""/>
      <w:lvlJc w:val="left"/>
      <w:pPr>
        <w:ind w:left="2520" w:hanging="360"/>
      </w:pPr>
      <w:rPr>
        <w:rFonts w:ascii="Wingdings" w:hAnsi="Wingdings"/>
      </w:rPr>
    </w:lvl>
    <w:lvl w:ilvl="3" w:tplc="AF5E542A">
      <w:numFmt w:val="bullet"/>
      <w:lvlText w:val=""/>
      <w:lvlJc w:val="left"/>
      <w:pPr>
        <w:ind w:left="3240" w:hanging="360"/>
      </w:pPr>
      <w:rPr>
        <w:rFonts w:ascii="Symbol" w:hAnsi="Symbol"/>
      </w:rPr>
    </w:lvl>
    <w:lvl w:ilvl="4" w:tplc="60A0732C">
      <w:numFmt w:val="bullet"/>
      <w:lvlText w:val="o"/>
      <w:lvlJc w:val="left"/>
      <w:pPr>
        <w:ind w:left="3960" w:hanging="360"/>
      </w:pPr>
      <w:rPr>
        <w:rFonts w:ascii="Courier New" w:hAnsi="Courier New"/>
      </w:rPr>
    </w:lvl>
    <w:lvl w:ilvl="5" w:tplc="EFF67374">
      <w:numFmt w:val="bullet"/>
      <w:lvlText w:val=""/>
      <w:lvlJc w:val="left"/>
      <w:pPr>
        <w:ind w:left="4680" w:hanging="360"/>
      </w:pPr>
      <w:rPr>
        <w:rFonts w:ascii="Wingdings" w:hAnsi="Wingdings"/>
      </w:rPr>
    </w:lvl>
    <w:lvl w:ilvl="6" w:tplc="C21C21C2">
      <w:numFmt w:val="bullet"/>
      <w:lvlText w:val=""/>
      <w:lvlJc w:val="left"/>
      <w:pPr>
        <w:ind w:left="5400" w:hanging="360"/>
      </w:pPr>
      <w:rPr>
        <w:rFonts w:ascii="Symbol" w:hAnsi="Symbol"/>
      </w:rPr>
    </w:lvl>
    <w:lvl w:ilvl="7" w:tplc="8F86A824">
      <w:numFmt w:val="bullet"/>
      <w:lvlText w:val="o"/>
      <w:lvlJc w:val="left"/>
      <w:pPr>
        <w:ind w:left="6120" w:hanging="360"/>
      </w:pPr>
      <w:rPr>
        <w:rFonts w:ascii="Courier New" w:hAnsi="Courier New"/>
      </w:rPr>
    </w:lvl>
    <w:lvl w:ilvl="8" w:tplc="D6ECBB34">
      <w:numFmt w:val="bullet"/>
      <w:lvlText w:val=""/>
      <w:lvlJc w:val="left"/>
      <w:pPr>
        <w:ind w:left="6840" w:hanging="360"/>
      </w:pPr>
      <w:rPr>
        <w:rFonts w:ascii="Wingdings" w:hAnsi="Wingdings"/>
      </w:rPr>
    </w:lvl>
  </w:abstractNum>
  <w:abstractNum w:abstractNumId="7" w15:restartNumberingAfterBreak="0">
    <w:nsid w:val="15E9388C"/>
    <w:multiLevelType w:val="hybridMultilevel"/>
    <w:tmpl w:val="2D3A520A"/>
    <w:lvl w:ilvl="0" w:tplc="DCEA8C82">
      <w:numFmt w:val="bullet"/>
      <w:lvlText w:val=""/>
      <w:lvlJc w:val="left"/>
      <w:pPr>
        <w:ind w:left="1080" w:hanging="360"/>
      </w:pPr>
      <w:rPr>
        <w:rFonts w:ascii="Symbol" w:hAnsi="Symbol"/>
      </w:rPr>
    </w:lvl>
    <w:lvl w:ilvl="1" w:tplc="EF90174E">
      <w:numFmt w:val="bullet"/>
      <w:lvlText w:val=""/>
      <w:lvlJc w:val="left"/>
      <w:pPr>
        <w:ind w:left="1800" w:hanging="360"/>
      </w:pPr>
      <w:rPr>
        <w:rFonts w:ascii="Symbol" w:hAnsi="Symbol"/>
      </w:rPr>
    </w:lvl>
    <w:lvl w:ilvl="2" w:tplc="64660A94">
      <w:start w:val="1"/>
      <w:numFmt w:val="lowerRoman"/>
      <w:lvlText w:val="%3."/>
      <w:lvlJc w:val="right"/>
      <w:pPr>
        <w:ind w:left="2520" w:hanging="180"/>
      </w:pPr>
    </w:lvl>
    <w:lvl w:ilvl="3" w:tplc="2F100354">
      <w:start w:val="1"/>
      <w:numFmt w:val="decimal"/>
      <w:lvlText w:val="%4."/>
      <w:lvlJc w:val="left"/>
      <w:pPr>
        <w:ind w:left="3240" w:hanging="360"/>
      </w:pPr>
    </w:lvl>
    <w:lvl w:ilvl="4" w:tplc="F9E8C44E">
      <w:start w:val="1"/>
      <w:numFmt w:val="lowerLetter"/>
      <w:lvlText w:val="%5."/>
      <w:lvlJc w:val="left"/>
      <w:pPr>
        <w:ind w:left="3960" w:hanging="360"/>
      </w:pPr>
    </w:lvl>
    <w:lvl w:ilvl="5" w:tplc="6262AD60">
      <w:start w:val="1"/>
      <w:numFmt w:val="lowerRoman"/>
      <w:lvlText w:val="%6."/>
      <w:lvlJc w:val="right"/>
      <w:pPr>
        <w:ind w:left="4680" w:hanging="180"/>
      </w:pPr>
    </w:lvl>
    <w:lvl w:ilvl="6" w:tplc="B698905A">
      <w:start w:val="1"/>
      <w:numFmt w:val="decimal"/>
      <w:lvlText w:val="%7."/>
      <w:lvlJc w:val="left"/>
      <w:pPr>
        <w:ind w:left="5400" w:hanging="360"/>
      </w:pPr>
    </w:lvl>
    <w:lvl w:ilvl="7" w:tplc="678AB3DC">
      <w:start w:val="1"/>
      <w:numFmt w:val="lowerLetter"/>
      <w:lvlText w:val="%8."/>
      <w:lvlJc w:val="left"/>
      <w:pPr>
        <w:ind w:left="6120" w:hanging="360"/>
      </w:pPr>
    </w:lvl>
    <w:lvl w:ilvl="8" w:tplc="8C727082">
      <w:start w:val="1"/>
      <w:numFmt w:val="lowerRoman"/>
      <w:lvlText w:val="%9."/>
      <w:lvlJc w:val="right"/>
      <w:pPr>
        <w:ind w:left="6840" w:hanging="180"/>
      </w:pPr>
    </w:lvl>
  </w:abstractNum>
  <w:abstractNum w:abstractNumId="8" w15:restartNumberingAfterBreak="0">
    <w:nsid w:val="15E943B7"/>
    <w:multiLevelType w:val="singleLevel"/>
    <w:tmpl w:val="02E4544C"/>
    <w:lvl w:ilvl="0">
      <w:numFmt w:val="bullet"/>
      <w:lvlText w:val=""/>
      <w:lvlJc w:val="left"/>
      <w:pPr>
        <w:ind w:left="360" w:hanging="288"/>
      </w:pPr>
      <w:rPr>
        <w:rFonts w:ascii="Symbol" w:hAnsi="Symbol"/>
      </w:rPr>
    </w:lvl>
  </w:abstractNum>
  <w:abstractNum w:abstractNumId="9" w15:restartNumberingAfterBreak="0">
    <w:nsid w:val="21847E30"/>
    <w:multiLevelType w:val="hybridMultilevel"/>
    <w:tmpl w:val="75C6C062"/>
    <w:lvl w:ilvl="0" w:tplc="0BE80490">
      <w:numFmt w:val="bullet"/>
      <w:lvlText w:val=""/>
      <w:lvlJc w:val="left"/>
      <w:pPr>
        <w:ind w:left="1080" w:hanging="360"/>
      </w:pPr>
      <w:rPr>
        <w:rFonts w:ascii="Symbol" w:hAnsi="Symbol"/>
      </w:rPr>
    </w:lvl>
    <w:lvl w:ilvl="1" w:tplc="52CA7F6A">
      <w:numFmt w:val="bullet"/>
      <w:lvlText w:val="o"/>
      <w:lvlJc w:val="left"/>
      <w:pPr>
        <w:ind w:left="1800" w:hanging="360"/>
      </w:pPr>
      <w:rPr>
        <w:rFonts w:ascii="Courier New" w:hAnsi="Courier New"/>
      </w:rPr>
    </w:lvl>
    <w:lvl w:ilvl="2" w:tplc="8B4EAAD6">
      <w:numFmt w:val="bullet"/>
      <w:lvlText w:val=""/>
      <w:lvlJc w:val="left"/>
      <w:pPr>
        <w:ind w:left="2520" w:hanging="360"/>
      </w:pPr>
      <w:rPr>
        <w:rFonts w:ascii="Wingdings" w:hAnsi="Wingdings"/>
      </w:rPr>
    </w:lvl>
    <w:lvl w:ilvl="3" w:tplc="3D82053A">
      <w:numFmt w:val="bullet"/>
      <w:lvlText w:val=""/>
      <w:lvlJc w:val="left"/>
      <w:pPr>
        <w:ind w:left="3240" w:hanging="360"/>
      </w:pPr>
      <w:rPr>
        <w:rFonts w:ascii="Symbol" w:hAnsi="Symbol"/>
      </w:rPr>
    </w:lvl>
    <w:lvl w:ilvl="4" w:tplc="FC80647A">
      <w:numFmt w:val="bullet"/>
      <w:lvlText w:val="o"/>
      <w:lvlJc w:val="left"/>
      <w:pPr>
        <w:ind w:left="3960" w:hanging="360"/>
      </w:pPr>
      <w:rPr>
        <w:rFonts w:ascii="Courier New" w:hAnsi="Courier New"/>
      </w:rPr>
    </w:lvl>
    <w:lvl w:ilvl="5" w:tplc="F5069708">
      <w:numFmt w:val="bullet"/>
      <w:lvlText w:val=""/>
      <w:lvlJc w:val="left"/>
      <w:pPr>
        <w:ind w:left="4680" w:hanging="360"/>
      </w:pPr>
      <w:rPr>
        <w:rFonts w:ascii="Wingdings" w:hAnsi="Wingdings"/>
      </w:rPr>
    </w:lvl>
    <w:lvl w:ilvl="6" w:tplc="78FE489E">
      <w:numFmt w:val="bullet"/>
      <w:lvlText w:val=""/>
      <w:lvlJc w:val="left"/>
      <w:pPr>
        <w:ind w:left="5400" w:hanging="360"/>
      </w:pPr>
      <w:rPr>
        <w:rFonts w:ascii="Symbol" w:hAnsi="Symbol"/>
      </w:rPr>
    </w:lvl>
    <w:lvl w:ilvl="7" w:tplc="3398ACA2">
      <w:numFmt w:val="bullet"/>
      <w:lvlText w:val="o"/>
      <w:lvlJc w:val="left"/>
      <w:pPr>
        <w:ind w:left="6120" w:hanging="360"/>
      </w:pPr>
      <w:rPr>
        <w:rFonts w:ascii="Courier New" w:hAnsi="Courier New"/>
      </w:rPr>
    </w:lvl>
    <w:lvl w:ilvl="8" w:tplc="77602150">
      <w:numFmt w:val="bullet"/>
      <w:lvlText w:val=""/>
      <w:lvlJc w:val="left"/>
      <w:pPr>
        <w:ind w:left="6840" w:hanging="360"/>
      </w:pPr>
      <w:rPr>
        <w:rFonts w:ascii="Wingdings" w:hAnsi="Wingdings"/>
      </w:rPr>
    </w:lvl>
  </w:abstractNum>
  <w:abstractNum w:abstractNumId="10" w15:restartNumberingAfterBreak="0">
    <w:nsid w:val="21B25A44"/>
    <w:multiLevelType w:val="hybridMultilevel"/>
    <w:tmpl w:val="3EE2E94A"/>
    <w:lvl w:ilvl="0" w:tplc="7652C828">
      <w:numFmt w:val="bullet"/>
      <w:lvlText w:val=""/>
      <w:lvlJc w:val="left"/>
      <w:pPr>
        <w:ind w:left="720" w:hanging="360"/>
      </w:pPr>
      <w:rPr>
        <w:rFonts w:ascii="Symbol" w:hAnsi="Symbol"/>
      </w:rPr>
    </w:lvl>
    <w:lvl w:ilvl="1" w:tplc="39B43392">
      <w:numFmt w:val="bullet"/>
      <w:lvlText w:val="o"/>
      <w:lvlJc w:val="left"/>
      <w:pPr>
        <w:ind w:left="1440" w:hanging="360"/>
      </w:pPr>
      <w:rPr>
        <w:rFonts w:ascii="Courier New" w:hAnsi="Courier New"/>
      </w:rPr>
    </w:lvl>
    <w:lvl w:ilvl="2" w:tplc="F8684832">
      <w:numFmt w:val="bullet"/>
      <w:lvlText w:val=""/>
      <w:lvlJc w:val="left"/>
      <w:pPr>
        <w:ind w:left="2160" w:hanging="360"/>
      </w:pPr>
      <w:rPr>
        <w:rFonts w:ascii="Wingdings" w:hAnsi="Wingdings"/>
      </w:rPr>
    </w:lvl>
    <w:lvl w:ilvl="3" w:tplc="2F38F7A2">
      <w:numFmt w:val="bullet"/>
      <w:lvlText w:val=""/>
      <w:lvlJc w:val="left"/>
      <w:pPr>
        <w:ind w:left="2880" w:hanging="360"/>
      </w:pPr>
      <w:rPr>
        <w:rFonts w:ascii="Symbol" w:hAnsi="Symbol"/>
      </w:rPr>
    </w:lvl>
    <w:lvl w:ilvl="4" w:tplc="C400DFEC">
      <w:numFmt w:val="bullet"/>
      <w:lvlText w:val="o"/>
      <w:lvlJc w:val="left"/>
      <w:pPr>
        <w:ind w:left="3600" w:hanging="360"/>
      </w:pPr>
      <w:rPr>
        <w:rFonts w:ascii="Courier New" w:hAnsi="Courier New"/>
      </w:rPr>
    </w:lvl>
    <w:lvl w:ilvl="5" w:tplc="E520C1E4">
      <w:numFmt w:val="bullet"/>
      <w:lvlText w:val=""/>
      <w:lvlJc w:val="left"/>
      <w:pPr>
        <w:ind w:left="4320" w:hanging="360"/>
      </w:pPr>
      <w:rPr>
        <w:rFonts w:ascii="Wingdings" w:hAnsi="Wingdings"/>
      </w:rPr>
    </w:lvl>
    <w:lvl w:ilvl="6" w:tplc="F63ABB86">
      <w:numFmt w:val="bullet"/>
      <w:lvlText w:val=""/>
      <w:lvlJc w:val="left"/>
      <w:pPr>
        <w:ind w:left="5040" w:hanging="360"/>
      </w:pPr>
      <w:rPr>
        <w:rFonts w:ascii="Symbol" w:hAnsi="Symbol"/>
      </w:rPr>
    </w:lvl>
    <w:lvl w:ilvl="7" w:tplc="8C368BFE">
      <w:numFmt w:val="bullet"/>
      <w:lvlText w:val="o"/>
      <w:lvlJc w:val="left"/>
      <w:pPr>
        <w:ind w:left="5760" w:hanging="360"/>
      </w:pPr>
      <w:rPr>
        <w:rFonts w:ascii="Courier New" w:hAnsi="Courier New"/>
      </w:rPr>
    </w:lvl>
    <w:lvl w:ilvl="8" w:tplc="0C6035D8">
      <w:numFmt w:val="bullet"/>
      <w:lvlText w:val=""/>
      <w:lvlJc w:val="left"/>
      <w:pPr>
        <w:ind w:left="6480" w:hanging="360"/>
      </w:pPr>
      <w:rPr>
        <w:rFonts w:ascii="Wingdings" w:hAnsi="Wingdings"/>
      </w:rPr>
    </w:lvl>
  </w:abstractNum>
  <w:abstractNum w:abstractNumId="11" w15:restartNumberingAfterBreak="0">
    <w:nsid w:val="2D2F16D9"/>
    <w:multiLevelType w:val="singleLevel"/>
    <w:tmpl w:val="5A9C8804"/>
    <w:lvl w:ilvl="0">
      <w:numFmt w:val="bullet"/>
      <w:lvlText w:val=""/>
      <w:lvlJc w:val="left"/>
      <w:pPr>
        <w:ind w:left="360" w:hanging="288"/>
      </w:pPr>
      <w:rPr>
        <w:rFonts w:ascii="Symbol" w:hAnsi="Symbol"/>
      </w:rPr>
    </w:lvl>
  </w:abstractNum>
  <w:abstractNum w:abstractNumId="12" w15:restartNumberingAfterBreak="0">
    <w:nsid w:val="32800BA6"/>
    <w:multiLevelType w:val="singleLevel"/>
    <w:tmpl w:val="37F87C8A"/>
    <w:lvl w:ilvl="0">
      <w:numFmt w:val="bullet"/>
      <w:lvlText w:val=""/>
      <w:lvlJc w:val="left"/>
      <w:pPr>
        <w:ind w:left="360" w:hanging="288"/>
      </w:pPr>
      <w:rPr>
        <w:rFonts w:ascii="Symbol" w:hAnsi="Symbol"/>
      </w:rPr>
    </w:lvl>
  </w:abstractNum>
  <w:abstractNum w:abstractNumId="13" w15:restartNumberingAfterBreak="0">
    <w:nsid w:val="414D5901"/>
    <w:multiLevelType w:val="singleLevel"/>
    <w:tmpl w:val="66D21E6A"/>
    <w:lvl w:ilvl="0">
      <w:numFmt w:val="bullet"/>
      <w:lvlText w:val=""/>
      <w:lvlJc w:val="left"/>
      <w:pPr>
        <w:ind w:left="360" w:hanging="288"/>
      </w:pPr>
      <w:rPr>
        <w:rFonts w:ascii="Symbol" w:hAnsi="Symbol"/>
      </w:rPr>
    </w:lvl>
  </w:abstractNum>
  <w:abstractNum w:abstractNumId="14" w15:restartNumberingAfterBreak="0">
    <w:nsid w:val="47671019"/>
    <w:multiLevelType w:val="hybridMultilevel"/>
    <w:tmpl w:val="0809001D"/>
    <w:lvl w:ilvl="0" w:tplc="8A067332">
      <w:start w:val="1"/>
      <w:numFmt w:val="decimal"/>
      <w:lvlText w:val="%1)"/>
      <w:lvlJc w:val="left"/>
      <w:pPr>
        <w:ind w:left="360" w:hanging="360"/>
      </w:pPr>
    </w:lvl>
    <w:lvl w:ilvl="1" w:tplc="D922B038">
      <w:start w:val="1"/>
      <w:numFmt w:val="lowerLetter"/>
      <w:lvlText w:val="%2)"/>
      <w:lvlJc w:val="left"/>
      <w:pPr>
        <w:ind w:left="720" w:hanging="360"/>
      </w:pPr>
    </w:lvl>
    <w:lvl w:ilvl="2" w:tplc="C30421D4">
      <w:start w:val="1"/>
      <w:numFmt w:val="lowerRoman"/>
      <w:lvlText w:val="%3)"/>
      <w:lvlJc w:val="left"/>
      <w:pPr>
        <w:ind w:left="1080" w:hanging="360"/>
      </w:pPr>
    </w:lvl>
    <w:lvl w:ilvl="3" w:tplc="2A9275BC">
      <w:start w:val="1"/>
      <w:numFmt w:val="decimal"/>
      <w:lvlText w:val="(%4)"/>
      <w:lvlJc w:val="left"/>
      <w:pPr>
        <w:ind w:left="1440" w:hanging="360"/>
      </w:pPr>
    </w:lvl>
    <w:lvl w:ilvl="4" w:tplc="2F7C21EA">
      <w:start w:val="1"/>
      <w:numFmt w:val="lowerLetter"/>
      <w:lvlText w:val="(%5)"/>
      <w:lvlJc w:val="left"/>
      <w:pPr>
        <w:ind w:left="1800" w:hanging="360"/>
      </w:pPr>
    </w:lvl>
    <w:lvl w:ilvl="5" w:tplc="86DAC53A">
      <w:start w:val="1"/>
      <w:numFmt w:val="lowerRoman"/>
      <w:lvlText w:val="(%6)"/>
      <w:lvlJc w:val="left"/>
      <w:pPr>
        <w:ind w:left="2160" w:hanging="360"/>
      </w:pPr>
    </w:lvl>
    <w:lvl w:ilvl="6" w:tplc="D5E2EEB8">
      <w:start w:val="1"/>
      <w:numFmt w:val="decimal"/>
      <w:lvlText w:val="%7."/>
      <w:lvlJc w:val="left"/>
      <w:pPr>
        <w:ind w:left="2520" w:hanging="360"/>
      </w:pPr>
    </w:lvl>
    <w:lvl w:ilvl="7" w:tplc="A3DA9204">
      <w:start w:val="1"/>
      <w:numFmt w:val="lowerLetter"/>
      <w:lvlText w:val="%8."/>
      <w:lvlJc w:val="left"/>
      <w:pPr>
        <w:ind w:left="2880" w:hanging="360"/>
      </w:pPr>
    </w:lvl>
    <w:lvl w:ilvl="8" w:tplc="46721238">
      <w:start w:val="1"/>
      <w:numFmt w:val="lowerRoman"/>
      <w:lvlText w:val="%9."/>
      <w:lvlJc w:val="left"/>
      <w:pPr>
        <w:ind w:left="3240" w:hanging="360"/>
      </w:pPr>
    </w:lvl>
  </w:abstractNum>
  <w:abstractNum w:abstractNumId="15" w15:restartNumberingAfterBreak="0">
    <w:nsid w:val="4BBC2C15"/>
    <w:multiLevelType w:val="hybridMultilevel"/>
    <w:tmpl w:val="DA822B42"/>
    <w:lvl w:ilvl="0" w:tplc="0542EDC6">
      <w:start w:val="1"/>
      <w:numFmt w:val="decimal"/>
      <w:lvlText w:val="%1."/>
      <w:lvlJc w:val="left"/>
      <w:pPr>
        <w:ind w:left="720" w:hanging="360"/>
      </w:pPr>
    </w:lvl>
    <w:lvl w:ilvl="1" w:tplc="8AA0A1F2">
      <w:start w:val="1"/>
      <w:numFmt w:val="decimal"/>
      <w:lvlText w:val="%2."/>
      <w:lvlJc w:val="left"/>
      <w:pPr>
        <w:ind w:left="1440" w:hanging="1080"/>
      </w:pPr>
    </w:lvl>
    <w:lvl w:ilvl="2" w:tplc="5FC44E06">
      <w:start w:val="1"/>
      <w:numFmt w:val="decimal"/>
      <w:lvlText w:val="%3."/>
      <w:lvlJc w:val="left"/>
      <w:pPr>
        <w:ind w:left="2160" w:hanging="1980"/>
      </w:pPr>
    </w:lvl>
    <w:lvl w:ilvl="3" w:tplc="8FC04F36">
      <w:start w:val="1"/>
      <w:numFmt w:val="decimal"/>
      <w:lvlText w:val="%4."/>
      <w:lvlJc w:val="left"/>
      <w:pPr>
        <w:ind w:left="2880" w:hanging="2520"/>
      </w:pPr>
    </w:lvl>
    <w:lvl w:ilvl="4" w:tplc="4324274C">
      <w:start w:val="1"/>
      <w:numFmt w:val="decimal"/>
      <w:lvlText w:val="%5."/>
      <w:lvlJc w:val="left"/>
      <w:pPr>
        <w:ind w:left="3600" w:hanging="3240"/>
      </w:pPr>
    </w:lvl>
    <w:lvl w:ilvl="5" w:tplc="F5182E5A">
      <w:start w:val="1"/>
      <w:numFmt w:val="decimal"/>
      <w:lvlText w:val="%6."/>
      <w:lvlJc w:val="left"/>
      <w:pPr>
        <w:ind w:left="4320" w:hanging="4140"/>
      </w:pPr>
    </w:lvl>
    <w:lvl w:ilvl="6" w:tplc="A40AA8A2">
      <w:start w:val="1"/>
      <w:numFmt w:val="decimal"/>
      <w:lvlText w:val="%7."/>
      <w:lvlJc w:val="left"/>
      <w:pPr>
        <w:ind w:left="5040" w:hanging="4680"/>
      </w:pPr>
    </w:lvl>
    <w:lvl w:ilvl="7" w:tplc="E54403AC">
      <w:start w:val="1"/>
      <w:numFmt w:val="decimal"/>
      <w:lvlText w:val="%8."/>
      <w:lvlJc w:val="left"/>
      <w:pPr>
        <w:ind w:left="5760" w:hanging="5400"/>
      </w:pPr>
    </w:lvl>
    <w:lvl w:ilvl="8" w:tplc="56068E22">
      <w:start w:val="1"/>
      <w:numFmt w:val="decimal"/>
      <w:lvlText w:val="%9."/>
      <w:lvlJc w:val="left"/>
      <w:pPr>
        <w:ind w:left="6480" w:hanging="6300"/>
      </w:pPr>
    </w:lvl>
  </w:abstractNum>
  <w:abstractNum w:abstractNumId="16" w15:restartNumberingAfterBreak="0">
    <w:nsid w:val="4EC34BE1"/>
    <w:multiLevelType w:val="hybridMultilevel"/>
    <w:tmpl w:val="71124128"/>
    <w:lvl w:ilvl="0" w:tplc="EFAAE02E">
      <w:numFmt w:val="bullet"/>
      <w:lvlText w:val=""/>
      <w:lvlJc w:val="left"/>
      <w:pPr>
        <w:ind w:left="720" w:hanging="360"/>
      </w:pPr>
      <w:rPr>
        <w:rFonts w:ascii="Symbol" w:hAnsi="Symbol"/>
      </w:rPr>
    </w:lvl>
    <w:lvl w:ilvl="1" w:tplc="D3FE4138">
      <w:numFmt w:val="bullet"/>
      <w:lvlText w:val="o"/>
      <w:lvlJc w:val="left"/>
      <w:pPr>
        <w:ind w:left="1440" w:hanging="360"/>
      </w:pPr>
      <w:rPr>
        <w:rFonts w:ascii="Courier New" w:hAnsi="Courier New"/>
      </w:rPr>
    </w:lvl>
    <w:lvl w:ilvl="2" w:tplc="5D12F580">
      <w:numFmt w:val="bullet"/>
      <w:lvlText w:val=""/>
      <w:lvlJc w:val="left"/>
      <w:pPr>
        <w:ind w:left="2160" w:hanging="360"/>
      </w:pPr>
      <w:rPr>
        <w:rFonts w:ascii="Wingdings" w:hAnsi="Wingdings"/>
      </w:rPr>
    </w:lvl>
    <w:lvl w:ilvl="3" w:tplc="F10C143A">
      <w:numFmt w:val="bullet"/>
      <w:lvlText w:val=""/>
      <w:lvlJc w:val="left"/>
      <w:pPr>
        <w:ind w:left="2880" w:hanging="360"/>
      </w:pPr>
      <w:rPr>
        <w:rFonts w:ascii="Symbol" w:hAnsi="Symbol"/>
      </w:rPr>
    </w:lvl>
    <w:lvl w:ilvl="4" w:tplc="3B58099E">
      <w:numFmt w:val="bullet"/>
      <w:lvlText w:val="o"/>
      <w:lvlJc w:val="left"/>
      <w:pPr>
        <w:ind w:left="3600" w:hanging="360"/>
      </w:pPr>
      <w:rPr>
        <w:rFonts w:ascii="Courier New" w:hAnsi="Courier New"/>
      </w:rPr>
    </w:lvl>
    <w:lvl w:ilvl="5" w:tplc="31BEA15C">
      <w:numFmt w:val="bullet"/>
      <w:lvlText w:val=""/>
      <w:lvlJc w:val="left"/>
      <w:pPr>
        <w:ind w:left="4320" w:hanging="360"/>
      </w:pPr>
      <w:rPr>
        <w:rFonts w:ascii="Wingdings" w:hAnsi="Wingdings"/>
      </w:rPr>
    </w:lvl>
    <w:lvl w:ilvl="6" w:tplc="D67CF246">
      <w:numFmt w:val="bullet"/>
      <w:lvlText w:val=""/>
      <w:lvlJc w:val="left"/>
      <w:pPr>
        <w:ind w:left="5040" w:hanging="360"/>
      </w:pPr>
      <w:rPr>
        <w:rFonts w:ascii="Symbol" w:hAnsi="Symbol"/>
      </w:rPr>
    </w:lvl>
    <w:lvl w:ilvl="7" w:tplc="09D817A0">
      <w:numFmt w:val="bullet"/>
      <w:lvlText w:val="o"/>
      <w:lvlJc w:val="left"/>
      <w:pPr>
        <w:ind w:left="5760" w:hanging="360"/>
      </w:pPr>
      <w:rPr>
        <w:rFonts w:ascii="Courier New" w:hAnsi="Courier New"/>
      </w:rPr>
    </w:lvl>
    <w:lvl w:ilvl="8" w:tplc="B2F8617E">
      <w:numFmt w:val="bullet"/>
      <w:lvlText w:val=""/>
      <w:lvlJc w:val="left"/>
      <w:pPr>
        <w:ind w:left="6480" w:hanging="360"/>
      </w:pPr>
      <w:rPr>
        <w:rFonts w:ascii="Wingdings" w:hAnsi="Wingdings"/>
      </w:rPr>
    </w:lvl>
  </w:abstractNum>
  <w:abstractNum w:abstractNumId="17" w15:restartNumberingAfterBreak="0">
    <w:nsid w:val="50686390"/>
    <w:multiLevelType w:val="hybridMultilevel"/>
    <w:tmpl w:val="D460223A"/>
    <w:lvl w:ilvl="0" w:tplc="7D48D74C">
      <w:start w:val="1"/>
      <w:numFmt w:val="decimal"/>
      <w:lvlText w:val="%1."/>
      <w:lvlJc w:val="left"/>
      <w:pPr>
        <w:ind w:left="720" w:hanging="360"/>
      </w:pPr>
    </w:lvl>
    <w:lvl w:ilvl="1" w:tplc="37785526">
      <w:start w:val="1"/>
      <w:numFmt w:val="lowerLetter"/>
      <w:lvlText w:val="%2."/>
      <w:lvlJc w:val="left"/>
      <w:pPr>
        <w:ind w:left="1440" w:hanging="360"/>
      </w:pPr>
    </w:lvl>
    <w:lvl w:ilvl="2" w:tplc="09B60A32">
      <w:start w:val="1"/>
      <w:numFmt w:val="lowerRoman"/>
      <w:lvlText w:val="%3."/>
      <w:lvlJc w:val="right"/>
      <w:pPr>
        <w:ind w:left="2160" w:hanging="180"/>
      </w:pPr>
    </w:lvl>
    <w:lvl w:ilvl="3" w:tplc="79F071EC">
      <w:start w:val="1"/>
      <w:numFmt w:val="decimal"/>
      <w:lvlText w:val="%4."/>
      <w:lvlJc w:val="left"/>
      <w:pPr>
        <w:ind w:left="2880" w:hanging="360"/>
      </w:pPr>
    </w:lvl>
    <w:lvl w:ilvl="4" w:tplc="04B4E08E">
      <w:start w:val="1"/>
      <w:numFmt w:val="lowerLetter"/>
      <w:lvlText w:val="%5."/>
      <w:lvlJc w:val="left"/>
      <w:pPr>
        <w:ind w:left="3600" w:hanging="360"/>
      </w:pPr>
    </w:lvl>
    <w:lvl w:ilvl="5" w:tplc="27CC31D6">
      <w:start w:val="1"/>
      <w:numFmt w:val="lowerRoman"/>
      <w:lvlText w:val="%6."/>
      <w:lvlJc w:val="right"/>
      <w:pPr>
        <w:ind w:left="4320" w:hanging="180"/>
      </w:pPr>
    </w:lvl>
    <w:lvl w:ilvl="6" w:tplc="31D07260">
      <w:start w:val="1"/>
      <w:numFmt w:val="decimal"/>
      <w:lvlText w:val="%7."/>
      <w:lvlJc w:val="left"/>
      <w:pPr>
        <w:ind w:left="5040" w:hanging="360"/>
      </w:pPr>
    </w:lvl>
    <w:lvl w:ilvl="7" w:tplc="60E0D198">
      <w:start w:val="1"/>
      <w:numFmt w:val="lowerLetter"/>
      <w:lvlText w:val="%8."/>
      <w:lvlJc w:val="left"/>
      <w:pPr>
        <w:ind w:left="5760" w:hanging="360"/>
      </w:pPr>
    </w:lvl>
    <w:lvl w:ilvl="8" w:tplc="749CED7E">
      <w:start w:val="1"/>
      <w:numFmt w:val="lowerRoman"/>
      <w:lvlText w:val="%9."/>
      <w:lvlJc w:val="right"/>
      <w:pPr>
        <w:ind w:left="6480" w:hanging="180"/>
      </w:pPr>
    </w:lvl>
  </w:abstractNum>
  <w:abstractNum w:abstractNumId="18" w15:restartNumberingAfterBreak="0">
    <w:nsid w:val="6C4B3560"/>
    <w:multiLevelType w:val="hybridMultilevel"/>
    <w:tmpl w:val="BD02AF50"/>
    <w:lvl w:ilvl="0" w:tplc="36141DB6">
      <w:numFmt w:val="bullet"/>
      <w:lvlText w:val=""/>
      <w:lvlJc w:val="left"/>
      <w:pPr>
        <w:ind w:left="540" w:hanging="360"/>
      </w:pPr>
      <w:rPr>
        <w:rFonts w:ascii="Symbol" w:hAnsi="Symbol"/>
      </w:rPr>
    </w:lvl>
    <w:lvl w:ilvl="1" w:tplc="2FFE690A">
      <w:numFmt w:val="bullet"/>
      <w:lvlText w:val="o"/>
      <w:lvlJc w:val="left"/>
      <w:pPr>
        <w:ind w:left="1260" w:hanging="360"/>
      </w:pPr>
      <w:rPr>
        <w:rFonts w:ascii="Courier New" w:hAnsi="Courier New"/>
      </w:rPr>
    </w:lvl>
    <w:lvl w:ilvl="2" w:tplc="0F5EF3A8">
      <w:numFmt w:val="bullet"/>
      <w:lvlText w:val=""/>
      <w:lvlJc w:val="left"/>
      <w:pPr>
        <w:ind w:left="1980" w:hanging="360"/>
      </w:pPr>
      <w:rPr>
        <w:rFonts w:ascii="Wingdings" w:hAnsi="Wingdings"/>
      </w:rPr>
    </w:lvl>
    <w:lvl w:ilvl="3" w:tplc="15CCA998">
      <w:numFmt w:val="bullet"/>
      <w:lvlText w:val=""/>
      <w:lvlJc w:val="left"/>
      <w:pPr>
        <w:ind w:left="2700" w:hanging="360"/>
      </w:pPr>
      <w:rPr>
        <w:rFonts w:ascii="Symbol" w:hAnsi="Symbol"/>
      </w:rPr>
    </w:lvl>
    <w:lvl w:ilvl="4" w:tplc="ACFCD5FC">
      <w:numFmt w:val="bullet"/>
      <w:lvlText w:val="o"/>
      <w:lvlJc w:val="left"/>
      <w:pPr>
        <w:ind w:left="3420" w:hanging="360"/>
      </w:pPr>
      <w:rPr>
        <w:rFonts w:ascii="Courier New" w:hAnsi="Courier New"/>
      </w:rPr>
    </w:lvl>
    <w:lvl w:ilvl="5" w:tplc="A6185004">
      <w:numFmt w:val="bullet"/>
      <w:lvlText w:val=""/>
      <w:lvlJc w:val="left"/>
      <w:pPr>
        <w:ind w:left="4140" w:hanging="360"/>
      </w:pPr>
      <w:rPr>
        <w:rFonts w:ascii="Wingdings" w:hAnsi="Wingdings"/>
      </w:rPr>
    </w:lvl>
    <w:lvl w:ilvl="6" w:tplc="37C61146">
      <w:numFmt w:val="bullet"/>
      <w:lvlText w:val=""/>
      <w:lvlJc w:val="left"/>
      <w:pPr>
        <w:ind w:left="4860" w:hanging="360"/>
      </w:pPr>
      <w:rPr>
        <w:rFonts w:ascii="Symbol" w:hAnsi="Symbol"/>
      </w:rPr>
    </w:lvl>
    <w:lvl w:ilvl="7" w:tplc="105C208C">
      <w:numFmt w:val="bullet"/>
      <w:lvlText w:val="o"/>
      <w:lvlJc w:val="left"/>
      <w:pPr>
        <w:ind w:left="5580" w:hanging="360"/>
      </w:pPr>
      <w:rPr>
        <w:rFonts w:ascii="Courier New" w:hAnsi="Courier New"/>
      </w:rPr>
    </w:lvl>
    <w:lvl w:ilvl="8" w:tplc="27066462">
      <w:numFmt w:val="bullet"/>
      <w:lvlText w:val=""/>
      <w:lvlJc w:val="left"/>
      <w:pPr>
        <w:ind w:left="6300" w:hanging="360"/>
      </w:pPr>
      <w:rPr>
        <w:rFonts w:ascii="Wingdings" w:hAnsi="Wingdings"/>
      </w:rPr>
    </w:lvl>
  </w:abstractNum>
  <w:abstractNum w:abstractNumId="19" w15:restartNumberingAfterBreak="0">
    <w:nsid w:val="6CAF3B4C"/>
    <w:multiLevelType w:val="hybridMultilevel"/>
    <w:tmpl w:val="455E934E"/>
    <w:lvl w:ilvl="0" w:tplc="BF76A8B8">
      <w:numFmt w:val="bullet"/>
      <w:lvlText w:val=""/>
      <w:lvlJc w:val="left"/>
      <w:pPr>
        <w:ind w:left="1080" w:hanging="360"/>
      </w:pPr>
      <w:rPr>
        <w:rFonts w:ascii="Symbol" w:hAnsi="Symbol"/>
      </w:rPr>
    </w:lvl>
    <w:lvl w:ilvl="1" w:tplc="20547DF6">
      <w:numFmt w:val="bullet"/>
      <w:lvlText w:val="o"/>
      <w:lvlJc w:val="left"/>
      <w:pPr>
        <w:ind w:left="1800" w:hanging="360"/>
      </w:pPr>
      <w:rPr>
        <w:rFonts w:ascii="Courier New" w:hAnsi="Courier New"/>
      </w:rPr>
    </w:lvl>
    <w:lvl w:ilvl="2" w:tplc="AD200F2C">
      <w:numFmt w:val="bullet"/>
      <w:lvlText w:val=""/>
      <w:lvlJc w:val="left"/>
      <w:pPr>
        <w:ind w:left="2520" w:hanging="360"/>
      </w:pPr>
      <w:rPr>
        <w:rFonts w:ascii="Wingdings" w:hAnsi="Wingdings"/>
      </w:rPr>
    </w:lvl>
    <w:lvl w:ilvl="3" w:tplc="88C0B208">
      <w:numFmt w:val="bullet"/>
      <w:lvlText w:val=""/>
      <w:lvlJc w:val="left"/>
      <w:pPr>
        <w:ind w:left="3240" w:hanging="360"/>
      </w:pPr>
      <w:rPr>
        <w:rFonts w:ascii="Symbol" w:hAnsi="Symbol"/>
      </w:rPr>
    </w:lvl>
    <w:lvl w:ilvl="4" w:tplc="637C19C8">
      <w:numFmt w:val="bullet"/>
      <w:lvlText w:val="o"/>
      <w:lvlJc w:val="left"/>
      <w:pPr>
        <w:ind w:left="3960" w:hanging="360"/>
      </w:pPr>
      <w:rPr>
        <w:rFonts w:ascii="Courier New" w:hAnsi="Courier New"/>
      </w:rPr>
    </w:lvl>
    <w:lvl w:ilvl="5" w:tplc="76AC2F34">
      <w:numFmt w:val="bullet"/>
      <w:lvlText w:val=""/>
      <w:lvlJc w:val="left"/>
      <w:pPr>
        <w:ind w:left="4680" w:hanging="360"/>
      </w:pPr>
      <w:rPr>
        <w:rFonts w:ascii="Wingdings" w:hAnsi="Wingdings"/>
      </w:rPr>
    </w:lvl>
    <w:lvl w:ilvl="6" w:tplc="45B0FC8A">
      <w:numFmt w:val="bullet"/>
      <w:lvlText w:val=""/>
      <w:lvlJc w:val="left"/>
      <w:pPr>
        <w:ind w:left="5400" w:hanging="360"/>
      </w:pPr>
      <w:rPr>
        <w:rFonts w:ascii="Symbol" w:hAnsi="Symbol"/>
      </w:rPr>
    </w:lvl>
    <w:lvl w:ilvl="7" w:tplc="ED86BA34">
      <w:numFmt w:val="bullet"/>
      <w:lvlText w:val="o"/>
      <w:lvlJc w:val="left"/>
      <w:pPr>
        <w:ind w:left="6120" w:hanging="360"/>
      </w:pPr>
      <w:rPr>
        <w:rFonts w:ascii="Courier New" w:hAnsi="Courier New"/>
      </w:rPr>
    </w:lvl>
    <w:lvl w:ilvl="8" w:tplc="1034D79A">
      <w:numFmt w:val="bullet"/>
      <w:lvlText w:val=""/>
      <w:lvlJc w:val="left"/>
      <w:pPr>
        <w:ind w:left="6840" w:hanging="360"/>
      </w:pPr>
      <w:rPr>
        <w:rFonts w:ascii="Wingdings" w:hAnsi="Wingdings"/>
      </w:rPr>
    </w:lvl>
  </w:abstractNum>
  <w:abstractNum w:abstractNumId="20" w15:restartNumberingAfterBreak="0">
    <w:nsid w:val="6F392464"/>
    <w:multiLevelType w:val="hybridMultilevel"/>
    <w:tmpl w:val="A4E0941A"/>
    <w:lvl w:ilvl="0" w:tplc="21AAD22C">
      <w:start w:val="1"/>
      <w:numFmt w:val="lowerRoman"/>
      <w:lvlText w:val="(%1)"/>
      <w:lvlJc w:val="left"/>
      <w:pPr>
        <w:ind w:left="540" w:hanging="720"/>
      </w:pPr>
      <w:rPr>
        <w:sz w:val="20"/>
      </w:rPr>
    </w:lvl>
    <w:lvl w:ilvl="1" w:tplc="723AB93A">
      <w:start w:val="1"/>
      <w:numFmt w:val="lowerLetter"/>
      <w:lvlText w:val="%2."/>
      <w:lvlJc w:val="left"/>
      <w:pPr>
        <w:ind w:left="900" w:hanging="360"/>
      </w:pPr>
    </w:lvl>
    <w:lvl w:ilvl="2" w:tplc="67F82B2C">
      <w:start w:val="1"/>
      <w:numFmt w:val="lowerRoman"/>
      <w:lvlText w:val="%3."/>
      <w:lvlJc w:val="right"/>
      <w:pPr>
        <w:ind w:left="1620" w:hanging="180"/>
      </w:pPr>
    </w:lvl>
    <w:lvl w:ilvl="3" w:tplc="AE14B232">
      <w:start w:val="1"/>
      <w:numFmt w:val="decimal"/>
      <w:lvlText w:val="%4."/>
      <w:lvlJc w:val="left"/>
      <w:pPr>
        <w:ind w:left="2340" w:hanging="360"/>
      </w:pPr>
    </w:lvl>
    <w:lvl w:ilvl="4" w:tplc="BB6EEF30">
      <w:start w:val="1"/>
      <w:numFmt w:val="lowerLetter"/>
      <w:lvlText w:val="%5."/>
      <w:lvlJc w:val="left"/>
      <w:pPr>
        <w:ind w:left="3060" w:hanging="360"/>
      </w:pPr>
    </w:lvl>
    <w:lvl w:ilvl="5" w:tplc="C950B0D2">
      <w:start w:val="1"/>
      <w:numFmt w:val="lowerRoman"/>
      <w:lvlText w:val="%6."/>
      <w:lvlJc w:val="right"/>
      <w:pPr>
        <w:ind w:left="3780" w:hanging="180"/>
      </w:pPr>
    </w:lvl>
    <w:lvl w:ilvl="6" w:tplc="17F2F060">
      <w:start w:val="1"/>
      <w:numFmt w:val="decimal"/>
      <w:lvlText w:val="%7."/>
      <w:lvlJc w:val="left"/>
      <w:pPr>
        <w:ind w:left="4500" w:hanging="360"/>
      </w:pPr>
    </w:lvl>
    <w:lvl w:ilvl="7" w:tplc="44945CA8">
      <w:start w:val="1"/>
      <w:numFmt w:val="lowerLetter"/>
      <w:lvlText w:val="%8."/>
      <w:lvlJc w:val="left"/>
      <w:pPr>
        <w:ind w:left="5220" w:hanging="360"/>
      </w:pPr>
    </w:lvl>
    <w:lvl w:ilvl="8" w:tplc="2CA6685A">
      <w:start w:val="1"/>
      <w:numFmt w:val="lowerRoman"/>
      <w:lvlText w:val="%9."/>
      <w:lvlJc w:val="right"/>
      <w:pPr>
        <w:ind w:left="5940" w:hanging="180"/>
      </w:pPr>
    </w:lvl>
  </w:abstractNum>
  <w:abstractNum w:abstractNumId="21" w15:restartNumberingAfterBreak="0">
    <w:nsid w:val="6FF26A16"/>
    <w:multiLevelType w:val="hybridMultilevel"/>
    <w:tmpl w:val="5D1A09D2"/>
    <w:lvl w:ilvl="0" w:tplc="397CA1B2">
      <w:numFmt w:val="bullet"/>
      <w:lvlText w:val=""/>
      <w:lvlJc w:val="left"/>
      <w:pPr>
        <w:ind w:left="720" w:hanging="360"/>
      </w:pPr>
      <w:rPr>
        <w:rFonts w:ascii="Symbol" w:hAnsi="Symbol"/>
      </w:rPr>
    </w:lvl>
    <w:lvl w:ilvl="1" w:tplc="D12895B6">
      <w:numFmt w:val="bullet"/>
      <w:lvlText w:val="o"/>
      <w:lvlJc w:val="left"/>
      <w:pPr>
        <w:ind w:left="1440" w:hanging="360"/>
      </w:pPr>
      <w:rPr>
        <w:rFonts w:ascii="Courier New" w:hAnsi="Courier New"/>
      </w:rPr>
    </w:lvl>
    <w:lvl w:ilvl="2" w:tplc="E2AEF038">
      <w:numFmt w:val="bullet"/>
      <w:lvlText w:val=""/>
      <w:lvlJc w:val="left"/>
      <w:pPr>
        <w:ind w:left="2160" w:hanging="360"/>
      </w:pPr>
      <w:rPr>
        <w:rFonts w:ascii="Wingdings" w:hAnsi="Wingdings"/>
      </w:rPr>
    </w:lvl>
    <w:lvl w:ilvl="3" w:tplc="3372FE90">
      <w:numFmt w:val="bullet"/>
      <w:lvlText w:val=""/>
      <w:lvlJc w:val="left"/>
      <w:pPr>
        <w:ind w:left="2880" w:hanging="360"/>
      </w:pPr>
      <w:rPr>
        <w:rFonts w:ascii="Symbol" w:hAnsi="Symbol"/>
      </w:rPr>
    </w:lvl>
    <w:lvl w:ilvl="4" w:tplc="964A396C">
      <w:numFmt w:val="bullet"/>
      <w:lvlText w:val="o"/>
      <w:lvlJc w:val="left"/>
      <w:pPr>
        <w:ind w:left="3600" w:hanging="360"/>
      </w:pPr>
      <w:rPr>
        <w:rFonts w:ascii="Courier New" w:hAnsi="Courier New"/>
      </w:rPr>
    </w:lvl>
    <w:lvl w:ilvl="5" w:tplc="6E981D54">
      <w:numFmt w:val="bullet"/>
      <w:lvlText w:val=""/>
      <w:lvlJc w:val="left"/>
      <w:pPr>
        <w:ind w:left="4320" w:hanging="360"/>
      </w:pPr>
      <w:rPr>
        <w:rFonts w:ascii="Wingdings" w:hAnsi="Wingdings"/>
      </w:rPr>
    </w:lvl>
    <w:lvl w:ilvl="6" w:tplc="9D36CF92">
      <w:numFmt w:val="bullet"/>
      <w:lvlText w:val=""/>
      <w:lvlJc w:val="left"/>
      <w:pPr>
        <w:ind w:left="5040" w:hanging="360"/>
      </w:pPr>
      <w:rPr>
        <w:rFonts w:ascii="Symbol" w:hAnsi="Symbol"/>
      </w:rPr>
    </w:lvl>
    <w:lvl w:ilvl="7" w:tplc="D03E6ABC">
      <w:numFmt w:val="bullet"/>
      <w:lvlText w:val="o"/>
      <w:lvlJc w:val="left"/>
      <w:pPr>
        <w:ind w:left="5760" w:hanging="360"/>
      </w:pPr>
      <w:rPr>
        <w:rFonts w:ascii="Courier New" w:hAnsi="Courier New"/>
      </w:rPr>
    </w:lvl>
    <w:lvl w:ilvl="8" w:tplc="0AD87928">
      <w:numFmt w:val="bullet"/>
      <w:lvlText w:val=""/>
      <w:lvlJc w:val="left"/>
      <w:pPr>
        <w:ind w:left="6480" w:hanging="360"/>
      </w:pPr>
      <w:rPr>
        <w:rFonts w:ascii="Wingdings" w:hAnsi="Wingdings"/>
      </w:rPr>
    </w:lvl>
  </w:abstractNum>
  <w:abstractNum w:abstractNumId="22" w15:restartNumberingAfterBreak="0">
    <w:nsid w:val="702932E1"/>
    <w:multiLevelType w:val="hybridMultilevel"/>
    <w:tmpl w:val="30C43A62"/>
    <w:lvl w:ilvl="0" w:tplc="3050BA58">
      <w:numFmt w:val="bullet"/>
      <w:lvlText w:val=""/>
      <w:lvlJc w:val="left"/>
      <w:pPr>
        <w:ind w:left="720" w:hanging="360"/>
      </w:pPr>
      <w:rPr>
        <w:rFonts w:ascii="Symbol" w:hAnsi="Symbol"/>
      </w:rPr>
    </w:lvl>
    <w:lvl w:ilvl="1" w:tplc="47087B9E">
      <w:numFmt w:val="bullet"/>
      <w:lvlText w:val="o"/>
      <w:lvlJc w:val="left"/>
      <w:pPr>
        <w:ind w:left="1440" w:hanging="360"/>
      </w:pPr>
      <w:rPr>
        <w:rFonts w:ascii="Courier New" w:hAnsi="Courier New"/>
      </w:rPr>
    </w:lvl>
    <w:lvl w:ilvl="2" w:tplc="C1DA4724">
      <w:numFmt w:val="bullet"/>
      <w:lvlText w:val=""/>
      <w:lvlJc w:val="left"/>
      <w:pPr>
        <w:ind w:left="2160" w:hanging="360"/>
      </w:pPr>
      <w:rPr>
        <w:rFonts w:ascii="Wingdings" w:hAnsi="Wingdings"/>
      </w:rPr>
    </w:lvl>
    <w:lvl w:ilvl="3" w:tplc="9D262FE2">
      <w:numFmt w:val="bullet"/>
      <w:lvlText w:val=""/>
      <w:lvlJc w:val="left"/>
      <w:pPr>
        <w:ind w:left="2880" w:hanging="360"/>
      </w:pPr>
      <w:rPr>
        <w:rFonts w:ascii="Symbol" w:hAnsi="Symbol"/>
      </w:rPr>
    </w:lvl>
    <w:lvl w:ilvl="4" w:tplc="67E09508">
      <w:numFmt w:val="bullet"/>
      <w:lvlText w:val="o"/>
      <w:lvlJc w:val="left"/>
      <w:pPr>
        <w:ind w:left="3600" w:hanging="360"/>
      </w:pPr>
      <w:rPr>
        <w:rFonts w:ascii="Courier New" w:hAnsi="Courier New"/>
      </w:rPr>
    </w:lvl>
    <w:lvl w:ilvl="5" w:tplc="DEE47222">
      <w:numFmt w:val="bullet"/>
      <w:lvlText w:val=""/>
      <w:lvlJc w:val="left"/>
      <w:pPr>
        <w:ind w:left="4320" w:hanging="360"/>
      </w:pPr>
      <w:rPr>
        <w:rFonts w:ascii="Wingdings" w:hAnsi="Wingdings"/>
      </w:rPr>
    </w:lvl>
    <w:lvl w:ilvl="6" w:tplc="DFBCD830">
      <w:numFmt w:val="bullet"/>
      <w:lvlText w:val=""/>
      <w:lvlJc w:val="left"/>
      <w:pPr>
        <w:ind w:left="5040" w:hanging="360"/>
      </w:pPr>
      <w:rPr>
        <w:rFonts w:ascii="Symbol" w:hAnsi="Symbol"/>
      </w:rPr>
    </w:lvl>
    <w:lvl w:ilvl="7" w:tplc="63F41A9C">
      <w:numFmt w:val="bullet"/>
      <w:lvlText w:val="o"/>
      <w:lvlJc w:val="left"/>
      <w:pPr>
        <w:ind w:left="5760" w:hanging="360"/>
      </w:pPr>
      <w:rPr>
        <w:rFonts w:ascii="Courier New" w:hAnsi="Courier New"/>
      </w:rPr>
    </w:lvl>
    <w:lvl w:ilvl="8" w:tplc="12B4DE8C">
      <w:numFmt w:val="bullet"/>
      <w:lvlText w:val=""/>
      <w:lvlJc w:val="left"/>
      <w:pPr>
        <w:ind w:left="6480" w:hanging="360"/>
      </w:pPr>
      <w:rPr>
        <w:rFonts w:ascii="Wingdings" w:hAnsi="Wingdings"/>
      </w:rPr>
    </w:lvl>
  </w:abstractNum>
  <w:abstractNum w:abstractNumId="23" w15:restartNumberingAfterBreak="0">
    <w:nsid w:val="704963DE"/>
    <w:multiLevelType w:val="hybridMultilevel"/>
    <w:tmpl w:val="1750B39C"/>
    <w:lvl w:ilvl="0" w:tplc="E6CCC192">
      <w:numFmt w:val="bullet"/>
      <w:lvlText w:val=""/>
      <w:lvlJc w:val="left"/>
      <w:pPr>
        <w:ind w:left="1080" w:hanging="360"/>
      </w:pPr>
      <w:rPr>
        <w:rFonts w:ascii="Symbol" w:hAnsi="Symbol"/>
      </w:rPr>
    </w:lvl>
    <w:lvl w:ilvl="1" w:tplc="AC8AB896">
      <w:numFmt w:val="bullet"/>
      <w:lvlText w:val="o"/>
      <w:lvlJc w:val="left"/>
      <w:pPr>
        <w:ind w:left="1800" w:hanging="360"/>
      </w:pPr>
      <w:rPr>
        <w:rFonts w:ascii="Courier New" w:hAnsi="Courier New"/>
      </w:rPr>
    </w:lvl>
    <w:lvl w:ilvl="2" w:tplc="ED324F32">
      <w:numFmt w:val="bullet"/>
      <w:lvlText w:val=""/>
      <w:lvlJc w:val="left"/>
      <w:pPr>
        <w:ind w:left="2520" w:hanging="360"/>
      </w:pPr>
      <w:rPr>
        <w:rFonts w:ascii="Wingdings" w:hAnsi="Wingdings"/>
      </w:rPr>
    </w:lvl>
    <w:lvl w:ilvl="3" w:tplc="A48071FA">
      <w:numFmt w:val="bullet"/>
      <w:lvlText w:val=""/>
      <w:lvlJc w:val="left"/>
      <w:pPr>
        <w:ind w:left="3240" w:hanging="360"/>
      </w:pPr>
      <w:rPr>
        <w:rFonts w:ascii="Symbol" w:hAnsi="Symbol"/>
      </w:rPr>
    </w:lvl>
    <w:lvl w:ilvl="4" w:tplc="0906A5F2">
      <w:numFmt w:val="bullet"/>
      <w:lvlText w:val="o"/>
      <w:lvlJc w:val="left"/>
      <w:pPr>
        <w:ind w:left="3960" w:hanging="360"/>
      </w:pPr>
      <w:rPr>
        <w:rFonts w:ascii="Courier New" w:hAnsi="Courier New"/>
      </w:rPr>
    </w:lvl>
    <w:lvl w:ilvl="5" w:tplc="E6F49BDA">
      <w:numFmt w:val="bullet"/>
      <w:lvlText w:val=""/>
      <w:lvlJc w:val="left"/>
      <w:pPr>
        <w:ind w:left="4680" w:hanging="360"/>
      </w:pPr>
      <w:rPr>
        <w:rFonts w:ascii="Wingdings" w:hAnsi="Wingdings"/>
      </w:rPr>
    </w:lvl>
    <w:lvl w:ilvl="6" w:tplc="6F78C2AC">
      <w:numFmt w:val="bullet"/>
      <w:lvlText w:val=""/>
      <w:lvlJc w:val="left"/>
      <w:pPr>
        <w:ind w:left="5400" w:hanging="360"/>
      </w:pPr>
      <w:rPr>
        <w:rFonts w:ascii="Symbol" w:hAnsi="Symbol"/>
      </w:rPr>
    </w:lvl>
    <w:lvl w:ilvl="7" w:tplc="DBE2FA84">
      <w:numFmt w:val="bullet"/>
      <w:lvlText w:val="o"/>
      <w:lvlJc w:val="left"/>
      <w:pPr>
        <w:ind w:left="6120" w:hanging="360"/>
      </w:pPr>
      <w:rPr>
        <w:rFonts w:ascii="Courier New" w:hAnsi="Courier New"/>
      </w:rPr>
    </w:lvl>
    <w:lvl w:ilvl="8" w:tplc="4E209EEE">
      <w:numFmt w:val="bullet"/>
      <w:lvlText w:val=""/>
      <w:lvlJc w:val="left"/>
      <w:pPr>
        <w:ind w:left="6840" w:hanging="360"/>
      </w:pPr>
      <w:rPr>
        <w:rFonts w:ascii="Wingdings" w:hAnsi="Wingdings"/>
      </w:rPr>
    </w:lvl>
  </w:abstractNum>
  <w:abstractNum w:abstractNumId="24" w15:restartNumberingAfterBreak="0">
    <w:nsid w:val="7F7E5BA9"/>
    <w:multiLevelType w:val="hybridMultilevel"/>
    <w:tmpl w:val="6C080692"/>
    <w:lvl w:ilvl="0" w:tplc="4948A51A">
      <w:numFmt w:val="bullet"/>
      <w:lvlText w:val="*"/>
      <w:lvlJc w:val="left"/>
      <w:pPr>
        <w:ind w:left="540" w:hanging="360"/>
      </w:pPr>
      <w:rPr>
        <w:rFonts w:ascii="Albertus" w:hAnsi="Albertus"/>
      </w:rPr>
    </w:lvl>
    <w:lvl w:ilvl="1" w:tplc="75909C9A">
      <w:numFmt w:val="bullet"/>
      <w:lvlText w:val="o"/>
      <w:lvlJc w:val="left"/>
      <w:pPr>
        <w:ind w:left="1440" w:hanging="360"/>
      </w:pPr>
      <w:rPr>
        <w:rFonts w:ascii="Courier New" w:hAnsi="Courier New"/>
      </w:rPr>
    </w:lvl>
    <w:lvl w:ilvl="2" w:tplc="6F70A54E">
      <w:numFmt w:val="bullet"/>
      <w:lvlText w:val=""/>
      <w:lvlJc w:val="left"/>
      <w:pPr>
        <w:ind w:left="2160" w:hanging="360"/>
      </w:pPr>
      <w:rPr>
        <w:rFonts w:ascii="Wingdings" w:hAnsi="Wingdings"/>
      </w:rPr>
    </w:lvl>
    <w:lvl w:ilvl="3" w:tplc="51B60D74">
      <w:numFmt w:val="bullet"/>
      <w:lvlText w:val=""/>
      <w:lvlJc w:val="left"/>
      <w:pPr>
        <w:ind w:left="2880" w:hanging="360"/>
      </w:pPr>
      <w:rPr>
        <w:rFonts w:ascii="Symbol" w:hAnsi="Symbol"/>
      </w:rPr>
    </w:lvl>
    <w:lvl w:ilvl="4" w:tplc="6DA01A66">
      <w:numFmt w:val="bullet"/>
      <w:lvlText w:val="o"/>
      <w:lvlJc w:val="left"/>
      <w:pPr>
        <w:ind w:left="3600" w:hanging="360"/>
      </w:pPr>
      <w:rPr>
        <w:rFonts w:ascii="Courier New" w:hAnsi="Courier New"/>
      </w:rPr>
    </w:lvl>
    <w:lvl w:ilvl="5" w:tplc="FA6C9C10">
      <w:numFmt w:val="bullet"/>
      <w:lvlText w:val=""/>
      <w:lvlJc w:val="left"/>
      <w:pPr>
        <w:ind w:left="4320" w:hanging="360"/>
      </w:pPr>
      <w:rPr>
        <w:rFonts w:ascii="Wingdings" w:hAnsi="Wingdings"/>
      </w:rPr>
    </w:lvl>
    <w:lvl w:ilvl="6" w:tplc="90221010">
      <w:numFmt w:val="bullet"/>
      <w:lvlText w:val=""/>
      <w:lvlJc w:val="left"/>
      <w:pPr>
        <w:ind w:left="5040" w:hanging="360"/>
      </w:pPr>
      <w:rPr>
        <w:rFonts w:ascii="Symbol" w:hAnsi="Symbol"/>
      </w:rPr>
    </w:lvl>
    <w:lvl w:ilvl="7" w:tplc="7BC0E122">
      <w:numFmt w:val="bullet"/>
      <w:lvlText w:val="o"/>
      <w:lvlJc w:val="left"/>
      <w:pPr>
        <w:ind w:left="5760" w:hanging="360"/>
      </w:pPr>
      <w:rPr>
        <w:rFonts w:ascii="Courier New" w:hAnsi="Courier New"/>
      </w:rPr>
    </w:lvl>
    <w:lvl w:ilvl="8" w:tplc="957AE5CC">
      <w:numFmt w:val="bullet"/>
      <w:lvlText w:val=""/>
      <w:lvlJc w:val="left"/>
      <w:pPr>
        <w:ind w:left="6480" w:hanging="360"/>
      </w:pPr>
      <w:rPr>
        <w:rFonts w:ascii="Wingdings" w:hAnsi="Wingdings"/>
      </w:rPr>
    </w:lvl>
  </w:abstractNum>
  <w:num w:numId="1" w16cid:durableId="1694114743">
    <w:abstractNumId w:val="4"/>
  </w:num>
  <w:num w:numId="2" w16cid:durableId="1213418322">
    <w:abstractNumId w:val="21"/>
  </w:num>
  <w:num w:numId="3" w16cid:durableId="1011107190">
    <w:abstractNumId w:val="16"/>
  </w:num>
  <w:num w:numId="4" w16cid:durableId="1425374588">
    <w:abstractNumId w:val="7"/>
  </w:num>
  <w:num w:numId="5" w16cid:durableId="1281567225">
    <w:abstractNumId w:val="22"/>
  </w:num>
  <w:num w:numId="6" w16cid:durableId="1650551874">
    <w:abstractNumId w:val="6"/>
  </w:num>
  <w:num w:numId="7" w16cid:durableId="1312370468">
    <w:abstractNumId w:val="1"/>
  </w:num>
  <w:num w:numId="8" w16cid:durableId="885722296">
    <w:abstractNumId w:val="3"/>
  </w:num>
  <w:num w:numId="9" w16cid:durableId="1649089524">
    <w:abstractNumId w:val="17"/>
  </w:num>
  <w:num w:numId="10" w16cid:durableId="532038192">
    <w:abstractNumId w:val="20"/>
  </w:num>
  <w:num w:numId="11" w16cid:durableId="119034260">
    <w:abstractNumId w:val="5"/>
  </w:num>
  <w:num w:numId="12" w16cid:durableId="329187699">
    <w:abstractNumId w:val="11"/>
  </w:num>
  <w:num w:numId="13" w16cid:durableId="1801997873">
    <w:abstractNumId w:val="13"/>
  </w:num>
  <w:num w:numId="14" w16cid:durableId="1146167032">
    <w:abstractNumId w:val="2"/>
  </w:num>
  <w:num w:numId="15" w16cid:durableId="139855782">
    <w:abstractNumId w:val="12"/>
  </w:num>
  <w:num w:numId="16" w16cid:durableId="244608458">
    <w:abstractNumId w:val="10"/>
  </w:num>
  <w:num w:numId="17" w16cid:durableId="608900410">
    <w:abstractNumId w:val="0"/>
  </w:num>
  <w:num w:numId="18" w16cid:durableId="1500852756">
    <w:abstractNumId w:val="23"/>
  </w:num>
  <w:num w:numId="19" w16cid:durableId="1925918769">
    <w:abstractNumId w:val="24"/>
  </w:num>
  <w:num w:numId="20" w16cid:durableId="659503246">
    <w:abstractNumId w:val="14"/>
  </w:num>
  <w:num w:numId="21" w16cid:durableId="606473625">
    <w:abstractNumId w:val="18"/>
  </w:num>
  <w:num w:numId="22" w16cid:durableId="1420326929">
    <w:abstractNumId w:val="19"/>
  </w:num>
  <w:num w:numId="23" w16cid:durableId="53049343">
    <w:abstractNumId w:val="8"/>
  </w:num>
  <w:num w:numId="24" w16cid:durableId="1424496341">
    <w:abstractNumId w:val="9"/>
  </w:num>
  <w:num w:numId="25" w16cid:durableId="13015007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563C"/>
    <w:rsid w:val="00010185"/>
    <w:rsid w:val="00010F20"/>
    <w:rsid w:val="00021CFB"/>
    <w:rsid w:val="000228BE"/>
    <w:rsid w:val="00031E14"/>
    <w:rsid w:val="00032BC1"/>
    <w:rsid w:val="00032C35"/>
    <w:rsid w:val="00033753"/>
    <w:rsid w:val="00045710"/>
    <w:rsid w:val="00053C8D"/>
    <w:rsid w:val="00062A91"/>
    <w:rsid w:val="00065B7B"/>
    <w:rsid w:val="000702F0"/>
    <w:rsid w:val="00087727"/>
    <w:rsid w:val="00093B9F"/>
    <w:rsid w:val="000A2603"/>
    <w:rsid w:val="000A4986"/>
    <w:rsid w:val="000A57E9"/>
    <w:rsid w:val="000A5B72"/>
    <w:rsid w:val="000B55B4"/>
    <w:rsid w:val="000C29B6"/>
    <w:rsid w:val="000C31C0"/>
    <w:rsid w:val="000C474D"/>
    <w:rsid w:val="000C51AF"/>
    <w:rsid w:val="000D41FF"/>
    <w:rsid w:val="000D76E5"/>
    <w:rsid w:val="000D77FD"/>
    <w:rsid w:val="000E1B21"/>
    <w:rsid w:val="000E3B65"/>
    <w:rsid w:val="000E48CB"/>
    <w:rsid w:val="000E5099"/>
    <w:rsid w:val="000E689C"/>
    <w:rsid w:val="000E7D25"/>
    <w:rsid w:val="000F1FD9"/>
    <w:rsid w:val="000F52F7"/>
    <w:rsid w:val="000F72E1"/>
    <w:rsid w:val="0011235A"/>
    <w:rsid w:val="0011501F"/>
    <w:rsid w:val="00143952"/>
    <w:rsid w:val="00143A9B"/>
    <w:rsid w:val="0014742C"/>
    <w:rsid w:val="00151829"/>
    <w:rsid w:val="00160A18"/>
    <w:rsid w:val="00161E61"/>
    <w:rsid w:val="00162411"/>
    <w:rsid w:val="00163791"/>
    <w:rsid w:val="00170916"/>
    <w:rsid w:val="001823F4"/>
    <w:rsid w:val="0018283E"/>
    <w:rsid w:val="001936FC"/>
    <w:rsid w:val="00195A8F"/>
    <w:rsid w:val="00197AAE"/>
    <w:rsid w:val="001B1179"/>
    <w:rsid w:val="001B3FD5"/>
    <w:rsid w:val="001D0EBB"/>
    <w:rsid w:val="001D429E"/>
    <w:rsid w:val="001D42CB"/>
    <w:rsid w:val="001D5F28"/>
    <w:rsid w:val="001F0254"/>
    <w:rsid w:val="001F56DB"/>
    <w:rsid w:val="00211698"/>
    <w:rsid w:val="00211C08"/>
    <w:rsid w:val="002562D6"/>
    <w:rsid w:val="00266315"/>
    <w:rsid w:val="00274682"/>
    <w:rsid w:val="0027534D"/>
    <w:rsid w:val="002835C0"/>
    <w:rsid w:val="002A4A7B"/>
    <w:rsid w:val="002C124C"/>
    <w:rsid w:val="002C36BA"/>
    <w:rsid w:val="002D2CAE"/>
    <w:rsid w:val="002D6B60"/>
    <w:rsid w:val="002E7DF1"/>
    <w:rsid w:val="002F4731"/>
    <w:rsid w:val="003036FD"/>
    <w:rsid w:val="003042A3"/>
    <w:rsid w:val="0031645F"/>
    <w:rsid w:val="003166F6"/>
    <w:rsid w:val="00337367"/>
    <w:rsid w:val="00347713"/>
    <w:rsid w:val="00347F63"/>
    <w:rsid w:val="003736EF"/>
    <w:rsid w:val="003770F0"/>
    <w:rsid w:val="00392FF4"/>
    <w:rsid w:val="003B4608"/>
    <w:rsid w:val="003C35C7"/>
    <w:rsid w:val="003D05D8"/>
    <w:rsid w:val="003D397F"/>
    <w:rsid w:val="003D5246"/>
    <w:rsid w:val="003E1E8D"/>
    <w:rsid w:val="003E2747"/>
    <w:rsid w:val="003E6140"/>
    <w:rsid w:val="00423760"/>
    <w:rsid w:val="004335AA"/>
    <w:rsid w:val="00452E6A"/>
    <w:rsid w:val="00462195"/>
    <w:rsid w:val="00464B54"/>
    <w:rsid w:val="0049119D"/>
    <w:rsid w:val="0049280B"/>
    <w:rsid w:val="004A25A3"/>
    <w:rsid w:val="004A39B3"/>
    <w:rsid w:val="004A45C4"/>
    <w:rsid w:val="004C777E"/>
    <w:rsid w:val="004D5E7C"/>
    <w:rsid w:val="004D6789"/>
    <w:rsid w:val="004D6C4A"/>
    <w:rsid w:val="004E44F2"/>
    <w:rsid w:val="004E7540"/>
    <w:rsid w:val="004F01CD"/>
    <w:rsid w:val="00503108"/>
    <w:rsid w:val="0050563C"/>
    <w:rsid w:val="00511D5D"/>
    <w:rsid w:val="005231DB"/>
    <w:rsid w:val="00526D66"/>
    <w:rsid w:val="00531FEC"/>
    <w:rsid w:val="005418AA"/>
    <w:rsid w:val="00545248"/>
    <w:rsid w:val="005473F9"/>
    <w:rsid w:val="00552CF6"/>
    <w:rsid w:val="00563314"/>
    <w:rsid w:val="00566165"/>
    <w:rsid w:val="00570EE5"/>
    <w:rsid w:val="00574A6D"/>
    <w:rsid w:val="00575298"/>
    <w:rsid w:val="005770EC"/>
    <w:rsid w:val="0058002F"/>
    <w:rsid w:val="005871DA"/>
    <w:rsid w:val="005875FA"/>
    <w:rsid w:val="00587C4A"/>
    <w:rsid w:val="005930E2"/>
    <w:rsid w:val="00593244"/>
    <w:rsid w:val="00597182"/>
    <w:rsid w:val="005B328E"/>
    <w:rsid w:val="005B33B4"/>
    <w:rsid w:val="005E0B15"/>
    <w:rsid w:val="005E2A90"/>
    <w:rsid w:val="005E713E"/>
    <w:rsid w:val="005F422A"/>
    <w:rsid w:val="005F4576"/>
    <w:rsid w:val="005F58B7"/>
    <w:rsid w:val="005F75F9"/>
    <w:rsid w:val="00602E56"/>
    <w:rsid w:val="0060399E"/>
    <w:rsid w:val="00617C18"/>
    <w:rsid w:val="00625A60"/>
    <w:rsid w:val="006317E4"/>
    <w:rsid w:val="00631E9B"/>
    <w:rsid w:val="00632469"/>
    <w:rsid w:val="00634415"/>
    <w:rsid w:val="00644EDE"/>
    <w:rsid w:val="00647299"/>
    <w:rsid w:val="00647F8D"/>
    <w:rsid w:val="00664C72"/>
    <w:rsid w:val="00667AC2"/>
    <w:rsid w:val="00680A15"/>
    <w:rsid w:val="00693D42"/>
    <w:rsid w:val="006B26B5"/>
    <w:rsid w:val="006C0187"/>
    <w:rsid w:val="006C4C62"/>
    <w:rsid w:val="006F217B"/>
    <w:rsid w:val="007152DE"/>
    <w:rsid w:val="00725F1F"/>
    <w:rsid w:val="007323CB"/>
    <w:rsid w:val="007326FB"/>
    <w:rsid w:val="0073373B"/>
    <w:rsid w:val="00741CB5"/>
    <w:rsid w:val="0074375E"/>
    <w:rsid w:val="00745BD4"/>
    <w:rsid w:val="00755CD0"/>
    <w:rsid w:val="00766EB2"/>
    <w:rsid w:val="00771879"/>
    <w:rsid w:val="00773425"/>
    <w:rsid w:val="007A43E3"/>
    <w:rsid w:val="007B4035"/>
    <w:rsid w:val="007E1E97"/>
    <w:rsid w:val="007E34AB"/>
    <w:rsid w:val="007F04AF"/>
    <w:rsid w:val="00807FE4"/>
    <w:rsid w:val="0081653B"/>
    <w:rsid w:val="00816743"/>
    <w:rsid w:val="00824485"/>
    <w:rsid w:val="0083394A"/>
    <w:rsid w:val="00843007"/>
    <w:rsid w:val="0085359A"/>
    <w:rsid w:val="00857E91"/>
    <w:rsid w:val="008645C7"/>
    <w:rsid w:val="0086511E"/>
    <w:rsid w:val="00865D9D"/>
    <w:rsid w:val="008778D8"/>
    <w:rsid w:val="00885B67"/>
    <w:rsid w:val="008863FF"/>
    <w:rsid w:val="0089059D"/>
    <w:rsid w:val="008B1BCC"/>
    <w:rsid w:val="008B36D7"/>
    <w:rsid w:val="008C3BE7"/>
    <w:rsid w:val="008C4235"/>
    <w:rsid w:val="008F24F9"/>
    <w:rsid w:val="008F36E4"/>
    <w:rsid w:val="008F5707"/>
    <w:rsid w:val="009042CA"/>
    <w:rsid w:val="009178CD"/>
    <w:rsid w:val="009269E5"/>
    <w:rsid w:val="00934A7B"/>
    <w:rsid w:val="009361B5"/>
    <w:rsid w:val="00941774"/>
    <w:rsid w:val="00945B63"/>
    <w:rsid w:val="0096737E"/>
    <w:rsid w:val="0097302F"/>
    <w:rsid w:val="00973BA8"/>
    <w:rsid w:val="009850C7"/>
    <w:rsid w:val="00994E1E"/>
    <w:rsid w:val="009A104A"/>
    <w:rsid w:val="009A1CC1"/>
    <w:rsid w:val="009A1F47"/>
    <w:rsid w:val="009A31AA"/>
    <w:rsid w:val="009A5403"/>
    <w:rsid w:val="009B0A98"/>
    <w:rsid w:val="009B6580"/>
    <w:rsid w:val="009F505A"/>
    <w:rsid w:val="00A06FC6"/>
    <w:rsid w:val="00A11F1A"/>
    <w:rsid w:val="00A16662"/>
    <w:rsid w:val="00A25D9D"/>
    <w:rsid w:val="00A27B2D"/>
    <w:rsid w:val="00A40CD5"/>
    <w:rsid w:val="00A45AB3"/>
    <w:rsid w:val="00A51712"/>
    <w:rsid w:val="00A52D51"/>
    <w:rsid w:val="00A54C0E"/>
    <w:rsid w:val="00A63E8C"/>
    <w:rsid w:val="00A66695"/>
    <w:rsid w:val="00A719D2"/>
    <w:rsid w:val="00A734A5"/>
    <w:rsid w:val="00A86CF6"/>
    <w:rsid w:val="00A929AB"/>
    <w:rsid w:val="00AA05D3"/>
    <w:rsid w:val="00AA0D36"/>
    <w:rsid w:val="00AB28AC"/>
    <w:rsid w:val="00AB32D7"/>
    <w:rsid w:val="00AB34D3"/>
    <w:rsid w:val="00AB4DB9"/>
    <w:rsid w:val="00AC032D"/>
    <w:rsid w:val="00AC6502"/>
    <w:rsid w:val="00AD0F05"/>
    <w:rsid w:val="00AD197E"/>
    <w:rsid w:val="00AE624D"/>
    <w:rsid w:val="00AF2720"/>
    <w:rsid w:val="00B15C6A"/>
    <w:rsid w:val="00B23165"/>
    <w:rsid w:val="00B51E4B"/>
    <w:rsid w:val="00B5204D"/>
    <w:rsid w:val="00B54D10"/>
    <w:rsid w:val="00B63FB0"/>
    <w:rsid w:val="00B708C4"/>
    <w:rsid w:val="00B72FB8"/>
    <w:rsid w:val="00B81D53"/>
    <w:rsid w:val="00B831DE"/>
    <w:rsid w:val="00B8370D"/>
    <w:rsid w:val="00B8755B"/>
    <w:rsid w:val="00BA2F78"/>
    <w:rsid w:val="00BB5C66"/>
    <w:rsid w:val="00BB7C75"/>
    <w:rsid w:val="00BD6B2C"/>
    <w:rsid w:val="00BD771C"/>
    <w:rsid w:val="00BE1FDF"/>
    <w:rsid w:val="00BF1367"/>
    <w:rsid w:val="00BF1A30"/>
    <w:rsid w:val="00BF35C7"/>
    <w:rsid w:val="00BF5261"/>
    <w:rsid w:val="00BF7D9A"/>
    <w:rsid w:val="00C06D23"/>
    <w:rsid w:val="00C16736"/>
    <w:rsid w:val="00C1739C"/>
    <w:rsid w:val="00C17744"/>
    <w:rsid w:val="00C22ABB"/>
    <w:rsid w:val="00C22C52"/>
    <w:rsid w:val="00C26510"/>
    <w:rsid w:val="00C5072D"/>
    <w:rsid w:val="00C50817"/>
    <w:rsid w:val="00C55D6C"/>
    <w:rsid w:val="00C63FED"/>
    <w:rsid w:val="00C643A2"/>
    <w:rsid w:val="00C64A6D"/>
    <w:rsid w:val="00C708AC"/>
    <w:rsid w:val="00CB342E"/>
    <w:rsid w:val="00CD1C3E"/>
    <w:rsid w:val="00CF3AE2"/>
    <w:rsid w:val="00CF5047"/>
    <w:rsid w:val="00CF6350"/>
    <w:rsid w:val="00CF64B8"/>
    <w:rsid w:val="00D02A4B"/>
    <w:rsid w:val="00D02EB1"/>
    <w:rsid w:val="00D12B32"/>
    <w:rsid w:val="00D12B98"/>
    <w:rsid w:val="00D15CC5"/>
    <w:rsid w:val="00D16D6D"/>
    <w:rsid w:val="00D16F68"/>
    <w:rsid w:val="00D26E09"/>
    <w:rsid w:val="00D354B8"/>
    <w:rsid w:val="00D37EDE"/>
    <w:rsid w:val="00D4362E"/>
    <w:rsid w:val="00D457BB"/>
    <w:rsid w:val="00D45E79"/>
    <w:rsid w:val="00D73D14"/>
    <w:rsid w:val="00D865A3"/>
    <w:rsid w:val="00D924FD"/>
    <w:rsid w:val="00D96EE2"/>
    <w:rsid w:val="00DA2200"/>
    <w:rsid w:val="00DC14C4"/>
    <w:rsid w:val="00DC3460"/>
    <w:rsid w:val="00DD13E5"/>
    <w:rsid w:val="00DD1987"/>
    <w:rsid w:val="00DF18DE"/>
    <w:rsid w:val="00DF5404"/>
    <w:rsid w:val="00DF7AF6"/>
    <w:rsid w:val="00E13E9A"/>
    <w:rsid w:val="00E24BAA"/>
    <w:rsid w:val="00E312EA"/>
    <w:rsid w:val="00E43A04"/>
    <w:rsid w:val="00E5366E"/>
    <w:rsid w:val="00E5527D"/>
    <w:rsid w:val="00E60653"/>
    <w:rsid w:val="00E6318F"/>
    <w:rsid w:val="00E670CA"/>
    <w:rsid w:val="00E702D1"/>
    <w:rsid w:val="00E8626C"/>
    <w:rsid w:val="00EA1765"/>
    <w:rsid w:val="00EB58DB"/>
    <w:rsid w:val="00EC2D0B"/>
    <w:rsid w:val="00EC378F"/>
    <w:rsid w:val="00EC7106"/>
    <w:rsid w:val="00ED12ED"/>
    <w:rsid w:val="00ED4B26"/>
    <w:rsid w:val="00ED5BAA"/>
    <w:rsid w:val="00EE0DD5"/>
    <w:rsid w:val="00EE2382"/>
    <w:rsid w:val="00EE6A49"/>
    <w:rsid w:val="00EF0768"/>
    <w:rsid w:val="00EF2237"/>
    <w:rsid w:val="00EF2CD9"/>
    <w:rsid w:val="00EF48A9"/>
    <w:rsid w:val="00EF71C4"/>
    <w:rsid w:val="00EF7CC5"/>
    <w:rsid w:val="00F01752"/>
    <w:rsid w:val="00F06905"/>
    <w:rsid w:val="00F07E5C"/>
    <w:rsid w:val="00F10F23"/>
    <w:rsid w:val="00F36D84"/>
    <w:rsid w:val="00F4252F"/>
    <w:rsid w:val="00F4454F"/>
    <w:rsid w:val="00F45AF3"/>
    <w:rsid w:val="00F45DA4"/>
    <w:rsid w:val="00F460A9"/>
    <w:rsid w:val="00F463AD"/>
    <w:rsid w:val="00F60881"/>
    <w:rsid w:val="00F73599"/>
    <w:rsid w:val="00F7488D"/>
    <w:rsid w:val="00F82015"/>
    <w:rsid w:val="00F8268B"/>
    <w:rsid w:val="00F92149"/>
    <w:rsid w:val="00F948BE"/>
    <w:rsid w:val="00F96172"/>
    <w:rsid w:val="00FB36CA"/>
    <w:rsid w:val="00FB4E24"/>
    <w:rsid w:val="00FB7923"/>
    <w:rsid w:val="00FC4F51"/>
    <w:rsid w:val="00FD2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CC7D3"/>
  <w15:docId w15:val="{CF8B7261-C7A6-44E6-977E-B76B918F7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qFormat/>
    <w:pPr>
      <w:spacing w:before="240" w:after="60"/>
      <w:outlineLvl w:val="0"/>
    </w:pPr>
    <w:rPr>
      <w:rFonts w:ascii="Arial" w:hAnsi="Arial"/>
      <w:b/>
      <w:sz w:val="32"/>
      <w:szCs w:val="32"/>
    </w:rPr>
  </w:style>
  <w:style w:type="paragraph" w:styleId="Heading2">
    <w:name w:val="heading 2"/>
    <w:basedOn w:val="Normal"/>
    <w:qFormat/>
    <w:pPr>
      <w:spacing w:before="240" w:after="60"/>
      <w:outlineLvl w:val="1"/>
    </w:pPr>
    <w:rPr>
      <w:rFonts w:ascii="Arial" w:hAnsi="Arial"/>
      <w:b/>
      <w:i/>
      <w:sz w:val="28"/>
      <w:szCs w:val="28"/>
    </w:rPr>
  </w:style>
  <w:style w:type="paragraph" w:styleId="Heading3">
    <w:name w:val="heading 3"/>
    <w:basedOn w:val="Normal"/>
    <w:qFormat/>
    <w:pPr>
      <w:ind w:left="720"/>
      <w:jc w:val="both"/>
      <w:outlineLvl w:val="2"/>
    </w:pPr>
    <w:rPr>
      <w:rFonts w:ascii="Tahoma" w:hAnsi="Tahoma"/>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qFormat/>
    <w:pPr>
      <w:spacing w:after="0"/>
    </w:pPr>
    <w:rPr>
      <w:rFonts w:ascii="Georgia" w:hAnsi="Georgia"/>
      <w:color w:val="000000"/>
      <w:sz w:val="21"/>
      <w:szCs w:val="21"/>
    </w:rPr>
  </w:style>
  <w:style w:type="character" w:styleId="CommentReference">
    <w:name w:val="annotation reference"/>
    <w:qFormat/>
    <w:rPr>
      <w:sz w:val="16"/>
      <w:szCs w:val="16"/>
    </w:rPr>
  </w:style>
  <w:style w:type="paragraph" w:styleId="CommentText">
    <w:name w:val="annotation text"/>
    <w:basedOn w:val="Normal"/>
    <w:qFormat/>
    <w:rPr>
      <w:sz w:val="20"/>
      <w:szCs w:val="20"/>
    </w:rPr>
  </w:style>
  <w:style w:type="character" w:customStyle="1" w:styleId="CommentTextChar">
    <w:name w:val="Comment Text Char"/>
    <w:qFormat/>
  </w:style>
  <w:style w:type="paragraph" w:styleId="CommentSubject">
    <w:name w:val="annotation subject"/>
    <w:basedOn w:val="CommentText"/>
    <w:qFormat/>
    <w:rPr>
      <w:b/>
    </w:rPr>
  </w:style>
  <w:style w:type="character" w:customStyle="1" w:styleId="CommentSubjectChar">
    <w:name w:val="Comment Subject Char"/>
    <w:qFormat/>
    <w:rPr>
      <w:b/>
    </w:rPr>
  </w:style>
  <w:style w:type="paragraph" w:styleId="BalloonText">
    <w:name w:val="Balloon Text"/>
    <w:basedOn w:val="Normal"/>
    <w:qFormat/>
    <w:rPr>
      <w:rFonts w:ascii="Tahoma" w:hAnsi="Tahoma"/>
      <w:sz w:val="16"/>
      <w:szCs w:val="16"/>
    </w:rPr>
  </w:style>
  <w:style w:type="character" w:customStyle="1" w:styleId="BalloonTextChar">
    <w:name w:val="Balloon Text Char"/>
    <w:qFormat/>
    <w:rPr>
      <w:rFonts w:ascii="Tahoma" w:hAnsi="Tahoma"/>
      <w:sz w:val="16"/>
      <w:szCs w:val="16"/>
    </w:rPr>
  </w:style>
  <w:style w:type="paragraph" w:styleId="Header">
    <w:name w:val="header"/>
    <w:basedOn w:val="Normal"/>
    <w:uiPriority w:val="99"/>
    <w:qFormat/>
    <w:rPr>
      <w:rFonts w:ascii="Trebuchet MS" w:hAnsi="Trebuchet MS"/>
      <w:sz w:val="22"/>
      <w:szCs w:val="20"/>
    </w:rPr>
  </w:style>
  <w:style w:type="character" w:customStyle="1" w:styleId="HeaderChar">
    <w:name w:val="Header Char"/>
    <w:uiPriority w:val="99"/>
    <w:qFormat/>
    <w:rPr>
      <w:rFonts w:ascii="Trebuchet MS" w:hAnsi="Trebuchet MS"/>
      <w:sz w:val="22"/>
    </w:rPr>
  </w:style>
  <w:style w:type="paragraph" w:styleId="Footer">
    <w:name w:val="footer"/>
    <w:basedOn w:val="Normal"/>
    <w:qFormat/>
  </w:style>
  <w:style w:type="character" w:customStyle="1" w:styleId="FooterChar">
    <w:name w:val="Footer Char"/>
    <w:qFormat/>
    <w:rPr>
      <w:sz w:val="24"/>
      <w:szCs w:val="24"/>
    </w:rPr>
  </w:style>
  <w:style w:type="table" w:styleId="TableGrid">
    <w:name w:val="Table Grid"/>
    <w:basedOn w:val="TableNormal"/>
    <w:qFormat/>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character" w:styleId="PlaceholderText">
    <w:name w:val="Placeholder Text"/>
    <w:basedOn w:val="DefaultParagraphFont"/>
    <w:uiPriority w:val="99"/>
    <w:semiHidden/>
    <w:rsid w:val="00994E1E"/>
    <w:rPr>
      <w:color w:val="808080"/>
    </w:rPr>
  </w:style>
  <w:style w:type="paragraph" w:styleId="FootnoteText">
    <w:name w:val="footnote text"/>
    <w:basedOn w:val="Normal"/>
    <w:link w:val="FootnoteTextChar"/>
    <w:semiHidden/>
    <w:unhideWhenUsed/>
    <w:rsid w:val="004621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62195"/>
  </w:style>
  <w:style w:type="character" w:styleId="FootnoteReference">
    <w:name w:val="footnote reference"/>
    <w:basedOn w:val="DefaultParagraphFont"/>
    <w:semiHidden/>
    <w:unhideWhenUsed/>
    <w:rsid w:val="00462195"/>
    <w:rPr>
      <w:vertAlign w:val="superscript"/>
    </w:rPr>
  </w:style>
  <w:style w:type="paragraph" w:styleId="NoSpacing">
    <w:name w:val="No Spacing"/>
    <w:uiPriority w:val="1"/>
    <w:qFormat/>
    <w:rsid w:val="00F45AF3"/>
    <w:pPr>
      <w:spacing w:after="0" w:line="240" w:lineRule="auto"/>
    </w:pPr>
    <w:rPr>
      <w:sz w:val="24"/>
      <w:szCs w:val="24"/>
    </w:rPr>
  </w:style>
  <w:style w:type="character" w:styleId="Hyperlink">
    <w:name w:val="Hyperlink"/>
    <w:basedOn w:val="DefaultParagraphFont"/>
    <w:uiPriority w:val="99"/>
    <w:unhideWhenUsed/>
    <w:rsid w:val="009042CA"/>
    <w:rPr>
      <w:color w:val="0000FF" w:themeColor="hyperlink"/>
      <w:u w:val="single"/>
    </w:rPr>
  </w:style>
  <w:style w:type="character" w:styleId="UnresolvedMention">
    <w:name w:val="Unresolved Mention"/>
    <w:basedOn w:val="DefaultParagraphFont"/>
    <w:uiPriority w:val="99"/>
    <w:semiHidden/>
    <w:unhideWhenUsed/>
    <w:rsid w:val="009042CA"/>
    <w:rPr>
      <w:color w:val="605E5C"/>
      <w:shd w:val="clear" w:color="auto" w:fill="E1DFDD"/>
    </w:rPr>
  </w:style>
  <w:style w:type="paragraph" w:styleId="Caption">
    <w:name w:val="caption"/>
    <w:basedOn w:val="Normal"/>
    <w:next w:val="Normal"/>
    <w:uiPriority w:val="35"/>
    <w:unhideWhenUsed/>
    <w:qFormat/>
    <w:rsid w:val="00B72FB8"/>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62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1-4614-6141-8_173%3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558/jsa.30562%3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80/00665983.2016.1110781%3E" TargetMode="Externa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07/978-1-4614-6141-8_15%3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07/978-1-4614-6141-8_15%3E" TargetMode="External"/><Relationship Id="rId2" Type="http://schemas.openxmlformats.org/officeDocument/2006/relationships/hyperlink" Target="https://doi.org/10.1558/jsa.30562%3E" TargetMode="External"/><Relationship Id="rId1" Type="http://schemas.openxmlformats.org/officeDocument/2006/relationships/hyperlink" Target="https://doi.org/10.1007/978-1-4614-6141-8_173%3E" TargetMode="External"/><Relationship Id="rId4" Type="http://schemas.openxmlformats.org/officeDocument/2006/relationships/hyperlink" Target="https://doi.org/10.1080/00665983.2016.1110781%3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C889AC3A5643FBA2EC5068500C4E09"/>
        <w:category>
          <w:name w:val="General"/>
          <w:gallery w:val="placeholder"/>
        </w:category>
        <w:types>
          <w:type w:val="bbPlcHdr"/>
        </w:types>
        <w:behaviors>
          <w:behavior w:val="content"/>
        </w:behaviors>
        <w:guid w:val="{EAA259B0-E7DF-4BDA-86B9-0722EA6270A8}"/>
      </w:docPartPr>
      <w:docPartBody>
        <w:p w:rsidR="00A753C2" w:rsidRDefault="00313CB1">
          <w:r w:rsidRPr="00002945">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charset w:val="00"/>
    <w:family w:val="auto"/>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CB1"/>
    <w:rsid w:val="00000A08"/>
    <w:rsid w:val="000D21A5"/>
    <w:rsid w:val="001C75B4"/>
    <w:rsid w:val="00260469"/>
    <w:rsid w:val="002B1440"/>
    <w:rsid w:val="00313CB1"/>
    <w:rsid w:val="003C076F"/>
    <w:rsid w:val="003E4F2A"/>
    <w:rsid w:val="004100FA"/>
    <w:rsid w:val="0046738A"/>
    <w:rsid w:val="00640BC5"/>
    <w:rsid w:val="006C011F"/>
    <w:rsid w:val="007D6163"/>
    <w:rsid w:val="00826DD1"/>
    <w:rsid w:val="00840D87"/>
    <w:rsid w:val="0089283E"/>
    <w:rsid w:val="00892EC1"/>
    <w:rsid w:val="009205D2"/>
    <w:rsid w:val="00944672"/>
    <w:rsid w:val="009D43AD"/>
    <w:rsid w:val="009E4BB6"/>
    <w:rsid w:val="00A753C2"/>
    <w:rsid w:val="00A75B1B"/>
    <w:rsid w:val="00AA569A"/>
    <w:rsid w:val="00AB1931"/>
    <w:rsid w:val="00C72D54"/>
    <w:rsid w:val="00D153E9"/>
    <w:rsid w:val="00D64BAE"/>
    <w:rsid w:val="00DC0A00"/>
    <w:rsid w:val="00E92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CB1"/>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D616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ECFB0E-A642-4797-B20A-5C7CC2B2B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5214</TotalTime>
  <Pages>13</Pages>
  <Words>4243</Words>
  <Characters>24191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Blackham</dc:creator>
  <cp:keywords/>
  <dc:description/>
  <cp:lastModifiedBy>Kate.Blackham1</cp:lastModifiedBy>
  <cp:revision>223</cp:revision>
  <cp:lastPrinted>2023-05-04T14:31:00Z</cp:lastPrinted>
  <dcterms:created xsi:type="dcterms:W3CDTF">2023-02-21T14:56:00Z</dcterms:created>
  <dcterms:modified xsi:type="dcterms:W3CDTF">2023-05-04T15:07:00Z</dcterms:modified>
</cp:coreProperties>
</file>