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EF1BE" w14:textId="2AC1166F" w:rsidR="004C1291" w:rsidRPr="003D6E4D" w:rsidRDefault="008E6B28" w:rsidP="00B51778">
      <w:pPr>
        <w:spacing w:line="480" w:lineRule="auto"/>
        <w:jc w:val="center"/>
        <w:rPr>
          <w:rFonts w:ascii="Arial" w:hAnsi="Arial" w:cs="Arial"/>
          <w:u w:val="single"/>
        </w:rPr>
      </w:pPr>
      <w:r w:rsidRPr="003D6E4D">
        <w:rPr>
          <w:rFonts w:ascii="Arial" w:hAnsi="Arial" w:cs="Arial"/>
          <w:u w:val="single"/>
        </w:rPr>
        <w:t>Tort</w:t>
      </w:r>
      <w:r w:rsidR="004C1291" w:rsidRPr="003D6E4D">
        <w:rPr>
          <w:rFonts w:ascii="Arial" w:hAnsi="Arial" w:cs="Arial"/>
          <w:u w:val="single"/>
        </w:rPr>
        <w:t xml:space="preserve"> law re-work assignment </w:t>
      </w:r>
      <w:r w:rsidR="0034624D">
        <w:rPr>
          <w:rFonts w:ascii="Arial" w:hAnsi="Arial" w:cs="Arial"/>
          <w:u w:val="single"/>
        </w:rPr>
        <w:t>2</w:t>
      </w:r>
      <w:r w:rsidRPr="003D6E4D">
        <w:rPr>
          <w:rFonts w:ascii="Arial" w:hAnsi="Arial" w:cs="Arial"/>
          <w:u w:val="single"/>
        </w:rPr>
        <w:t>.</w:t>
      </w:r>
    </w:p>
    <w:p w14:paraId="6826F923" w14:textId="77777777" w:rsidR="004C1291" w:rsidRPr="003D6E4D" w:rsidRDefault="004C1291" w:rsidP="00B51778">
      <w:pPr>
        <w:spacing w:line="480" w:lineRule="auto"/>
        <w:jc w:val="center"/>
        <w:rPr>
          <w:rFonts w:ascii="Arial" w:hAnsi="Arial" w:cs="Arial"/>
          <w:u w:val="single"/>
        </w:rPr>
      </w:pPr>
    </w:p>
    <w:p w14:paraId="2C7B0AA5" w14:textId="495788BE" w:rsidR="0035079F" w:rsidRPr="003D6E4D" w:rsidRDefault="0035079F" w:rsidP="008254B0">
      <w:pPr>
        <w:spacing w:line="480" w:lineRule="auto"/>
        <w:rPr>
          <w:rFonts w:ascii="Arial" w:eastAsia="Times New Roman" w:hAnsi="Arial" w:cs="Arial"/>
          <w:kern w:val="0"/>
          <w:lang w:eastAsia="en-GB"/>
          <w14:ligatures w14:val="none"/>
        </w:rPr>
      </w:pPr>
      <w:r w:rsidRPr="0035079F">
        <w:rPr>
          <w:rFonts w:ascii="Arial" w:eastAsia="Times New Roman" w:hAnsi="Arial" w:cs="Arial"/>
          <w:kern w:val="0"/>
          <w:lang w:eastAsia="en-GB"/>
          <w14:ligatures w14:val="none"/>
        </w:rPr>
        <w:t xml:space="preserve">This </w:t>
      </w:r>
      <w:r w:rsidR="006778B4">
        <w:rPr>
          <w:rFonts w:ascii="Arial" w:eastAsia="Times New Roman" w:hAnsi="Arial" w:cs="Arial"/>
          <w:kern w:val="0"/>
          <w:lang w:eastAsia="en-GB"/>
          <w14:ligatures w14:val="none"/>
        </w:rPr>
        <w:t>assignment</w:t>
      </w:r>
      <w:r w:rsidR="00ED2209" w:rsidRPr="003D6E4D">
        <w:rPr>
          <w:rFonts w:ascii="Arial" w:eastAsia="Times New Roman" w:hAnsi="Arial" w:cs="Arial"/>
          <w:kern w:val="0"/>
          <w:lang w:eastAsia="en-GB"/>
          <w14:ligatures w14:val="none"/>
        </w:rPr>
        <w:t xml:space="preserve"> will </w:t>
      </w:r>
      <w:proofErr w:type="gramStart"/>
      <w:r w:rsidRPr="0035079F">
        <w:rPr>
          <w:rFonts w:ascii="Arial" w:eastAsia="Times New Roman" w:hAnsi="Arial" w:cs="Arial"/>
          <w:kern w:val="0"/>
          <w:lang w:eastAsia="en-GB"/>
          <w14:ligatures w14:val="none"/>
        </w:rPr>
        <w:t>attempt</w:t>
      </w:r>
      <w:proofErr w:type="gramEnd"/>
      <w:r w:rsidRPr="0035079F">
        <w:rPr>
          <w:rFonts w:ascii="Arial" w:eastAsia="Times New Roman" w:hAnsi="Arial" w:cs="Arial"/>
          <w:kern w:val="0"/>
          <w:lang w:eastAsia="en-GB"/>
          <w14:ligatures w14:val="none"/>
        </w:rPr>
        <w:t xml:space="preserve"> to evaluate Elijah's, his employer's, and the GP surgery's responsibilities critically by investigating common law duties, statutory obligations, and contractual commitments. </w:t>
      </w:r>
      <w:r w:rsidR="008254B0" w:rsidRPr="003D6E4D">
        <w:rPr>
          <w:rFonts w:ascii="Arial" w:eastAsia="Times New Roman" w:hAnsi="Arial" w:cs="Arial"/>
          <w:kern w:val="0"/>
          <w:lang w:eastAsia="en-GB"/>
          <w14:ligatures w14:val="none"/>
        </w:rPr>
        <w:t>Section 230(4) of the Employment Rights Act (1996) defines: an</w:t>
      </w:r>
      <w:r w:rsidR="008254B0" w:rsidRPr="003D6E4D">
        <w:rPr>
          <w:rFonts w:ascii="Arial" w:eastAsia="Times New Roman" w:hAnsi="Arial" w:cs="Arial"/>
          <w:kern w:val="0"/>
          <w:lang w:eastAsia="en-GB"/>
          <w14:ligatures w14:val="none"/>
        </w:rPr>
        <w:t xml:space="preserve"> employer is a person or business that hires an employee</w:t>
      </w:r>
      <w:r w:rsidR="008254B0" w:rsidRPr="003D6E4D">
        <w:rPr>
          <w:rFonts w:ascii="Arial" w:eastAsia="Times New Roman" w:hAnsi="Arial" w:cs="Arial"/>
          <w:kern w:val="0"/>
          <w:lang w:eastAsia="en-GB"/>
          <w14:ligatures w14:val="none"/>
        </w:rPr>
        <w:t xml:space="preserve"> under a contract</w:t>
      </w:r>
      <w:r w:rsidR="008254B0" w:rsidRPr="003D6E4D">
        <w:rPr>
          <w:rFonts w:ascii="Arial" w:eastAsia="Times New Roman" w:hAnsi="Arial" w:cs="Arial"/>
          <w:kern w:val="0"/>
          <w:lang w:eastAsia="en-GB"/>
          <w14:ligatures w14:val="none"/>
        </w:rPr>
        <w:t xml:space="preserve"> to carry out tasks, and an employee is a person who works for an employer in exchange for pay</w:t>
      </w:r>
      <w:r w:rsidR="008254B0" w:rsidRPr="003D6E4D">
        <w:rPr>
          <w:rFonts w:ascii="Arial" w:eastAsia="Times New Roman" w:hAnsi="Arial" w:cs="Arial"/>
          <w:kern w:val="0"/>
          <w:lang w:eastAsia="en-GB"/>
          <w14:ligatures w14:val="none"/>
        </w:rPr>
        <w:t xml:space="preserve">, </w:t>
      </w:r>
      <w:r w:rsidR="008254B0" w:rsidRPr="003D6E4D">
        <w:rPr>
          <w:rFonts w:ascii="Arial" w:eastAsia="Times New Roman" w:hAnsi="Arial" w:cs="Arial"/>
          <w:kern w:val="0"/>
          <w:lang w:eastAsia="en-GB"/>
          <w14:ligatures w14:val="none"/>
        </w:rPr>
        <w:t>(Legislation.gov.uk, 2014).</w:t>
      </w:r>
      <w:r w:rsidR="008254B0" w:rsidRPr="003D6E4D">
        <w:rPr>
          <w:rFonts w:ascii="Arial" w:eastAsia="Times New Roman" w:hAnsi="Arial" w:cs="Arial"/>
          <w:kern w:val="0"/>
          <w:lang w:eastAsia="en-GB"/>
          <w14:ligatures w14:val="none"/>
        </w:rPr>
        <w:t xml:space="preserve"> </w:t>
      </w:r>
      <w:r w:rsidRPr="0035079F">
        <w:rPr>
          <w:rFonts w:ascii="Arial" w:eastAsia="Times New Roman" w:hAnsi="Arial" w:cs="Arial"/>
          <w:kern w:val="0"/>
          <w:lang w:eastAsia="en-GB"/>
          <w14:ligatures w14:val="none"/>
        </w:rPr>
        <w:t>Th</w:t>
      </w:r>
      <w:r w:rsidR="008C5CAC" w:rsidRPr="003D6E4D">
        <w:rPr>
          <w:rFonts w:ascii="Arial" w:eastAsia="Times New Roman" w:hAnsi="Arial" w:cs="Arial"/>
          <w:kern w:val="0"/>
          <w:lang w:eastAsia="en-GB"/>
          <w14:ligatures w14:val="none"/>
        </w:rPr>
        <w:t>erefore,</w:t>
      </w:r>
      <w:r w:rsidR="008254B0" w:rsidRPr="003D6E4D">
        <w:rPr>
          <w:rFonts w:ascii="Arial" w:eastAsia="Times New Roman" w:hAnsi="Arial" w:cs="Arial"/>
          <w:kern w:val="0"/>
          <w:lang w:eastAsia="en-GB"/>
          <w14:ligatures w14:val="none"/>
        </w:rPr>
        <w:t xml:space="preserve"> this </w:t>
      </w:r>
      <w:r w:rsidR="006778B4">
        <w:rPr>
          <w:rFonts w:ascii="Arial" w:eastAsia="Times New Roman" w:hAnsi="Arial" w:cs="Arial"/>
          <w:kern w:val="0"/>
          <w:lang w:eastAsia="en-GB"/>
          <w14:ligatures w14:val="none"/>
        </w:rPr>
        <w:t xml:space="preserve">assignment </w:t>
      </w:r>
      <w:r w:rsidR="008254B0" w:rsidRPr="003D6E4D">
        <w:rPr>
          <w:rFonts w:ascii="Arial" w:eastAsia="Times New Roman" w:hAnsi="Arial" w:cs="Arial"/>
          <w:kern w:val="0"/>
          <w:lang w:eastAsia="en-GB"/>
          <w14:ligatures w14:val="none"/>
        </w:rPr>
        <w:t>will</w:t>
      </w:r>
      <w:r w:rsidR="008C5CAC" w:rsidRPr="003D6E4D">
        <w:rPr>
          <w:rFonts w:ascii="Arial" w:eastAsia="Times New Roman" w:hAnsi="Arial" w:cs="Arial"/>
          <w:kern w:val="0"/>
          <w:lang w:eastAsia="en-GB"/>
          <w14:ligatures w14:val="none"/>
        </w:rPr>
        <w:t xml:space="preserve"> </w:t>
      </w:r>
      <w:r w:rsidRPr="0035079F">
        <w:rPr>
          <w:rFonts w:ascii="Arial" w:eastAsia="Times New Roman" w:hAnsi="Arial" w:cs="Arial"/>
          <w:kern w:val="0"/>
          <w:lang w:eastAsia="en-GB"/>
          <w14:ligatures w14:val="none"/>
        </w:rPr>
        <w:t>ai</w:t>
      </w:r>
      <w:r w:rsidR="008254B0" w:rsidRPr="003D6E4D">
        <w:rPr>
          <w:rFonts w:ascii="Arial" w:eastAsia="Times New Roman" w:hAnsi="Arial" w:cs="Arial"/>
          <w:kern w:val="0"/>
          <w:lang w:eastAsia="en-GB"/>
          <w14:ligatures w14:val="none"/>
        </w:rPr>
        <w:t>m</w:t>
      </w:r>
      <w:r w:rsidR="008C5CAC" w:rsidRPr="003D6E4D">
        <w:rPr>
          <w:rFonts w:ascii="Arial" w:eastAsia="Times New Roman" w:hAnsi="Arial" w:cs="Arial"/>
          <w:kern w:val="0"/>
          <w:lang w:eastAsia="en-GB"/>
          <w14:ligatures w14:val="none"/>
        </w:rPr>
        <w:t xml:space="preserve"> to</w:t>
      </w:r>
      <w:r w:rsidRPr="0035079F">
        <w:rPr>
          <w:rFonts w:ascii="Arial" w:eastAsia="Times New Roman" w:hAnsi="Arial" w:cs="Arial"/>
          <w:kern w:val="0"/>
          <w:lang w:eastAsia="en-GB"/>
          <w14:ligatures w14:val="none"/>
        </w:rPr>
        <w:t> </w:t>
      </w:r>
      <w:r w:rsidR="006778B4">
        <w:rPr>
          <w:rFonts w:ascii="Arial" w:eastAsia="Times New Roman" w:hAnsi="Arial" w:cs="Arial"/>
          <w:kern w:val="0"/>
          <w:lang w:eastAsia="en-GB"/>
          <w14:ligatures w14:val="none"/>
        </w:rPr>
        <w:t>critically analyse</w:t>
      </w:r>
      <w:r w:rsidRPr="0035079F">
        <w:rPr>
          <w:rFonts w:ascii="Arial" w:eastAsia="Times New Roman" w:hAnsi="Arial" w:cs="Arial"/>
          <w:kern w:val="0"/>
          <w:lang w:eastAsia="en-GB"/>
          <w14:ligatures w14:val="none"/>
        </w:rPr>
        <w:t xml:space="preserve"> the responsibility </w:t>
      </w:r>
      <w:r w:rsidR="006778B4">
        <w:rPr>
          <w:rFonts w:ascii="Arial" w:eastAsia="Times New Roman" w:hAnsi="Arial" w:cs="Arial"/>
          <w:kern w:val="0"/>
          <w:lang w:eastAsia="en-GB"/>
          <w14:ligatures w14:val="none"/>
        </w:rPr>
        <w:t xml:space="preserve">of Elijah and or the </w:t>
      </w:r>
      <w:proofErr w:type="gramStart"/>
      <w:r w:rsidR="006778B4">
        <w:rPr>
          <w:rFonts w:ascii="Arial" w:eastAsia="Times New Roman" w:hAnsi="Arial" w:cs="Arial"/>
          <w:kern w:val="0"/>
          <w:lang w:eastAsia="en-GB"/>
          <w14:ligatures w14:val="none"/>
        </w:rPr>
        <w:t xml:space="preserve">close </w:t>
      </w:r>
      <w:r w:rsidR="008254B0" w:rsidRPr="003D6E4D">
        <w:rPr>
          <w:rFonts w:ascii="Arial" w:eastAsia="Times New Roman" w:hAnsi="Arial" w:cs="Arial"/>
          <w:kern w:val="0"/>
          <w:lang w:eastAsia="en-GB"/>
          <w14:ligatures w14:val="none"/>
        </w:rPr>
        <w:t>proximity</w:t>
      </w:r>
      <w:proofErr w:type="gramEnd"/>
      <w:r w:rsidR="008254B0" w:rsidRPr="003D6E4D">
        <w:rPr>
          <w:rFonts w:ascii="Arial" w:eastAsia="Times New Roman" w:hAnsi="Arial" w:cs="Arial"/>
          <w:kern w:val="0"/>
          <w:lang w:eastAsia="en-GB"/>
          <w14:ligatures w14:val="none"/>
        </w:rPr>
        <w:t xml:space="preserve"> relationships who </w:t>
      </w:r>
      <w:r w:rsidR="006778B4">
        <w:rPr>
          <w:rFonts w:ascii="Arial" w:eastAsia="Times New Roman" w:hAnsi="Arial" w:cs="Arial"/>
          <w:kern w:val="0"/>
          <w:lang w:eastAsia="en-GB"/>
          <w14:ligatures w14:val="none"/>
        </w:rPr>
        <w:t xml:space="preserve">may </w:t>
      </w:r>
      <w:r w:rsidR="008254B0" w:rsidRPr="003D6E4D">
        <w:rPr>
          <w:rFonts w:ascii="Arial" w:eastAsia="Times New Roman" w:hAnsi="Arial" w:cs="Arial"/>
          <w:kern w:val="0"/>
          <w:lang w:eastAsia="en-GB"/>
          <w14:ligatures w14:val="none"/>
        </w:rPr>
        <w:t xml:space="preserve">owe a duty of care </w:t>
      </w:r>
      <w:r w:rsidRPr="0035079F">
        <w:rPr>
          <w:rFonts w:ascii="Arial" w:eastAsia="Times New Roman" w:hAnsi="Arial" w:cs="Arial"/>
          <w:kern w:val="0"/>
          <w:lang w:eastAsia="en-GB"/>
          <w14:ligatures w14:val="none"/>
        </w:rPr>
        <w:t>in this situation by exploring appropriate case law and legal reasoning approaches</w:t>
      </w:r>
      <w:r w:rsidR="008254B0" w:rsidRPr="003D6E4D">
        <w:rPr>
          <w:rFonts w:ascii="Arial" w:eastAsia="Times New Roman" w:hAnsi="Arial" w:cs="Arial"/>
          <w:kern w:val="0"/>
          <w:lang w:eastAsia="en-GB"/>
          <w14:ligatures w14:val="none"/>
        </w:rPr>
        <w:t xml:space="preserve"> to solve this</w:t>
      </w:r>
      <w:r w:rsidRPr="0035079F">
        <w:rPr>
          <w:rFonts w:ascii="Arial" w:eastAsia="Times New Roman" w:hAnsi="Arial" w:cs="Arial"/>
          <w:kern w:val="0"/>
          <w:lang w:eastAsia="en-GB"/>
          <w14:ligatures w14:val="none"/>
        </w:rPr>
        <w:t>.</w:t>
      </w:r>
      <w:r w:rsidRPr="003D6E4D">
        <w:rPr>
          <w:rFonts w:ascii="Arial" w:eastAsia="Times New Roman" w:hAnsi="Arial" w:cs="Arial"/>
          <w:kern w:val="0"/>
          <w:lang w:eastAsia="en-GB"/>
          <w14:ligatures w14:val="none"/>
        </w:rPr>
        <w:t xml:space="preserve"> </w:t>
      </w:r>
    </w:p>
    <w:p w14:paraId="2D9D634F" w14:textId="77777777" w:rsidR="0035079F" w:rsidRPr="003D6E4D" w:rsidRDefault="0035079F" w:rsidP="008E6B28">
      <w:pPr>
        <w:spacing w:after="0" w:line="480" w:lineRule="auto"/>
        <w:rPr>
          <w:rFonts w:ascii="Arial" w:eastAsia="Times New Roman" w:hAnsi="Arial" w:cs="Arial"/>
          <w:kern w:val="0"/>
          <w:lang w:eastAsia="en-GB"/>
          <w14:ligatures w14:val="none"/>
        </w:rPr>
      </w:pPr>
    </w:p>
    <w:p w14:paraId="2BB64B36" w14:textId="2CD11271" w:rsidR="00567D55" w:rsidRPr="003D6E4D" w:rsidRDefault="0035079F" w:rsidP="008E6B28">
      <w:pPr>
        <w:spacing w:line="480" w:lineRule="auto"/>
        <w:rPr>
          <w:rFonts w:ascii="Arial" w:eastAsia="Times New Roman" w:hAnsi="Arial" w:cs="Arial"/>
          <w:kern w:val="0"/>
          <w:lang w:eastAsia="en-GB"/>
          <w14:ligatures w14:val="none"/>
        </w:rPr>
      </w:pPr>
      <w:r w:rsidRPr="0035079F">
        <w:rPr>
          <w:rFonts w:ascii="Arial" w:eastAsia="Times New Roman" w:hAnsi="Arial" w:cs="Arial"/>
          <w:kern w:val="0"/>
          <w:lang w:eastAsia="en-GB"/>
          <w14:ligatures w14:val="none"/>
        </w:rPr>
        <w:t xml:space="preserve">The duty of care owed by one person to another is the fundamental principle of negligence law. </w:t>
      </w:r>
      <w:r w:rsidR="00ED2209" w:rsidRPr="003D6E4D">
        <w:rPr>
          <w:rFonts w:ascii="Arial" w:eastAsia="Times New Roman" w:hAnsi="Arial" w:cs="Arial"/>
          <w:kern w:val="0"/>
          <w:lang w:eastAsia="en-GB"/>
          <w14:ligatures w14:val="none"/>
        </w:rPr>
        <w:t>Concerning</w:t>
      </w:r>
      <w:r w:rsidR="004C0260" w:rsidRPr="003D6E4D">
        <w:rPr>
          <w:rFonts w:ascii="Arial" w:eastAsia="Times New Roman" w:hAnsi="Arial" w:cs="Arial"/>
          <w:kern w:val="0"/>
          <w:lang w:eastAsia="en-GB"/>
          <w14:ligatures w14:val="none"/>
        </w:rPr>
        <w:t xml:space="preserve"> duty of care, </w:t>
      </w:r>
      <w:r w:rsidR="008E6B28" w:rsidRPr="003D6E4D">
        <w:rPr>
          <w:rFonts w:ascii="Arial" w:eastAsia="Times New Roman" w:hAnsi="Arial" w:cs="Arial"/>
          <w:kern w:val="0"/>
          <w:lang w:eastAsia="en-GB"/>
          <w14:ligatures w14:val="none"/>
        </w:rPr>
        <w:t>under</w:t>
      </w:r>
      <w:r w:rsidR="001929CF" w:rsidRPr="003D6E4D">
        <w:rPr>
          <w:rFonts w:ascii="Arial" w:eastAsia="Times New Roman" w:hAnsi="Arial" w:cs="Arial"/>
          <w:kern w:val="0"/>
          <w:lang w:eastAsia="en-GB"/>
          <w14:ligatures w14:val="none"/>
        </w:rPr>
        <w:t xml:space="preserve"> section 2(1) of the </w:t>
      </w:r>
      <w:r w:rsidR="007E34F6" w:rsidRPr="003D6E4D">
        <w:rPr>
          <w:rFonts w:ascii="Arial" w:eastAsia="Times New Roman" w:hAnsi="Arial" w:cs="Arial"/>
          <w:kern w:val="0"/>
          <w:lang w:eastAsia="en-GB"/>
          <w14:ligatures w14:val="none"/>
        </w:rPr>
        <w:t>Health</w:t>
      </w:r>
      <w:r w:rsidR="001929CF" w:rsidRPr="003D6E4D">
        <w:rPr>
          <w:rFonts w:ascii="Arial" w:eastAsia="Times New Roman" w:hAnsi="Arial" w:cs="Arial"/>
          <w:kern w:val="0"/>
          <w:lang w:eastAsia="en-GB"/>
          <w14:ligatures w14:val="none"/>
        </w:rPr>
        <w:t xml:space="preserve"> and safety at Work Act (1974)</w:t>
      </w:r>
      <w:r w:rsidR="004C0260" w:rsidRPr="003D6E4D">
        <w:rPr>
          <w:rFonts w:ascii="Arial" w:eastAsia="Times New Roman" w:hAnsi="Arial" w:cs="Arial"/>
          <w:kern w:val="0"/>
          <w:lang w:eastAsia="en-GB"/>
          <w14:ligatures w14:val="none"/>
        </w:rPr>
        <w:t>:</w:t>
      </w:r>
      <w:r w:rsidR="001929CF" w:rsidRPr="003D6E4D">
        <w:rPr>
          <w:rFonts w:ascii="Arial" w:eastAsia="Times New Roman" w:hAnsi="Arial" w:cs="Arial"/>
          <w:kern w:val="0"/>
          <w:lang w:eastAsia="en-GB"/>
          <w14:ligatures w14:val="none"/>
        </w:rPr>
        <w:t xml:space="preserve"> </w:t>
      </w:r>
      <w:r w:rsidR="00ED2209" w:rsidRPr="003D6E4D">
        <w:rPr>
          <w:rFonts w:ascii="Arial" w:eastAsia="Times New Roman" w:hAnsi="Arial" w:cs="Arial"/>
          <w:kern w:val="0"/>
          <w:lang w:eastAsia="en-GB"/>
          <w14:ligatures w14:val="none"/>
        </w:rPr>
        <w:t>e</w:t>
      </w:r>
      <w:r w:rsidR="001929CF" w:rsidRPr="003D6E4D">
        <w:rPr>
          <w:rFonts w:ascii="Arial" w:eastAsia="Times New Roman" w:hAnsi="Arial" w:cs="Arial"/>
          <w:kern w:val="0"/>
          <w:lang w:eastAsia="en-GB"/>
          <w14:ligatures w14:val="none"/>
        </w:rPr>
        <w:t xml:space="preserve">very employer </w:t>
      </w:r>
      <w:r w:rsidR="00FF626E" w:rsidRPr="003D6E4D">
        <w:rPr>
          <w:rFonts w:ascii="Arial" w:eastAsia="Times New Roman" w:hAnsi="Arial" w:cs="Arial"/>
          <w:kern w:val="0"/>
          <w:lang w:eastAsia="en-GB"/>
          <w14:ligatures w14:val="none"/>
        </w:rPr>
        <w:t>must</w:t>
      </w:r>
      <w:r w:rsidR="001929CF" w:rsidRPr="003D6E4D">
        <w:rPr>
          <w:rFonts w:ascii="Arial" w:eastAsia="Times New Roman" w:hAnsi="Arial" w:cs="Arial"/>
          <w:kern w:val="0"/>
          <w:lang w:eastAsia="en-GB"/>
          <w14:ligatures w14:val="none"/>
        </w:rPr>
        <w:t xml:space="preserve"> protect each employee's health, safety, and welfare at work to the extent that it is reasonably practicable</w:t>
      </w:r>
      <w:r w:rsidR="001929CF" w:rsidRPr="003D6E4D">
        <w:rPr>
          <w:rFonts w:ascii="Arial" w:eastAsia="Times New Roman" w:hAnsi="Arial" w:cs="Arial"/>
          <w:kern w:val="0"/>
          <w:lang w:eastAsia="en-GB"/>
          <w14:ligatures w14:val="none"/>
        </w:rPr>
        <w:t>,</w:t>
      </w:r>
      <w:r w:rsidR="00FF626E" w:rsidRPr="003D6E4D">
        <w:rPr>
          <w:rFonts w:ascii="Arial" w:eastAsia="Times New Roman" w:hAnsi="Arial" w:cs="Arial"/>
          <w:kern w:val="0"/>
          <w:lang w:eastAsia="en-GB"/>
          <w14:ligatures w14:val="none"/>
        </w:rPr>
        <w:t xml:space="preserve"> </w:t>
      </w:r>
      <w:r w:rsidR="00FF626E" w:rsidRPr="003D6E4D">
        <w:rPr>
          <w:rFonts w:ascii="Arial" w:eastAsia="Times New Roman" w:hAnsi="Arial" w:cs="Arial"/>
          <w:kern w:val="0"/>
          <w:lang w:eastAsia="en-GB"/>
          <w14:ligatures w14:val="none"/>
        </w:rPr>
        <w:t>(Health and Safety Executive, 2020</w:t>
      </w:r>
      <w:r w:rsidR="00FF626E" w:rsidRPr="003D6E4D">
        <w:rPr>
          <w:rFonts w:ascii="Arial" w:eastAsia="Times New Roman" w:hAnsi="Arial" w:cs="Arial"/>
          <w:kern w:val="0"/>
          <w:lang w:eastAsia="en-GB"/>
          <w14:ligatures w14:val="none"/>
        </w:rPr>
        <w:t>)</w:t>
      </w:r>
      <w:r w:rsidR="001929CF" w:rsidRPr="003D6E4D">
        <w:rPr>
          <w:rFonts w:ascii="Arial" w:eastAsia="Times New Roman" w:hAnsi="Arial" w:cs="Arial"/>
          <w:kern w:val="0"/>
          <w:lang w:eastAsia="en-GB"/>
          <w14:ligatures w14:val="none"/>
        </w:rPr>
        <w:t>.</w:t>
      </w:r>
      <w:r w:rsidR="00FF626E" w:rsidRPr="003D6E4D">
        <w:rPr>
          <w:rFonts w:ascii="Arial" w:eastAsia="Times New Roman" w:hAnsi="Arial" w:cs="Arial"/>
          <w:kern w:val="0"/>
          <w:lang w:eastAsia="en-GB"/>
          <w14:ligatures w14:val="none"/>
        </w:rPr>
        <w:t xml:space="preserve"> This means</w:t>
      </w:r>
      <w:r w:rsidR="00F26DC6" w:rsidRPr="003D6E4D">
        <w:rPr>
          <w:rFonts w:ascii="Arial" w:eastAsia="Times New Roman" w:hAnsi="Arial" w:cs="Arial"/>
          <w:kern w:val="0"/>
          <w:lang w:eastAsia="en-GB"/>
          <w14:ligatures w14:val="none"/>
        </w:rPr>
        <w:t xml:space="preserve"> that Elijah’s </w:t>
      </w:r>
      <w:r w:rsidR="00FF626E" w:rsidRPr="003D6E4D">
        <w:rPr>
          <w:rFonts w:ascii="Arial" w:eastAsia="Times New Roman" w:hAnsi="Arial" w:cs="Arial"/>
          <w:kern w:val="0"/>
          <w:lang w:eastAsia="en-GB"/>
          <w14:ligatures w14:val="none"/>
        </w:rPr>
        <w:t xml:space="preserve">employers </w:t>
      </w:r>
      <w:r w:rsidR="00F26DC6" w:rsidRPr="003D6E4D">
        <w:rPr>
          <w:rFonts w:ascii="Arial" w:eastAsia="Times New Roman" w:hAnsi="Arial" w:cs="Arial"/>
          <w:kern w:val="0"/>
          <w:lang w:eastAsia="en-GB"/>
          <w14:ligatures w14:val="none"/>
        </w:rPr>
        <w:t>should</w:t>
      </w:r>
      <w:r w:rsidR="00FF626E" w:rsidRPr="003D6E4D">
        <w:rPr>
          <w:rFonts w:ascii="Arial" w:eastAsia="Times New Roman" w:hAnsi="Arial" w:cs="Arial"/>
          <w:kern w:val="0"/>
          <w:lang w:eastAsia="en-GB"/>
          <w14:ligatures w14:val="none"/>
        </w:rPr>
        <w:t xml:space="preserve"> provide safe </w:t>
      </w:r>
      <w:r w:rsidR="00B51778" w:rsidRPr="003D6E4D">
        <w:rPr>
          <w:rFonts w:ascii="Arial" w:eastAsia="Times New Roman" w:hAnsi="Arial" w:cs="Arial"/>
          <w:kern w:val="0"/>
          <w:lang w:eastAsia="en-GB"/>
          <w14:ligatures w14:val="none"/>
        </w:rPr>
        <w:t>environments</w:t>
      </w:r>
      <w:r w:rsidR="00FF626E" w:rsidRPr="003D6E4D">
        <w:rPr>
          <w:rFonts w:ascii="Arial" w:eastAsia="Times New Roman" w:hAnsi="Arial" w:cs="Arial"/>
          <w:kern w:val="0"/>
          <w:lang w:eastAsia="en-GB"/>
          <w14:ligatures w14:val="none"/>
        </w:rPr>
        <w:t xml:space="preserve"> for employees</w:t>
      </w:r>
      <w:r w:rsidR="00F26DC6" w:rsidRPr="003D6E4D">
        <w:rPr>
          <w:rFonts w:ascii="Arial" w:eastAsia="Times New Roman" w:hAnsi="Arial" w:cs="Arial"/>
          <w:kern w:val="0"/>
          <w:lang w:eastAsia="en-GB"/>
          <w14:ligatures w14:val="none"/>
        </w:rPr>
        <w:t xml:space="preserve"> such as him</w:t>
      </w:r>
      <w:r w:rsidR="00FF626E" w:rsidRPr="003D6E4D">
        <w:rPr>
          <w:rFonts w:ascii="Arial" w:eastAsia="Times New Roman" w:hAnsi="Arial" w:cs="Arial"/>
          <w:kern w:val="0"/>
          <w:lang w:eastAsia="en-GB"/>
          <w14:ligatures w14:val="none"/>
        </w:rPr>
        <w:t xml:space="preserve"> to work in.</w:t>
      </w:r>
      <w:r w:rsidR="004C0260" w:rsidRPr="003D6E4D">
        <w:rPr>
          <w:rFonts w:ascii="Arial" w:eastAsia="Times New Roman" w:hAnsi="Arial" w:cs="Arial"/>
          <w:kern w:val="0"/>
          <w:lang w:eastAsia="en-GB"/>
          <w14:ligatures w14:val="none"/>
        </w:rPr>
        <w:t xml:space="preserve"> Established in</w:t>
      </w:r>
      <w:r w:rsidR="001929CF" w:rsidRPr="003D6E4D">
        <w:rPr>
          <w:rFonts w:ascii="Arial" w:eastAsia="Times New Roman" w:hAnsi="Arial" w:cs="Arial"/>
          <w:kern w:val="0"/>
          <w:lang w:eastAsia="en-GB"/>
          <w14:ligatures w14:val="none"/>
        </w:rPr>
        <w:t xml:space="preserve"> Blyth v. Birmingham Water Works Co. [1856], </w:t>
      </w:r>
      <w:r w:rsidR="004C0260" w:rsidRPr="003D6E4D">
        <w:rPr>
          <w:rFonts w:ascii="Arial" w:eastAsia="Times New Roman" w:hAnsi="Arial" w:cs="Arial"/>
          <w:kern w:val="0"/>
          <w:lang w:eastAsia="en-GB"/>
          <w14:ligatures w14:val="none"/>
        </w:rPr>
        <w:t xml:space="preserve">this case </w:t>
      </w:r>
      <w:r w:rsidR="001929CF" w:rsidRPr="003D6E4D">
        <w:rPr>
          <w:rFonts w:ascii="Arial" w:eastAsia="Times New Roman" w:hAnsi="Arial" w:cs="Arial"/>
          <w:kern w:val="0"/>
          <w:lang w:eastAsia="en-GB"/>
          <w14:ligatures w14:val="none"/>
        </w:rPr>
        <w:t>examines how an obligation has developed and how Elijah's circumstances fit into it</w:t>
      </w:r>
      <w:r w:rsidR="00FF626E" w:rsidRPr="003D6E4D">
        <w:rPr>
          <w:rFonts w:ascii="Arial" w:eastAsia="Times New Roman" w:hAnsi="Arial" w:cs="Arial"/>
          <w:kern w:val="0"/>
          <w:lang w:eastAsia="en-GB"/>
          <w14:ligatures w14:val="none"/>
        </w:rPr>
        <w:t xml:space="preserve"> given his situation</w:t>
      </w:r>
      <w:r w:rsidR="001929CF" w:rsidRPr="003D6E4D">
        <w:rPr>
          <w:rFonts w:ascii="Arial" w:eastAsia="Times New Roman" w:hAnsi="Arial" w:cs="Arial"/>
          <w:kern w:val="0"/>
          <w:lang w:eastAsia="en-GB"/>
          <w14:ligatures w14:val="none"/>
        </w:rPr>
        <w:t xml:space="preserve">. </w:t>
      </w:r>
      <w:r w:rsidR="00B51778" w:rsidRPr="003D6E4D">
        <w:rPr>
          <w:rFonts w:ascii="Arial" w:eastAsia="Times New Roman" w:hAnsi="Arial" w:cs="Arial"/>
          <w:kern w:val="0"/>
          <w:lang w:eastAsia="en-GB"/>
          <w14:ligatures w14:val="none"/>
        </w:rPr>
        <w:t>According to the court, negligence is defined as the failure to perform a duty that an informed and reasonable person would perform</w:t>
      </w:r>
      <w:r w:rsidR="00B51778" w:rsidRPr="003D6E4D">
        <w:rPr>
          <w:rFonts w:ascii="Arial" w:eastAsia="Times New Roman" w:hAnsi="Arial" w:cs="Arial"/>
          <w:kern w:val="0"/>
          <w:lang w:eastAsia="en-GB"/>
          <w14:ligatures w14:val="none"/>
        </w:rPr>
        <w:t xml:space="preserve"> </w:t>
      </w:r>
      <w:r w:rsidR="00B51778" w:rsidRPr="003D6E4D">
        <w:rPr>
          <w:rFonts w:ascii="Arial" w:eastAsia="Times New Roman" w:hAnsi="Arial" w:cs="Arial"/>
          <w:kern w:val="0"/>
          <w:lang w:eastAsia="en-GB"/>
          <w14:ligatures w14:val="none"/>
        </w:rPr>
        <w:t xml:space="preserve">guided by the considerations that typically regulate the </w:t>
      </w:r>
      <w:r w:rsidR="00B51778" w:rsidRPr="003D6E4D">
        <w:rPr>
          <w:rFonts w:ascii="Arial" w:eastAsia="Times New Roman" w:hAnsi="Arial" w:cs="Arial"/>
          <w:kern w:val="0"/>
          <w:lang w:eastAsia="en-GB"/>
          <w14:ligatures w14:val="none"/>
        </w:rPr>
        <w:t>behaviour</w:t>
      </w:r>
      <w:r w:rsidR="00B51778" w:rsidRPr="003D6E4D">
        <w:rPr>
          <w:rFonts w:ascii="Arial" w:eastAsia="Times New Roman" w:hAnsi="Arial" w:cs="Arial"/>
          <w:kern w:val="0"/>
          <w:lang w:eastAsia="en-GB"/>
          <w14:ligatures w14:val="none"/>
        </w:rPr>
        <w:t xml:space="preserve"> of </w:t>
      </w:r>
      <w:r w:rsidR="00F26DC6" w:rsidRPr="003D6E4D">
        <w:rPr>
          <w:rFonts w:ascii="Arial" w:eastAsia="Times New Roman" w:hAnsi="Arial" w:cs="Arial"/>
          <w:kern w:val="0"/>
          <w:lang w:eastAsia="en-GB"/>
          <w14:ligatures w14:val="none"/>
        </w:rPr>
        <w:t>people</w:t>
      </w:r>
      <w:r w:rsidR="00B51778" w:rsidRPr="003D6E4D">
        <w:rPr>
          <w:rFonts w:ascii="Arial" w:eastAsia="Times New Roman" w:hAnsi="Arial" w:cs="Arial"/>
          <w:kern w:val="0"/>
          <w:lang w:eastAsia="en-GB"/>
          <w14:ligatures w14:val="none"/>
        </w:rPr>
        <w:t xml:space="preserve"> matters</w:t>
      </w:r>
      <w:r w:rsidR="00B51778" w:rsidRPr="003D6E4D">
        <w:rPr>
          <w:rFonts w:ascii="Arial" w:eastAsia="Times New Roman" w:hAnsi="Arial" w:cs="Arial"/>
          <w:kern w:val="0"/>
          <w:lang w:eastAsia="en-GB"/>
          <w14:ligatures w14:val="none"/>
        </w:rPr>
        <w:t>, (Witting, 2005)</w:t>
      </w:r>
      <w:r w:rsidR="00B51778" w:rsidRPr="003D6E4D">
        <w:rPr>
          <w:rFonts w:ascii="Arial" w:eastAsia="Times New Roman" w:hAnsi="Arial" w:cs="Arial"/>
          <w:kern w:val="0"/>
          <w:lang w:eastAsia="en-GB"/>
          <w14:ligatures w14:val="none"/>
        </w:rPr>
        <w:t>.</w:t>
      </w:r>
      <w:r w:rsidR="00B51778" w:rsidRPr="003D6E4D">
        <w:rPr>
          <w:rFonts w:ascii="Arial" w:eastAsia="Times New Roman" w:hAnsi="Arial" w:cs="Arial"/>
          <w:kern w:val="0"/>
          <w:lang w:eastAsia="en-GB"/>
          <w14:ligatures w14:val="none"/>
        </w:rPr>
        <w:t xml:space="preserve">  </w:t>
      </w:r>
      <w:r w:rsidR="00B51778" w:rsidRPr="003D6E4D">
        <w:rPr>
          <w:rFonts w:ascii="Arial" w:eastAsia="Times New Roman" w:hAnsi="Arial" w:cs="Arial"/>
          <w:kern w:val="0"/>
          <w:lang w:eastAsia="en-GB"/>
          <w14:ligatures w14:val="none"/>
        </w:rPr>
        <w:t>The</w:t>
      </w:r>
      <w:r w:rsidR="003D6E4D" w:rsidRPr="003D6E4D">
        <w:rPr>
          <w:rFonts w:ascii="Arial" w:eastAsia="Times New Roman" w:hAnsi="Arial" w:cs="Arial"/>
          <w:kern w:val="0"/>
          <w:lang w:eastAsia="en-GB"/>
          <w14:ligatures w14:val="none"/>
        </w:rPr>
        <w:t xml:space="preserve"> </w:t>
      </w:r>
      <w:r w:rsidR="00B51778" w:rsidRPr="003D6E4D">
        <w:rPr>
          <w:rFonts w:ascii="Arial" w:eastAsia="Times New Roman" w:hAnsi="Arial" w:cs="Arial"/>
          <w:kern w:val="0"/>
          <w:lang w:eastAsia="en-GB"/>
          <w14:ligatures w14:val="none"/>
        </w:rPr>
        <w:t xml:space="preserve">legal obligation of an employer to ensure a safe workplace for its employees is known as </w:t>
      </w:r>
      <w:r w:rsidR="00B51778" w:rsidRPr="003D6E4D">
        <w:rPr>
          <w:rFonts w:ascii="Arial" w:eastAsia="Times New Roman" w:hAnsi="Arial" w:cs="Arial"/>
          <w:kern w:val="0"/>
          <w:lang w:eastAsia="en-GB"/>
          <w14:ligatures w14:val="none"/>
        </w:rPr>
        <w:t xml:space="preserve">an </w:t>
      </w:r>
      <w:r w:rsidR="00B51778" w:rsidRPr="003D6E4D">
        <w:rPr>
          <w:rFonts w:ascii="Arial" w:eastAsia="Times New Roman" w:hAnsi="Arial" w:cs="Arial"/>
          <w:kern w:val="0"/>
          <w:lang w:eastAsia="en-GB"/>
          <w14:ligatures w14:val="none"/>
        </w:rPr>
        <w:t>employer's liability.</w:t>
      </w:r>
      <w:r w:rsidR="00B51778" w:rsidRPr="003D6E4D">
        <w:rPr>
          <w:rFonts w:ascii="Arial" w:eastAsia="Times New Roman" w:hAnsi="Arial" w:cs="Arial"/>
          <w:kern w:val="0"/>
          <w:lang w:eastAsia="en-GB"/>
          <w14:ligatures w14:val="none"/>
        </w:rPr>
        <w:t xml:space="preserve"> The </w:t>
      </w:r>
      <w:r w:rsidR="00F26DC6" w:rsidRPr="003D6E4D">
        <w:rPr>
          <w:rFonts w:ascii="Arial" w:eastAsia="Times New Roman" w:hAnsi="Arial" w:cs="Arial"/>
          <w:kern w:val="0"/>
          <w:lang w:eastAsia="en-GB"/>
          <w14:ligatures w14:val="none"/>
        </w:rPr>
        <w:lastRenderedPageBreak/>
        <w:t>Employer’s</w:t>
      </w:r>
      <w:r w:rsidR="00B51778" w:rsidRPr="003D6E4D">
        <w:rPr>
          <w:rFonts w:ascii="Arial" w:eastAsia="Times New Roman" w:hAnsi="Arial" w:cs="Arial"/>
          <w:kern w:val="0"/>
          <w:lang w:eastAsia="en-GB"/>
          <w14:ligatures w14:val="none"/>
        </w:rPr>
        <w:t xml:space="preserve"> </w:t>
      </w:r>
      <w:r w:rsidR="00615E1F" w:rsidRPr="003D6E4D">
        <w:rPr>
          <w:rFonts w:ascii="Arial" w:eastAsia="Times New Roman" w:hAnsi="Arial" w:cs="Arial"/>
          <w:kern w:val="0"/>
          <w:lang w:eastAsia="en-GB"/>
          <w14:ligatures w14:val="none"/>
        </w:rPr>
        <w:t>Liability Act</w:t>
      </w:r>
      <w:r w:rsidR="00B51778" w:rsidRPr="003D6E4D">
        <w:rPr>
          <w:rFonts w:ascii="Arial" w:eastAsia="Times New Roman" w:hAnsi="Arial" w:cs="Arial"/>
          <w:kern w:val="0"/>
          <w:lang w:eastAsia="en-GB"/>
          <w14:ligatures w14:val="none"/>
        </w:rPr>
        <w:t xml:space="preserve"> </w:t>
      </w:r>
      <w:r w:rsidR="00615E1F" w:rsidRPr="003D6E4D">
        <w:rPr>
          <w:rFonts w:ascii="Arial" w:eastAsia="Times New Roman" w:hAnsi="Arial" w:cs="Arial"/>
          <w:kern w:val="0"/>
          <w:lang w:eastAsia="en-GB"/>
          <w14:ligatures w14:val="none"/>
        </w:rPr>
        <w:t>(</w:t>
      </w:r>
      <w:r w:rsidR="00B51778" w:rsidRPr="003D6E4D">
        <w:rPr>
          <w:rFonts w:ascii="Arial" w:eastAsia="Times New Roman" w:hAnsi="Arial" w:cs="Arial"/>
          <w:kern w:val="0"/>
          <w:lang w:eastAsia="en-GB"/>
          <w14:ligatures w14:val="none"/>
        </w:rPr>
        <w:t>1969</w:t>
      </w:r>
      <w:r w:rsidR="00615E1F" w:rsidRPr="003D6E4D">
        <w:rPr>
          <w:rFonts w:ascii="Arial" w:eastAsia="Times New Roman" w:hAnsi="Arial" w:cs="Arial"/>
          <w:kern w:val="0"/>
          <w:lang w:eastAsia="en-GB"/>
          <w14:ligatures w14:val="none"/>
        </w:rPr>
        <w:t>)</w:t>
      </w:r>
      <w:r w:rsidR="00B51778" w:rsidRPr="003D6E4D">
        <w:rPr>
          <w:rFonts w:ascii="Arial" w:eastAsia="Times New Roman" w:hAnsi="Arial" w:cs="Arial"/>
          <w:kern w:val="0"/>
          <w:lang w:eastAsia="en-GB"/>
          <w14:ligatures w14:val="none"/>
        </w:rPr>
        <w:t xml:space="preserve">, also known as </w:t>
      </w:r>
      <w:r w:rsidR="00615E1F" w:rsidRPr="003D6E4D">
        <w:rPr>
          <w:rFonts w:ascii="Arial" w:eastAsia="Times New Roman" w:hAnsi="Arial" w:cs="Arial"/>
          <w:kern w:val="0"/>
          <w:lang w:eastAsia="en-GB"/>
          <w14:ligatures w14:val="none"/>
        </w:rPr>
        <w:t>Compulsory Insurance Act</w:t>
      </w:r>
      <w:r w:rsidR="00B51778" w:rsidRPr="003D6E4D">
        <w:rPr>
          <w:rFonts w:ascii="Arial" w:eastAsia="Times New Roman" w:hAnsi="Arial" w:cs="Arial"/>
          <w:kern w:val="0"/>
          <w:lang w:eastAsia="en-GB"/>
          <w14:ligatures w14:val="none"/>
        </w:rPr>
        <w:t xml:space="preserve"> summarises </w:t>
      </w:r>
      <w:r w:rsidR="00B51778" w:rsidRPr="003D6E4D">
        <w:rPr>
          <w:rFonts w:ascii="Arial" w:eastAsia="Times New Roman" w:hAnsi="Arial" w:cs="Arial"/>
          <w:kern w:val="0"/>
          <w:lang w:eastAsia="en-GB"/>
          <w14:ligatures w14:val="none"/>
        </w:rPr>
        <w:t xml:space="preserve">all employers, unless exempt, </w:t>
      </w:r>
      <w:r w:rsidR="00B51778" w:rsidRPr="003D6E4D">
        <w:rPr>
          <w:rFonts w:ascii="Arial" w:eastAsia="Times New Roman" w:hAnsi="Arial" w:cs="Arial"/>
          <w:kern w:val="0"/>
          <w:lang w:eastAsia="en-GB"/>
          <w14:ligatures w14:val="none"/>
        </w:rPr>
        <w:t xml:space="preserve">must </w:t>
      </w:r>
      <w:r w:rsidR="00B51778" w:rsidRPr="003D6E4D">
        <w:rPr>
          <w:rFonts w:ascii="Arial" w:eastAsia="Times New Roman" w:hAnsi="Arial" w:cs="Arial"/>
          <w:kern w:val="0"/>
          <w:lang w:eastAsia="en-GB"/>
          <w14:ligatures w14:val="none"/>
        </w:rPr>
        <w:t xml:space="preserve">obtain and keep insurance protecting them from liability for illnesses or injuries that employees may suffer while working for </w:t>
      </w:r>
      <w:r w:rsidR="00B51778" w:rsidRPr="003D6E4D">
        <w:rPr>
          <w:rFonts w:ascii="Arial" w:eastAsia="Times New Roman" w:hAnsi="Arial" w:cs="Arial"/>
          <w:kern w:val="0"/>
          <w:lang w:eastAsia="en-GB"/>
          <w14:ligatures w14:val="none"/>
        </w:rPr>
        <w:t xml:space="preserve">an </w:t>
      </w:r>
      <w:r w:rsidR="00B51778" w:rsidRPr="003D6E4D">
        <w:rPr>
          <w:rFonts w:ascii="Arial" w:eastAsia="Times New Roman" w:hAnsi="Arial" w:cs="Arial"/>
          <w:kern w:val="0"/>
          <w:lang w:eastAsia="en-GB"/>
          <w14:ligatures w14:val="none"/>
        </w:rPr>
        <w:t>employer</w:t>
      </w:r>
      <w:r w:rsidR="00B51778" w:rsidRPr="003D6E4D">
        <w:rPr>
          <w:rFonts w:ascii="Arial" w:eastAsia="Times New Roman" w:hAnsi="Arial" w:cs="Arial"/>
          <w:kern w:val="0"/>
          <w:lang w:eastAsia="en-GB"/>
          <w14:ligatures w14:val="none"/>
        </w:rPr>
        <w:t>,</w:t>
      </w:r>
      <w:r w:rsidR="0035001D" w:rsidRPr="003D6E4D">
        <w:rPr>
          <w:rFonts w:ascii="Arial" w:eastAsia="Times New Roman" w:hAnsi="Arial" w:cs="Arial"/>
          <w:kern w:val="0"/>
          <w:lang w:eastAsia="en-GB"/>
          <w14:ligatures w14:val="none"/>
        </w:rPr>
        <w:t xml:space="preserve"> </w:t>
      </w:r>
      <w:r w:rsidR="0035001D" w:rsidRPr="003D6E4D">
        <w:rPr>
          <w:rFonts w:ascii="Arial" w:eastAsia="Times New Roman" w:hAnsi="Arial" w:cs="Arial"/>
          <w:kern w:val="0"/>
          <w:lang w:eastAsia="en-GB"/>
          <w14:ligatures w14:val="none"/>
        </w:rPr>
        <w:t>(legislation.gov.uk, 2020)</w:t>
      </w:r>
      <w:r w:rsidR="0035001D" w:rsidRPr="003D6E4D">
        <w:rPr>
          <w:rFonts w:ascii="Arial" w:eastAsia="Times New Roman" w:hAnsi="Arial" w:cs="Arial"/>
          <w:kern w:val="0"/>
          <w:lang w:eastAsia="en-GB"/>
          <w14:ligatures w14:val="none"/>
        </w:rPr>
        <w:t xml:space="preserve">. </w:t>
      </w:r>
      <w:r w:rsidR="0035001D" w:rsidRPr="003D6E4D">
        <w:rPr>
          <w:rFonts w:ascii="Arial" w:eastAsia="Times New Roman" w:hAnsi="Arial" w:cs="Arial"/>
          <w:kern w:val="0"/>
          <w:lang w:eastAsia="en-GB"/>
          <w14:ligatures w14:val="none"/>
        </w:rPr>
        <w:t xml:space="preserve">If Elijah's employer disregarded their duty of care to him, they could be held accountable. The duty of care that an employer has to its workers has been highlighted by the Orchard v. Lee </w:t>
      </w:r>
      <w:r w:rsidR="008E6B28" w:rsidRPr="003D6E4D">
        <w:rPr>
          <w:rFonts w:ascii="Arial" w:eastAsia="Times New Roman" w:hAnsi="Arial" w:cs="Arial"/>
          <w:kern w:val="0"/>
          <w:lang w:eastAsia="en-GB"/>
          <w14:ligatures w14:val="none"/>
        </w:rPr>
        <w:t>case (</w:t>
      </w:r>
      <w:r w:rsidR="0035001D" w:rsidRPr="003D6E4D">
        <w:rPr>
          <w:rFonts w:ascii="Arial" w:eastAsia="Times New Roman" w:hAnsi="Arial" w:cs="Arial"/>
          <w:kern w:val="0"/>
          <w:lang w:eastAsia="en-GB"/>
          <w14:ligatures w14:val="none"/>
        </w:rPr>
        <w:t>2009).</w:t>
      </w:r>
      <w:r w:rsidR="00CD3022" w:rsidRPr="003D6E4D">
        <w:rPr>
          <w:rFonts w:ascii="Arial" w:eastAsia="Times New Roman" w:hAnsi="Arial" w:cs="Arial"/>
          <w:kern w:val="0"/>
          <w:lang w:eastAsia="en-GB"/>
          <w14:ligatures w14:val="none"/>
        </w:rPr>
        <w:t xml:space="preserve"> </w:t>
      </w:r>
      <w:r w:rsidR="00CD3022" w:rsidRPr="003D6E4D">
        <w:rPr>
          <w:rFonts w:ascii="Arial" w:eastAsia="Times New Roman" w:hAnsi="Arial" w:cs="Arial"/>
          <w:kern w:val="0"/>
          <w:lang w:eastAsia="en-GB"/>
          <w14:ligatures w14:val="none"/>
        </w:rPr>
        <w:t>In this instance, it can be determined tha</w:t>
      </w:r>
      <w:r w:rsidR="00F26DC6" w:rsidRPr="003D6E4D">
        <w:rPr>
          <w:rFonts w:ascii="Arial" w:eastAsia="Times New Roman" w:hAnsi="Arial" w:cs="Arial"/>
          <w:kern w:val="0"/>
          <w:lang w:eastAsia="en-GB"/>
          <w14:ligatures w14:val="none"/>
        </w:rPr>
        <w:t>t Elijah’s</w:t>
      </w:r>
      <w:r w:rsidR="00CD3022" w:rsidRPr="003D6E4D">
        <w:rPr>
          <w:rFonts w:ascii="Arial" w:eastAsia="Times New Roman" w:hAnsi="Arial" w:cs="Arial"/>
          <w:kern w:val="0"/>
          <w:lang w:eastAsia="en-GB"/>
          <w14:ligatures w14:val="none"/>
        </w:rPr>
        <w:t xml:space="preserve"> employer was responsible for </w:t>
      </w:r>
      <w:r w:rsidR="00F26DC6" w:rsidRPr="003D6E4D">
        <w:rPr>
          <w:rFonts w:ascii="Arial" w:eastAsia="Times New Roman" w:hAnsi="Arial" w:cs="Arial"/>
          <w:kern w:val="0"/>
          <w:lang w:eastAsia="en-GB"/>
          <w14:ligatures w14:val="none"/>
        </w:rPr>
        <w:t>his</w:t>
      </w:r>
      <w:r w:rsidR="00CD3022" w:rsidRPr="003D6E4D">
        <w:rPr>
          <w:rFonts w:ascii="Arial" w:eastAsia="Times New Roman" w:hAnsi="Arial" w:cs="Arial"/>
          <w:kern w:val="0"/>
          <w:lang w:eastAsia="en-GB"/>
          <w14:ligatures w14:val="none"/>
        </w:rPr>
        <w:t xml:space="preserve"> injuries since they were caused by inadequate</w:t>
      </w:r>
      <w:r w:rsidR="00F26DC6" w:rsidRPr="003D6E4D">
        <w:rPr>
          <w:rFonts w:ascii="Arial" w:eastAsia="Times New Roman" w:hAnsi="Arial" w:cs="Arial"/>
          <w:kern w:val="0"/>
          <w:lang w:eastAsia="en-GB"/>
          <w14:ligatures w14:val="none"/>
        </w:rPr>
        <w:t xml:space="preserve"> or lack of</w:t>
      </w:r>
      <w:r w:rsidR="00CD3022" w:rsidRPr="003D6E4D">
        <w:rPr>
          <w:rFonts w:ascii="Arial" w:eastAsia="Times New Roman" w:hAnsi="Arial" w:cs="Arial"/>
          <w:kern w:val="0"/>
          <w:lang w:eastAsia="en-GB"/>
          <w14:ligatures w14:val="none"/>
        </w:rPr>
        <w:t xml:space="preserve"> training. It was the responsibility of Elijah's employer to provide a safe workplace, which included appropriate hazard signage and staff training.</w:t>
      </w:r>
      <w:r w:rsidR="00CD3022" w:rsidRPr="003D6E4D">
        <w:rPr>
          <w:rFonts w:ascii="Arial" w:eastAsia="Times New Roman" w:hAnsi="Arial" w:cs="Arial"/>
          <w:kern w:val="0"/>
          <w:lang w:eastAsia="en-GB"/>
          <w14:ligatures w14:val="none"/>
        </w:rPr>
        <w:t xml:space="preserve"> This is acknowledged under section 15 of the amendment regulations (2015) of the Health and safety act </w:t>
      </w:r>
      <w:r w:rsidR="00F26DC6" w:rsidRPr="003D6E4D">
        <w:rPr>
          <w:rFonts w:ascii="Arial" w:eastAsia="Times New Roman" w:hAnsi="Arial" w:cs="Arial"/>
          <w:kern w:val="0"/>
          <w:lang w:eastAsia="en-GB"/>
          <w14:ligatures w14:val="none"/>
        </w:rPr>
        <w:t>(</w:t>
      </w:r>
      <w:r w:rsidR="00CD3022" w:rsidRPr="003D6E4D">
        <w:rPr>
          <w:rFonts w:ascii="Arial" w:eastAsia="Times New Roman" w:hAnsi="Arial" w:cs="Arial"/>
          <w:kern w:val="0"/>
          <w:lang w:eastAsia="en-GB"/>
          <w14:ligatures w14:val="none"/>
        </w:rPr>
        <w:t>1974</w:t>
      </w:r>
      <w:r w:rsidR="00F26DC6" w:rsidRPr="003D6E4D">
        <w:rPr>
          <w:rFonts w:ascii="Arial" w:eastAsia="Times New Roman" w:hAnsi="Arial" w:cs="Arial"/>
          <w:kern w:val="0"/>
          <w:lang w:eastAsia="en-GB"/>
          <w14:ligatures w14:val="none"/>
        </w:rPr>
        <w:t>)</w:t>
      </w:r>
      <w:r w:rsidR="00CD3022" w:rsidRPr="003D6E4D">
        <w:rPr>
          <w:rFonts w:ascii="Arial" w:eastAsia="Times New Roman" w:hAnsi="Arial" w:cs="Arial"/>
          <w:kern w:val="0"/>
          <w:lang w:eastAsia="en-GB"/>
          <w14:ligatures w14:val="none"/>
        </w:rPr>
        <w:t xml:space="preserve"> which states that a): </w:t>
      </w:r>
      <w:r w:rsidR="00CD3022" w:rsidRPr="003D6E4D">
        <w:rPr>
          <w:rFonts w:ascii="Arial" w:eastAsia="Times New Roman" w:hAnsi="Arial" w:cs="Arial"/>
          <w:kern w:val="0"/>
          <w:lang w:eastAsia="en-GB"/>
          <w14:ligatures w14:val="none"/>
        </w:rPr>
        <w:t>Unless otherwise specified, "personal protective equipment" refers to any item of gea</w:t>
      </w:r>
      <w:r w:rsidR="00CD3022" w:rsidRPr="003D6E4D">
        <w:rPr>
          <w:rFonts w:ascii="Arial" w:eastAsia="Times New Roman" w:hAnsi="Arial" w:cs="Arial"/>
          <w:kern w:val="0"/>
          <w:lang w:eastAsia="en-GB"/>
          <w14:ligatures w14:val="none"/>
        </w:rPr>
        <w:t xml:space="preserve">r, </w:t>
      </w:r>
      <w:r w:rsidR="00CD3022" w:rsidRPr="003D6E4D">
        <w:rPr>
          <w:rFonts w:ascii="Arial" w:eastAsia="Times New Roman" w:hAnsi="Arial" w:cs="Arial"/>
          <w:kern w:val="0"/>
          <w:lang w:eastAsia="en-GB"/>
          <w14:ligatures w14:val="none"/>
        </w:rPr>
        <w:t>including weather-resistant clothin</w:t>
      </w:r>
      <w:r w:rsidR="00CD3022" w:rsidRPr="003D6E4D">
        <w:rPr>
          <w:rFonts w:ascii="Arial" w:eastAsia="Times New Roman" w:hAnsi="Arial" w:cs="Arial"/>
          <w:kern w:val="0"/>
          <w:lang w:eastAsia="en-GB"/>
          <w14:ligatures w14:val="none"/>
        </w:rPr>
        <w:t xml:space="preserve">g </w:t>
      </w:r>
      <w:r w:rsidR="00CD3022" w:rsidRPr="003D6E4D">
        <w:rPr>
          <w:rFonts w:ascii="Arial" w:eastAsia="Times New Roman" w:hAnsi="Arial" w:cs="Arial"/>
          <w:kern w:val="0"/>
          <w:lang w:eastAsia="en-GB"/>
          <w14:ligatures w14:val="none"/>
        </w:rPr>
        <w:t>that is meant to be carried or worn by an employee while they are at work and that shields them from one or more hazards to their health or safety</w:t>
      </w:r>
      <w:r w:rsidR="00CD3022" w:rsidRPr="003D6E4D">
        <w:rPr>
          <w:rFonts w:ascii="Arial" w:eastAsia="Times New Roman" w:hAnsi="Arial" w:cs="Arial"/>
          <w:kern w:val="0"/>
          <w:lang w:eastAsia="en-GB"/>
          <w14:ligatures w14:val="none"/>
        </w:rPr>
        <w:t xml:space="preserve">, </w:t>
      </w:r>
      <w:r w:rsidR="00CD3022" w:rsidRPr="003D6E4D">
        <w:rPr>
          <w:rFonts w:ascii="Arial" w:eastAsia="Times New Roman" w:hAnsi="Arial" w:cs="Arial"/>
          <w:kern w:val="0"/>
          <w:lang w:eastAsia="en-GB"/>
          <w14:ligatures w14:val="none"/>
        </w:rPr>
        <w:t>(legislation.gov.uk, 2015)</w:t>
      </w:r>
      <w:r w:rsidR="00567D55" w:rsidRPr="003D6E4D">
        <w:rPr>
          <w:rFonts w:ascii="Arial" w:eastAsia="Times New Roman" w:hAnsi="Arial" w:cs="Arial"/>
          <w:kern w:val="0"/>
          <w:lang w:eastAsia="en-GB"/>
          <w14:ligatures w14:val="none"/>
        </w:rPr>
        <w:t xml:space="preserve">. </w:t>
      </w:r>
      <w:r w:rsidR="008E6B28" w:rsidRPr="003D6E4D">
        <w:rPr>
          <w:rFonts w:ascii="Arial" w:eastAsia="Times New Roman" w:hAnsi="Arial" w:cs="Arial"/>
          <w:kern w:val="0"/>
          <w:lang w:eastAsia="en-GB"/>
          <w14:ligatures w14:val="none"/>
        </w:rPr>
        <w:t>Therefore,</w:t>
      </w:r>
      <w:r w:rsidR="00567D55" w:rsidRPr="003D6E4D">
        <w:rPr>
          <w:rFonts w:ascii="Arial" w:eastAsia="Times New Roman" w:hAnsi="Arial" w:cs="Arial"/>
          <w:kern w:val="0"/>
          <w:lang w:eastAsia="en-GB"/>
          <w14:ligatures w14:val="none"/>
        </w:rPr>
        <w:t xml:space="preserve"> this prompts the question of </w:t>
      </w:r>
      <w:r w:rsidR="00567D55" w:rsidRPr="003D6E4D">
        <w:rPr>
          <w:rFonts w:ascii="Arial" w:eastAsia="Times New Roman" w:hAnsi="Arial" w:cs="Arial"/>
          <w:kern w:val="0"/>
          <w:lang w:eastAsia="en-GB"/>
          <w14:ligatures w14:val="none"/>
        </w:rPr>
        <w:t xml:space="preserve">whether Elijah's employer, </w:t>
      </w:r>
      <w:r w:rsidR="008E6B28" w:rsidRPr="003D6E4D">
        <w:rPr>
          <w:rFonts w:ascii="Arial" w:eastAsia="Times New Roman" w:hAnsi="Arial" w:cs="Arial"/>
          <w:kern w:val="0"/>
          <w:lang w:eastAsia="en-GB"/>
          <w14:ligatures w14:val="none"/>
        </w:rPr>
        <w:t>considering</w:t>
      </w:r>
      <w:r w:rsidR="00567D55" w:rsidRPr="003D6E4D">
        <w:rPr>
          <w:rFonts w:ascii="Arial" w:eastAsia="Times New Roman" w:hAnsi="Arial" w:cs="Arial"/>
          <w:kern w:val="0"/>
          <w:lang w:eastAsia="en-GB"/>
          <w14:ligatures w14:val="none"/>
        </w:rPr>
        <w:t xml:space="preserve"> elements including the frequency of basement jobs and the effectiveness of</w:t>
      </w:r>
      <w:r w:rsidR="00567D55" w:rsidRPr="003D6E4D">
        <w:rPr>
          <w:rFonts w:ascii="Arial" w:eastAsia="Times New Roman" w:hAnsi="Arial" w:cs="Arial"/>
          <w:kern w:val="0"/>
          <w:lang w:eastAsia="en-GB"/>
          <w14:ligatures w14:val="none"/>
        </w:rPr>
        <w:t xml:space="preserve"> </w:t>
      </w:r>
      <w:r w:rsidR="00567D55" w:rsidRPr="003D6E4D">
        <w:rPr>
          <w:rFonts w:ascii="Arial" w:eastAsia="Times New Roman" w:hAnsi="Arial" w:cs="Arial"/>
          <w:kern w:val="0"/>
          <w:lang w:eastAsia="en-GB"/>
          <w14:ligatures w14:val="none"/>
        </w:rPr>
        <w:t>safety measures, made adequate efforts to address foreseeable dangers.</w:t>
      </w:r>
    </w:p>
    <w:p w14:paraId="7E276457" w14:textId="77777777" w:rsidR="00567D55" w:rsidRPr="003D6E4D" w:rsidRDefault="00567D55" w:rsidP="008E6B28">
      <w:pPr>
        <w:spacing w:line="480" w:lineRule="auto"/>
        <w:rPr>
          <w:rFonts w:ascii="Arial" w:eastAsia="Times New Roman" w:hAnsi="Arial" w:cs="Arial"/>
          <w:kern w:val="0"/>
          <w:lang w:eastAsia="en-GB"/>
          <w14:ligatures w14:val="none"/>
        </w:rPr>
      </w:pPr>
    </w:p>
    <w:p w14:paraId="06DB8835" w14:textId="5E66DEC4" w:rsidR="00BE31D0" w:rsidRPr="003D6E4D" w:rsidRDefault="00567D55" w:rsidP="008E6B28">
      <w:pPr>
        <w:spacing w:line="480" w:lineRule="auto"/>
        <w:rPr>
          <w:rFonts w:ascii="Arial" w:eastAsia="Times New Roman" w:hAnsi="Arial" w:cs="Arial"/>
          <w:kern w:val="0"/>
          <w:lang w:eastAsia="en-GB"/>
          <w14:ligatures w14:val="none"/>
        </w:rPr>
      </w:pPr>
      <w:r w:rsidRPr="00567D55">
        <w:rPr>
          <w:rFonts w:ascii="Arial" w:eastAsia="Times New Roman" w:hAnsi="Arial" w:cs="Arial"/>
          <w:kern w:val="0"/>
          <w:lang w:eastAsia="en-GB"/>
          <w14:ligatures w14:val="none"/>
        </w:rPr>
        <w:t>Furthermore, the application of statutory duties is down to interpretation, even though they serve to supplement common law principles.</w:t>
      </w:r>
      <w:r w:rsidRPr="003D6E4D">
        <w:rPr>
          <w:rFonts w:ascii="Arial" w:eastAsia="Times New Roman" w:hAnsi="Arial" w:cs="Arial"/>
          <w:kern w:val="0"/>
          <w:lang w:eastAsia="en-GB"/>
          <w14:ligatures w14:val="none"/>
        </w:rPr>
        <w:t xml:space="preserve"> </w:t>
      </w:r>
      <w:r w:rsidR="007C62D3" w:rsidRPr="003D6E4D">
        <w:rPr>
          <w:rFonts w:ascii="Arial" w:eastAsia="Times New Roman" w:hAnsi="Arial" w:cs="Arial"/>
          <w:kern w:val="0"/>
          <w:lang w:eastAsia="en-GB"/>
          <w14:ligatures w14:val="none"/>
        </w:rPr>
        <w:t xml:space="preserve">Lord Reed </w:t>
      </w:r>
      <w:r w:rsidR="00615E1F" w:rsidRPr="003D6E4D">
        <w:rPr>
          <w:rFonts w:ascii="Arial" w:eastAsia="Times New Roman" w:hAnsi="Arial" w:cs="Arial"/>
          <w:kern w:val="0"/>
          <w:lang w:eastAsia="en-GB"/>
          <w14:ligatures w14:val="none"/>
        </w:rPr>
        <w:t xml:space="preserve">related to the case of Caparo Industries plc v dickman (1990), </w:t>
      </w:r>
      <w:r w:rsidR="00F26DC6" w:rsidRPr="003D6E4D">
        <w:rPr>
          <w:rFonts w:ascii="Arial" w:eastAsia="Times New Roman" w:hAnsi="Arial" w:cs="Arial"/>
          <w:kern w:val="0"/>
          <w:lang w:eastAsia="en-GB"/>
          <w14:ligatures w14:val="none"/>
        </w:rPr>
        <w:t>and</w:t>
      </w:r>
      <w:r w:rsidR="007C62D3" w:rsidRPr="003D6E4D">
        <w:rPr>
          <w:rFonts w:ascii="Arial" w:eastAsia="Times New Roman" w:hAnsi="Arial" w:cs="Arial"/>
          <w:kern w:val="0"/>
          <w:lang w:eastAsia="en-GB"/>
          <w14:ligatures w14:val="none"/>
        </w:rPr>
        <w:t xml:space="preserve"> made clear a basic poin</w:t>
      </w:r>
      <w:r w:rsidR="007C62D3" w:rsidRPr="003D6E4D">
        <w:rPr>
          <w:rFonts w:ascii="Arial" w:eastAsia="Times New Roman" w:hAnsi="Arial" w:cs="Arial"/>
          <w:kern w:val="0"/>
          <w:lang w:eastAsia="en-GB"/>
          <w14:ligatures w14:val="none"/>
        </w:rPr>
        <w:t xml:space="preserve">t, </w:t>
      </w:r>
      <w:r w:rsidR="007C62D3" w:rsidRPr="003D6E4D">
        <w:rPr>
          <w:rFonts w:ascii="Arial" w:eastAsia="Times New Roman" w:hAnsi="Arial" w:cs="Arial"/>
          <w:kern w:val="0"/>
          <w:lang w:eastAsia="en-GB"/>
          <w14:ligatures w14:val="none"/>
        </w:rPr>
        <w:t xml:space="preserve">in a scenario where a duty has been established, the three Caparo elements do not </w:t>
      </w:r>
      <w:r w:rsidR="001C3274" w:rsidRPr="003D6E4D">
        <w:rPr>
          <w:rFonts w:ascii="Arial" w:eastAsia="Times New Roman" w:hAnsi="Arial" w:cs="Arial"/>
          <w:kern w:val="0"/>
          <w:lang w:eastAsia="en-GB"/>
          <w14:ligatures w14:val="none"/>
        </w:rPr>
        <w:t xml:space="preserve">always </w:t>
      </w:r>
      <w:r w:rsidR="007C62D3" w:rsidRPr="003D6E4D">
        <w:rPr>
          <w:rFonts w:ascii="Arial" w:eastAsia="Times New Roman" w:hAnsi="Arial" w:cs="Arial"/>
          <w:kern w:val="0"/>
          <w:lang w:eastAsia="en-GB"/>
          <w14:ligatures w14:val="none"/>
        </w:rPr>
        <w:t>need to be applied</w:t>
      </w:r>
      <w:r w:rsidR="001C3274" w:rsidRPr="003D6E4D">
        <w:rPr>
          <w:rFonts w:ascii="Arial" w:eastAsia="Times New Roman" w:hAnsi="Arial" w:cs="Arial"/>
          <w:kern w:val="0"/>
          <w:lang w:eastAsia="en-GB"/>
          <w14:ligatures w14:val="none"/>
        </w:rPr>
        <w:t xml:space="preserve">, </w:t>
      </w:r>
      <w:r w:rsidR="001C3274" w:rsidRPr="003D6E4D">
        <w:rPr>
          <w:rFonts w:ascii="Arial" w:eastAsia="Times New Roman" w:hAnsi="Arial" w:cs="Arial"/>
          <w:kern w:val="0"/>
          <w:lang w:eastAsia="en-GB"/>
          <w14:ligatures w14:val="none"/>
        </w:rPr>
        <w:t>(O’sullivan 2023)</w:t>
      </w:r>
      <w:r w:rsidR="007C62D3" w:rsidRPr="003D6E4D">
        <w:rPr>
          <w:rFonts w:ascii="Arial" w:eastAsia="Times New Roman" w:hAnsi="Arial" w:cs="Arial"/>
          <w:kern w:val="0"/>
          <w:lang w:eastAsia="en-GB"/>
          <w14:ligatures w14:val="none"/>
        </w:rPr>
        <w:t>.</w:t>
      </w:r>
      <w:r w:rsidR="007C62D3" w:rsidRPr="003D6E4D">
        <w:rPr>
          <w:rFonts w:ascii="Arial" w:eastAsia="Times New Roman" w:hAnsi="Arial" w:cs="Arial"/>
          <w:kern w:val="0"/>
          <w:lang w:eastAsia="en-GB"/>
          <w14:ligatures w14:val="none"/>
        </w:rPr>
        <w:t xml:space="preserve"> </w:t>
      </w:r>
      <w:r w:rsidR="001C3274" w:rsidRPr="003D6E4D">
        <w:rPr>
          <w:rFonts w:ascii="Arial" w:eastAsia="Times New Roman" w:hAnsi="Arial" w:cs="Arial"/>
          <w:kern w:val="0"/>
          <w:lang w:eastAsia="en-GB"/>
          <w14:ligatures w14:val="none"/>
        </w:rPr>
        <w:t>However, f</w:t>
      </w:r>
      <w:r w:rsidR="001C3274" w:rsidRPr="003D6E4D">
        <w:rPr>
          <w:rFonts w:ascii="Arial" w:eastAsia="Times New Roman" w:hAnsi="Arial" w:cs="Arial"/>
          <w:kern w:val="0"/>
          <w:lang w:eastAsia="en-GB"/>
          <w14:ligatures w14:val="none"/>
        </w:rPr>
        <w:t xml:space="preserve">airness and reasonableness, the third component of the Caparo test, correspond to Elijah's statutory duty of care </w:t>
      </w:r>
      <w:r w:rsidR="001C3274" w:rsidRPr="003D6E4D">
        <w:rPr>
          <w:rFonts w:ascii="Arial" w:eastAsia="Times New Roman" w:hAnsi="Arial" w:cs="Arial"/>
          <w:kern w:val="0"/>
          <w:lang w:eastAsia="en-GB"/>
          <w14:ligatures w14:val="none"/>
        </w:rPr>
        <w:lastRenderedPageBreak/>
        <w:t xml:space="preserve">circumstance. It calls into question whether it is fair and reasonable to expect Elijah's employer to foresee and prevent his </w:t>
      </w:r>
      <w:r w:rsidR="008E6B28" w:rsidRPr="003D6E4D">
        <w:rPr>
          <w:rFonts w:ascii="Arial" w:eastAsia="Times New Roman" w:hAnsi="Arial" w:cs="Arial"/>
          <w:kern w:val="0"/>
          <w:lang w:eastAsia="en-GB"/>
          <w14:ligatures w14:val="none"/>
        </w:rPr>
        <w:t>injury</w:t>
      </w:r>
      <w:r w:rsidR="001C3274" w:rsidRPr="003D6E4D">
        <w:rPr>
          <w:rFonts w:ascii="Arial" w:eastAsia="Times New Roman" w:hAnsi="Arial" w:cs="Arial"/>
          <w:kern w:val="0"/>
          <w:lang w:eastAsia="en-GB"/>
          <w14:ligatures w14:val="none"/>
        </w:rPr>
        <w:t>, (O’Sullivan 2023)</w:t>
      </w:r>
      <w:r w:rsidR="001C3274" w:rsidRPr="003D6E4D">
        <w:rPr>
          <w:rFonts w:ascii="Arial" w:eastAsia="Times New Roman" w:hAnsi="Arial" w:cs="Arial"/>
          <w:kern w:val="0"/>
          <w:lang w:eastAsia="en-GB"/>
          <w14:ligatures w14:val="none"/>
        </w:rPr>
        <w:t>.</w:t>
      </w:r>
      <w:r w:rsidR="001C3274" w:rsidRPr="003D6E4D">
        <w:rPr>
          <w:rFonts w:ascii="Arial" w:eastAsia="Times New Roman" w:hAnsi="Arial" w:cs="Arial"/>
          <w:kern w:val="0"/>
          <w:lang w:eastAsia="en-GB"/>
          <w14:ligatures w14:val="none"/>
        </w:rPr>
        <w:t xml:space="preserve"> </w:t>
      </w:r>
      <w:r w:rsidR="001C3274" w:rsidRPr="003D6E4D">
        <w:rPr>
          <w:rFonts w:ascii="Arial" w:eastAsia="Times New Roman" w:hAnsi="Arial" w:cs="Arial"/>
          <w:kern w:val="0"/>
          <w:lang w:eastAsia="en-GB"/>
          <w14:ligatures w14:val="none"/>
        </w:rPr>
        <w:t>Elijah's employer might contend, for instance, that they were unable to foresee his carelessness in reading a text message while walking. On the other hand, Elijah can argue that the employer ought to have imposed stricter security standards.</w:t>
      </w:r>
      <w:r w:rsidR="001C3274" w:rsidRPr="003D6E4D">
        <w:rPr>
          <w:rFonts w:ascii="Arial" w:eastAsia="Times New Roman" w:hAnsi="Arial" w:cs="Arial"/>
          <w:kern w:val="0"/>
          <w:lang w:eastAsia="en-GB"/>
          <w14:ligatures w14:val="none"/>
        </w:rPr>
        <w:t xml:space="preserve"> Therefore, t</w:t>
      </w:r>
      <w:r w:rsidR="001C3274" w:rsidRPr="003D6E4D">
        <w:rPr>
          <w:rFonts w:ascii="Arial" w:eastAsia="Times New Roman" w:hAnsi="Arial" w:cs="Arial"/>
          <w:kern w:val="0"/>
          <w:lang w:eastAsia="en-GB"/>
          <w14:ligatures w14:val="none"/>
        </w:rPr>
        <w:t xml:space="preserve">his component of the test offers a crucial foundation for determining whether Elijah's employer should be held liable under the Health and Safety at Work Act (1974) and whether the statutory duty of care was violated. </w:t>
      </w:r>
      <w:r w:rsidR="001E7DF3" w:rsidRPr="003D6E4D">
        <w:rPr>
          <w:rFonts w:ascii="Arial" w:eastAsia="Times New Roman" w:hAnsi="Arial" w:cs="Arial"/>
          <w:kern w:val="0"/>
          <w:lang w:eastAsia="en-GB"/>
          <w14:ligatures w14:val="none"/>
        </w:rPr>
        <w:t xml:space="preserve">As mentioned in the case of Bolam v Frien </w:t>
      </w:r>
      <w:r w:rsidR="008805A1" w:rsidRPr="003D6E4D">
        <w:rPr>
          <w:rFonts w:ascii="Arial" w:eastAsia="Times New Roman" w:hAnsi="Arial" w:cs="Arial"/>
          <w:kern w:val="0"/>
          <w:lang w:eastAsia="en-GB"/>
          <w14:ligatures w14:val="none"/>
        </w:rPr>
        <w:t>Hospital Management Committee</w:t>
      </w:r>
      <w:r w:rsidR="001E7DF3" w:rsidRPr="003D6E4D">
        <w:rPr>
          <w:rFonts w:ascii="Arial" w:eastAsia="Times New Roman" w:hAnsi="Arial" w:cs="Arial"/>
          <w:kern w:val="0"/>
          <w:lang w:eastAsia="en-GB"/>
          <w14:ligatures w14:val="none"/>
        </w:rPr>
        <w:t xml:space="preserve"> (1957) </w:t>
      </w:r>
      <w:r w:rsidR="008805A1" w:rsidRPr="003D6E4D">
        <w:rPr>
          <w:rFonts w:ascii="Arial" w:eastAsia="Times New Roman" w:hAnsi="Arial" w:cs="Arial"/>
          <w:kern w:val="0"/>
          <w:lang w:eastAsia="en-GB"/>
          <w14:ligatures w14:val="none"/>
        </w:rPr>
        <w:t>the</w:t>
      </w:r>
      <w:r w:rsidR="001E7DF3" w:rsidRPr="003D6E4D">
        <w:rPr>
          <w:rFonts w:ascii="Arial" w:eastAsia="Times New Roman" w:hAnsi="Arial" w:cs="Arial"/>
          <w:kern w:val="0"/>
          <w:lang w:eastAsia="en-GB"/>
          <w14:ligatures w14:val="none"/>
        </w:rPr>
        <w:t xml:space="preserve"> court established the bolam rule that if a professional in this case, a doctor acts in conformity with a procedure that is deemed appropriate by a credible body of medical opinion, they are not being negligent</w:t>
      </w:r>
      <w:r w:rsidR="001E7DF3" w:rsidRPr="003D6E4D">
        <w:rPr>
          <w:rFonts w:ascii="Arial" w:eastAsia="Times New Roman" w:hAnsi="Arial" w:cs="Arial"/>
          <w:kern w:val="0"/>
          <w:lang w:eastAsia="en-GB"/>
          <w14:ligatures w14:val="none"/>
        </w:rPr>
        <w:t xml:space="preserve">, </w:t>
      </w:r>
      <w:r w:rsidR="00BE31D0" w:rsidRPr="003D6E4D">
        <w:rPr>
          <w:rFonts w:ascii="Arial" w:eastAsia="Times New Roman" w:hAnsi="Arial" w:cs="Arial"/>
          <w:kern w:val="0"/>
          <w:lang w:eastAsia="en-GB"/>
          <w14:ligatures w14:val="none"/>
        </w:rPr>
        <w:t>(Dyer and Balan, 2022)</w:t>
      </w:r>
      <w:r w:rsidR="001E7DF3" w:rsidRPr="003D6E4D">
        <w:rPr>
          <w:rFonts w:ascii="Arial" w:eastAsia="Times New Roman" w:hAnsi="Arial" w:cs="Arial"/>
          <w:kern w:val="0"/>
          <w:lang w:eastAsia="en-GB"/>
          <w14:ligatures w14:val="none"/>
        </w:rPr>
        <w:t>.</w:t>
      </w:r>
      <w:r w:rsidR="001E7DF3" w:rsidRPr="003D6E4D">
        <w:rPr>
          <w:rFonts w:ascii="Arial" w:eastAsia="Times New Roman" w:hAnsi="Arial" w:cs="Arial"/>
          <w:kern w:val="0"/>
          <w:lang w:eastAsia="en-GB"/>
          <w14:ligatures w14:val="none"/>
        </w:rPr>
        <w:t xml:space="preserve"> S</w:t>
      </w:r>
      <w:r w:rsidR="00BE31D0" w:rsidRPr="003D6E4D">
        <w:rPr>
          <w:rFonts w:ascii="Arial" w:eastAsia="Times New Roman" w:hAnsi="Arial" w:cs="Arial"/>
          <w:kern w:val="0"/>
          <w:lang w:eastAsia="en-GB"/>
          <w14:ligatures w14:val="none"/>
        </w:rPr>
        <w:t>ubsequently</w:t>
      </w:r>
      <w:r w:rsidR="001E7DF3" w:rsidRPr="003D6E4D">
        <w:rPr>
          <w:rFonts w:ascii="Arial" w:eastAsia="Times New Roman" w:hAnsi="Arial" w:cs="Arial"/>
          <w:kern w:val="0"/>
          <w:lang w:eastAsia="en-GB"/>
          <w14:ligatures w14:val="none"/>
        </w:rPr>
        <w:t xml:space="preserve">, this can be applied to the fact that </w:t>
      </w:r>
      <w:r w:rsidR="00BE31D0" w:rsidRPr="003D6E4D">
        <w:rPr>
          <w:rFonts w:ascii="Arial" w:eastAsia="Times New Roman" w:hAnsi="Arial" w:cs="Arial"/>
          <w:kern w:val="0"/>
          <w:lang w:eastAsia="en-GB"/>
          <w14:ligatures w14:val="none"/>
        </w:rPr>
        <w:t xml:space="preserve">Elijah's employer is required to follow a level of care specified by current workplace safety laws and industry norms, </w:t>
      </w:r>
      <w:r w:rsidR="00F26DC6" w:rsidRPr="003D6E4D">
        <w:rPr>
          <w:rFonts w:ascii="Arial" w:eastAsia="Times New Roman" w:hAnsi="Arial" w:cs="Arial"/>
          <w:kern w:val="0"/>
          <w:lang w:eastAsia="en-GB"/>
          <w14:ligatures w14:val="none"/>
        </w:rPr>
        <w:t>s</w:t>
      </w:r>
      <w:r w:rsidR="00BE31D0" w:rsidRPr="003D6E4D">
        <w:rPr>
          <w:rFonts w:ascii="Arial" w:eastAsia="Times New Roman" w:hAnsi="Arial" w:cs="Arial"/>
          <w:kern w:val="0"/>
          <w:lang w:eastAsia="en-GB"/>
          <w14:ligatures w14:val="none"/>
        </w:rPr>
        <w:t xml:space="preserve">uch as the Bolam test that establishes a standard of care for medical professionals based on </w:t>
      </w:r>
      <w:r w:rsidR="008E6B28" w:rsidRPr="003D6E4D">
        <w:rPr>
          <w:rFonts w:ascii="Arial" w:eastAsia="Times New Roman" w:hAnsi="Arial" w:cs="Arial"/>
          <w:kern w:val="0"/>
          <w:lang w:eastAsia="en-GB"/>
          <w14:ligatures w14:val="none"/>
        </w:rPr>
        <w:t>accepted</w:t>
      </w:r>
      <w:r w:rsidR="00BE31D0" w:rsidRPr="003D6E4D">
        <w:rPr>
          <w:rFonts w:ascii="Arial" w:eastAsia="Times New Roman" w:hAnsi="Arial" w:cs="Arial"/>
          <w:kern w:val="0"/>
          <w:lang w:eastAsia="en-GB"/>
          <w14:ligatures w14:val="none"/>
        </w:rPr>
        <w:t xml:space="preserve"> procedures</w:t>
      </w:r>
      <w:r w:rsidR="00BE31D0" w:rsidRPr="003D6E4D">
        <w:rPr>
          <w:rFonts w:ascii="Arial" w:eastAsia="Times New Roman" w:hAnsi="Arial" w:cs="Arial"/>
          <w:kern w:val="0"/>
          <w:lang w:eastAsia="en-GB"/>
          <w14:ligatures w14:val="none"/>
        </w:rPr>
        <w:t xml:space="preserve">, </w:t>
      </w:r>
      <w:r w:rsidR="00BE31D0" w:rsidRPr="003D6E4D">
        <w:rPr>
          <w:rFonts w:ascii="Arial" w:eastAsia="Times New Roman" w:hAnsi="Arial" w:cs="Arial"/>
          <w:kern w:val="0"/>
          <w:lang w:eastAsia="en-GB"/>
          <w14:ligatures w14:val="none"/>
        </w:rPr>
        <w:t>(Dyer and Balan, 2022</w:t>
      </w:r>
      <w:r w:rsidR="00BE31D0" w:rsidRPr="003D6E4D">
        <w:rPr>
          <w:rFonts w:ascii="Arial" w:eastAsia="Times New Roman" w:hAnsi="Arial" w:cs="Arial"/>
          <w:kern w:val="0"/>
          <w:lang w:eastAsia="en-GB"/>
          <w14:ligatures w14:val="none"/>
        </w:rPr>
        <w:t>)</w:t>
      </w:r>
      <w:r w:rsidR="00BE31D0" w:rsidRPr="003D6E4D">
        <w:rPr>
          <w:rFonts w:ascii="Arial" w:eastAsia="Times New Roman" w:hAnsi="Arial" w:cs="Arial"/>
          <w:kern w:val="0"/>
          <w:lang w:eastAsia="en-GB"/>
          <w14:ligatures w14:val="none"/>
        </w:rPr>
        <w:t>.</w:t>
      </w:r>
    </w:p>
    <w:p w14:paraId="43F32447" w14:textId="77777777" w:rsidR="00646061" w:rsidRPr="003D6E4D" w:rsidRDefault="00646061" w:rsidP="008E6B28">
      <w:pPr>
        <w:spacing w:line="480" w:lineRule="auto"/>
        <w:rPr>
          <w:rFonts w:ascii="Arial" w:eastAsia="Times New Roman" w:hAnsi="Arial" w:cs="Arial"/>
          <w:kern w:val="0"/>
          <w:lang w:eastAsia="en-GB"/>
          <w14:ligatures w14:val="none"/>
        </w:rPr>
      </w:pPr>
    </w:p>
    <w:p w14:paraId="27B979E3" w14:textId="77777777" w:rsidR="00646061" w:rsidRPr="003D6E4D" w:rsidRDefault="00646061" w:rsidP="008E6B28">
      <w:pPr>
        <w:spacing w:line="480" w:lineRule="auto"/>
        <w:rPr>
          <w:rFonts w:ascii="Arial" w:eastAsia="Times New Roman" w:hAnsi="Arial" w:cs="Arial"/>
          <w:kern w:val="0"/>
          <w:lang w:eastAsia="en-GB"/>
          <w14:ligatures w14:val="none"/>
        </w:rPr>
      </w:pPr>
    </w:p>
    <w:p w14:paraId="40222199" w14:textId="7359DA13" w:rsidR="00646061" w:rsidRPr="003D6E4D" w:rsidRDefault="00646061" w:rsidP="008E6B28">
      <w:pPr>
        <w:spacing w:line="480" w:lineRule="auto"/>
        <w:rPr>
          <w:rFonts w:ascii="Arial" w:eastAsia="Times New Roman" w:hAnsi="Arial" w:cs="Arial"/>
          <w:kern w:val="0"/>
          <w:lang w:eastAsia="en-GB"/>
          <w14:ligatures w14:val="none"/>
        </w:rPr>
      </w:pPr>
      <w:r w:rsidRPr="003D6E4D">
        <w:rPr>
          <w:rFonts w:ascii="Arial" w:eastAsia="Times New Roman" w:hAnsi="Arial" w:cs="Arial"/>
          <w:kern w:val="0"/>
          <w:lang w:eastAsia="en-GB"/>
          <w14:ligatures w14:val="none"/>
        </w:rPr>
        <w:t xml:space="preserve">Additionally, </w:t>
      </w:r>
      <w:r w:rsidRPr="003D6E4D">
        <w:rPr>
          <w:rFonts w:ascii="Arial" w:eastAsia="Times New Roman" w:hAnsi="Arial" w:cs="Arial"/>
          <w:kern w:val="0"/>
          <w:lang w:eastAsia="en-GB"/>
          <w14:ligatures w14:val="none"/>
        </w:rPr>
        <w:t xml:space="preserve">Elijah's liability needs to be carefully considered </w:t>
      </w:r>
      <w:r w:rsidR="008E6B28" w:rsidRPr="003D6E4D">
        <w:rPr>
          <w:rFonts w:ascii="Arial" w:eastAsia="Times New Roman" w:hAnsi="Arial" w:cs="Arial"/>
          <w:kern w:val="0"/>
          <w:lang w:eastAsia="en-GB"/>
          <w14:ligatures w14:val="none"/>
        </w:rPr>
        <w:t>considering</w:t>
      </w:r>
      <w:r w:rsidRPr="003D6E4D">
        <w:rPr>
          <w:rFonts w:ascii="Arial" w:eastAsia="Times New Roman" w:hAnsi="Arial" w:cs="Arial"/>
          <w:kern w:val="0"/>
          <w:lang w:eastAsia="en-GB"/>
          <w14:ligatures w14:val="none"/>
        </w:rPr>
        <w:t xml:space="preserve"> the contributory negligence </w:t>
      </w:r>
      <w:r w:rsidR="00B309AC" w:rsidRPr="003D6E4D">
        <w:rPr>
          <w:rFonts w:ascii="Arial" w:eastAsia="Times New Roman" w:hAnsi="Arial" w:cs="Arial"/>
          <w:kern w:val="0"/>
          <w:lang w:eastAsia="en-GB"/>
          <w14:ligatures w14:val="none"/>
        </w:rPr>
        <w:t>defense</w:t>
      </w:r>
      <w:r w:rsidRPr="003D6E4D">
        <w:rPr>
          <w:rFonts w:ascii="Arial" w:eastAsia="Times New Roman" w:hAnsi="Arial" w:cs="Arial"/>
          <w:kern w:val="0"/>
          <w:lang w:eastAsia="en-GB"/>
          <w14:ligatures w14:val="none"/>
        </w:rPr>
        <w:t>.</w:t>
      </w:r>
      <w:r w:rsidRPr="003D6E4D">
        <w:rPr>
          <w:rFonts w:ascii="Arial" w:eastAsia="Times New Roman" w:hAnsi="Arial" w:cs="Arial"/>
          <w:kern w:val="0"/>
          <w:lang w:eastAsia="en-GB"/>
          <w14:ligatures w14:val="none"/>
        </w:rPr>
        <w:t xml:space="preserve"> </w:t>
      </w:r>
      <w:r w:rsidRPr="003D6E4D">
        <w:rPr>
          <w:rFonts w:ascii="Arial" w:eastAsia="Times New Roman" w:hAnsi="Arial" w:cs="Arial"/>
          <w:kern w:val="0"/>
          <w:lang w:eastAsia="en-GB"/>
          <w14:ligatures w14:val="none"/>
        </w:rPr>
        <w:t xml:space="preserve">Even while </w:t>
      </w:r>
      <w:r w:rsidR="008E6B28" w:rsidRPr="003D6E4D">
        <w:rPr>
          <w:rFonts w:ascii="Arial" w:eastAsia="Times New Roman" w:hAnsi="Arial" w:cs="Arial"/>
          <w:kern w:val="0"/>
          <w:lang w:eastAsia="en-GB"/>
          <w14:ligatures w14:val="none"/>
        </w:rPr>
        <w:t>it is</w:t>
      </w:r>
      <w:r w:rsidRPr="003D6E4D">
        <w:rPr>
          <w:rFonts w:ascii="Arial" w:eastAsia="Times New Roman" w:hAnsi="Arial" w:cs="Arial"/>
          <w:kern w:val="0"/>
          <w:lang w:eastAsia="en-GB"/>
          <w14:ligatures w14:val="none"/>
        </w:rPr>
        <w:t xml:space="preserve"> possible that he was careless in reading a text message while walking, </w:t>
      </w:r>
      <w:r w:rsidR="008E6B28" w:rsidRPr="003D6E4D">
        <w:rPr>
          <w:rFonts w:ascii="Arial" w:eastAsia="Times New Roman" w:hAnsi="Arial" w:cs="Arial"/>
          <w:kern w:val="0"/>
          <w:lang w:eastAsia="en-GB"/>
          <w14:ligatures w14:val="none"/>
        </w:rPr>
        <w:t>it is</w:t>
      </w:r>
      <w:r w:rsidRPr="003D6E4D">
        <w:rPr>
          <w:rFonts w:ascii="Arial" w:eastAsia="Times New Roman" w:hAnsi="Arial" w:cs="Arial"/>
          <w:kern w:val="0"/>
          <w:lang w:eastAsia="en-GB"/>
          <w14:ligatures w14:val="none"/>
        </w:rPr>
        <w:t xml:space="preserve"> important to determine if his activities directly caused his injuries or if they were only a factor in the larger situation.</w:t>
      </w:r>
      <w:r w:rsidR="00D227C9" w:rsidRPr="003D6E4D">
        <w:rPr>
          <w:rFonts w:ascii="Arial" w:eastAsia="Times New Roman" w:hAnsi="Arial" w:cs="Arial"/>
          <w:kern w:val="0"/>
          <w:lang w:eastAsia="en-GB"/>
          <w14:ligatures w14:val="none"/>
        </w:rPr>
        <w:t xml:space="preserve"> </w:t>
      </w:r>
      <w:r w:rsidR="00D227C9" w:rsidRPr="003D6E4D">
        <w:rPr>
          <w:rFonts w:ascii="Arial" w:eastAsia="Times New Roman" w:hAnsi="Arial" w:cs="Arial"/>
          <w:kern w:val="0"/>
          <w:lang w:eastAsia="en-GB"/>
          <w14:ligatures w14:val="none"/>
        </w:rPr>
        <w:t xml:space="preserve">Froom v. Butcher [1976] states that </w:t>
      </w:r>
      <w:r w:rsidR="00D227C9" w:rsidRPr="003D6E4D">
        <w:rPr>
          <w:rFonts w:ascii="Arial" w:eastAsia="Times New Roman" w:hAnsi="Arial" w:cs="Arial"/>
          <w:kern w:val="0"/>
          <w:lang w:eastAsia="en-GB"/>
          <w14:ligatures w14:val="none"/>
        </w:rPr>
        <w:t>to</w:t>
      </w:r>
      <w:r w:rsidR="00D227C9" w:rsidRPr="003D6E4D">
        <w:rPr>
          <w:rFonts w:ascii="Arial" w:eastAsia="Times New Roman" w:hAnsi="Arial" w:cs="Arial"/>
          <w:kern w:val="0"/>
          <w:lang w:eastAsia="en-GB"/>
          <w14:ligatures w14:val="none"/>
        </w:rPr>
        <w:t xml:space="preserve"> qualify for a reduction in damages, contributory negligence must be a substantial cause as opposed to merely a contributing factor</w:t>
      </w:r>
      <w:r w:rsidR="00D227C9" w:rsidRPr="003D6E4D">
        <w:rPr>
          <w:rFonts w:ascii="Arial" w:eastAsia="Times New Roman" w:hAnsi="Arial" w:cs="Arial"/>
          <w:kern w:val="0"/>
          <w:lang w:eastAsia="en-GB"/>
          <w14:ligatures w14:val="none"/>
        </w:rPr>
        <w:t>, (Horsey and Rackley, 2021)</w:t>
      </w:r>
      <w:r w:rsidR="00D227C9" w:rsidRPr="003D6E4D">
        <w:rPr>
          <w:rFonts w:ascii="Arial" w:eastAsia="Times New Roman" w:hAnsi="Arial" w:cs="Arial"/>
          <w:kern w:val="0"/>
          <w:lang w:eastAsia="en-GB"/>
          <w14:ligatures w14:val="none"/>
        </w:rPr>
        <w:t xml:space="preserve">. Consequently, </w:t>
      </w:r>
      <w:r w:rsidR="00B309AC" w:rsidRPr="003D6E4D">
        <w:rPr>
          <w:rFonts w:ascii="Arial" w:eastAsia="Times New Roman" w:hAnsi="Arial" w:cs="Arial"/>
          <w:kern w:val="0"/>
          <w:lang w:eastAsia="en-GB"/>
          <w14:ligatures w14:val="none"/>
        </w:rPr>
        <w:t>to</w:t>
      </w:r>
      <w:r w:rsidR="00D227C9" w:rsidRPr="003D6E4D">
        <w:rPr>
          <w:rFonts w:ascii="Arial" w:eastAsia="Times New Roman" w:hAnsi="Arial" w:cs="Arial"/>
          <w:kern w:val="0"/>
          <w:lang w:eastAsia="en-GB"/>
          <w14:ligatures w14:val="none"/>
        </w:rPr>
        <w:t xml:space="preserve"> ascertain the degree to which Elijah's </w:t>
      </w:r>
      <w:r w:rsidR="00D227C9" w:rsidRPr="003D6E4D">
        <w:rPr>
          <w:rFonts w:ascii="Arial" w:eastAsia="Times New Roman" w:hAnsi="Arial" w:cs="Arial"/>
          <w:kern w:val="0"/>
          <w:lang w:eastAsia="en-GB"/>
          <w14:ligatures w14:val="none"/>
        </w:rPr>
        <w:lastRenderedPageBreak/>
        <w:t xml:space="preserve">injuries are his fault, a careful examination is required. </w:t>
      </w:r>
      <w:r w:rsidR="00B309AC" w:rsidRPr="003D6E4D">
        <w:rPr>
          <w:rFonts w:ascii="Arial" w:eastAsia="Times New Roman" w:hAnsi="Arial" w:cs="Arial"/>
          <w:kern w:val="0"/>
          <w:lang w:eastAsia="en-GB"/>
          <w14:ligatures w14:val="none"/>
        </w:rPr>
        <w:t>Furthermore, the 1954 Roe v. Minister of Health decision established people's obligation to take reasonable precautions for their own safety</w:t>
      </w:r>
      <w:r w:rsidR="00B309AC" w:rsidRPr="003D6E4D">
        <w:rPr>
          <w:rFonts w:ascii="Arial" w:eastAsia="Times New Roman" w:hAnsi="Arial" w:cs="Arial"/>
          <w:kern w:val="0"/>
          <w:lang w:eastAsia="en-GB"/>
          <w14:ligatures w14:val="none"/>
        </w:rPr>
        <w:t xml:space="preserve">, </w:t>
      </w:r>
      <w:r w:rsidR="00B309AC" w:rsidRPr="003D6E4D">
        <w:rPr>
          <w:rFonts w:ascii="Arial" w:eastAsia="Times New Roman" w:hAnsi="Arial" w:cs="Arial"/>
          <w:kern w:val="0"/>
          <w:lang w:eastAsia="en-GB"/>
          <w14:ligatures w14:val="none"/>
        </w:rPr>
        <w:t>(Horsey and Rackley, 2021). Elijah's disregard for warning indications and the delay in seeking medical assistance for his wounds could also come under examination. However, it is critical to </w:t>
      </w:r>
      <w:r w:rsidR="00F26DC6" w:rsidRPr="003D6E4D">
        <w:rPr>
          <w:rFonts w:ascii="Arial" w:eastAsia="Times New Roman" w:hAnsi="Arial" w:cs="Arial"/>
          <w:kern w:val="0"/>
          <w:lang w:eastAsia="en-GB"/>
          <w14:ligatures w14:val="none"/>
        </w:rPr>
        <w:t>seek</w:t>
      </w:r>
      <w:r w:rsidR="00B309AC" w:rsidRPr="003D6E4D">
        <w:rPr>
          <w:rFonts w:ascii="Arial" w:eastAsia="Times New Roman" w:hAnsi="Arial" w:cs="Arial"/>
          <w:kern w:val="0"/>
          <w:lang w:eastAsia="en-GB"/>
          <w14:ligatures w14:val="none"/>
        </w:rPr>
        <w:t xml:space="preserve"> to evaluate whether Elijah acted fairly </w:t>
      </w:r>
      <w:r w:rsidR="008E6B28" w:rsidRPr="003D6E4D">
        <w:rPr>
          <w:rFonts w:ascii="Arial" w:eastAsia="Times New Roman" w:hAnsi="Arial" w:cs="Arial"/>
          <w:kern w:val="0"/>
          <w:lang w:eastAsia="en-GB"/>
          <w14:ligatures w14:val="none"/>
        </w:rPr>
        <w:t>considering</w:t>
      </w:r>
      <w:r w:rsidR="00B309AC" w:rsidRPr="003D6E4D">
        <w:rPr>
          <w:rFonts w:ascii="Arial" w:eastAsia="Times New Roman" w:hAnsi="Arial" w:cs="Arial"/>
          <w:kern w:val="0"/>
          <w:lang w:eastAsia="en-GB"/>
          <w14:ligatures w14:val="none"/>
        </w:rPr>
        <w:t xml:space="preserve"> the situation and how predictable his actions were. Even though Elijah's acts might have contributed to his injuries, the court must carefully consider how much he contributed and whether his actions were reasonable </w:t>
      </w:r>
      <w:r w:rsidR="008E6B28" w:rsidRPr="003D6E4D">
        <w:rPr>
          <w:rFonts w:ascii="Arial" w:eastAsia="Times New Roman" w:hAnsi="Arial" w:cs="Arial"/>
          <w:kern w:val="0"/>
          <w:lang w:eastAsia="en-GB"/>
          <w14:ligatures w14:val="none"/>
        </w:rPr>
        <w:t>to</w:t>
      </w:r>
      <w:r w:rsidR="00B309AC" w:rsidRPr="003D6E4D">
        <w:rPr>
          <w:rFonts w:ascii="Arial" w:eastAsia="Times New Roman" w:hAnsi="Arial" w:cs="Arial"/>
          <w:kern w:val="0"/>
          <w:lang w:eastAsia="en-GB"/>
          <w14:ligatures w14:val="none"/>
        </w:rPr>
        <w:t xml:space="preserve"> assess how much personal accountability he </w:t>
      </w:r>
      <w:r w:rsidR="00B309AC" w:rsidRPr="003D6E4D">
        <w:rPr>
          <w:rFonts w:ascii="Arial" w:eastAsia="Times New Roman" w:hAnsi="Arial" w:cs="Arial"/>
          <w:kern w:val="0"/>
          <w:lang w:eastAsia="en-GB"/>
          <w14:ligatures w14:val="none"/>
        </w:rPr>
        <w:t xml:space="preserve">owes, (Horsey and Rackley, </w:t>
      </w:r>
      <w:r w:rsidR="00B309AC" w:rsidRPr="003D6E4D">
        <w:rPr>
          <w:rFonts w:ascii="Arial" w:eastAsia="Times New Roman" w:hAnsi="Arial" w:cs="Arial"/>
          <w:kern w:val="0"/>
          <w:lang w:eastAsia="en-GB"/>
          <w14:ligatures w14:val="none"/>
        </w:rPr>
        <w:t>2023</w:t>
      </w:r>
      <w:r w:rsidR="00B309AC" w:rsidRPr="003D6E4D">
        <w:rPr>
          <w:rFonts w:ascii="Arial" w:eastAsia="Times New Roman" w:hAnsi="Arial" w:cs="Arial"/>
          <w:kern w:val="0"/>
          <w:lang w:eastAsia="en-GB"/>
          <w14:ligatures w14:val="none"/>
        </w:rPr>
        <w:t>)</w:t>
      </w:r>
      <w:r w:rsidR="00B309AC" w:rsidRPr="003D6E4D">
        <w:rPr>
          <w:rFonts w:ascii="Arial" w:eastAsia="Times New Roman" w:hAnsi="Arial" w:cs="Arial"/>
          <w:kern w:val="0"/>
          <w:lang w:eastAsia="en-GB"/>
          <w14:ligatures w14:val="none"/>
        </w:rPr>
        <w:t>.</w:t>
      </w:r>
      <w:r w:rsidR="00615E1F" w:rsidRPr="003D6E4D">
        <w:rPr>
          <w:rFonts w:ascii="Arial" w:eastAsia="Times New Roman" w:hAnsi="Arial" w:cs="Arial"/>
          <w:kern w:val="0"/>
          <w:lang w:eastAsia="en-GB"/>
          <w14:ligatures w14:val="none"/>
        </w:rPr>
        <w:t xml:space="preserve"> On the other hand</w:t>
      </w:r>
      <w:r w:rsidR="008805A1" w:rsidRPr="003D6E4D">
        <w:rPr>
          <w:rFonts w:ascii="Arial" w:eastAsia="Times New Roman" w:hAnsi="Arial" w:cs="Arial"/>
          <w:kern w:val="0"/>
          <w:lang w:eastAsia="en-GB"/>
          <w14:ligatures w14:val="none"/>
        </w:rPr>
        <w:t xml:space="preserve">, </w:t>
      </w:r>
      <w:r w:rsidR="00442203" w:rsidRPr="003D6E4D">
        <w:rPr>
          <w:rFonts w:ascii="Arial" w:eastAsia="Times New Roman" w:hAnsi="Arial" w:cs="Arial"/>
          <w:kern w:val="0"/>
          <w:lang w:eastAsia="en-GB"/>
          <w14:ligatures w14:val="none"/>
        </w:rPr>
        <w:t>i</w:t>
      </w:r>
      <w:r w:rsidR="008805A1" w:rsidRPr="003D6E4D">
        <w:rPr>
          <w:rFonts w:ascii="Arial" w:eastAsia="Times New Roman" w:hAnsi="Arial" w:cs="Arial"/>
          <w:kern w:val="0"/>
          <w:lang w:eastAsia="en-GB"/>
          <w14:ligatures w14:val="none"/>
        </w:rPr>
        <w:t>f Elijah suffered an injury while working, then vicarious liability might be applicable.</w:t>
      </w:r>
      <w:r w:rsidR="00D02C89" w:rsidRPr="003D6E4D">
        <w:rPr>
          <w:rFonts w:ascii="Arial" w:eastAsia="Times New Roman" w:hAnsi="Arial" w:cs="Arial"/>
          <w:kern w:val="0"/>
          <w:lang w:eastAsia="en-GB"/>
          <w14:ligatures w14:val="none"/>
        </w:rPr>
        <w:t xml:space="preserve"> </w:t>
      </w:r>
      <w:r w:rsidRPr="003D6E4D">
        <w:rPr>
          <w:rFonts w:ascii="Arial" w:eastAsia="Times New Roman" w:hAnsi="Arial" w:cs="Arial"/>
          <w:kern w:val="0"/>
          <w:lang w:eastAsia="en-GB"/>
          <w14:ligatures w14:val="none"/>
        </w:rPr>
        <w:t xml:space="preserve">In determining liability, Lord Rodger signifies the need for a nuanced approach. The obligation device permits the employer to be held accountable for the activities of its employees, even in cases where both parties might have </w:t>
      </w:r>
      <w:r w:rsidR="008E6B28" w:rsidRPr="003D6E4D">
        <w:rPr>
          <w:rFonts w:ascii="Arial" w:eastAsia="Times New Roman" w:hAnsi="Arial" w:cs="Arial"/>
          <w:kern w:val="0"/>
          <w:lang w:eastAsia="en-GB"/>
          <w14:ligatures w14:val="none"/>
        </w:rPr>
        <w:t>anticipated</w:t>
      </w:r>
      <w:r w:rsidRPr="003D6E4D">
        <w:rPr>
          <w:rFonts w:ascii="Arial" w:eastAsia="Times New Roman" w:hAnsi="Arial" w:cs="Arial"/>
          <w:kern w:val="0"/>
          <w:lang w:eastAsia="en-GB"/>
          <w14:ligatures w14:val="none"/>
        </w:rPr>
        <w:t xml:space="preserve"> the harm that was produced</w:t>
      </w:r>
      <w:r w:rsidRPr="003D6E4D">
        <w:rPr>
          <w:rFonts w:ascii="Arial" w:eastAsia="Times New Roman" w:hAnsi="Arial" w:cs="Arial"/>
          <w:kern w:val="0"/>
          <w:lang w:eastAsia="en-GB"/>
          <w14:ligatures w14:val="none"/>
        </w:rPr>
        <w:t>, (Weir, 2006)</w:t>
      </w:r>
      <w:r w:rsidRPr="003D6E4D">
        <w:rPr>
          <w:rFonts w:ascii="Arial" w:eastAsia="Times New Roman" w:hAnsi="Arial" w:cs="Arial"/>
          <w:kern w:val="0"/>
          <w:lang w:eastAsia="en-GB"/>
          <w14:ligatures w14:val="none"/>
        </w:rPr>
        <w:t>. This idea emphasizes how vicarious responsibility may be used in Elijah's case to hold his company liable for the employees' carelessness, which led to Elijah's impairment.</w:t>
      </w:r>
    </w:p>
    <w:p w14:paraId="38A14BAF" w14:textId="77777777" w:rsidR="00615E1F" w:rsidRPr="003D6E4D" w:rsidRDefault="00615E1F" w:rsidP="008E6B28">
      <w:pPr>
        <w:spacing w:line="480" w:lineRule="auto"/>
        <w:rPr>
          <w:rFonts w:ascii="Arial" w:eastAsia="Times New Roman" w:hAnsi="Arial" w:cs="Arial"/>
          <w:kern w:val="0"/>
          <w:lang w:eastAsia="en-GB"/>
          <w14:ligatures w14:val="none"/>
        </w:rPr>
      </w:pPr>
    </w:p>
    <w:p w14:paraId="21F49B28" w14:textId="17996C64" w:rsidR="00181BC5" w:rsidRPr="003D6E4D" w:rsidRDefault="00464CE2" w:rsidP="008E6B28">
      <w:pPr>
        <w:spacing w:line="480" w:lineRule="auto"/>
        <w:rPr>
          <w:rFonts w:ascii="Arial" w:eastAsia="Times New Roman" w:hAnsi="Arial" w:cs="Arial"/>
          <w:kern w:val="0"/>
          <w:lang w:eastAsia="en-GB"/>
          <w14:ligatures w14:val="none"/>
        </w:rPr>
      </w:pPr>
      <w:r w:rsidRPr="00464CE2">
        <w:rPr>
          <w:rFonts w:ascii="Arial" w:eastAsia="Times New Roman" w:hAnsi="Arial" w:cs="Arial"/>
          <w:kern w:val="0"/>
          <w:lang w:eastAsia="en-GB"/>
          <w14:ligatures w14:val="none"/>
        </w:rPr>
        <w:t>The legal principles governing medical negligence and contractual duties are brought into clear focus while evaluating the GP surgery's contractual obligation in Elijah's case</w:t>
      </w:r>
      <w:r w:rsidRPr="003D6E4D">
        <w:rPr>
          <w:rFonts w:ascii="Arial" w:eastAsia="Times New Roman" w:hAnsi="Arial" w:cs="Arial"/>
          <w:kern w:val="0"/>
          <w:lang w:eastAsia="en-GB"/>
          <w14:ligatures w14:val="none"/>
        </w:rPr>
        <w:t xml:space="preserve"> as well as </w:t>
      </w:r>
      <w:r w:rsidR="008E6B28" w:rsidRPr="003D6E4D">
        <w:rPr>
          <w:rFonts w:ascii="Arial" w:eastAsia="Times New Roman" w:hAnsi="Arial" w:cs="Arial"/>
          <w:kern w:val="0"/>
          <w:lang w:eastAsia="en-GB"/>
          <w14:ligatures w14:val="none"/>
        </w:rPr>
        <w:t>considering</w:t>
      </w:r>
      <w:r w:rsidRPr="003D6E4D">
        <w:rPr>
          <w:rFonts w:ascii="Arial" w:eastAsia="Times New Roman" w:hAnsi="Arial" w:cs="Arial"/>
          <w:kern w:val="0"/>
          <w:lang w:eastAsia="en-GB"/>
          <w14:ligatures w14:val="none"/>
        </w:rPr>
        <w:t xml:space="preserve"> </w:t>
      </w:r>
      <w:r w:rsidR="008E6B28" w:rsidRPr="003D6E4D">
        <w:rPr>
          <w:rFonts w:ascii="Arial" w:eastAsia="Times New Roman" w:hAnsi="Arial" w:cs="Arial"/>
          <w:kern w:val="0"/>
          <w:lang w:eastAsia="en-GB"/>
          <w14:ligatures w14:val="none"/>
        </w:rPr>
        <w:t>breaches</w:t>
      </w:r>
      <w:r w:rsidRPr="003D6E4D">
        <w:rPr>
          <w:rFonts w:ascii="Arial" w:eastAsia="Times New Roman" w:hAnsi="Arial" w:cs="Arial"/>
          <w:kern w:val="0"/>
          <w:lang w:eastAsia="en-GB"/>
          <w14:ligatures w14:val="none"/>
        </w:rPr>
        <w:t xml:space="preserve"> of duty and different types of medical malpractice</w:t>
      </w:r>
      <w:r w:rsidRPr="003D6E4D">
        <w:rPr>
          <w:rFonts w:ascii="Arial" w:eastAsia="Times New Roman" w:hAnsi="Arial" w:cs="Arial"/>
          <w:kern w:val="0"/>
          <w:lang w:eastAsia="en-GB"/>
          <w14:ligatures w14:val="none"/>
        </w:rPr>
        <w:t xml:space="preserve"> involved. Herring, (2022), states that </w:t>
      </w:r>
      <w:r w:rsidRPr="003D6E4D">
        <w:rPr>
          <w:rFonts w:ascii="Arial" w:eastAsia="Times New Roman" w:hAnsi="Arial" w:cs="Arial"/>
          <w:kern w:val="0"/>
          <w:lang w:eastAsia="en-GB"/>
          <w14:ligatures w14:val="none"/>
        </w:rPr>
        <w:t>General practitioners (GPs) are also bound by the duty of care outlined in Bolam v. Friern Hospital Management Committee (1957), which includes the need to treat patients with competence and respect for their autonomy</w:t>
      </w:r>
      <w:r w:rsidRPr="003D6E4D">
        <w:rPr>
          <w:rFonts w:ascii="Arial" w:eastAsia="Times New Roman" w:hAnsi="Arial" w:cs="Arial"/>
          <w:kern w:val="0"/>
          <w:lang w:eastAsia="en-GB"/>
          <w14:ligatures w14:val="none"/>
        </w:rPr>
        <w:t>, (Herring, 2022)</w:t>
      </w:r>
      <w:r w:rsidRPr="003D6E4D">
        <w:rPr>
          <w:rFonts w:ascii="Arial" w:eastAsia="Times New Roman" w:hAnsi="Arial" w:cs="Arial"/>
          <w:kern w:val="0"/>
          <w:lang w:eastAsia="en-GB"/>
          <w14:ligatures w14:val="none"/>
        </w:rPr>
        <w:t xml:space="preserve">. </w:t>
      </w:r>
      <w:r w:rsidRPr="003D6E4D">
        <w:rPr>
          <w:rFonts w:ascii="Arial" w:eastAsia="Times New Roman" w:hAnsi="Arial" w:cs="Arial"/>
          <w:kern w:val="0"/>
          <w:lang w:eastAsia="en-GB"/>
          <w14:ligatures w14:val="none"/>
        </w:rPr>
        <w:t>Furthermore, u</w:t>
      </w:r>
      <w:r w:rsidRPr="003D6E4D">
        <w:rPr>
          <w:rFonts w:ascii="Arial" w:eastAsia="Times New Roman" w:hAnsi="Arial" w:cs="Arial"/>
          <w:kern w:val="0"/>
          <w:lang w:eastAsia="en-GB"/>
          <w14:ligatures w14:val="none"/>
        </w:rPr>
        <w:t xml:space="preserve">nder the guidelines </w:t>
      </w:r>
      <w:r w:rsidRPr="003D6E4D">
        <w:rPr>
          <w:rFonts w:ascii="Arial" w:eastAsia="Times New Roman" w:hAnsi="Arial" w:cs="Arial"/>
          <w:kern w:val="0"/>
          <w:lang w:eastAsia="en-GB"/>
          <w14:ligatures w14:val="none"/>
        </w:rPr>
        <w:t>outlined in</w:t>
      </w:r>
      <w:r w:rsidRPr="003D6E4D">
        <w:rPr>
          <w:rFonts w:ascii="Arial" w:eastAsia="Times New Roman" w:hAnsi="Arial" w:cs="Arial"/>
          <w:kern w:val="0"/>
          <w:lang w:eastAsia="en-GB"/>
          <w14:ligatures w14:val="none"/>
        </w:rPr>
        <w:t xml:space="preserve"> Montgomery, the GP practice may have violated its contractual obligation </w:t>
      </w:r>
      <w:r w:rsidRPr="003D6E4D">
        <w:rPr>
          <w:rFonts w:ascii="Arial" w:eastAsia="Times New Roman" w:hAnsi="Arial" w:cs="Arial"/>
          <w:kern w:val="0"/>
          <w:lang w:eastAsia="en-GB"/>
          <w14:ligatures w14:val="none"/>
        </w:rPr>
        <w:lastRenderedPageBreak/>
        <w:t>if it did not provide Elijah with sufficient information regarding the dangers of postponing treatment for his deteriorating symptoms</w:t>
      </w:r>
      <w:r w:rsidRPr="003D6E4D">
        <w:rPr>
          <w:rFonts w:ascii="Arial" w:eastAsia="Times New Roman" w:hAnsi="Arial" w:cs="Arial"/>
          <w:kern w:val="0"/>
          <w:lang w:eastAsia="en-GB"/>
          <w14:ligatures w14:val="none"/>
        </w:rPr>
        <w:t xml:space="preserve">, </w:t>
      </w:r>
      <w:r w:rsidRPr="003D6E4D">
        <w:rPr>
          <w:rFonts w:ascii="Arial" w:eastAsia="Times New Roman" w:hAnsi="Arial" w:cs="Arial"/>
          <w:kern w:val="0"/>
          <w:lang w:eastAsia="en-GB"/>
          <w14:ligatures w14:val="none"/>
        </w:rPr>
        <w:t>(Herring, 2022).</w:t>
      </w:r>
      <w:r w:rsidRPr="003D6E4D">
        <w:rPr>
          <w:rFonts w:ascii="Arial" w:eastAsia="Times New Roman" w:hAnsi="Arial" w:cs="Arial"/>
          <w:kern w:val="0"/>
          <w:lang w:eastAsia="en-GB"/>
          <w14:ligatures w14:val="none"/>
        </w:rPr>
        <w:t xml:space="preserve"> </w:t>
      </w:r>
      <w:r w:rsidR="00181BC5" w:rsidRPr="003D6E4D">
        <w:rPr>
          <w:rFonts w:ascii="Arial" w:eastAsia="Times New Roman" w:hAnsi="Arial" w:cs="Arial"/>
          <w:kern w:val="0"/>
          <w:lang w:eastAsia="en-GB"/>
          <w14:ligatures w14:val="none"/>
        </w:rPr>
        <w:t xml:space="preserve">Consequently, </w:t>
      </w:r>
      <w:r w:rsidR="00181BC5" w:rsidRPr="003D6E4D">
        <w:rPr>
          <w:rFonts w:ascii="Arial" w:eastAsia="Times New Roman" w:hAnsi="Arial" w:cs="Arial"/>
          <w:kern w:val="0"/>
          <w:lang w:eastAsia="en-GB"/>
          <w14:ligatures w14:val="none"/>
        </w:rPr>
        <w:t>Because of Elijah's circumstances, it is necessary to investigate whether the GP surgery's actions</w:t>
      </w:r>
      <w:r w:rsidR="00181BC5" w:rsidRPr="003D6E4D">
        <w:rPr>
          <w:rFonts w:ascii="Arial" w:eastAsia="Times New Roman" w:hAnsi="Arial" w:cs="Arial"/>
          <w:kern w:val="0"/>
          <w:lang w:eastAsia="en-GB"/>
          <w14:ligatures w14:val="none"/>
        </w:rPr>
        <w:t xml:space="preserve"> </w:t>
      </w:r>
      <w:r w:rsidR="00181BC5" w:rsidRPr="003D6E4D">
        <w:rPr>
          <w:rFonts w:ascii="Arial" w:eastAsia="Times New Roman" w:hAnsi="Arial" w:cs="Arial"/>
          <w:kern w:val="0"/>
          <w:lang w:eastAsia="en-GB"/>
          <w14:ligatures w14:val="none"/>
        </w:rPr>
        <w:t>or lack thereof</w:t>
      </w:r>
      <w:r w:rsidR="00181BC5" w:rsidRPr="003D6E4D">
        <w:rPr>
          <w:rFonts w:ascii="Arial" w:eastAsia="Times New Roman" w:hAnsi="Arial" w:cs="Arial"/>
          <w:kern w:val="0"/>
          <w:lang w:eastAsia="en-GB"/>
          <w14:ligatures w14:val="none"/>
        </w:rPr>
        <w:t xml:space="preserve"> </w:t>
      </w:r>
      <w:r w:rsidR="00181BC5" w:rsidRPr="003D6E4D">
        <w:rPr>
          <w:rFonts w:ascii="Arial" w:eastAsia="Times New Roman" w:hAnsi="Arial" w:cs="Arial"/>
          <w:kern w:val="0"/>
          <w:lang w:eastAsia="en-GB"/>
          <w14:ligatures w14:val="none"/>
        </w:rPr>
        <w:t>constituted a violation of their obligation to deliver immediate and appropriate medical care</w:t>
      </w:r>
      <w:r w:rsidR="00181BC5" w:rsidRPr="003D6E4D">
        <w:rPr>
          <w:rFonts w:ascii="Arial" w:eastAsia="Times New Roman" w:hAnsi="Arial" w:cs="Arial"/>
          <w:kern w:val="0"/>
          <w:lang w:eastAsia="en-GB"/>
          <w14:ligatures w14:val="none"/>
        </w:rPr>
        <w:t>, (Farrel and Dove, 2023)</w:t>
      </w:r>
      <w:r w:rsidR="00181BC5" w:rsidRPr="003D6E4D">
        <w:rPr>
          <w:rFonts w:ascii="Arial" w:eastAsia="Times New Roman" w:hAnsi="Arial" w:cs="Arial"/>
          <w:kern w:val="0"/>
          <w:lang w:eastAsia="en-GB"/>
          <w14:ligatures w14:val="none"/>
        </w:rPr>
        <w:t>. Nevertheless</w:t>
      </w:r>
      <w:r w:rsidR="008E6B28" w:rsidRPr="003D6E4D">
        <w:rPr>
          <w:rFonts w:ascii="Arial" w:eastAsia="Times New Roman" w:hAnsi="Arial" w:cs="Arial"/>
          <w:kern w:val="0"/>
          <w:lang w:eastAsia="en-GB"/>
          <w14:ligatures w14:val="none"/>
        </w:rPr>
        <w:t>,</w:t>
      </w:r>
      <w:r w:rsidR="00181BC5" w:rsidRPr="003D6E4D">
        <w:rPr>
          <w:rFonts w:ascii="Arial" w:eastAsia="Times New Roman" w:hAnsi="Arial" w:cs="Arial"/>
          <w:kern w:val="0"/>
          <w:lang w:eastAsia="en-GB"/>
          <w14:ligatures w14:val="none"/>
        </w:rPr>
        <w:t xml:space="preserve"> Elijah also needs to be held accountable for his failure to seek emergency medical attention for his growing injuries. As stated in Roe v. Minister of Health (1954), people are supposed to use reasonable judgment when it comes to their health, even though the GP surgery is </w:t>
      </w:r>
      <w:r w:rsidR="008E6B28" w:rsidRPr="003D6E4D">
        <w:rPr>
          <w:rFonts w:ascii="Arial" w:eastAsia="Times New Roman" w:hAnsi="Arial" w:cs="Arial"/>
          <w:kern w:val="0"/>
          <w:lang w:eastAsia="en-GB"/>
          <w14:ligatures w14:val="none"/>
        </w:rPr>
        <w:t>responsible</w:t>
      </w:r>
      <w:r w:rsidR="00181BC5" w:rsidRPr="003D6E4D">
        <w:rPr>
          <w:rFonts w:ascii="Arial" w:eastAsia="Times New Roman" w:hAnsi="Arial" w:cs="Arial"/>
          <w:kern w:val="0"/>
          <w:lang w:eastAsia="en-GB"/>
          <w14:ligatures w14:val="none"/>
        </w:rPr>
        <w:t xml:space="preserve"> for delivering medical care</w:t>
      </w:r>
      <w:r w:rsidR="00181BC5" w:rsidRPr="003D6E4D">
        <w:rPr>
          <w:rFonts w:ascii="Arial" w:eastAsia="Times New Roman" w:hAnsi="Arial" w:cs="Arial"/>
          <w:kern w:val="0"/>
          <w:lang w:eastAsia="en-GB"/>
          <w14:ligatures w14:val="none"/>
        </w:rPr>
        <w:t xml:space="preserve">, </w:t>
      </w:r>
      <w:r w:rsidR="00181BC5" w:rsidRPr="003D6E4D">
        <w:rPr>
          <w:rFonts w:ascii="Arial" w:eastAsia="Times New Roman" w:hAnsi="Arial" w:cs="Arial"/>
          <w:kern w:val="0"/>
          <w:lang w:eastAsia="en-GB"/>
          <w14:ligatures w14:val="none"/>
        </w:rPr>
        <w:t>(Farrel and Dove, 2023).</w:t>
      </w:r>
    </w:p>
    <w:p w14:paraId="79E40EF9" w14:textId="3FF10700" w:rsidR="00181BC5" w:rsidRPr="003D6E4D" w:rsidRDefault="00181BC5" w:rsidP="008E6B28">
      <w:pPr>
        <w:spacing w:after="240" w:line="480" w:lineRule="auto"/>
        <w:rPr>
          <w:rFonts w:ascii="Arial" w:eastAsia="Times New Roman" w:hAnsi="Arial" w:cs="Arial"/>
          <w:kern w:val="0"/>
          <w:lang w:eastAsia="en-GB"/>
          <w14:ligatures w14:val="none"/>
        </w:rPr>
      </w:pPr>
    </w:p>
    <w:p w14:paraId="745B369D" w14:textId="271DE13D" w:rsidR="008C5CAC" w:rsidRPr="003D6E4D" w:rsidRDefault="009A4CF1" w:rsidP="008E6B28">
      <w:pPr>
        <w:spacing w:line="480" w:lineRule="auto"/>
        <w:rPr>
          <w:rFonts w:ascii="Arial" w:eastAsia="Times New Roman" w:hAnsi="Arial" w:cs="Arial"/>
          <w:kern w:val="0"/>
          <w:lang w:eastAsia="en-GB"/>
          <w14:ligatures w14:val="none"/>
        </w:rPr>
      </w:pPr>
      <w:r w:rsidRPr="009A4CF1">
        <w:rPr>
          <w:rFonts w:ascii="Arial" w:eastAsia="Times New Roman" w:hAnsi="Arial" w:cs="Arial"/>
          <w:kern w:val="0"/>
          <w:lang w:eastAsia="en-GB"/>
          <w14:ligatures w14:val="none"/>
        </w:rPr>
        <w:t>The analysis of defenses for Elijah, his employer, and his GP involves considering various factors.</w:t>
      </w:r>
      <w:r w:rsidRPr="003D6E4D">
        <w:rPr>
          <w:rFonts w:ascii="Arial" w:eastAsia="Times New Roman" w:hAnsi="Arial" w:cs="Arial"/>
          <w:kern w:val="0"/>
          <w:lang w:eastAsia="en-GB"/>
          <w14:ligatures w14:val="none"/>
        </w:rPr>
        <w:t xml:space="preserve"> </w:t>
      </w:r>
      <w:r w:rsidR="008F1EBA" w:rsidRPr="003D6E4D">
        <w:rPr>
          <w:rFonts w:ascii="Arial" w:eastAsia="Times New Roman" w:hAnsi="Arial" w:cs="Arial"/>
          <w:kern w:val="0"/>
          <w:lang w:eastAsia="en-GB"/>
          <w14:ligatures w14:val="none"/>
        </w:rPr>
        <w:t xml:space="preserve">Elijah </w:t>
      </w:r>
      <w:r w:rsidR="003D6E4D" w:rsidRPr="003D6E4D">
        <w:rPr>
          <w:rFonts w:ascii="Arial" w:eastAsia="Times New Roman" w:hAnsi="Arial" w:cs="Arial"/>
          <w:kern w:val="0"/>
          <w:lang w:eastAsia="en-GB"/>
          <w14:ligatures w14:val="none"/>
        </w:rPr>
        <w:t>could</w:t>
      </w:r>
      <w:r w:rsidR="008F1EBA" w:rsidRPr="003D6E4D">
        <w:rPr>
          <w:rFonts w:ascii="Arial" w:eastAsia="Times New Roman" w:hAnsi="Arial" w:cs="Arial"/>
          <w:kern w:val="0"/>
          <w:lang w:eastAsia="en-GB"/>
          <w14:ligatures w14:val="none"/>
        </w:rPr>
        <w:t xml:space="preserve"> make the case for contributory negligence, this suggests that his injuries worsened because he delayed getting treatment</w:t>
      </w:r>
      <w:r w:rsidR="008F1EBA" w:rsidRPr="003D6E4D">
        <w:rPr>
          <w:rFonts w:ascii="Arial" w:eastAsia="Times New Roman" w:hAnsi="Arial" w:cs="Arial"/>
          <w:kern w:val="0"/>
          <w:lang w:eastAsia="en-GB"/>
          <w14:ligatures w14:val="none"/>
        </w:rPr>
        <w:t>, (Brennan, 2022)</w:t>
      </w:r>
      <w:r w:rsidR="008F1EBA" w:rsidRPr="003D6E4D">
        <w:rPr>
          <w:rFonts w:ascii="Arial" w:eastAsia="Times New Roman" w:hAnsi="Arial" w:cs="Arial"/>
          <w:kern w:val="0"/>
          <w:lang w:eastAsia="en-GB"/>
          <w14:ligatures w14:val="none"/>
        </w:rPr>
        <w:t xml:space="preserve">. On the other hand, his employer could point out that they are by-laws and workplace safety protocols, reinforcing that they </w:t>
      </w:r>
      <w:r w:rsidR="008F1EBA" w:rsidRPr="003D6E4D">
        <w:rPr>
          <w:rFonts w:ascii="Arial" w:eastAsia="Times New Roman" w:hAnsi="Arial" w:cs="Arial"/>
          <w:kern w:val="0"/>
          <w:lang w:eastAsia="en-GB"/>
          <w14:ligatures w14:val="none"/>
        </w:rPr>
        <w:t>made</w:t>
      </w:r>
      <w:r w:rsidR="008F1EBA" w:rsidRPr="003D6E4D">
        <w:rPr>
          <w:rFonts w:ascii="Arial" w:eastAsia="Times New Roman" w:hAnsi="Arial" w:cs="Arial"/>
          <w:kern w:val="0"/>
          <w:lang w:eastAsia="en-GB"/>
          <w14:ligatures w14:val="none"/>
        </w:rPr>
        <w:t> efforts to keep a safe environment</w:t>
      </w:r>
      <w:r w:rsidR="008F1EBA" w:rsidRPr="003D6E4D">
        <w:rPr>
          <w:rFonts w:ascii="Arial" w:eastAsia="Times New Roman" w:hAnsi="Arial" w:cs="Arial"/>
          <w:kern w:val="0"/>
          <w:lang w:eastAsia="en-GB"/>
          <w14:ligatures w14:val="none"/>
        </w:rPr>
        <w:t xml:space="preserve"> but, t</w:t>
      </w:r>
      <w:r w:rsidR="008F1EBA" w:rsidRPr="003D6E4D">
        <w:rPr>
          <w:rFonts w:ascii="Arial" w:eastAsia="Times New Roman" w:hAnsi="Arial" w:cs="Arial"/>
          <w:kern w:val="0"/>
          <w:lang w:eastAsia="en-GB"/>
          <w14:ligatures w14:val="none"/>
        </w:rPr>
        <w:t>hey could also contend that Elijah's walking distraction was unforeseeable.</w:t>
      </w:r>
      <w:r w:rsidR="008F1EBA" w:rsidRPr="003D6E4D">
        <w:rPr>
          <w:rFonts w:ascii="Arial" w:eastAsia="Times New Roman" w:hAnsi="Arial" w:cs="Arial"/>
          <w:kern w:val="0"/>
          <w:lang w:eastAsia="en-GB"/>
          <w14:ligatures w14:val="none"/>
        </w:rPr>
        <w:t xml:space="preserve"> </w:t>
      </w:r>
      <w:r w:rsidR="008F1EBA" w:rsidRPr="003D6E4D">
        <w:rPr>
          <w:rFonts w:ascii="Arial" w:eastAsia="Times New Roman" w:hAnsi="Arial" w:cs="Arial"/>
          <w:kern w:val="0"/>
          <w:lang w:eastAsia="en-GB"/>
          <w14:ligatures w14:val="none"/>
        </w:rPr>
        <w:t xml:space="preserve">Compliance </w:t>
      </w:r>
      <w:r w:rsidR="008E6B28" w:rsidRPr="003D6E4D">
        <w:rPr>
          <w:rFonts w:ascii="Arial" w:eastAsia="Times New Roman" w:hAnsi="Arial" w:cs="Arial"/>
          <w:kern w:val="0"/>
          <w:lang w:eastAsia="en-GB"/>
          <w14:ligatures w14:val="none"/>
        </w:rPr>
        <w:t>with</w:t>
      </w:r>
      <w:r w:rsidR="008F1EBA" w:rsidRPr="003D6E4D">
        <w:rPr>
          <w:rFonts w:ascii="Arial" w:eastAsia="Times New Roman" w:hAnsi="Arial" w:cs="Arial"/>
          <w:kern w:val="0"/>
          <w:lang w:eastAsia="en-GB"/>
          <w14:ligatures w14:val="none"/>
        </w:rPr>
        <w:t xml:space="preserve"> established medical standards may be used against the GP as a defense, indicating that the diagnosis and treatment were carried out in line with established procedures</w:t>
      </w:r>
      <w:r w:rsidR="008F1EBA" w:rsidRPr="003D6E4D">
        <w:rPr>
          <w:rFonts w:ascii="Arial" w:eastAsia="Times New Roman" w:hAnsi="Arial" w:cs="Arial"/>
          <w:kern w:val="0"/>
          <w:lang w:eastAsia="en-GB"/>
          <w14:ligatures w14:val="none"/>
        </w:rPr>
        <w:t xml:space="preserve">, </w:t>
      </w:r>
      <w:r w:rsidR="008F1EBA" w:rsidRPr="003D6E4D">
        <w:rPr>
          <w:rFonts w:ascii="Arial" w:eastAsia="Times New Roman" w:hAnsi="Arial" w:cs="Arial"/>
          <w:kern w:val="0"/>
          <w:lang w:eastAsia="en-GB"/>
          <w14:ligatures w14:val="none"/>
        </w:rPr>
        <w:t>(Brennan, 2022).</w:t>
      </w:r>
      <w:r w:rsidR="008F1EBA" w:rsidRPr="003D6E4D">
        <w:rPr>
          <w:rFonts w:ascii="Arial" w:eastAsia="Times New Roman" w:hAnsi="Arial" w:cs="Arial"/>
          <w:kern w:val="0"/>
          <w:lang w:eastAsia="en-GB"/>
          <w14:ligatures w14:val="none"/>
        </w:rPr>
        <w:t xml:space="preserve"> </w:t>
      </w:r>
      <w:r w:rsidR="008E6B28" w:rsidRPr="003D6E4D">
        <w:rPr>
          <w:rFonts w:ascii="Arial" w:eastAsia="Times New Roman" w:hAnsi="Arial" w:cs="Arial"/>
          <w:kern w:val="0"/>
          <w:lang w:eastAsia="en-GB"/>
          <w14:ligatures w14:val="none"/>
        </w:rPr>
        <w:t>Moreover, Elijah</w:t>
      </w:r>
      <w:r w:rsidR="008F1EBA" w:rsidRPr="003D6E4D">
        <w:rPr>
          <w:rFonts w:ascii="Arial" w:eastAsia="Times New Roman" w:hAnsi="Arial" w:cs="Arial"/>
          <w:kern w:val="0"/>
          <w:lang w:eastAsia="en-GB"/>
          <w14:ligatures w14:val="none"/>
        </w:rPr>
        <w:t xml:space="preserve"> could dispute this argument, though, by claiming that informed consent was not obtained or that there was insufficient risk information</w:t>
      </w:r>
      <w:r w:rsidR="008F1EBA" w:rsidRPr="003D6E4D">
        <w:rPr>
          <w:rFonts w:ascii="Arial" w:eastAsia="Times New Roman" w:hAnsi="Arial" w:cs="Arial"/>
          <w:kern w:val="0"/>
          <w:lang w:eastAsia="en-GB"/>
          <w14:ligatures w14:val="none"/>
        </w:rPr>
        <w:t xml:space="preserve">, </w:t>
      </w:r>
      <w:r w:rsidR="008F1EBA" w:rsidRPr="003D6E4D">
        <w:rPr>
          <w:rFonts w:ascii="Arial" w:eastAsia="Times New Roman" w:hAnsi="Arial" w:cs="Arial"/>
          <w:kern w:val="0"/>
          <w:lang w:eastAsia="en-GB"/>
          <w14:ligatures w14:val="none"/>
        </w:rPr>
        <w:t>Elijah may also assert the defense of volenti non fit injuria, or consent, which states that he took on the hazards involved in his acts voluntarily</w:t>
      </w:r>
      <w:r w:rsidR="008F1EBA" w:rsidRPr="003D6E4D">
        <w:rPr>
          <w:rFonts w:ascii="Arial" w:eastAsia="Times New Roman" w:hAnsi="Arial" w:cs="Arial"/>
          <w:kern w:val="0"/>
          <w:lang w:eastAsia="en-GB"/>
          <w14:ligatures w14:val="none"/>
        </w:rPr>
        <w:t>,</w:t>
      </w:r>
      <w:r w:rsidR="008C5CAC" w:rsidRPr="003D6E4D">
        <w:rPr>
          <w:rFonts w:ascii="Arial" w:eastAsia="Times New Roman" w:hAnsi="Arial" w:cs="Arial"/>
          <w:kern w:val="0"/>
          <w:lang w:eastAsia="en-GB"/>
          <w14:ligatures w14:val="none"/>
        </w:rPr>
        <w:t xml:space="preserve"> </w:t>
      </w:r>
      <w:r w:rsidR="008C5CAC" w:rsidRPr="003D6E4D">
        <w:rPr>
          <w:rFonts w:ascii="Arial" w:eastAsia="Times New Roman" w:hAnsi="Arial" w:cs="Arial"/>
          <w:kern w:val="0"/>
          <w:lang w:eastAsia="en-GB"/>
          <w14:ligatures w14:val="none"/>
        </w:rPr>
        <w:t>(Brennan, 2022</w:t>
      </w:r>
      <w:r w:rsidR="008C5CAC" w:rsidRPr="003D6E4D">
        <w:rPr>
          <w:rFonts w:ascii="Arial" w:eastAsia="Times New Roman" w:hAnsi="Arial" w:cs="Arial"/>
          <w:kern w:val="0"/>
          <w:lang w:eastAsia="en-GB"/>
          <w14:ligatures w14:val="none"/>
        </w:rPr>
        <w:t>)</w:t>
      </w:r>
      <w:r w:rsidR="008F1EBA" w:rsidRPr="003D6E4D">
        <w:rPr>
          <w:rFonts w:ascii="Arial" w:eastAsia="Times New Roman" w:hAnsi="Arial" w:cs="Arial"/>
          <w:kern w:val="0"/>
          <w:lang w:eastAsia="en-GB"/>
          <w14:ligatures w14:val="none"/>
        </w:rPr>
        <w:t xml:space="preserve">. Finally, if Elijah's injuries were the consequence of illegal activity, the </w:t>
      </w:r>
      <w:r w:rsidR="008F1EBA" w:rsidRPr="003D6E4D">
        <w:rPr>
          <w:rFonts w:ascii="Arial" w:eastAsia="Times New Roman" w:hAnsi="Arial" w:cs="Arial"/>
          <w:kern w:val="0"/>
          <w:lang w:eastAsia="en-GB"/>
          <w14:ligatures w14:val="none"/>
        </w:rPr>
        <w:t>defense</w:t>
      </w:r>
      <w:r w:rsidR="008F1EBA" w:rsidRPr="003D6E4D">
        <w:rPr>
          <w:rFonts w:ascii="Arial" w:eastAsia="Times New Roman" w:hAnsi="Arial" w:cs="Arial"/>
          <w:kern w:val="0"/>
          <w:lang w:eastAsia="en-GB"/>
          <w14:ligatures w14:val="none"/>
        </w:rPr>
        <w:t> of illegality may be used</w:t>
      </w:r>
      <w:r w:rsidR="008C5CAC" w:rsidRPr="003D6E4D">
        <w:rPr>
          <w:rFonts w:ascii="Arial" w:eastAsia="Times New Roman" w:hAnsi="Arial" w:cs="Arial"/>
          <w:kern w:val="0"/>
          <w:lang w:eastAsia="en-GB"/>
          <w14:ligatures w14:val="none"/>
        </w:rPr>
        <w:t xml:space="preserve">, for instance, because of him </w:t>
      </w:r>
      <w:r w:rsidR="008C5CAC" w:rsidRPr="003D6E4D">
        <w:rPr>
          <w:rFonts w:ascii="Arial" w:eastAsia="Times New Roman" w:hAnsi="Arial" w:cs="Arial"/>
          <w:kern w:val="0"/>
          <w:lang w:eastAsia="en-GB"/>
          <w14:ligatures w14:val="none"/>
        </w:rPr>
        <w:lastRenderedPageBreak/>
        <w:t xml:space="preserve">using his mobile phone which may be against work regulations addressing that he </w:t>
      </w:r>
      <w:r w:rsidR="003D6E4D" w:rsidRPr="003D6E4D">
        <w:rPr>
          <w:rFonts w:ascii="Arial" w:eastAsia="Times New Roman" w:hAnsi="Arial" w:cs="Arial"/>
          <w:kern w:val="0"/>
          <w:lang w:eastAsia="en-GB"/>
          <w14:ligatures w14:val="none"/>
        </w:rPr>
        <w:t>is</w:t>
      </w:r>
      <w:r w:rsidR="008C5CAC" w:rsidRPr="003D6E4D">
        <w:rPr>
          <w:rFonts w:ascii="Arial" w:eastAsia="Times New Roman" w:hAnsi="Arial" w:cs="Arial"/>
          <w:kern w:val="0"/>
          <w:lang w:eastAsia="en-GB"/>
          <w14:ligatures w14:val="none"/>
        </w:rPr>
        <w:t xml:space="preserve"> not following safety guidelines at </w:t>
      </w:r>
      <w:r w:rsidR="008E6B28" w:rsidRPr="003D6E4D">
        <w:rPr>
          <w:rFonts w:ascii="Arial" w:eastAsia="Times New Roman" w:hAnsi="Arial" w:cs="Arial"/>
          <w:kern w:val="0"/>
          <w:lang w:eastAsia="en-GB"/>
          <w14:ligatures w14:val="none"/>
        </w:rPr>
        <w:t>work.</w:t>
      </w:r>
    </w:p>
    <w:p w14:paraId="5E457067" w14:textId="77777777" w:rsidR="008C5CAC" w:rsidRPr="003D6E4D" w:rsidRDefault="008C5CAC" w:rsidP="008E6B28">
      <w:pPr>
        <w:spacing w:line="480" w:lineRule="auto"/>
        <w:rPr>
          <w:rFonts w:ascii="Arial" w:eastAsia="Times New Roman" w:hAnsi="Arial" w:cs="Arial"/>
          <w:kern w:val="0"/>
          <w:lang w:eastAsia="en-GB"/>
          <w14:ligatures w14:val="none"/>
        </w:rPr>
      </w:pPr>
    </w:p>
    <w:p w14:paraId="69AA152E" w14:textId="20AC8D6B" w:rsidR="008E6B28" w:rsidRPr="003D6E4D" w:rsidRDefault="008E6B28" w:rsidP="008E6B28">
      <w:pPr>
        <w:spacing w:line="480" w:lineRule="auto"/>
        <w:rPr>
          <w:rFonts w:ascii="Arial" w:eastAsia="Times New Roman" w:hAnsi="Arial" w:cs="Arial"/>
          <w:kern w:val="0"/>
          <w:lang w:eastAsia="en-GB"/>
          <w14:ligatures w14:val="none"/>
        </w:rPr>
      </w:pPr>
      <w:r w:rsidRPr="003D6E4D">
        <w:rPr>
          <w:rFonts w:ascii="Arial" w:eastAsia="Times New Roman" w:hAnsi="Arial" w:cs="Arial"/>
          <w:kern w:val="0"/>
          <w:lang w:eastAsia="en-GB"/>
          <w14:ligatures w14:val="none"/>
        </w:rPr>
        <w:t xml:space="preserve">In summary, </w:t>
      </w:r>
      <w:r w:rsidRPr="003D6E4D">
        <w:rPr>
          <w:rFonts w:ascii="Arial" w:eastAsia="Times New Roman" w:hAnsi="Arial" w:cs="Arial"/>
          <w:kern w:val="0"/>
          <w:lang w:eastAsia="en-GB"/>
          <w14:ligatures w14:val="none"/>
        </w:rPr>
        <w:t>to</w:t>
      </w:r>
      <w:r w:rsidRPr="003D6E4D">
        <w:rPr>
          <w:rFonts w:ascii="Arial" w:eastAsia="Times New Roman" w:hAnsi="Arial" w:cs="Arial"/>
          <w:kern w:val="0"/>
          <w:lang w:eastAsia="en-GB"/>
          <w14:ligatures w14:val="none"/>
        </w:rPr>
        <w:t xml:space="preserve"> assess Elijah's obligations, those of his employer, and those of the GP surgery, a detailed analysis of common law duties, statutory requirements, and contractual commitments is required. Elijah's case highlights the necessity for a sophisticated comprehension of legal principles and case law by illuminating the difficulties involved in establishing blame and culpability in negligence claims.</w:t>
      </w:r>
      <w:r w:rsidRPr="003D6E4D">
        <w:rPr>
          <w:rFonts w:ascii="Arial" w:eastAsia="Times New Roman" w:hAnsi="Arial" w:cs="Arial"/>
          <w:kern w:val="0"/>
          <w:lang w:eastAsia="en-GB"/>
          <w14:ligatures w14:val="none"/>
        </w:rPr>
        <w:t xml:space="preserve"> </w:t>
      </w:r>
      <w:r w:rsidRPr="003D6E4D">
        <w:rPr>
          <w:rFonts w:ascii="Arial" w:eastAsia="Times New Roman" w:hAnsi="Arial" w:cs="Arial"/>
          <w:kern w:val="0"/>
          <w:lang w:eastAsia="en-GB"/>
          <w14:ligatures w14:val="none"/>
        </w:rPr>
        <w:t xml:space="preserve">Under the Health and Safety at Work Act of 1974, Elijah's employer is required by law to provide a safe workplace.The GP surgery is also subject to the duty of care that was established in Montgomery v. Lanarkshire Health Board (2015) and Bolam v. Friern Hospital Management Committee (1957). Elijah may contest the GP practice's adherence to recognised medical guidelines by claiming that sufficient risk information was not </w:t>
      </w:r>
      <w:r w:rsidRPr="003D6E4D">
        <w:rPr>
          <w:rFonts w:ascii="Arial" w:eastAsia="Times New Roman" w:hAnsi="Arial" w:cs="Arial"/>
          <w:kern w:val="0"/>
          <w:lang w:eastAsia="en-GB"/>
          <w14:ligatures w14:val="none"/>
        </w:rPr>
        <w:t>provided,</w:t>
      </w:r>
      <w:r w:rsidRPr="003D6E4D">
        <w:rPr>
          <w:rFonts w:ascii="Arial" w:eastAsia="Times New Roman" w:hAnsi="Arial" w:cs="Arial"/>
          <w:kern w:val="0"/>
          <w:lang w:eastAsia="en-GB"/>
          <w14:ligatures w14:val="none"/>
        </w:rPr>
        <w:t xml:space="preserve"> or that informed consent was not obtained. On the other hand, the general practitioner's office can claim that Elijah accepted the risks involved in his acts willingly or that his injuries were the consequence of unlawful conduct.</w:t>
      </w:r>
      <w:r w:rsidRPr="003D6E4D">
        <w:rPr>
          <w:rFonts w:ascii="Arial" w:eastAsia="Times New Roman" w:hAnsi="Arial" w:cs="Arial"/>
          <w:kern w:val="0"/>
          <w:lang w:eastAsia="en-GB"/>
          <w14:ligatures w14:val="none"/>
        </w:rPr>
        <w:t xml:space="preserve"> </w:t>
      </w:r>
      <w:r w:rsidRPr="003D6E4D">
        <w:rPr>
          <w:rFonts w:ascii="Arial" w:eastAsia="Times New Roman" w:hAnsi="Arial" w:cs="Arial"/>
          <w:kern w:val="0"/>
          <w:lang w:eastAsia="en-GB"/>
          <w14:ligatures w14:val="none"/>
        </w:rPr>
        <w:t xml:space="preserve">In final, determining who is liable will require closely examining the facts that has been provided and applying the law to Elijah's particular situation. Although Elijah, his employer, and the GP surgery all have </w:t>
      </w:r>
      <w:r w:rsidR="003D6E4D">
        <w:rPr>
          <w:rFonts w:ascii="Arial" w:eastAsia="Times New Roman" w:hAnsi="Arial" w:cs="Arial"/>
          <w:kern w:val="0"/>
          <w:lang w:eastAsia="en-GB"/>
          <w14:ligatures w14:val="none"/>
        </w:rPr>
        <w:t>defences</w:t>
      </w:r>
      <w:r w:rsidRPr="003D6E4D">
        <w:rPr>
          <w:rFonts w:ascii="Arial" w:eastAsia="Times New Roman" w:hAnsi="Arial" w:cs="Arial"/>
          <w:kern w:val="0"/>
          <w:lang w:eastAsia="en-GB"/>
          <w14:ligatures w14:val="none"/>
        </w:rPr>
        <w:t>, the case will need to be resolved by taking competing interests and legal requirements into account. As a result, Elijah's chances of receiving payment and the division of blame are still dependent on how the court interprets the relevant legal statutes and facts.</w:t>
      </w:r>
    </w:p>
    <w:p w14:paraId="6FECCC3C" w14:textId="77777777" w:rsidR="003D6E4D" w:rsidRPr="003D6E4D" w:rsidRDefault="003D6E4D" w:rsidP="008E6B28">
      <w:pPr>
        <w:spacing w:line="480" w:lineRule="auto"/>
        <w:rPr>
          <w:rFonts w:ascii="Arial" w:eastAsia="Times New Roman" w:hAnsi="Arial" w:cs="Arial"/>
          <w:kern w:val="0"/>
          <w:lang w:eastAsia="en-GB"/>
          <w14:ligatures w14:val="none"/>
        </w:rPr>
      </w:pPr>
    </w:p>
    <w:p w14:paraId="591ED03E" w14:textId="77777777" w:rsidR="003D6E4D" w:rsidRDefault="003D6E4D" w:rsidP="007E34F6">
      <w:pPr>
        <w:rPr>
          <w:rFonts w:ascii="Arial" w:eastAsia="Times New Roman" w:hAnsi="Arial" w:cs="Arial"/>
          <w:kern w:val="0"/>
          <w:lang w:eastAsia="en-GB"/>
          <w14:ligatures w14:val="none"/>
        </w:rPr>
      </w:pPr>
    </w:p>
    <w:p w14:paraId="230BE08D" w14:textId="2AE10BA6" w:rsidR="003D6E4D" w:rsidRPr="003D6E4D" w:rsidRDefault="003D6E4D" w:rsidP="007E34F6">
      <w:pPr>
        <w:rPr>
          <w:rFonts w:ascii="Arial" w:hAnsi="Arial" w:cs="Arial"/>
          <w:u w:val="single"/>
        </w:rPr>
      </w:pPr>
      <w:r w:rsidRPr="003D6E4D">
        <w:rPr>
          <w:rFonts w:ascii="Arial" w:eastAsia="Times New Roman" w:hAnsi="Arial" w:cs="Arial"/>
          <w:kern w:val="0"/>
          <w:u w:val="single"/>
          <w:lang w:eastAsia="en-GB"/>
          <w14:ligatures w14:val="none"/>
        </w:rPr>
        <w:lastRenderedPageBreak/>
        <w:t>10% over 2000</w:t>
      </w:r>
    </w:p>
    <w:p w14:paraId="2669EC80" w14:textId="77777777" w:rsidR="003D6E4D" w:rsidRDefault="003D6E4D" w:rsidP="007E34F6">
      <w:pPr>
        <w:rPr>
          <w:rFonts w:ascii="Arial" w:hAnsi="Arial" w:cs="Arial"/>
          <w:u w:val="single"/>
        </w:rPr>
      </w:pPr>
    </w:p>
    <w:p w14:paraId="0706B592" w14:textId="0E27C2D4" w:rsidR="001929CF" w:rsidRPr="003D6E4D" w:rsidRDefault="001929CF" w:rsidP="007E34F6">
      <w:pPr>
        <w:rPr>
          <w:rFonts w:ascii="Arial" w:eastAsia="Times New Roman" w:hAnsi="Arial" w:cs="Arial"/>
          <w:kern w:val="0"/>
          <w:u w:val="single"/>
          <w:lang w:eastAsia="en-GB"/>
          <w14:ligatures w14:val="none"/>
        </w:rPr>
      </w:pPr>
      <w:r w:rsidRPr="003D6E4D">
        <w:rPr>
          <w:rFonts w:ascii="Arial" w:hAnsi="Arial" w:cs="Arial"/>
          <w:u w:val="single"/>
        </w:rPr>
        <w:t>References</w:t>
      </w:r>
    </w:p>
    <w:p w14:paraId="453A7F76" w14:textId="77777777" w:rsidR="001929CF" w:rsidRPr="003D6E4D" w:rsidRDefault="001929CF" w:rsidP="0035079F">
      <w:pPr>
        <w:spacing w:line="480" w:lineRule="auto"/>
        <w:rPr>
          <w:rFonts w:ascii="Arial" w:hAnsi="Arial" w:cs="Arial"/>
        </w:rPr>
      </w:pPr>
    </w:p>
    <w:p w14:paraId="0BC8F23B" w14:textId="74549AE0" w:rsidR="001929CF" w:rsidRPr="003D6E4D" w:rsidRDefault="001929CF" w:rsidP="0035079F">
      <w:pPr>
        <w:spacing w:line="480" w:lineRule="auto"/>
        <w:rPr>
          <w:rFonts w:ascii="Arial" w:hAnsi="Arial" w:cs="Arial"/>
        </w:rPr>
      </w:pPr>
      <w:r w:rsidRPr="003D6E4D">
        <w:rPr>
          <w:rFonts w:ascii="Arial" w:hAnsi="Arial" w:cs="Arial"/>
        </w:rPr>
        <w:t>Journals:</w:t>
      </w:r>
    </w:p>
    <w:p w14:paraId="1D3BCB7A" w14:textId="7E731EC1" w:rsidR="001929CF" w:rsidRPr="003D6E4D" w:rsidRDefault="001929CF" w:rsidP="001929CF">
      <w:pPr>
        <w:pStyle w:val="ListParagraph"/>
        <w:numPr>
          <w:ilvl w:val="0"/>
          <w:numId w:val="1"/>
        </w:numPr>
        <w:spacing w:line="480" w:lineRule="auto"/>
        <w:rPr>
          <w:rFonts w:ascii="Arial" w:hAnsi="Arial" w:cs="Arial"/>
        </w:rPr>
      </w:pPr>
      <w:r w:rsidRPr="003D6E4D">
        <w:rPr>
          <w:rFonts w:ascii="Arial" w:hAnsi="Arial" w:cs="Arial"/>
          <w:color w:val="222222"/>
          <w:shd w:val="clear" w:color="auto" w:fill="FFFFFF"/>
        </w:rPr>
        <w:t>Witting, C., 2005. Duty of care: an analytical approach. </w:t>
      </w:r>
      <w:r w:rsidRPr="003D6E4D">
        <w:rPr>
          <w:rFonts w:ascii="Arial" w:hAnsi="Arial" w:cs="Arial"/>
          <w:i/>
          <w:iCs/>
          <w:color w:val="222222"/>
          <w:shd w:val="clear" w:color="auto" w:fill="FFFFFF"/>
        </w:rPr>
        <w:t>Oxford Journal of Legal Studies</w:t>
      </w:r>
      <w:r w:rsidRPr="003D6E4D">
        <w:rPr>
          <w:rFonts w:ascii="Arial" w:hAnsi="Arial" w:cs="Arial"/>
          <w:color w:val="222222"/>
          <w:shd w:val="clear" w:color="auto" w:fill="FFFFFF"/>
        </w:rPr>
        <w:t>, </w:t>
      </w:r>
      <w:r w:rsidRPr="003D6E4D">
        <w:rPr>
          <w:rFonts w:ascii="Arial" w:hAnsi="Arial" w:cs="Arial"/>
          <w:i/>
          <w:iCs/>
          <w:color w:val="222222"/>
          <w:shd w:val="clear" w:color="auto" w:fill="FFFFFF"/>
        </w:rPr>
        <w:t>25</w:t>
      </w:r>
      <w:r w:rsidRPr="003D6E4D">
        <w:rPr>
          <w:rFonts w:ascii="Arial" w:hAnsi="Arial" w:cs="Arial"/>
          <w:color w:val="222222"/>
          <w:shd w:val="clear" w:color="auto" w:fill="FFFFFF"/>
        </w:rPr>
        <w:t>(1), pp.33-63.</w:t>
      </w:r>
    </w:p>
    <w:p w14:paraId="1795AC60" w14:textId="77777777" w:rsidR="001929CF" w:rsidRPr="003D6E4D" w:rsidRDefault="001929CF" w:rsidP="0035079F">
      <w:pPr>
        <w:spacing w:line="480" w:lineRule="auto"/>
        <w:rPr>
          <w:rFonts w:ascii="Arial" w:hAnsi="Arial" w:cs="Arial"/>
        </w:rPr>
      </w:pPr>
    </w:p>
    <w:p w14:paraId="50F1E129" w14:textId="34F728A9" w:rsidR="001929CF" w:rsidRPr="003D6E4D" w:rsidRDefault="001929CF" w:rsidP="0035079F">
      <w:pPr>
        <w:spacing w:line="480" w:lineRule="auto"/>
        <w:rPr>
          <w:rFonts w:ascii="Arial" w:hAnsi="Arial" w:cs="Arial"/>
        </w:rPr>
      </w:pPr>
      <w:r w:rsidRPr="003D6E4D">
        <w:rPr>
          <w:rFonts w:ascii="Arial" w:hAnsi="Arial" w:cs="Arial"/>
        </w:rPr>
        <w:t>Cases</w:t>
      </w:r>
    </w:p>
    <w:p w14:paraId="3F2A91A1" w14:textId="77777777" w:rsidR="004C0260" w:rsidRPr="003D6E4D" w:rsidRDefault="004C0260" w:rsidP="004C0260">
      <w:pPr>
        <w:pStyle w:val="NormalWeb"/>
        <w:numPr>
          <w:ilvl w:val="0"/>
          <w:numId w:val="1"/>
        </w:numPr>
        <w:spacing w:before="0" w:beforeAutospacing="0" w:after="240" w:afterAutospacing="0" w:line="360" w:lineRule="auto"/>
        <w:rPr>
          <w:rFonts w:ascii="Arial" w:hAnsi="Arial" w:cs="Arial"/>
        </w:rPr>
      </w:pPr>
      <w:r w:rsidRPr="003D6E4D">
        <w:rPr>
          <w:rFonts w:ascii="Arial" w:hAnsi="Arial" w:cs="Arial"/>
        </w:rPr>
        <w:t xml:space="preserve">Vlex (2021). </w:t>
      </w:r>
      <w:r w:rsidRPr="003D6E4D">
        <w:rPr>
          <w:rFonts w:ascii="Arial" w:hAnsi="Arial" w:cs="Arial"/>
          <w:i/>
          <w:iCs/>
        </w:rPr>
        <w:t>Blyth v The Company of Proprietors of The Birmingham Water Works</w:t>
      </w:r>
      <w:r w:rsidRPr="003D6E4D">
        <w:rPr>
          <w:rFonts w:ascii="Arial" w:hAnsi="Arial" w:cs="Arial"/>
        </w:rPr>
        <w:t>. [online] vLex. Available at: https://vlex.co.uk/vid/blyth-v-the-company-805769849 [Accessed 2024].</w:t>
      </w:r>
    </w:p>
    <w:p w14:paraId="79709412" w14:textId="4B7172F5" w:rsidR="0035001D" w:rsidRPr="003D6E4D" w:rsidRDefault="0035001D" w:rsidP="00CD3022">
      <w:pPr>
        <w:pStyle w:val="NormalWeb"/>
        <w:numPr>
          <w:ilvl w:val="0"/>
          <w:numId w:val="1"/>
        </w:numPr>
        <w:spacing w:before="0" w:beforeAutospacing="0" w:after="240" w:afterAutospacing="0" w:line="360" w:lineRule="auto"/>
        <w:rPr>
          <w:rFonts w:ascii="Arial" w:hAnsi="Arial" w:cs="Arial"/>
        </w:rPr>
      </w:pPr>
      <w:r w:rsidRPr="003D6E4D">
        <w:rPr>
          <w:rFonts w:ascii="Arial" w:hAnsi="Arial" w:cs="Arial"/>
          <w:color w:val="1F1F1F"/>
          <w:shd w:val="clear" w:color="auto" w:fill="FFFFFF"/>
        </w:rPr>
        <w:t>Orchard v Lee [2009] </w:t>
      </w:r>
      <w:r w:rsidRPr="003D6E4D">
        <w:rPr>
          <w:rFonts w:ascii="Arial" w:hAnsi="Arial" w:cs="Arial"/>
          <w:color w:val="040C28"/>
          <w:shd w:val="clear" w:color="auto" w:fill="D3E3FD"/>
        </w:rPr>
        <w:t>EWCA Civ 295, [2009] All ER (D) 39 (Apr)</w:t>
      </w:r>
    </w:p>
    <w:p w14:paraId="45245D3B" w14:textId="2627F176" w:rsidR="00CD3022" w:rsidRPr="003D6E4D" w:rsidRDefault="003D6E4D" w:rsidP="00CD3022">
      <w:pPr>
        <w:pStyle w:val="NormalWeb"/>
        <w:spacing w:before="0" w:beforeAutospacing="0" w:after="240" w:afterAutospacing="0" w:line="360" w:lineRule="auto"/>
        <w:ind w:left="720"/>
        <w:rPr>
          <w:rFonts w:ascii="Arial" w:hAnsi="Arial" w:cs="Arial"/>
        </w:rPr>
      </w:pPr>
      <w:r>
        <w:rPr>
          <w:rFonts w:ascii="Arial" w:hAnsi="Arial" w:cs="Arial"/>
        </w:rPr>
        <w:t>LexisNexis</w:t>
      </w:r>
      <w:r w:rsidR="00CD3022" w:rsidRPr="003D6E4D">
        <w:rPr>
          <w:rFonts w:ascii="Arial" w:hAnsi="Arial" w:cs="Arial"/>
        </w:rPr>
        <w:t xml:space="preserve"> (2009). </w:t>
      </w:r>
      <w:r w:rsidR="00CD3022" w:rsidRPr="003D6E4D">
        <w:rPr>
          <w:rFonts w:ascii="Arial" w:hAnsi="Arial" w:cs="Arial"/>
          <w:i/>
          <w:iCs/>
        </w:rPr>
        <w:t>Teenager running in school grounds was not negligent</w:t>
      </w:r>
      <w:r w:rsidR="00CD3022" w:rsidRPr="003D6E4D">
        <w:rPr>
          <w:rFonts w:ascii="Arial" w:hAnsi="Arial" w:cs="Arial"/>
        </w:rPr>
        <w:t>. [online] New Law Journal. Available at: https://www.newlawjournal.co.uk/content/teenager-running-school-grounds-was-not-negligent#:~:text=In%20Orchard%20v%20Lee%20%5B2009 [Accessed 18 Apr. 2024].</w:t>
      </w:r>
    </w:p>
    <w:p w14:paraId="27BB0AA3" w14:textId="623E0B15" w:rsidR="00D227C9" w:rsidRPr="003D6E4D" w:rsidRDefault="00D227C9" w:rsidP="00D227C9">
      <w:pPr>
        <w:pStyle w:val="NormalWeb"/>
        <w:numPr>
          <w:ilvl w:val="0"/>
          <w:numId w:val="1"/>
        </w:numPr>
        <w:spacing w:before="0" w:beforeAutospacing="0" w:after="240" w:afterAutospacing="0" w:line="360" w:lineRule="auto"/>
        <w:rPr>
          <w:rFonts w:ascii="Arial" w:hAnsi="Arial" w:cs="Arial"/>
        </w:rPr>
      </w:pPr>
      <w:r w:rsidRPr="003D6E4D">
        <w:rPr>
          <w:rFonts w:ascii="Arial" w:hAnsi="Arial" w:cs="Arial"/>
          <w:color w:val="2A2A2A"/>
          <w:shd w:val="clear" w:color="auto" w:fill="F2F5F9"/>
        </w:rPr>
        <w:t>Horsey, K. and Rackley, E. (2021). </w:t>
      </w:r>
      <w:r w:rsidRPr="003D6E4D">
        <w:rPr>
          <w:rFonts w:ascii="Arial" w:hAnsi="Arial" w:cs="Arial"/>
          <w:i/>
          <w:iCs/>
          <w:color w:val="2A2A2A"/>
        </w:rPr>
        <w:t>Casebook on Tort Law</w:t>
      </w:r>
      <w:r w:rsidRPr="003D6E4D">
        <w:rPr>
          <w:rFonts w:ascii="Arial" w:hAnsi="Arial" w:cs="Arial"/>
          <w:color w:val="2A2A2A"/>
          <w:shd w:val="clear" w:color="auto" w:fill="F2F5F9"/>
        </w:rPr>
        <w:t>. 16th edn. Oxford: Oxford University Press, pp. 505-532</w:t>
      </w:r>
    </w:p>
    <w:p w14:paraId="60F0B77A" w14:textId="77777777" w:rsidR="00CD3022" w:rsidRPr="003D6E4D" w:rsidRDefault="00CD3022" w:rsidP="00CD3022">
      <w:pPr>
        <w:pStyle w:val="NormalWeb"/>
        <w:spacing w:before="0" w:beforeAutospacing="0" w:after="240" w:afterAutospacing="0" w:line="360" w:lineRule="auto"/>
        <w:ind w:left="720"/>
        <w:rPr>
          <w:rFonts w:ascii="Arial" w:hAnsi="Arial" w:cs="Arial"/>
        </w:rPr>
      </w:pPr>
    </w:p>
    <w:p w14:paraId="27AD3E63" w14:textId="18AB94E7" w:rsidR="004C0260" w:rsidRPr="003D6E4D" w:rsidRDefault="004C0260" w:rsidP="004C0260">
      <w:pPr>
        <w:pStyle w:val="ListParagraph"/>
        <w:spacing w:line="480" w:lineRule="auto"/>
        <w:rPr>
          <w:rFonts w:ascii="Arial" w:hAnsi="Arial" w:cs="Arial"/>
        </w:rPr>
      </w:pPr>
    </w:p>
    <w:p w14:paraId="2A51686D" w14:textId="77777777" w:rsidR="001929CF" w:rsidRPr="003D6E4D" w:rsidRDefault="001929CF" w:rsidP="0035079F">
      <w:pPr>
        <w:spacing w:line="480" w:lineRule="auto"/>
        <w:rPr>
          <w:rFonts w:ascii="Arial" w:hAnsi="Arial" w:cs="Arial"/>
        </w:rPr>
      </w:pPr>
    </w:p>
    <w:p w14:paraId="2FDD3EA1" w14:textId="77777777" w:rsidR="008E6B28" w:rsidRPr="003D6E4D" w:rsidRDefault="008E6B28" w:rsidP="0035079F">
      <w:pPr>
        <w:spacing w:line="480" w:lineRule="auto"/>
        <w:rPr>
          <w:rFonts w:ascii="Arial" w:hAnsi="Arial" w:cs="Arial"/>
        </w:rPr>
      </w:pPr>
    </w:p>
    <w:p w14:paraId="21736FF3" w14:textId="77777777" w:rsidR="008E6B28" w:rsidRPr="003D6E4D" w:rsidRDefault="008E6B28" w:rsidP="0035079F">
      <w:pPr>
        <w:spacing w:line="480" w:lineRule="auto"/>
        <w:rPr>
          <w:rFonts w:ascii="Arial" w:hAnsi="Arial" w:cs="Arial"/>
        </w:rPr>
      </w:pPr>
    </w:p>
    <w:p w14:paraId="07FA8003" w14:textId="77777777" w:rsidR="007E34F6" w:rsidRPr="003D6E4D" w:rsidRDefault="007E34F6" w:rsidP="0035079F">
      <w:pPr>
        <w:spacing w:line="480" w:lineRule="auto"/>
        <w:rPr>
          <w:rFonts w:ascii="Arial" w:hAnsi="Arial" w:cs="Arial"/>
        </w:rPr>
      </w:pPr>
    </w:p>
    <w:p w14:paraId="08E81418" w14:textId="4CD0F958" w:rsidR="001929CF" w:rsidRPr="003D6E4D" w:rsidRDefault="001929CF" w:rsidP="0035079F">
      <w:pPr>
        <w:spacing w:line="480" w:lineRule="auto"/>
        <w:rPr>
          <w:rFonts w:ascii="Arial" w:hAnsi="Arial" w:cs="Arial"/>
        </w:rPr>
      </w:pPr>
      <w:r w:rsidRPr="003D6E4D">
        <w:rPr>
          <w:rFonts w:ascii="Arial" w:hAnsi="Arial" w:cs="Arial"/>
        </w:rPr>
        <w:t>Legislation</w:t>
      </w:r>
      <w:r w:rsidR="00FF626E" w:rsidRPr="003D6E4D">
        <w:rPr>
          <w:rFonts w:ascii="Arial" w:hAnsi="Arial" w:cs="Arial"/>
        </w:rPr>
        <w:t>:</w:t>
      </w:r>
    </w:p>
    <w:p w14:paraId="3515C241" w14:textId="1B8AF32F" w:rsidR="00FF626E" w:rsidRPr="003D6E4D" w:rsidRDefault="00FF626E" w:rsidP="004C0260">
      <w:pPr>
        <w:pStyle w:val="NormalWeb"/>
        <w:numPr>
          <w:ilvl w:val="0"/>
          <w:numId w:val="1"/>
        </w:numPr>
        <w:spacing w:before="0" w:beforeAutospacing="0" w:after="240" w:afterAutospacing="0" w:line="360" w:lineRule="auto"/>
        <w:rPr>
          <w:rFonts w:ascii="Arial" w:hAnsi="Arial" w:cs="Arial"/>
        </w:rPr>
      </w:pPr>
      <w:r w:rsidRPr="003D6E4D">
        <w:rPr>
          <w:rFonts w:ascii="Arial" w:hAnsi="Arial" w:cs="Arial"/>
        </w:rPr>
        <w:t xml:space="preserve">Health and Safety Executive (2020). </w:t>
      </w:r>
      <w:r w:rsidRPr="003D6E4D">
        <w:rPr>
          <w:rFonts w:ascii="Arial" w:hAnsi="Arial" w:cs="Arial"/>
          <w:i/>
          <w:iCs/>
        </w:rPr>
        <w:t>Health and Safety at Work Act 1974</w:t>
      </w:r>
      <w:r w:rsidRPr="003D6E4D">
        <w:rPr>
          <w:rFonts w:ascii="Arial" w:hAnsi="Arial" w:cs="Arial"/>
        </w:rPr>
        <w:t>. [online] Hse.gov.uk. Available at: https://www.hse.gov.uk/legislation/hswa.htm [Accessed 2024].</w:t>
      </w:r>
    </w:p>
    <w:p w14:paraId="11E30EF3" w14:textId="77777777" w:rsidR="0035001D" w:rsidRPr="003D6E4D" w:rsidRDefault="0035001D" w:rsidP="0035001D">
      <w:pPr>
        <w:pStyle w:val="NormalWeb"/>
        <w:numPr>
          <w:ilvl w:val="0"/>
          <w:numId w:val="1"/>
        </w:numPr>
        <w:spacing w:before="0" w:beforeAutospacing="0" w:after="240" w:afterAutospacing="0" w:line="360" w:lineRule="auto"/>
        <w:rPr>
          <w:rFonts w:ascii="Arial" w:hAnsi="Arial" w:cs="Arial"/>
        </w:rPr>
      </w:pPr>
      <w:r w:rsidRPr="003D6E4D">
        <w:rPr>
          <w:rFonts w:ascii="Arial" w:hAnsi="Arial" w:cs="Arial"/>
        </w:rPr>
        <w:t xml:space="preserve">legislation.gov.uk (2020). </w:t>
      </w:r>
      <w:r w:rsidRPr="003D6E4D">
        <w:rPr>
          <w:rFonts w:ascii="Arial" w:hAnsi="Arial" w:cs="Arial"/>
          <w:i/>
          <w:iCs/>
        </w:rPr>
        <w:t>Employers’ Liability (Compulsory Insurance) Act 1969</w:t>
      </w:r>
      <w:r w:rsidRPr="003D6E4D">
        <w:rPr>
          <w:rFonts w:ascii="Arial" w:hAnsi="Arial" w:cs="Arial"/>
        </w:rPr>
        <w:t>. [online] Legislation.gov.uk. Available at: https://www.legislation.gov.uk/ukpga/1969/57/contents [Accessed 2024].</w:t>
      </w:r>
    </w:p>
    <w:p w14:paraId="3E721779" w14:textId="2B4D46E2" w:rsidR="00CD3022" w:rsidRPr="003D6E4D" w:rsidRDefault="00CD3022" w:rsidP="00CD3022">
      <w:pPr>
        <w:pStyle w:val="NormalWeb"/>
        <w:numPr>
          <w:ilvl w:val="0"/>
          <w:numId w:val="1"/>
        </w:numPr>
        <w:spacing w:before="0" w:beforeAutospacing="0" w:after="240" w:afterAutospacing="0" w:line="360" w:lineRule="auto"/>
        <w:rPr>
          <w:rFonts w:ascii="Arial" w:hAnsi="Arial" w:cs="Arial"/>
        </w:rPr>
      </w:pPr>
      <w:r w:rsidRPr="003D6E4D">
        <w:rPr>
          <w:rFonts w:ascii="Arial" w:hAnsi="Arial" w:cs="Arial"/>
        </w:rPr>
        <w:t xml:space="preserve">legislation.gov.uk (2015). </w:t>
      </w:r>
      <w:r w:rsidR="008E6B28" w:rsidRPr="003D6E4D">
        <w:rPr>
          <w:rFonts w:ascii="Arial" w:hAnsi="Arial" w:cs="Arial"/>
          <w:i/>
          <w:iCs/>
        </w:rPr>
        <w:t>"</w:t>
      </w:r>
      <w:r w:rsidRPr="003D6E4D">
        <w:rPr>
          <w:rFonts w:ascii="Arial" w:hAnsi="Arial" w:cs="Arial"/>
          <w:i/>
          <w:iCs/>
        </w:rPr>
        <w:t>The Deregulation Act 2015 (Health and Safety at Work) (General Duties of Self-Employed Persons) (Consequential Amendments) Order 2015</w:t>
      </w:r>
      <w:r w:rsidRPr="003D6E4D">
        <w:rPr>
          <w:rFonts w:ascii="Arial" w:hAnsi="Arial" w:cs="Arial"/>
        </w:rPr>
        <w:t>.</w:t>
      </w:r>
      <w:r w:rsidR="008E6B28" w:rsidRPr="003D6E4D">
        <w:rPr>
          <w:rFonts w:ascii="Arial" w:hAnsi="Arial" w:cs="Arial"/>
        </w:rPr>
        <w:t>" (“The Deregulation Act 2015 (Health and Safety at Work) (General Duties ...”)</w:t>
      </w:r>
      <w:r w:rsidRPr="003D6E4D">
        <w:rPr>
          <w:rFonts w:ascii="Arial" w:hAnsi="Arial" w:cs="Arial"/>
        </w:rPr>
        <w:t xml:space="preserve"> [online] Legislation.gov.uk. Available at: https://www.legislation.gov.uk/uksi/2015/1637/made [Accessed 2024].</w:t>
      </w:r>
    </w:p>
    <w:p w14:paraId="522889F3" w14:textId="77777777" w:rsidR="008254B0" w:rsidRPr="003D6E4D" w:rsidRDefault="008254B0" w:rsidP="008254B0">
      <w:pPr>
        <w:pStyle w:val="NormalWeb"/>
        <w:numPr>
          <w:ilvl w:val="0"/>
          <w:numId w:val="1"/>
        </w:numPr>
        <w:spacing w:before="0" w:beforeAutospacing="0" w:after="240" w:afterAutospacing="0" w:line="360" w:lineRule="auto"/>
        <w:rPr>
          <w:rFonts w:ascii="Arial" w:hAnsi="Arial" w:cs="Arial"/>
        </w:rPr>
      </w:pPr>
      <w:r w:rsidRPr="003D6E4D">
        <w:rPr>
          <w:rFonts w:ascii="Arial" w:hAnsi="Arial" w:cs="Arial"/>
        </w:rPr>
        <w:t xml:space="preserve">Legislation.gov.uk (2014a). </w:t>
      </w:r>
      <w:r w:rsidRPr="003D6E4D">
        <w:rPr>
          <w:rFonts w:ascii="Arial" w:hAnsi="Arial" w:cs="Arial"/>
          <w:i/>
          <w:iCs/>
        </w:rPr>
        <w:t>Employment Rights Act 1996</w:t>
      </w:r>
      <w:r w:rsidRPr="003D6E4D">
        <w:rPr>
          <w:rFonts w:ascii="Arial" w:hAnsi="Arial" w:cs="Arial"/>
        </w:rPr>
        <w:t>. [online] Legislation.gov.uk. Available at: https://www.legislation.gov.uk/ukpga/1996/18/section/230.</w:t>
      </w:r>
    </w:p>
    <w:p w14:paraId="21BA61BC" w14:textId="77777777" w:rsidR="008254B0" w:rsidRPr="003D6E4D" w:rsidRDefault="008254B0" w:rsidP="00CD3022">
      <w:pPr>
        <w:pStyle w:val="NormalWeb"/>
        <w:numPr>
          <w:ilvl w:val="0"/>
          <w:numId w:val="1"/>
        </w:numPr>
        <w:spacing w:before="0" w:beforeAutospacing="0" w:after="240" w:afterAutospacing="0" w:line="360" w:lineRule="auto"/>
        <w:rPr>
          <w:rFonts w:ascii="Arial" w:hAnsi="Arial" w:cs="Arial"/>
        </w:rPr>
      </w:pPr>
    </w:p>
    <w:p w14:paraId="0BFDB125" w14:textId="77777777" w:rsidR="0035001D" w:rsidRPr="003D6E4D" w:rsidRDefault="0035001D" w:rsidP="00646061">
      <w:pPr>
        <w:pStyle w:val="NormalWeb"/>
        <w:spacing w:before="0" w:beforeAutospacing="0" w:after="240" w:afterAutospacing="0" w:line="360" w:lineRule="auto"/>
        <w:ind w:left="720"/>
        <w:rPr>
          <w:rFonts w:ascii="Arial" w:hAnsi="Arial" w:cs="Arial"/>
        </w:rPr>
      </w:pPr>
    </w:p>
    <w:p w14:paraId="23490DFE" w14:textId="5DC8588B" w:rsidR="001929CF" w:rsidRPr="003D6E4D" w:rsidRDefault="001929CF" w:rsidP="0035079F">
      <w:pPr>
        <w:spacing w:line="480" w:lineRule="auto"/>
        <w:rPr>
          <w:rFonts w:ascii="Arial" w:hAnsi="Arial" w:cs="Arial"/>
        </w:rPr>
      </w:pPr>
      <w:r w:rsidRPr="003D6E4D">
        <w:rPr>
          <w:rFonts w:ascii="Arial" w:hAnsi="Arial" w:cs="Arial"/>
        </w:rPr>
        <w:t>Books</w:t>
      </w:r>
    </w:p>
    <w:p w14:paraId="1E8C28B6" w14:textId="41E09B15" w:rsidR="001C3274" w:rsidRPr="003D6E4D" w:rsidRDefault="001C3274" w:rsidP="00646061">
      <w:pPr>
        <w:pStyle w:val="ListParagraph"/>
        <w:numPr>
          <w:ilvl w:val="0"/>
          <w:numId w:val="1"/>
        </w:numPr>
        <w:spacing w:line="480" w:lineRule="auto"/>
        <w:rPr>
          <w:rFonts w:ascii="Arial" w:hAnsi="Arial" w:cs="Arial"/>
        </w:rPr>
      </w:pPr>
      <w:r w:rsidRPr="003D6E4D">
        <w:rPr>
          <w:rFonts w:ascii="Arial" w:hAnsi="Arial" w:cs="Arial"/>
        </w:rPr>
        <w:t>O’Sullivan, J. (2023). Negligence, Policy and ‘Novel Exceptions’. In J. Gardner, A. Goymour, J. O’Sullivan &amp; S. Worthington (Eds.), Politics, Policy and Private Law: Volume I: Tort, Property and Equity (pp. 105–124). Oxford: Hart Publishing.</w:t>
      </w:r>
    </w:p>
    <w:p w14:paraId="3061AC41" w14:textId="5C0A73ED" w:rsidR="00BE31D0" w:rsidRPr="003D6E4D" w:rsidRDefault="00BE31D0" w:rsidP="00646061">
      <w:pPr>
        <w:pStyle w:val="ListParagraph"/>
        <w:numPr>
          <w:ilvl w:val="0"/>
          <w:numId w:val="1"/>
        </w:numPr>
        <w:spacing w:line="480" w:lineRule="auto"/>
        <w:rPr>
          <w:rFonts w:ascii="Arial" w:hAnsi="Arial" w:cs="Arial"/>
        </w:rPr>
      </w:pPr>
      <w:r w:rsidRPr="003D6E4D">
        <w:rPr>
          <w:rFonts w:ascii="Arial" w:hAnsi="Arial" w:cs="Arial"/>
          <w:color w:val="2A2A2A"/>
          <w:shd w:val="clear" w:color="auto" w:fill="F2F5F9"/>
        </w:rPr>
        <w:lastRenderedPageBreak/>
        <w:t>Dyer, K. and Balan, A. (2022). </w:t>
      </w:r>
      <w:r w:rsidRPr="003D6E4D">
        <w:rPr>
          <w:rFonts w:ascii="Arial" w:hAnsi="Arial" w:cs="Arial"/>
          <w:i/>
          <w:iCs/>
          <w:color w:val="2A2A2A"/>
        </w:rPr>
        <w:t>Concentrate Questions and Answers Tort Law: Law Q&amp;A Revision and Study Guide</w:t>
      </w:r>
      <w:r w:rsidRPr="003D6E4D">
        <w:rPr>
          <w:rFonts w:ascii="Arial" w:hAnsi="Arial" w:cs="Arial"/>
          <w:color w:val="2A2A2A"/>
          <w:shd w:val="clear" w:color="auto" w:fill="F2F5F9"/>
        </w:rPr>
        <w:t>. 2nd edn. Oxford: Oxford University Press.</w:t>
      </w:r>
    </w:p>
    <w:p w14:paraId="02FD5D1B" w14:textId="5EB43334" w:rsidR="00646061" w:rsidRPr="003D6E4D" w:rsidRDefault="00646061" w:rsidP="00646061">
      <w:pPr>
        <w:pStyle w:val="ListParagraph"/>
        <w:numPr>
          <w:ilvl w:val="0"/>
          <w:numId w:val="1"/>
        </w:numPr>
        <w:spacing w:line="480" w:lineRule="auto"/>
        <w:rPr>
          <w:rFonts w:ascii="Arial" w:hAnsi="Arial" w:cs="Arial"/>
        </w:rPr>
      </w:pPr>
      <w:r w:rsidRPr="003D6E4D">
        <w:rPr>
          <w:rFonts w:ascii="Arial" w:hAnsi="Arial" w:cs="Arial"/>
          <w:color w:val="2A2A2A"/>
          <w:shd w:val="clear" w:color="auto" w:fill="F2F5F9"/>
        </w:rPr>
        <w:t>Weir, T. (2006). </w:t>
      </w:r>
      <w:r w:rsidRPr="003D6E4D">
        <w:rPr>
          <w:rFonts w:ascii="Arial" w:hAnsi="Arial" w:cs="Arial"/>
          <w:i/>
          <w:iCs/>
          <w:color w:val="2A2A2A"/>
        </w:rPr>
        <w:t>An Introduction to Tort Law</w:t>
      </w:r>
      <w:r w:rsidRPr="003D6E4D">
        <w:rPr>
          <w:rFonts w:ascii="Arial" w:hAnsi="Arial" w:cs="Arial"/>
          <w:color w:val="2A2A2A"/>
          <w:shd w:val="clear" w:color="auto" w:fill="F2F5F9"/>
        </w:rPr>
        <w:t>. 2nd edn. Oxford: Oxford University Press, pp. 29-56.</w:t>
      </w:r>
    </w:p>
    <w:p w14:paraId="3B2589A0" w14:textId="305FCA14" w:rsidR="00B309AC" w:rsidRPr="003D6E4D" w:rsidRDefault="00B309AC" w:rsidP="00646061">
      <w:pPr>
        <w:pStyle w:val="ListParagraph"/>
        <w:numPr>
          <w:ilvl w:val="0"/>
          <w:numId w:val="1"/>
        </w:numPr>
        <w:spacing w:line="480" w:lineRule="auto"/>
        <w:rPr>
          <w:rFonts w:ascii="Arial" w:hAnsi="Arial" w:cs="Arial"/>
        </w:rPr>
      </w:pPr>
      <w:r w:rsidRPr="003D6E4D">
        <w:rPr>
          <w:rFonts w:ascii="Arial" w:hAnsi="Arial" w:cs="Arial"/>
          <w:color w:val="2A2A2A"/>
          <w:shd w:val="clear" w:color="auto" w:fill="F2F5F9"/>
        </w:rPr>
        <w:t>Horsey, K. and Rackley, E. (2023). </w:t>
      </w:r>
      <w:r w:rsidRPr="003D6E4D">
        <w:rPr>
          <w:rFonts w:ascii="Arial" w:hAnsi="Arial" w:cs="Arial"/>
          <w:i/>
          <w:iCs/>
          <w:color w:val="2A2A2A"/>
        </w:rPr>
        <w:t>Tort Law</w:t>
      </w:r>
      <w:r w:rsidRPr="003D6E4D">
        <w:rPr>
          <w:rFonts w:ascii="Arial" w:hAnsi="Arial" w:cs="Arial"/>
          <w:color w:val="2A2A2A"/>
          <w:shd w:val="clear" w:color="auto" w:fill="F2F5F9"/>
        </w:rPr>
        <w:t>. 8th edn. Oxford: Oxford University Press, pp. 28-57</w:t>
      </w:r>
    </w:p>
    <w:p w14:paraId="5B18A299" w14:textId="398E075F" w:rsidR="00181BC5" w:rsidRPr="003D6E4D" w:rsidRDefault="00181BC5" w:rsidP="00646061">
      <w:pPr>
        <w:pStyle w:val="ListParagraph"/>
        <w:numPr>
          <w:ilvl w:val="0"/>
          <w:numId w:val="1"/>
        </w:numPr>
        <w:spacing w:line="480" w:lineRule="auto"/>
        <w:rPr>
          <w:rFonts w:ascii="Arial" w:hAnsi="Arial" w:cs="Arial"/>
        </w:rPr>
      </w:pPr>
      <w:r w:rsidRPr="003D6E4D">
        <w:rPr>
          <w:rFonts w:ascii="Arial" w:hAnsi="Arial" w:cs="Arial"/>
          <w:color w:val="2A2A2A"/>
          <w:shd w:val="clear" w:color="auto" w:fill="F2F5F9"/>
        </w:rPr>
        <w:t>Farrell, A. and Dove, E. (2023). </w:t>
      </w:r>
      <w:r w:rsidRPr="003D6E4D">
        <w:rPr>
          <w:rFonts w:ascii="Arial" w:hAnsi="Arial" w:cs="Arial"/>
          <w:i/>
          <w:iCs/>
          <w:color w:val="2A2A2A"/>
        </w:rPr>
        <w:t>Mason and McCall Smith's Law and Medical Ethics</w:t>
      </w:r>
      <w:r w:rsidRPr="003D6E4D">
        <w:rPr>
          <w:rFonts w:ascii="Arial" w:hAnsi="Arial" w:cs="Arial"/>
          <w:color w:val="2A2A2A"/>
          <w:shd w:val="clear" w:color="auto" w:fill="F2F5F9"/>
        </w:rPr>
        <w:t>. 12th edn. Oxford: Oxford University Press, pp. 358-421</w:t>
      </w:r>
    </w:p>
    <w:p w14:paraId="4FF6EC27" w14:textId="70E2F2D9" w:rsidR="008F1EBA" w:rsidRPr="003D6E4D" w:rsidRDefault="008F1EBA" w:rsidP="00646061">
      <w:pPr>
        <w:pStyle w:val="ListParagraph"/>
        <w:numPr>
          <w:ilvl w:val="0"/>
          <w:numId w:val="1"/>
        </w:numPr>
        <w:spacing w:line="480" w:lineRule="auto"/>
        <w:rPr>
          <w:rFonts w:ascii="Arial" w:hAnsi="Arial" w:cs="Arial"/>
        </w:rPr>
      </w:pPr>
      <w:r w:rsidRPr="003D6E4D">
        <w:rPr>
          <w:rFonts w:ascii="Arial" w:hAnsi="Arial" w:cs="Arial"/>
          <w:color w:val="2A2A2A"/>
          <w:shd w:val="clear" w:color="auto" w:fill="F2F5F9"/>
        </w:rPr>
        <w:t>Brennan, C. (2022). </w:t>
      </w:r>
      <w:r w:rsidRPr="003D6E4D">
        <w:rPr>
          <w:rFonts w:ascii="Arial" w:hAnsi="Arial" w:cs="Arial"/>
          <w:i/>
          <w:iCs/>
          <w:color w:val="2A2A2A"/>
        </w:rPr>
        <w:t>Tort Law Directions</w:t>
      </w:r>
      <w:r w:rsidRPr="003D6E4D">
        <w:rPr>
          <w:rFonts w:ascii="Arial" w:hAnsi="Arial" w:cs="Arial"/>
          <w:color w:val="2A2A2A"/>
          <w:shd w:val="clear" w:color="auto" w:fill="F2F5F9"/>
        </w:rPr>
        <w:t>. 8th edn. Oxford: Oxford University Press, pp. 149-167</w:t>
      </w:r>
    </w:p>
    <w:p w14:paraId="6730BBD8" w14:textId="77777777" w:rsidR="001C3274" w:rsidRPr="003D6E4D" w:rsidRDefault="001C3274" w:rsidP="0035079F">
      <w:pPr>
        <w:spacing w:line="480" w:lineRule="auto"/>
        <w:rPr>
          <w:rFonts w:ascii="Arial" w:hAnsi="Arial" w:cs="Arial"/>
        </w:rPr>
      </w:pPr>
    </w:p>
    <w:p w14:paraId="65A6FDCA" w14:textId="388FE499" w:rsidR="001929CF" w:rsidRPr="003D6E4D" w:rsidRDefault="001929CF" w:rsidP="0035079F">
      <w:pPr>
        <w:spacing w:line="480" w:lineRule="auto"/>
        <w:rPr>
          <w:rFonts w:ascii="Arial" w:hAnsi="Arial" w:cs="Arial"/>
        </w:rPr>
      </w:pPr>
    </w:p>
    <w:sectPr w:rsidR="001929CF" w:rsidRPr="003D6E4D" w:rsidSect="00A13955">
      <w:pgSz w:w="11906" w:h="16838"/>
      <w:pgMar w:top="1418" w:right="1418" w:bottom="14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645598"/>
    <w:multiLevelType w:val="hybridMultilevel"/>
    <w:tmpl w:val="17F44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314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291"/>
    <w:rsid w:val="000F7DED"/>
    <w:rsid w:val="00181BC5"/>
    <w:rsid w:val="001929CF"/>
    <w:rsid w:val="001C3274"/>
    <w:rsid w:val="001E7DF3"/>
    <w:rsid w:val="0034624D"/>
    <w:rsid w:val="0035001D"/>
    <w:rsid w:val="0035079F"/>
    <w:rsid w:val="003D6E4D"/>
    <w:rsid w:val="00442203"/>
    <w:rsid w:val="00464CE2"/>
    <w:rsid w:val="004C0260"/>
    <w:rsid w:val="004C1291"/>
    <w:rsid w:val="00567D55"/>
    <w:rsid w:val="00615E1F"/>
    <w:rsid w:val="00646061"/>
    <w:rsid w:val="006778B4"/>
    <w:rsid w:val="007C62D3"/>
    <w:rsid w:val="007E34F6"/>
    <w:rsid w:val="008254B0"/>
    <w:rsid w:val="008805A1"/>
    <w:rsid w:val="008C5CAC"/>
    <w:rsid w:val="008E6B28"/>
    <w:rsid w:val="008F1EBA"/>
    <w:rsid w:val="009A4CF1"/>
    <w:rsid w:val="00A13955"/>
    <w:rsid w:val="00A537CA"/>
    <w:rsid w:val="00B309AC"/>
    <w:rsid w:val="00B51778"/>
    <w:rsid w:val="00B83DA4"/>
    <w:rsid w:val="00BE31D0"/>
    <w:rsid w:val="00CD3022"/>
    <w:rsid w:val="00D02C89"/>
    <w:rsid w:val="00D227C9"/>
    <w:rsid w:val="00DA3EA8"/>
    <w:rsid w:val="00ED2209"/>
    <w:rsid w:val="00F03762"/>
    <w:rsid w:val="00F26DC6"/>
    <w:rsid w:val="00FF6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B21F55"/>
  <w15:chartTrackingRefBased/>
  <w15:docId w15:val="{470D76E9-94D4-45FF-9942-E9C2C4D5C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12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12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12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12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12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12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12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12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12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2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12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12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12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12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12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12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12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1291"/>
    <w:rPr>
      <w:rFonts w:eastAsiaTheme="majorEastAsia" w:cstheme="majorBidi"/>
      <w:color w:val="272727" w:themeColor="text1" w:themeTint="D8"/>
    </w:rPr>
  </w:style>
  <w:style w:type="paragraph" w:styleId="Title">
    <w:name w:val="Title"/>
    <w:basedOn w:val="Normal"/>
    <w:next w:val="Normal"/>
    <w:link w:val="TitleChar"/>
    <w:uiPriority w:val="10"/>
    <w:qFormat/>
    <w:rsid w:val="004C12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12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12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12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1291"/>
    <w:pPr>
      <w:spacing w:before="160"/>
      <w:jc w:val="center"/>
    </w:pPr>
    <w:rPr>
      <w:i/>
      <w:iCs/>
      <w:color w:val="404040" w:themeColor="text1" w:themeTint="BF"/>
    </w:rPr>
  </w:style>
  <w:style w:type="character" w:customStyle="1" w:styleId="QuoteChar">
    <w:name w:val="Quote Char"/>
    <w:basedOn w:val="DefaultParagraphFont"/>
    <w:link w:val="Quote"/>
    <w:uiPriority w:val="29"/>
    <w:rsid w:val="004C1291"/>
    <w:rPr>
      <w:i/>
      <w:iCs/>
      <w:color w:val="404040" w:themeColor="text1" w:themeTint="BF"/>
    </w:rPr>
  </w:style>
  <w:style w:type="paragraph" w:styleId="ListParagraph">
    <w:name w:val="List Paragraph"/>
    <w:basedOn w:val="Normal"/>
    <w:uiPriority w:val="34"/>
    <w:qFormat/>
    <w:rsid w:val="004C1291"/>
    <w:pPr>
      <w:ind w:left="720"/>
      <w:contextualSpacing/>
    </w:pPr>
  </w:style>
  <w:style w:type="character" w:styleId="IntenseEmphasis">
    <w:name w:val="Intense Emphasis"/>
    <w:basedOn w:val="DefaultParagraphFont"/>
    <w:uiPriority w:val="21"/>
    <w:qFormat/>
    <w:rsid w:val="004C1291"/>
    <w:rPr>
      <w:i/>
      <w:iCs/>
      <w:color w:val="0F4761" w:themeColor="accent1" w:themeShade="BF"/>
    </w:rPr>
  </w:style>
  <w:style w:type="paragraph" w:styleId="IntenseQuote">
    <w:name w:val="Intense Quote"/>
    <w:basedOn w:val="Normal"/>
    <w:next w:val="Normal"/>
    <w:link w:val="IntenseQuoteChar"/>
    <w:uiPriority w:val="30"/>
    <w:qFormat/>
    <w:rsid w:val="004C12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1291"/>
    <w:rPr>
      <w:i/>
      <w:iCs/>
      <w:color w:val="0F4761" w:themeColor="accent1" w:themeShade="BF"/>
    </w:rPr>
  </w:style>
  <w:style w:type="character" w:styleId="IntenseReference">
    <w:name w:val="Intense Reference"/>
    <w:basedOn w:val="DefaultParagraphFont"/>
    <w:uiPriority w:val="32"/>
    <w:qFormat/>
    <w:rsid w:val="004C1291"/>
    <w:rPr>
      <w:b/>
      <w:bCs/>
      <w:smallCaps/>
      <w:color w:val="0F4761" w:themeColor="accent1" w:themeShade="BF"/>
      <w:spacing w:val="5"/>
    </w:rPr>
  </w:style>
  <w:style w:type="paragraph" w:styleId="NormalWeb">
    <w:name w:val="Normal (Web)"/>
    <w:basedOn w:val="Normal"/>
    <w:uiPriority w:val="99"/>
    <w:semiHidden/>
    <w:unhideWhenUsed/>
    <w:rsid w:val="00FF626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C32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8898">
      <w:bodyDiv w:val="1"/>
      <w:marLeft w:val="0"/>
      <w:marRight w:val="0"/>
      <w:marTop w:val="0"/>
      <w:marBottom w:val="0"/>
      <w:divBdr>
        <w:top w:val="none" w:sz="0" w:space="0" w:color="auto"/>
        <w:left w:val="none" w:sz="0" w:space="0" w:color="auto"/>
        <w:bottom w:val="none" w:sz="0" w:space="0" w:color="auto"/>
        <w:right w:val="none" w:sz="0" w:space="0" w:color="auto"/>
      </w:divBdr>
    </w:div>
    <w:div w:id="24841433">
      <w:bodyDiv w:val="1"/>
      <w:marLeft w:val="0"/>
      <w:marRight w:val="0"/>
      <w:marTop w:val="0"/>
      <w:marBottom w:val="0"/>
      <w:divBdr>
        <w:top w:val="none" w:sz="0" w:space="0" w:color="auto"/>
        <w:left w:val="none" w:sz="0" w:space="0" w:color="auto"/>
        <w:bottom w:val="none" w:sz="0" w:space="0" w:color="auto"/>
        <w:right w:val="none" w:sz="0" w:space="0" w:color="auto"/>
      </w:divBdr>
    </w:div>
    <w:div w:id="57019974">
      <w:bodyDiv w:val="1"/>
      <w:marLeft w:val="0"/>
      <w:marRight w:val="0"/>
      <w:marTop w:val="0"/>
      <w:marBottom w:val="0"/>
      <w:divBdr>
        <w:top w:val="none" w:sz="0" w:space="0" w:color="auto"/>
        <w:left w:val="none" w:sz="0" w:space="0" w:color="auto"/>
        <w:bottom w:val="none" w:sz="0" w:space="0" w:color="auto"/>
        <w:right w:val="none" w:sz="0" w:space="0" w:color="auto"/>
      </w:divBdr>
    </w:div>
    <w:div w:id="112288979">
      <w:bodyDiv w:val="1"/>
      <w:marLeft w:val="0"/>
      <w:marRight w:val="0"/>
      <w:marTop w:val="0"/>
      <w:marBottom w:val="0"/>
      <w:divBdr>
        <w:top w:val="none" w:sz="0" w:space="0" w:color="auto"/>
        <w:left w:val="none" w:sz="0" w:space="0" w:color="auto"/>
        <w:bottom w:val="none" w:sz="0" w:space="0" w:color="auto"/>
        <w:right w:val="none" w:sz="0" w:space="0" w:color="auto"/>
      </w:divBdr>
    </w:div>
    <w:div w:id="113866725">
      <w:bodyDiv w:val="1"/>
      <w:marLeft w:val="0"/>
      <w:marRight w:val="0"/>
      <w:marTop w:val="0"/>
      <w:marBottom w:val="0"/>
      <w:divBdr>
        <w:top w:val="none" w:sz="0" w:space="0" w:color="auto"/>
        <w:left w:val="none" w:sz="0" w:space="0" w:color="auto"/>
        <w:bottom w:val="none" w:sz="0" w:space="0" w:color="auto"/>
        <w:right w:val="none" w:sz="0" w:space="0" w:color="auto"/>
      </w:divBdr>
    </w:div>
    <w:div w:id="146480174">
      <w:bodyDiv w:val="1"/>
      <w:marLeft w:val="0"/>
      <w:marRight w:val="0"/>
      <w:marTop w:val="0"/>
      <w:marBottom w:val="0"/>
      <w:divBdr>
        <w:top w:val="none" w:sz="0" w:space="0" w:color="auto"/>
        <w:left w:val="none" w:sz="0" w:space="0" w:color="auto"/>
        <w:bottom w:val="none" w:sz="0" w:space="0" w:color="auto"/>
        <w:right w:val="none" w:sz="0" w:space="0" w:color="auto"/>
      </w:divBdr>
    </w:div>
    <w:div w:id="180630278">
      <w:bodyDiv w:val="1"/>
      <w:marLeft w:val="0"/>
      <w:marRight w:val="0"/>
      <w:marTop w:val="0"/>
      <w:marBottom w:val="0"/>
      <w:divBdr>
        <w:top w:val="none" w:sz="0" w:space="0" w:color="auto"/>
        <w:left w:val="none" w:sz="0" w:space="0" w:color="auto"/>
        <w:bottom w:val="none" w:sz="0" w:space="0" w:color="auto"/>
        <w:right w:val="none" w:sz="0" w:space="0" w:color="auto"/>
      </w:divBdr>
    </w:div>
    <w:div w:id="236210532">
      <w:bodyDiv w:val="1"/>
      <w:marLeft w:val="0"/>
      <w:marRight w:val="0"/>
      <w:marTop w:val="0"/>
      <w:marBottom w:val="0"/>
      <w:divBdr>
        <w:top w:val="none" w:sz="0" w:space="0" w:color="auto"/>
        <w:left w:val="none" w:sz="0" w:space="0" w:color="auto"/>
        <w:bottom w:val="none" w:sz="0" w:space="0" w:color="auto"/>
        <w:right w:val="none" w:sz="0" w:space="0" w:color="auto"/>
      </w:divBdr>
    </w:div>
    <w:div w:id="261961213">
      <w:bodyDiv w:val="1"/>
      <w:marLeft w:val="0"/>
      <w:marRight w:val="0"/>
      <w:marTop w:val="0"/>
      <w:marBottom w:val="0"/>
      <w:divBdr>
        <w:top w:val="none" w:sz="0" w:space="0" w:color="auto"/>
        <w:left w:val="none" w:sz="0" w:space="0" w:color="auto"/>
        <w:bottom w:val="none" w:sz="0" w:space="0" w:color="auto"/>
        <w:right w:val="none" w:sz="0" w:space="0" w:color="auto"/>
      </w:divBdr>
    </w:div>
    <w:div w:id="354772800">
      <w:bodyDiv w:val="1"/>
      <w:marLeft w:val="0"/>
      <w:marRight w:val="0"/>
      <w:marTop w:val="0"/>
      <w:marBottom w:val="0"/>
      <w:divBdr>
        <w:top w:val="none" w:sz="0" w:space="0" w:color="auto"/>
        <w:left w:val="none" w:sz="0" w:space="0" w:color="auto"/>
        <w:bottom w:val="none" w:sz="0" w:space="0" w:color="auto"/>
        <w:right w:val="none" w:sz="0" w:space="0" w:color="auto"/>
      </w:divBdr>
    </w:div>
    <w:div w:id="513956151">
      <w:bodyDiv w:val="1"/>
      <w:marLeft w:val="0"/>
      <w:marRight w:val="0"/>
      <w:marTop w:val="0"/>
      <w:marBottom w:val="0"/>
      <w:divBdr>
        <w:top w:val="none" w:sz="0" w:space="0" w:color="auto"/>
        <w:left w:val="none" w:sz="0" w:space="0" w:color="auto"/>
        <w:bottom w:val="none" w:sz="0" w:space="0" w:color="auto"/>
        <w:right w:val="none" w:sz="0" w:space="0" w:color="auto"/>
      </w:divBdr>
    </w:div>
    <w:div w:id="514156113">
      <w:bodyDiv w:val="1"/>
      <w:marLeft w:val="0"/>
      <w:marRight w:val="0"/>
      <w:marTop w:val="0"/>
      <w:marBottom w:val="0"/>
      <w:divBdr>
        <w:top w:val="none" w:sz="0" w:space="0" w:color="auto"/>
        <w:left w:val="none" w:sz="0" w:space="0" w:color="auto"/>
        <w:bottom w:val="none" w:sz="0" w:space="0" w:color="auto"/>
        <w:right w:val="none" w:sz="0" w:space="0" w:color="auto"/>
      </w:divBdr>
    </w:div>
    <w:div w:id="517933329">
      <w:bodyDiv w:val="1"/>
      <w:marLeft w:val="0"/>
      <w:marRight w:val="0"/>
      <w:marTop w:val="0"/>
      <w:marBottom w:val="0"/>
      <w:divBdr>
        <w:top w:val="none" w:sz="0" w:space="0" w:color="auto"/>
        <w:left w:val="none" w:sz="0" w:space="0" w:color="auto"/>
        <w:bottom w:val="none" w:sz="0" w:space="0" w:color="auto"/>
        <w:right w:val="none" w:sz="0" w:space="0" w:color="auto"/>
      </w:divBdr>
    </w:div>
    <w:div w:id="573122221">
      <w:bodyDiv w:val="1"/>
      <w:marLeft w:val="0"/>
      <w:marRight w:val="0"/>
      <w:marTop w:val="0"/>
      <w:marBottom w:val="0"/>
      <w:divBdr>
        <w:top w:val="none" w:sz="0" w:space="0" w:color="auto"/>
        <w:left w:val="none" w:sz="0" w:space="0" w:color="auto"/>
        <w:bottom w:val="none" w:sz="0" w:space="0" w:color="auto"/>
        <w:right w:val="none" w:sz="0" w:space="0" w:color="auto"/>
      </w:divBdr>
    </w:div>
    <w:div w:id="627586474">
      <w:bodyDiv w:val="1"/>
      <w:marLeft w:val="0"/>
      <w:marRight w:val="0"/>
      <w:marTop w:val="0"/>
      <w:marBottom w:val="0"/>
      <w:divBdr>
        <w:top w:val="none" w:sz="0" w:space="0" w:color="auto"/>
        <w:left w:val="none" w:sz="0" w:space="0" w:color="auto"/>
        <w:bottom w:val="none" w:sz="0" w:space="0" w:color="auto"/>
        <w:right w:val="none" w:sz="0" w:space="0" w:color="auto"/>
      </w:divBdr>
      <w:divsChild>
        <w:div w:id="567572516">
          <w:marLeft w:val="0"/>
          <w:marRight w:val="0"/>
          <w:marTop w:val="0"/>
          <w:marBottom w:val="0"/>
          <w:divBdr>
            <w:top w:val="none" w:sz="0" w:space="0" w:color="auto"/>
            <w:left w:val="none" w:sz="0" w:space="0" w:color="auto"/>
            <w:bottom w:val="none" w:sz="0" w:space="0" w:color="auto"/>
            <w:right w:val="none" w:sz="0" w:space="0" w:color="auto"/>
          </w:divBdr>
        </w:div>
      </w:divsChild>
    </w:div>
    <w:div w:id="670764188">
      <w:bodyDiv w:val="1"/>
      <w:marLeft w:val="0"/>
      <w:marRight w:val="0"/>
      <w:marTop w:val="0"/>
      <w:marBottom w:val="0"/>
      <w:divBdr>
        <w:top w:val="none" w:sz="0" w:space="0" w:color="auto"/>
        <w:left w:val="none" w:sz="0" w:space="0" w:color="auto"/>
        <w:bottom w:val="none" w:sz="0" w:space="0" w:color="auto"/>
        <w:right w:val="none" w:sz="0" w:space="0" w:color="auto"/>
      </w:divBdr>
      <w:divsChild>
        <w:div w:id="943995238">
          <w:marLeft w:val="0"/>
          <w:marRight w:val="0"/>
          <w:marTop w:val="0"/>
          <w:marBottom w:val="0"/>
          <w:divBdr>
            <w:top w:val="none" w:sz="0" w:space="0" w:color="auto"/>
            <w:left w:val="none" w:sz="0" w:space="0" w:color="auto"/>
            <w:bottom w:val="none" w:sz="0" w:space="0" w:color="auto"/>
            <w:right w:val="none" w:sz="0" w:space="0" w:color="auto"/>
          </w:divBdr>
        </w:div>
      </w:divsChild>
    </w:div>
    <w:div w:id="688288478">
      <w:bodyDiv w:val="1"/>
      <w:marLeft w:val="0"/>
      <w:marRight w:val="0"/>
      <w:marTop w:val="0"/>
      <w:marBottom w:val="0"/>
      <w:divBdr>
        <w:top w:val="none" w:sz="0" w:space="0" w:color="auto"/>
        <w:left w:val="none" w:sz="0" w:space="0" w:color="auto"/>
        <w:bottom w:val="none" w:sz="0" w:space="0" w:color="auto"/>
        <w:right w:val="none" w:sz="0" w:space="0" w:color="auto"/>
      </w:divBdr>
    </w:div>
    <w:div w:id="692459126">
      <w:bodyDiv w:val="1"/>
      <w:marLeft w:val="0"/>
      <w:marRight w:val="0"/>
      <w:marTop w:val="0"/>
      <w:marBottom w:val="0"/>
      <w:divBdr>
        <w:top w:val="none" w:sz="0" w:space="0" w:color="auto"/>
        <w:left w:val="none" w:sz="0" w:space="0" w:color="auto"/>
        <w:bottom w:val="none" w:sz="0" w:space="0" w:color="auto"/>
        <w:right w:val="none" w:sz="0" w:space="0" w:color="auto"/>
      </w:divBdr>
    </w:div>
    <w:div w:id="712385208">
      <w:bodyDiv w:val="1"/>
      <w:marLeft w:val="0"/>
      <w:marRight w:val="0"/>
      <w:marTop w:val="0"/>
      <w:marBottom w:val="0"/>
      <w:divBdr>
        <w:top w:val="none" w:sz="0" w:space="0" w:color="auto"/>
        <w:left w:val="none" w:sz="0" w:space="0" w:color="auto"/>
        <w:bottom w:val="none" w:sz="0" w:space="0" w:color="auto"/>
        <w:right w:val="none" w:sz="0" w:space="0" w:color="auto"/>
      </w:divBdr>
    </w:div>
    <w:div w:id="772357668">
      <w:bodyDiv w:val="1"/>
      <w:marLeft w:val="0"/>
      <w:marRight w:val="0"/>
      <w:marTop w:val="0"/>
      <w:marBottom w:val="0"/>
      <w:divBdr>
        <w:top w:val="none" w:sz="0" w:space="0" w:color="auto"/>
        <w:left w:val="none" w:sz="0" w:space="0" w:color="auto"/>
        <w:bottom w:val="none" w:sz="0" w:space="0" w:color="auto"/>
        <w:right w:val="none" w:sz="0" w:space="0" w:color="auto"/>
      </w:divBdr>
      <w:divsChild>
        <w:div w:id="1471362757">
          <w:marLeft w:val="0"/>
          <w:marRight w:val="0"/>
          <w:marTop w:val="0"/>
          <w:marBottom w:val="0"/>
          <w:divBdr>
            <w:top w:val="none" w:sz="0" w:space="0" w:color="auto"/>
            <w:left w:val="none" w:sz="0" w:space="0" w:color="auto"/>
            <w:bottom w:val="none" w:sz="0" w:space="0" w:color="auto"/>
            <w:right w:val="none" w:sz="0" w:space="0" w:color="auto"/>
          </w:divBdr>
        </w:div>
      </w:divsChild>
    </w:div>
    <w:div w:id="793131596">
      <w:bodyDiv w:val="1"/>
      <w:marLeft w:val="0"/>
      <w:marRight w:val="0"/>
      <w:marTop w:val="0"/>
      <w:marBottom w:val="0"/>
      <w:divBdr>
        <w:top w:val="none" w:sz="0" w:space="0" w:color="auto"/>
        <w:left w:val="none" w:sz="0" w:space="0" w:color="auto"/>
        <w:bottom w:val="none" w:sz="0" w:space="0" w:color="auto"/>
        <w:right w:val="none" w:sz="0" w:space="0" w:color="auto"/>
      </w:divBdr>
    </w:div>
    <w:div w:id="796069545">
      <w:bodyDiv w:val="1"/>
      <w:marLeft w:val="0"/>
      <w:marRight w:val="0"/>
      <w:marTop w:val="0"/>
      <w:marBottom w:val="0"/>
      <w:divBdr>
        <w:top w:val="none" w:sz="0" w:space="0" w:color="auto"/>
        <w:left w:val="none" w:sz="0" w:space="0" w:color="auto"/>
        <w:bottom w:val="none" w:sz="0" w:space="0" w:color="auto"/>
        <w:right w:val="none" w:sz="0" w:space="0" w:color="auto"/>
      </w:divBdr>
    </w:div>
    <w:div w:id="824667419">
      <w:bodyDiv w:val="1"/>
      <w:marLeft w:val="0"/>
      <w:marRight w:val="0"/>
      <w:marTop w:val="0"/>
      <w:marBottom w:val="0"/>
      <w:divBdr>
        <w:top w:val="none" w:sz="0" w:space="0" w:color="auto"/>
        <w:left w:val="none" w:sz="0" w:space="0" w:color="auto"/>
        <w:bottom w:val="none" w:sz="0" w:space="0" w:color="auto"/>
        <w:right w:val="none" w:sz="0" w:space="0" w:color="auto"/>
      </w:divBdr>
    </w:div>
    <w:div w:id="930502420">
      <w:bodyDiv w:val="1"/>
      <w:marLeft w:val="0"/>
      <w:marRight w:val="0"/>
      <w:marTop w:val="0"/>
      <w:marBottom w:val="0"/>
      <w:divBdr>
        <w:top w:val="none" w:sz="0" w:space="0" w:color="auto"/>
        <w:left w:val="none" w:sz="0" w:space="0" w:color="auto"/>
        <w:bottom w:val="none" w:sz="0" w:space="0" w:color="auto"/>
        <w:right w:val="none" w:sz="0" w:space="0" w:color="auto"/>
      </w:divBdr>
    </w:div>
    <w:div w:id="1000809816">
      <w:bodyDiv w:val="1"/>
      <w:marLeft w:val="0"/>
      <w:marRight w:val="0"/>
      <w:marTop w:val="0"/>
      <w:marBottom w:val="0"/>
      <w:divBdr>
        <w:top w:val="none" w:sz="0" w:space="0" w:color="auto"/>
        <w:left w:val="none" w:sz="0" w:space="0" w:color="auto"/>
        <w:bottom w:val="none" w:sz="0" w:space="0" w:color="auto"/>
        <w:right w:val="none" w:sz="0" w:space="0" w:color="auto"/>
      </w:divBdr>
    </w:div>
    <w:div w:id="1008559637">
      <w:bodyDiv w:val="1"/>
      <w:marLeft w:val="0"/>
      <w:marRight w:val="0"/>
      <w:marTop w:val="0"/>
      <w:marBottom w:val="0"/>
      <w:divBdr>
        <w:top w:val="none" w:sz="0" w:space="0" w:color="auto"/>
        <w:left w:val="none" w:sz="0" w:space="0" w:color="auto"/>
        <w:bottom w:val="none" w:sz="0" w:space="0" w:color="auto"/>
        <w:right w:val="none" w:sz="0" w:space="0" w:color="auto"/>
      </w:divBdr>
    </w:div>
    <w:div w:id="1016661624">
      <w:bodyDiv w:val="1"/>
      <w:marLeft w:val="0"/>
      <w:marRight w:val="0"/>
      <w:marTop w:val="0"/>
      <w:marBottom w:val="0"/>
      <w:divBdr>
        <w:top w:val="none" w:sz="0" w:space="0" w:color="auto"/>
        <w:left w:val="none" w:sz="0" w:space="0" w:color="auto"/>
        <w:bottom w:val="none" w:sz="0" w:space="0" w:color="auto"/>
        <w:right w:val="none" w:sz="0" w:space="0" w:color="auto"/>
      </w:divBdr>
    </w:div>
    <w:div w:id="1048918979">
      <w:bodyDiv w:val="1"/>
      <w:marLeft w:val="0"/>
      <w:marRight w:val="0"/>
      <w:marTop w:val="0"/>
      <w:marBottom w:val="0"/>
      <w:divBdr>
        <w:top w:val="none" w:sz="0" w:space="0" w:color="auto"/>
        <w:left w:val="none" w:sz="0" w:space="0" w:color="auto"/>
        <w:bottom w:val="none" w:sz="0" w:space="0" w:color="auto"/>
        <w:right w:val="none" w:sz="0" w:space="0" w:color="auto"/>
      </w:divBdr>
    </w:div>
    <w:div w:id="1073625793">
      <w:bodyDiv w:val="1"/>
      <w:marLeft w:val="0"/>
      <w:marRight w:val="0"/>
      <w:marTop w:val="0"/>
      <w:marBottom w:val="0"/>
      <w:divBdr>
        <w:top w:val="none" w:sz="0" w:space="0" w:color="auto"/>
        <w:left w:val="none" w:sz="0" w:space="0" w:color="auto"/>
        <w:bottom w:val="none" w:sz="0" w:space="0" w:color="auto"/>
        <w:right w:val="none" w:sz="0" w:space="0" w:color="auto"/>
      </w:divBdr>
    </w:div>
    <w:div w:id="1188909067">
      <w:bodyDiv w:val="1"/>
      <w:marLeft w:val="0"/>
      <w:marRight w:val="0"/>
      <w:marTop w:val="0"/>
      <w:marBottom w:val="0"/>
      <w:divBdr>
        <w:top w:val="none" w:sz="0" w:space="0" w:color="auto"/>
        <w:left w:val="none" w:sz="0" w:space="0" w:color="auto"/>
        <w:bottom w:val="none" w:sz="0" w:space="0" w:color="auto"/>
        <w:right w:val="none" w:sz="0" w:space="0" w:color="auto"/>
      </w:divBdr>
    </w:div>
    <w:div w:id="1209880714">
      <w:bodyDiv w:val="1"/>
      <w:marLeft w:val="0"/>
      <w:marRight w:val="0"/>
      <w:marTop w:val="0"/>
      <w:marBottom w:val="0"/>
      <w:divBdr>
        <w:top w:val="none" w:sz="0" w:space="0" w:color="auto"/>
        <w:left w:val="none" w:sz="0" w:space="0" w:color="auto"/>
        <w:bottom w:val="none" w:sz="0" w:space="0" w:color="auto"/>
        <w:right w:val="none" w:sz="0" w:space="0" w:color="auto"/>
      </w:divBdr>
      <w:divsChild>
        <w:div w:id="732966867">
          <w:marLeft w:val="0"/>
          <w:marRight w:val="0"/>
          <w:marTop w:val="0"/>
          <w:marBottom w:val="0"/>
          <w:divBdr>
            <w:top w:val="none" w:sz="0" w:space="0" w:color="auto"/>
            <w:left w:val="none" w:sz="0" w:space="0" w:color="auto"/>
            <w:bottom w:val="none" w:sz="0" w:space="0" w:color="auto"/>
            <w:right w:val="none" w:sz="0" w:space="0" w:color="auto"/>
          </w:divBdr>
        </w:div>
      </w:divsChild>
    </w:div>
    <w:div w:id="1294141749">
      <w:bodyDiv w:val="1"/>
      <w:marLeft w:val="0"/>
      <w:marRight w:val="0"/>
      <w:marTop w:val="0"/>
      <w:marBottom w:val="0"/>
      <w:divBdr>
        <w:top w:val="none" w:sz="0" w:space="0" w:color="auto"/>
        <w:left w:val="none" w:sz="0" w:space="0" w:color="auto"/>
        <w:bottom w:val="none" w:sz="0" w:space="0" w:color="auto"/>
        <w:right w:val="none" w:sz="0" w:space="0" w:color="auto"/>
      </w:divBdr>
    </w:div>
    <w:div w:id="1294484884">
      <w:bodyDiv w:val="1"/>
      <w:marLeft w:val="0"/>
      <w:marRight w:val="0"/>
      <w:marTop w:val="0"/>
      <w:marBottom w:val="0"/>
      <w:divBdr>
        <w:top w:val="none" w:sz="0" w:space="0" w:color="auto"/>
        <w:left w:val="none" w:sz="0" w:space="0" w:color="auto"/>
        <w:bottom w:val="none" w:sz="0" w:space="0" w:color="auto"/>
        <w:right w:val="none" w:sz="0" w:space="0" w:color="auto"/>
      </w:divBdr>
    </w:div>
    <w:div w:id="1297566640">
      <w:bodyDiv w:val="1"/>
      <w:marLeft w:val="0"/>
      <w:marRight w:val="0"/>
      <w:marTop w:val="0"/>
      <w:marBottom w:val="0"/>
      <w:divBdr>
        <w:top w:val="none" w:sz="0" w:space="0" w:color="auto"/>
        <w:left w:val="none" w:sz="0" w:space="0" w:color="auto"/>
        <w:bottom w:val="none" w:sz="0" w:space="0" w:color="auto"/>
        <w:right w:val="none" w:sz="0" w:space="0" w:color="auto"/>
      </w:divBdr>
    </w:div>
    <w:div w:id="1336611842">
      <w:bodyDiv w:val="1"/>
      <w:marLeft w:val="0"/>
      <w:marRight w:val="0"/>
      <w:marTop w:val="0"/>
      <w:marBottom w:val="0"/>
      <w:divBdr>
        <w:top w:val="none" w:sz="0" w:space="0" w:color="auto"/>
        <w:left w:val="none" w:sz="0" w:space="0" w:color="auto"/>
        <w:bottom w:val="none" w:sz="0" w:space="0" w:color="auto"/>
        <w:right w:val="none" w:sz="0" w:space="0" w:color="auto"/>
      </w:divBdr>
    </w:div>
    <w:div w:id="1364331451">
      <w:bodyDiv w:val="1"/>
      <w:marLeft w:val="0"/>
      <w:marRight w:val="0"/>
      <w:marTop w:val="0"/>
      <w:marBottom w:val="0"/>
      <w:divBdr>
        <w:top w:val="none" w:sz="0" w:space="0" w:color="auto"/>
        <w:left w:val="none" w:sz="0" w:space="0" w:color="auto"/>
        <w:bottom w:val="none" w:sz="0" w:space="0" w:color="auto"/>
        <w:right w:val="none" w:sz="0" w:space="0" w:color="auto"/>
      </w:divBdr>
    </w:div>
    <w:div w:id="1436898516">
      <w:bodyDiv w:val="1"/>
      <w:marLeft w:val="0"/>
      <w:marRight w:val="0"/>
      <w:marTop w:val="0"/>
      <w:marBottom w:val="0"/>
      <w:divBdr>
        <w:top w:val="none" w:sz="0" w:space="0" w:color="auto"/>
        <w:left w:val="none" w:sz="0" w:space="0" w:color="auto"/>
        <w:bottom w:val="none" w:sz="0" w:space="0" w:color="auto"/>
        <w:right w:val="none" w:sz="0" w:space="0" w:color="auto"/>
      </w:divBdr>
    </w:div>
    <w:div w:id="1438405373">
      <w:bodyDiv w:val="1"/>
      <w:marLeft w:val="0"/>
      <w:marRight w:val="0"/>
      <w:marTop w:val="0"/>
      <w:marBottom w:val="0"/>
      <w:divBdr>
        <w:top w:val="none" w:sz="0" w:space="0" w:color="auto"/>
        <w:left w:val="none" w:sz="0" w:space="0" w:color="auto"/>
        <w:bottom w:val="none" w:sz="0" w:space="0" w:color="auto"/>
        <w:right w:val="none" w:sz="0" w:space="0" w:color="auto"/>
      </w:divBdr>
    </w:div>
    <w:div w:id="1471360175">
      <w:bodyDiv w:val="1"/>
      <w:marLeft w:val="0"/>
      <w:marRight w:val="0"/>
      <w:marTop w:val="0"/>
      <w:marBottom w:val="0"/>
      <w:divBdr>
        <w:top w:val="none" w:sz="0" w:space="0" w:color="auto"/>
        <w:left w:val="none" w:sz="0" w:space="0" w:color="auto"/>
        <w:bottom w:val="none" w:sz="0" w:space="0" w:color="auto"/>
        <w:right w:val="none" w:sz="0" w:space="0" w:color="auto"/>
      </w:divBdr>
      <w:divsChild>
        <w:div w:id="1780831801">
          <w:marLeft w:val="0"/>
          <w:marRight w:val="0"/>
          <w:marTop w:val="0"/>
          <w:marBottom w:val="0"/>
          <w:divBdr>
            <w:top w:val="none" w:sz="0" w:space="0" w:color="auto"/>
            <w:left w:val="none" w:sz="0" w:space="0" w:color="auto"/>
            <w:bottom w:val="none" w:sz="0" w:space="0" w:color="auto"/>
            <w:right w:val="none" w:sz="0" w:space="0" w:color="auto"/>
          </w:divBdr>
        </w:div>
      </w:divsChild>
    </w:div>
    <w:div w:id="1478494998">
      <w:bodyDiv w:val="1"/>
      <w:marLeft w:val="0"/>
      <w:marRight w:val="0"/>
      <w:marTop w:val="0"/>
      <w:marBottom w:val="0"/>
      <w:divBdr>
        <w:top w:val="none" w:sz="0" w:space="0" w:color="auto"/>
        <w:left w:val="none" w:sz="0" w:space="0" w:color="auto"/>
        <w:bottom w:val="none" w:sz="0" w:space="0" w:color="auto"/>
        <w:right w:val="none" w:sz="0" w:space="0" w:color="auto"/>
      </w:divBdr>
    </w:div>
    <w:div w:id="1480076472">
      <w:bodyDiv w:val="1"/>
      <w:marLeft w:val="0"/>
      <w:marRight w:val="0"/>
      <w:marTop w:val="0"/>
      <w:marBottom w:val="0"/>
      <w:divBdr>
        <w:top w:val="none" w:sz="0" w:space="0" w:color="auto"/>
        <w:left w:val="none" w:sz="0" w:space="0" w:color="auto"/>
        <w:bottom w:val="none" w:sz="0" w:space="0" w:color="auto"/>
        <w:right w:val="none" w:sz="0" w:space="0" w:color="auto"/>
      </w:divBdr>
    </w:div>
    <w:div w:id="1554465081">
      <w:bodyDiv w:val="1"/>
      <w:marLeft w:val="0"/>
      <w:marRight w:val="0"/>
      <w:marTop w:val="0"/>
      <w:marBottom w:val="0"/>
      <w:divBdr>
        <w:top w:val="none" w:sz="0" w:space="0" w:color="auto"/>
        <w:left w:val="none" w:sz="0" w:space="0" w:color="auto"/>
        <w:bottom w:val="none" w:sz="0" w:space="0" w:color="auto"/>
        <w:right w:val="none" w:sz="0" w:space="0" w:color="auto"/>
      </w:divBdr>
    </w:div>
    <w:div w:id="1618832541">
      <w:bodyDiv w:val="1"/>
      <w:marLeft w:val="0"/>
      <w:marRight w:val="0"/>
      <w:marTop w:val="0"/>
      <w:marBottom w:val="0"/>
      <w:divBdr>
        <w:top w:val="none" w:sz="0" w:space="0" w:color="auto"/>
        <w:left w:val="none" w:sz="0" w:space="0" w:color="auto"/>
        <w:bottom w:val="none" w:sz="0" w:space="0" w:color="auto"/>
        <w:right w:val="none" w:sz="0" w:space="0" w:color="auto"/>
      </w:divBdr>
    </w:div>
    <w:div w:id="1626885181">
      <w:bodyDiv w:val="1"/>
      <w:marLeft w:val="0"/>
      <w:marRight w:val="0"/>
      <w:marTop w:val="0"/>
      <w:marBottom w:val="0"/>
      <w:divBdr>
        <w:top w:val="none" w:sz="0" w:space="0" w:color="auto"/>
        <w:left w:val="none" w:sz="0" w:space="0" w:color="auto"/>
        <w:bottom w:val="none" w:sz="0" w:space="0" w:color="auto"/>
        <w:right w:val="none" w:sz="0" w:space="0" w:color="auto"/>
      </w:divBdr>
    </w:div>
    <w:div w:id="1631665019">
      <w:bodyDiv w:val="1"/>
      <w:marLeft w:val="0"/>
      <w:marRight w:val="0"/>
      <w:marTop w:val="0"/>
      <w:marBottom w:val="0"/>
      <w:divBdr>
        <w:top w:val="none" w:sz="0" w:space="0" w:color="auto"/>
        <w:left w:val="none" w:sz="0" w:space="0" w:color="auto"/>
        <w:bottom w:val="none" w:sz="0" w:space="0" w:color="auto"/>
        <w:right w:val="none" w:sz="0" w:space="0" w:color="auto"/>
      </w:divBdr>
    </w:div>
    <w:div w:id="1664434789">
      <w:bodyDiv w:val="1"/>
      <w:marLeft w:val="0"/>
      <w:marRight w:val="0"/>
      <w:marTop w:val="0"/>
      <w:marBottom w:val="0"/>
      <w:divBdr>
        <w:top w:val="none" w:sz="0" w:space="0" w:color="auto"/>
        <w:left w:val="none" w:sz="0" w:space="0" w:color="auto"/>
        <w:bottom w:val="none" w:sz="0" w:space="0" w:color="auto"/>
        <w:right w:val="none" w:sz="0" w:space="0" w:color="auto"/>
      </w:divBdr>
    </w:div>
    <w:div w:id="1677416780">
      <w:bodyDiv w:val="1"/>
      <w:marLeft w:val="0"/>
      <w:marRight w:val="0"/>
      <w:marTop w:val="0"/>
      <w:marBottom w:val="0"/>
      <w:divBdr>
        <w:top w:val="none" w:sz="0" w:space="0" w:color="auto"/>
        <w:left w:val="none" w:sz="0" w:space="0" w:color="auto"/>
        <w:bottom w:val="none" w:sz="0" w:space="0" w:color="auto"/>
        <w:right w:val="none" w:sz="0" w:space="0" w:color="auto"/>
      </w:divBdr>
    </w:div>
    <w:div w:id="1710642071">
      <w:bodyDiv w:val="1"/>
      <w:marLeft w:val="0"/>
      <w:marRight w:val="0"/>
      <w:marTop w:val="0"/>
      <w:marBottom w:val="0"/>
      <w:divBdr>
        <w:top w:val="none" w:sz="0" w:space="0" w:color="auto"/>
        <w:left w:val="none" w:sz="0" w:space="0" w:color="auto"/>
        <w:bottom w:val="none" w:sz="0" w:space="0" w:color="auto"/>
        <w:right w:val="none" w:sz="0" w:space="0" w:color="auto"/>
      </w:divBdr>
    </w:div>
    <w:div w:id="1725830495">
      <w:bodyDiv w:val="1"/>
      <w:marLeft w:val="0"/>
      <w:marRight w:val="0"/>
      <w:marTop w:val="0"/>
      <w:marBottom w:val="0"/>
      <w:divBdr>
        <w:top w:val="none" w:sz="0" w:space="0" w:color="auto"/>
        <w:left w:val="none" w:sz="0" w:space="0" w:color="auto"/>
        <w:bottom w:val="none" w:sz="0" w:space="0" w:color="auto"/>
        <w:right w:val="none" w:sz="0" w:space="0" w:color="auto"/>
      </w:divBdr>
      <w:divsChild>
        <w:div w:id="1768652791">
          <w:marLeft w:val="0"/>
          <w:marRight w:val="0"/>
          <w:marTop w:val="0"/>
          <w:marBottom w:val="0"/>
          <w:divBdr>
            <w:top w:val="none" w:sz="0" w:space="0" w:color="auto"/>
            <w:left w:val="none" w:sz="0" w:space="0" w:color="auto"/>
            <w:bottom w:val="none" w:sz="0" w:space="0" w:color="auto"/>
            <w:right w:val="none" w:sz="0" w:space="0" w:color="auto"/>
          </w:divBdr>
        </w:div>
      </w:divsChild>
    </w:div>
    <w:div w:id="1795244651">
      <w:bodyDiv w:val="1"/>
      <w:marLeft w:val="0"/>
      <w:marRight w:val="0"/>
      <w:marTop w:val="0"/>
      <w:marBottom w:val="0"/>
      <w:divBdr>
        <w:top w:val="none" w:sz="0" w:space="0" w:color="auto"/>
        <w:left w:val="none" w:sz="0" w:space="0" w:color="auto"/>
        <w:bottom w:val="none" w:sz="0" w:space="0" w:color="auto"/>
        <w:right w:val="none" w:sz="0" w:space="0" w:color="auto"/>
      </w:divBdr>
    </w:div>
    <w:div w:id="1958481897">
      <w:bodyDiv w:val="1"/>
      <w:marLeft w:val="0"/>
      <w:marRight w:val="0"/>
      <w:marTop w:val="0"/>
      <w:marBottom w:val="0"/>
      <w:divBdr>
        <w:top w:val="none" w:sz="0" w:space="0" w:color="auto"/>
        <w:left w:val="none" w:sz="0" w:space="0" w:color="auto"/>
        <w:bottom w:val="none" w:sz="0" w:space="0" w:color="auto"/>
        <w:right w:val="none" w:sz="0" w:space="0" w:color="auto"/>
      </w:divBdr>
    </w:div>
    <w:div w:id="1987195900">
      <w:bodyDiv w:val="1"/>
      <w:marLeft w:val="0"/>
      <w:marRight w:val="0"/>
      <w:marTop w:val="0"/>
      <w:marBottom w:val="0"/>
      <w:divBdr>
        <w:top w:val="none" w:sz="0" w:space="0" w:color="auto"/>
        <w:left w:val="none" w:sz="0" w:space="0" w:color="auto"/>
        <w:bottom w:val="none" w:sz="0" w:space="0" w:color="auto"/>
        <w:right w:val="none" w:sz="0" w:space="0" w:color="auto"/>
      </w:divBdr>
      <w:divsChild>
        <w:div w:id="1463571755">
          <w:marLeft w:val="0"/>
          <w:marRight w:val="0"/>
          <w:marTop w:val="0"/>
          <w:marBottom w:val="0"/>
          <w:divBdr>
            <w:top w:val="none" w:sz="0" w:space="0" w:color="auto"/>
            <w:left w:val="none" w:sz="0" w:space="0" w:color="auto"/>
            <w:bottom w:val="none" w:sz="0" w:space="0" w:color="auto"/>
            <w:right w:val="none" w:sz="0" w:space="0" w:color="auto"/>
          </w:divBdr>
        </w:div>
      </w:divsChild>
    </w:div>
    <w:div w:id="2021853030">
      <w:bodyDiv w:val="1"/>
      <w:marLeft w:val="0"/>
      <w:marRight w:val="0"/>
      <w:marTop w:val="0"/>
      <w:marBottom w:val="0"/>
      <w:divBdr>
        <w:top w:val="none" w:sz="0" w:space="0" w:color="auto"/>
        <w:left w:val="none" w:sz="0" w:space="0" w:color="auto"/>
        <w:bottom w:val="none" w:sz="0" w:space="0" w:color="auto"/>
        <w:right w:val="none" w:sz="0" w:space="0" w:color="auto"/>
      </w:divBdr>
    </w:div>
    <w:div w:id="2043626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2029</Words>
  <Characters>11578</Characters>
  <Application>Microsoft Office Word</Application>
  <DocSecurity>0</DocSecurity>
  <Lines>207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SAMUELS P. (2143159)</dc:creator>
  <cp:keywords/>
  <dc:description/>
  <cp:lastModifiedBy>SAMUELS P. (2143159)</cp:lastModifiedBy>
  <cp:revision>4</cp:revision>
  <dcterms:created xsi:type="dcterms:W3CDTF">2024-04-19T01:05:00Z</dcterms:created>
  <dcterms:modified xsi:type="dcterms:W3CDTF">2024-04-19T01:10:00Z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28cc8bee-f373-42de-a1e3-6c8b286fbffc</vt:lpwstr>
  </property>
</Properties>
</file>