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before="0" w:line="240" w:lineRule="auto"/>
        <w:ind w:left="360" w:right="0" w:firstLine="0"/>
        <w:jc w:val="center"/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35"/>
          <w:szCs w:val="35"/>
          <w:u w:val="none"/>
          <w:shd w:fill="auto" w:val="clear"/>
          <w:vertAlign w:val="baseline"/>
          <w:rtl w:val="0"/>
        </w:rPr>
        <w:t xml:space="preserve">Student Name: Safara Zeb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before="0" w:line="240" w:lineRule="auto"/>
        <w:ind w:left="360" w:right="0" w:firstLine="0"/>
        <w:jc w:val="center"/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35"/>
          <w:szCs w:val="35"/>
          <w:u w:val="none"/>
          <w:shd w:fill="auto" w:val="clear"/>
          <w:vertAlign w:val="baseline"/>
          <w:rtl w:val="0"/>
        </w:rPr>
        <w:t xml:space="preserve">Student ID:  2322413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5" w:before="0" w:line="240" w:lineRule="auto"/>
        <w:ind w:left="360" w:right="0" w:firstLine="0"/>
        <w:jc w:val="center"/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-webkit-standard" w:cs="-webkit-standard" w:eastAsia="-webkit-standard" w:hAnsi="-webkit-standard"/>
          <w:b w:val="1"/>
          <w:i w:val="0"/>
          <w:smallCaps w:val="0"/>
          <w:strike w:val="0"/>
          <w:color w:val="3c78d8"/>
          <w:sz w:val="23"/>
          <w:szCs w:val="23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spacing w:after="18" w:line="259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8" w:line="259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335" w:line="259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463" w:line="259" w:lineRule="auto"/>
        <w:ind w:left="0" w:firstLine="0"/>
        <w:rPr>
          <w:b w:val="1"/>
          <w:color w:val="4a86e8"/>
          <w:sz w:val="26"/>
          <w:szCs w:val="26"/>
        </w:rPr>
      </w:pPr>
      <w:r w:rsidDel="00000000" w:rsidR="00000000" w:rsidRPr="00000000">
        <w:rPr>
          <w:b w:val="1"/>
          <w:color w:val="4a86e8"/>
          <w:sz w:val="26"/>
          <w:szCs w:val="26"/>
          <w:rtl w:val="0"/>
        </w:rPr>
        <w:t xml:space="preserve">References (UWTSD Harvard Style) </w:t>
      </w:r>
    </w:p>
    <w:p w:rsidR="00000000" w:rsidDel="00000000" w:rsidP="00000000" w:rsidRDefault="00000000" w:rsidRPr="00000000" w14:paraId="00000008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1. Felitti et al. (1998) pointed out that experience of childhood adversity and family pathology has the potential to greatly amplify risk of long-term physical and psychological illness in adulthood.</w:t>
      </w:r>
    </w:p>
    <w:p w:rsidR="00000000" w:rsidDel="00000000" w:rsidP="00000000" w:rsidRDefault="00000000" w:rsidRPr="00000000" w14:paraId="00000009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2. Under the Social Services and Well-being (Wales) Act 2014 (Welsh Government, 2014), there is mutual responsibility for vulnerable individuals between partners and local authorities through integrated care.</w:t>
      </w:r>
    </w:p>
    <w:p w:rsidR="00000000" w:rsidDel="00000000" w:rsidP="00000000" w:rsidRDefault="00000000" w:rsidRPr="00000000" w14:paraId="0000000A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3.\tWelsh Government (2019) prioritises multi-agency work through its Working Together to Safeguard People approach, which sets out key safeguarding responsibilities and expectations.</w:t>
      </w:r>
    </w:p>
    <w:p w:rsidR="00000000" w:rsidDel="00000000" w:rsidP="00000000" w:rsidRDefault="00000000" w:rsidRPr="00000000" w14:paraId="0000000B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4.\tThe Well-being of Future Generations (Wales) Act 2015 advocates a long-term and preventative model for enhancing population health outcomes (Welsh Government, 2015).</w:t>
      </w:r>
    </w:p>
    <w:p w:rsidR="00000000" w:rsidDel="00000000" w:rsidP="00000000" w:rsidRDefault="00000000" w:rsidRPr="00000000" w14:paraId="0000000C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5. Children's rights have been at the forefront ever since the Rights of Children and Young Persons (Wales) Measure 2011, putting public bodies under a duty to act in accordance with the UNCRC principles (Welsh Government, 2011).</w:t>
      </w:r>
    </w:p>
    <w:p w:rsidR="00000000" w:rsidDel="00000000" w:rsidP="00000000" w:rsidRDefault="00000000" w:rsidRPr="00000000" w14:paraId="0000000D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6. NHS Wales brought in the Together for Children and Young People (T4CYP) Programme to promote emotional well-being and early intervention among young people (NHS Wales, 2020).</w:t>
      </w:r>
    </w:p>
    <w:p w:rsidR="00000000" w:rsidDel="00000000" w:rsidP="00000000" w:rsidRDefault="00000000" w:rsidRPr="00000000" w14:paraId="0000000E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7.\tThe importance of sharing information in a timely manner amongst safeguarding professionals to avoid repeated harm was underlined in a recent NSPCC case review (NSPCC, 2023).</w:t>
      </w:r>
    </w:p>
    <w:p w:rsidR="00000000" w:rsidDel="00000000" w:rsidP="00000000" w:rsidRDefault="00000000" w:rsidRPr="00000000" w14:paraId="0000000F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\t8.\tPublic Health Wales (2021) found that those who have experienced multiple Adverse Childhood Experiences (ACEs) are at higher risk of subsequent long-term mental and physical health difficulties, although resilience factors can buffer these.</w:t>
      </w:r>
    </w:p>
    <w:p w:rsidR="00000000" w:rsidDel="00000000" w:rsidP="00000000" w:rsidRDefault="00000000" w:rsidRPr="00000000" w14:paraId="00000010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9.\tNICE guidelines based on evidence (2018) emphasize trauma-informed care in the treatment of post-traumatic stress and associated disorders in all settings.</w:t>
      </w:r>
    </w:p>
    <w:p w:rsidR="00000000" w:rsidDel="00000000" w:rsidP="00000000" w:rsidRDefault="00000000" w:rsidRPr="00000000" w14:paraId="00000011">
      <w:pPr>
        <w:spacing w:after="463" w:line="259" w:lineRule="auto"/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\t10.\tNational statutory guidance, Working Together to Safeguard Children (HM Government, 2018), remains available as an integrated framework for professionals to work together to recognize and address child protection issues.</w:t>
      </w:r>
    </w:p>
    <w:p w:rsidR="00000000" w:rsidDel="00000000" w:rsidP="00000000" w:rsidRDefault="00000000" w:rsidRPr="00000000" w14:paraId="00000012">
      <w:pPr>
        <w:spacing w:after="0" w:line="259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5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-webkit-standard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after="9" w:line="268" w:lineRule="auto"/>
        <w:ind w:left="730" w:hanging="37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