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4FA710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0787C">
              <w:rPr>
                <w:rFonts w:ascii="Times New Roman" w:hAnsi="Times New Roman" w:cs="Times New Roman"/>
                <w:b/>
                <w:color w:val="auto"/>
                <w:sz w:val="48"/>
              </w:rPr>
              <w:t>Hannah Bevan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902CBF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0787C">
              <w:rPr>
                <w:rFonts w:ascii="Times New Roman" w:hAnsi="Times New Roman" w:cs="Times New Roman"/>
                <w:b/>
                <w:color w:val="auto"/>
                <w:sz w:val="48"/>
              </w:rPr>
              <w:t xml:space="preserve"> h.bevan@npt.gov.uk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18203CE" w14:textId="77777777" w:rsidR="00421C62"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21C62">
              <w:t xml:space="preserve"> </w:t>
            </w:r>
          </w:p>
          <w:p w14:paraId="622FD17A" w14:textId="19EDB195" w:rsidR="0085230E" w:rsidRPr="005D3F07" w:rsidRDefault="00334BCF" w:rsidP="005D3F07">
            <w:pPr>
              <w:overflowPunct/>
              <w:autoSpaceDE/>
              <w:autoSpaceDN/>
              <w:adjustRightInd/>
              <w:ind w:right="-957"/>
              <w:textAlignment w:val="auto"/>
              <w:rPr>
                <w:rFonts w:ascii="Times New Roman" w:hAnsi="Times New Roman" w:cs="Times New Roman"/>
                <w:b/>
                <w:color w:val="auto"/>
                <w:sz w:val="48"/>
              </w:rPr>
            </w:pPr>
            <w:r w:rsidRPr="00334BCF">
              <w:rPr>
                <w:rFonts w:ascii="Times New Roman" w:hAnsi="Times New Roman" w:cs="Times New Roman"/>
                <w:b/>
                <w:color w:val="auto"/>
                <w:sz w:val="48"/>
              </w:rPr>
              <w:t>2316921</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41919E3" w14:textId="23D73A6A" w:rsidR="009D6AB9" w:rsidRDefault="009D6AB9" w:rsidP="009D6AB9">
            <w:pPr>
              <w:spacing w:line="360" w:lineRule="auto"/>
              <w:ind w:firstLine="720"/>
              <w:jc w:val="both"/>
              <w:rPr>
                <w:sz w:val="24"/>
                <w:szCs w:val="24"/>
              </w:rPr>
            </w:pPr>
            <w:r w:rsidRPr="00BB7495">
              <w:rPr>
                <w:sz w:val="24"/>
                <w:szCs w:val="24"/>
              </w:rPr>
              <w:t xml:space="preserve">When discussing this task with my mentor, </w:t>
            </w:r>
            <w:r>
              <w:rPr>
                <w:sz w:val="24"/>
                <w:szCs w:val="24"/>
              </w:rPr>
              <w:t xml:space="preserve">we reflected that even though it is not the purpose of Youth Justice Service (YJS) to carry out safeguarding investigations under the </w:t>
            </w:r>
            <w:r>
              <w:rPr>
                <w:i/>
                <w:sz w:val="24"/>
                <w:szCs w:val="24"/>
              </w:rPr>
              <w:t>Children Act 1989</w:t>
            </w:r>
            <w:r>
              <w:rPr>
                <w:sz w:val="24"/>
                <w:szCs w:val="24"/>
              </w:rPr>
              <w:t xml:space="preserve">, we are usually one of the partner teams who identify children at risk of harm, report safeguarding concerns to the relevant teams and work in partnership to support children to be free from harm. The duty to report a child at risk for youth offending teams is clearly outlined in Section </w:t>
            </w:r>
            <w:r w:rsidRPr="00CB793F">
              <w:rPr>
                <w:color w:val="auto"/>
                <w:sz w:val="24"/>
                <w:szCs w:val="24"/>
              </w:rPr>
              <w:t xml:space="preserve">130 in </w:t>
            </w:r>
            <w:r w:rsidRPr="00CB793F">
              <w:rPr>
                <w:i/>
                <w:color w:val="auto"/>
                <w:sz w:val="24"/>
                <w:szCs w:val="24"/>
              </w:rPr>
              <w:t xml:space="preserve">Social Services and Wellbeing (Wales) Act </w:t>
            </w:r>
            <w:r w:rsidRPr="00CB793F">
              <w:rPr>
                <w:color w:val="auto"/>
                <w:sz w:val="24"/>
                <w:szCs w:val="24"/>
              </w:rPr>
              <w:t xml:space="preserve">(SSWBA) </w:t>
            </w:r>
            <w:r w:rsidRPr="00CB793F">
              <w:rPr>
                <w:i/>
                <w:color w:val="auto"/>
                <w:sz w:val="24"/>
                <w:szCs w:val="24"/>
              </w:rPr>
              <w:t>2014</w:t>
            </w:r>
            <w:r w:rsidRPr="00CB793F">
              <w:rPr>
                <w:color w:val="auto"/>
                <w:sz w:val="24"/>
                <w:szCs w:val="24"/>
              </w:rPr>
              <w:t xml:space="preserve">. In the case of my local authority that </w:t>
            </w:r>
            <w:r>
              <w:rPr>
                <w:sz w:val="24"/>
                <w:szCs w:val="24"/>
              </w:rPr>
              <w:t xml:space="preserve">would be submitting a referral to the Single Point of Contact team. We decided Child1 would be a good case to critically reflect </w:t>
            </w:r>
            <w:r w:rsidR="00EE24AF">
              <w:rPr>
                <w:sz w:val="24"/>
                <w:szCs w:val="24"/>
              </w:rPr>
              <w:t>up</w:t>
            </w:r>
            <w:r>
              <w:rPr>
                <w:sz w:val="24"/>
                <w:szCs w:val="24"/>
              </w:rPr>
              <w:t xml:space="preserve">on because it is still an </w:t>
            </w:r>
            <w:r w:rsidRPr="00DA066E">
              <w:rPr>
                <w:color w:val="auto"/>
                <w:sz w:val="24"/>
                <w:szCs w:val="24"/>
              </w:rPr>
              <w:t xml:space="preserve">active and ongoing case. The complexity of this case has been challenging at times and I felt reflection on my initial assessment could support my decision-making and actions going forward (Bottomley </w:t>
            </w:r>
            <w:r w:rsidRPr="00DA066E">
              <w:rPr>
                <w:i/>
                <w:color w:val="auto"/>
                <w:sz w:val="24"/>
                <w:szCs w:val="24"/>
              </w:rPr>
              <w:t>et al.,</w:t>
            </w:r>
            <w:r w:rsidRPr="00DA066E">
              <w:rPr>
                <w:color w:val="auto"/>
                <w:sz w:val="24"/>
                <w:szCs w:val="24"/>
              </w:rPr>
              <w:t xml:space="preserve"> 2019). </w:t>
            </w:r>
          </w:p>
          <w:p w14:paraId="7202CDD6" w14:textId="7A86A687" w:rsidR="009D6AB9" w:rsidRDefault="009D6AB9" w:rsidP="009D6AB9">
            <w:pPr>
              <w:spacing w:line="360" w:lineRule="auto"/>
              <w:ind w:firstLine="720"/>
              <w:jc w:val="both"/>
              <w:rPr>
                <w:sz w:val="24"/>
                <w:szCs w:val="24"/>
              </w:rPr>
            </w:pPr>
            <w:r w:rsidRPr="00C21885">
              <w:rPr>
                <w:sz w:val="24"/>
                <w:szCs w:val="24"/>
              </w:rPr>
              <w:t xml:space="preserve">To support my reflection, I have used </w:t>
            </w:r>
            <w:r w:rsidRPr="00CB793F">
              <w:rPr>
                <w:color w:val="auto"/>
                <w:sz w:val="24"/>
                <w:szCs w:val="24"/>
              </w:rPr>
              <w:t>Maclean’s Big 6 model (2020) of reflection. It is a component model broken down into 6 areas of reflection</w:t>
            </w:r>
            <w:r w:rsidRPr="00C21885">
              <w:rPr>
                <w:sz w:val="24"/>
                <w:szCs w:val="24"/>
              </w:rPr>
              <w:t xml:space="preserve">: power, values, emotions, </w:t>
            </w:r>
            <w:r w:rsidRPr="00C21885">
              <w:rPr>
                <w:sz w:val="24"/>
                <w:szCs w:val="24"/>
              </w:rPr>
              <w:lastRenderedPageBreak/>
              <w:t xml:space="preserve">knowledge, self-awareness and uncertainty. </w:t>
            </w:r>
            <w:r>
              <w:rPr>
                <w:sz w:val="24"/>
                <w:szCs w:val="24"/>
              </w:rPr>
              <w:t>The concept is to give reflection depth, connect i</w:t>
            </w:r>
            <w:r w:rsidRPr="00C21885">
              <w:rPr>
                <w:sz w:val="24"/>
                <w:szCs w:val="24"/>
              </w:rPr>
              <w:t>deas, think</w:t>
            </w:r>
            <w:r>
              <w:rPr>
                <w:sz w:val="24"/>
                <w:szCs w:val="24"/>
              </w:rPr>
              <w:t xml:space="preserve">ing and processes. </w:t>
            </w:r>
          </w:p>
          <w:p w14:paraId="709F89AB" w14:textId="3B915010" w:rsidR="009D6AB9" w:rsidRDefault="009D6AB9" w:rsidP="009D6AB9">
            <w:pPr>
              <w:spacing w:line="360" w:lineRule="auto"/>
              <w:ind w:firstLine="720"/>
              <w:jc w:val="both"/>
              <w:rPr>
                <w:sz w:val="24"/>
                <w:szCs w:val="24"/>
              </w:rPr>
            </w:pPr>
            <w:r>
              <w:rPr>
                <w:sz w:val="24"/>
                <w:szCs w:val="24"/>
              </w:rPr>
              <w:t xml:space="preserve">Child1 was arrested for attempted murder after stabbing another young person. They were </w:t>
            </w:r>
            <w:r w:rsidR="00EE24AF">
              <w:rPr>
                <w:sz w:val="24"/>
                <w:szCs w:val="24"/>
              </w:rPr>
              <w:t>both</w:t>
            </w:r>
            <w:r>
              <w:rPr>
                <w:sz w:val="24"/>
                <w:szCs w:val="24"/>
              </w:rPr>
              <w:t xml:space="preserve">14 years old at the time. They later pleaded guilty to causing grievous bodily harm (GBH) with intent to wound and two counts of possession of a bladed article when their case came to trial. They were sentenced under Section 250 of </w:t>
            </w:r>
            <w:r w:rsidRPr="00CB793F">
              <w:rPr>
                <w:color w:val="auto"/>
                <w:sz w:val="24"/>
                <w:szCs w:val="24"/>
              </w:rPr>
              <w:t xml:space="preserve">the </w:t>
            </w:r>
            <w:r w:rsidRPr="00CB793F">
              <w:rPr>
                <w:i/>
                <w:color w:val="auto"/>
                <w:sz w:val="24"/>
                <w:szCs w:val="24"/>
              </w:rPr>
              <w:t xml:space="preserve">Sentencing Act 2020 </w:t>
            </w:r>
            <w:r w:rsidRPr="00CB793F">
              <w:rPr>
                <w:color w:val="auto"/>
                <w:sz w:val="24"/>
                <w:szCs w:val="24"/>
              </w:rPr>
              <w:t>due to the serious nature of the offence</w:t>
            </w:r>
            <w:r w:rsidR="00EE24AF" w:rsidRPr="00CB793F">
              <w:rPr>
                <w:color w:val="auto"/>
                <w:sz w:val="24"/>
                <w:szCs w:val="24"/>
              </w:rPr>
              <w:t>,</w:t>
            </w:r>
            <w:r w:rsidRPr="00CB793F">
              <w:rPr>
                <w:color w:val="auto"/>
                <w:sz w:val="24"/>
                <w:szCs w:val="24"/>
              </w:rPr>
              <w:t xml:space="preserve"> and given a custodial sentence. Child1 has an extensive </w:t>
            </w:r>
            <w:r w:rsidRPr="00777133">
              <w:rPr>
                <w:sz w:val="24"/>
                <w:szCs w:val="24"/>
              </w:rPr>
              <w:t xml:space="preserve">history of </w:t>
            </w:r>
            <w:r>
              <w:rPr>
                <w:sz w:val="24"/>
                <w:szCs w:val="24"/>
              </w:rPr>
              <w:t>child protection and service</w:t>
            </w:r>
            <w:r w:rsidRPr="00777133">
              <w:rPr>
                <w:sz w:val="24"/>
                <w:szCs w:val="24"/>
              </w:rPr>
              <w:t xml:space="preserve"> involvement due to a range of concerns which include sexual, physical an</w:t>
            </w:r>
            <w:r>
              <w:rPr>
                <w:sz w:val="24"/>
                <w:szCs w:val="24"/>
              </w:rPr>
              <w:t>d emotional abuse and neglect. Child1 was on the Child Protection Register under the category of Neglect at the time of the offence.</w:t>
            </w:r>
          </w:p>
          <w:p w14:paraId="337159EF" w14:textId="4FE9828F" w:rsidR="009D6AB9" w:rsidRDefault="009D6AB9" w:rsidP="009D6AB9">
            <w:pPr>
              <w:spacing w:line="360" w:lineRule="auto"/>
              <w:ind w:firstLine="720"/>
              <w:jc w:val="both"/>
              <w:rPr>
                <w:sz w:val="24"/>
                <w:szCs w:val="24"/>
              </w:rPr>
            </w:pPr>
            <w:r>
              <w:rPr>
                <w:sz w:val="24"/>
                <w:szCs w:val="24"/>
              </w:rPr>
              <w:t xml:space="preserve">The remit of the YJS is to prevent the re-offending of young people aged 10-17 as outlined in Section 37 of the </w:t>
            </w:r>
            <w:r w:rsidRPr="00B719E2">
              <w:rPr>
                <w:i/>
                <w:color w:val="auto"/>
                <w:sz w:val="24"/>
                <w:szCs w:val="24"/>
              </w:rPr>
              <w:t>Crime and Disorder Act 1998</w:t>
            </w:r>
            <w:r w:rsidRPr="00B719E2">
              <w:rPr>
                <w:color w:val="auto"/>
                <w:sz w:val="24"/>
                <w:szCs w:val="24"/>
              </w:rPr>
              <w:t xml:space="preserve"> </w:t>
            </w:r>
            <w:r>
              <w:rPr>
                <w:sz w:val="24"/>
                <w:szCs w:val="24"/>
              </w:rPr>
              <w:t xml:space="preserve">which covers England and Wales. </w:t>
            </w:r>
            <w:r w:rsidRPr="00DA066E">
              <w:rPr>
                <w:color w:val="auto"/>
                <w:sz w:val="24"/>
                <w:szCs w:val="24"/>
              </w:rPr>
              <w:t xml:space="preserve">Criminal legislation is not devolved to Wales, however there are Welsh specific policies such as the </w:t>
            </w:r>
            <w:r w:rsidRPr="00DA066E">
              <w:rPr>
                <w:i/>
                <w:color w:val="auto"/>
                <w:sz w:val="24"/>
                <w:szCs w:val="24"/>
              </w:rPr>
              <w:t>Youth Justice Blueprint for Wales</w:t>
            </w:r>
            <w:r w:rsidRPr="00DA066E">
              <w:rPr>
                <w:color w:val="auto"/>
                <w:sz w:val="24"/>
                <w:szCs w:val="24"/>
              </w:rPr>
              <w:t xml:space="preserve"> (2019) which use the principles from SSWBA 2014</w:t>
            </w:r>
            <w:r w:rsidRPr="00DA066E">
              <w:rPr>
                <w:i/>
                <w:color w:val="auto"/>
                <w:sz w:val="24"/>
                <w:szCs w:val="24"/>
              </w:rPr>
              <w:t xml:space="preserve"> </w:t>
            </w:r>
            <w:r w:rsidRPr="00DA066E">
              <w:rPr>
                <w:color w:val="auto"/>
                <w:sz w:val="24"/>
                <w:szCs w:val="24"/>
              </w:rPr>
              <w:t>and the</w:t>
            </w:r>
            <w:r w:rsidRPr="00DA066E">
              <w:rPr>
                <w:color w:val="auto"/>
              </w:rPr>
              <w:t xml:space="preserve"> </w:t>
            </w:r>
            <w:r w:rsidRPr="00DA066E">
              <w:rPr>
                <w:i/>
                <w:color w:val="auto"/>
                <w:sz w:val="24"/>
                <w:szCs w:val="24"/>
              </w:rPr>
              <w:t>Well-being of Future Generations (Wales) Act 2015</w:t>
            </w:r>
            <w:r w:rsidRPr="00DA066E">
              <w:rPr>
                <w:color w:val="auto"/>
                <w:sz w:val="24"/>
                <w:szCs w:val="24"/>
              </w:rPr>
              <w:t xml:space="preserve"> (</w:t>
            </w:r>
            <w:r w:rsidR="001A6F81">
              <w:rPr>
                <w:color w:val="auto"/>
                <w:sz w:val="24"/>
                <w:szCs w:val="24"/>
              </w:rPr>
              <w:t xml:space="preserve">Ministry of Justice and </w:t>
            </w:r>
            <w:r w:rsidRPr="00DA066E">
              <w:rPr>
                <w:color w:val="auto"/>
                <w:sz w:val="24"/>
                <w:szCs w:val="24"/>
              </w:rPr>
              <w:t>Welsh Government, 2019) to under</w:t>
            </w:r>
            <w:r w:rsidR="00EE24AF" w:rsidRPr="00DA066E">
              <w:rPr>
                <w:color w:val="auto"/>
                <w:sz w:val="24"/>
                <w:szCs w:val="24"/>
              </w:rPr>
              <w:t>pin</w:t>
            </w:r>
            <w:r w:rsidRPr="00DA066E">
              <w:rPr>
                <w:color w:val="auto"/>
                <w:sz w:val="24"/>
                <w:szCs w:val="24"/>
              </w:rPr>
              <w:t xml:space="preserve"> the youth justice</w:t>
            </w:r>
            <w:r w:rsidR="00EE24AF" w:rsidRPr="00DA066E">
              <w:rPr>
                <w:color w:val="auto"/>
                <w:sz w:val="24"/>
                <w:szCs w:val="24"/>
              </w:rPr>
              <w:t xml:space="preserve"> system</w:t>
            </w:r>
            <w:r w:rsidRPr="00DA066E">
              <w:rPr>
                <w:color w:val="auto"/>
                <w:sz w:val="24"/>
                <w:szCs w:val="24"/>
              </w:rPr>
              <w:t xml:space="preserve"> in Wales.  The service must be a multi-agency team comprising of social workers</w:t>
            </w:r>
            <w:r w:rsidRPr="008B0132">
              <w:rPr>
                <w:sz w:val="24"/>
                <w:szCs w:val="24"/>
              </w:rPr>
              <w:t>, a police officer, probation workers, education workers and health workers</w:t>
            </w:r>
            <w:r>
              <w:rPr>
                <w:sz w:val="24"/>
                <w:szCs w:val="24"/>
              </w:rPr>
              <w:t xml:space="preserve">. </w:t>
            </w:r>
            <w:r w:rsidRPr="00DA066E">
              <w:rPr>
                <w:color w:val="auto"/>
                <w:sz w:val="24"/>
                <w:szCs w:val="24"/>
              </w:rPr>
              <w:t>My service is based in a county on the southwest coast of Wales with a population of 142,300 (Office for National Statistics</w:t>
            </w:r>
            <w:r w:rsidR="00B719E2" w:rsidRPr="00DA066E">
              <w:rPr>
                <w:color w:val="auto"/>
                <w:sz w:val="24"/>
                <w:szCs w:val="24"/>
              </w:rPr>
              <w:t xml:space="preserve"> (ONS)</w:t>
            </w:r>
            <w:r w:rsidRPr="00DA066E">
              <w:rPr>
                <w:color w:val="auto"/>
                <w:sz w:val="24"/>
                <w:szCs w:val="24"/>
              </w:rPr>
              <w:t xml:space="preserve">, 2022). It has three major towns, with the rest of the county made up of valley towns, villages and rural </w:t>
            </w:r>
            <w:r w:rsidRPr="00476BAE">
              <w:rPr>
                <w:sz w:val="24"/>
                <w:szCs w:val="24"/>
              </w:rPr>
              <w:t xml:space="preserve">areas. Heavy industry still dominates part of the area, but most owe their existence to former coal mining industries and agriculture. 29.2% of </w:t>
            </w:r>
            <w:r w:rsidRPr="00DA066E">
              <w:rPr>
                <w:color w:val="auto"/>
                <w:sz w:val="24"/>
                <w:szCs w:val="24"/>
              </w:rPr>
              <w:t>the population in the Local Authority</w:t>
            </w:r>
            <w:r w:rsidR="00EE24AF" w:rsidRPr="00DA066E">
              <w:rPr>
                <w:color w:val="auto"/>
                <w:sz w:val="24"/>
                <w:szCs w:val="24"/>
              </w:rPr>
              <w:t xml:space="preserve"> are</w:t>
            </w:r>
            <w:r w:rsidRPr="00DA066E">
              <w:rPr>
                <w:color w:val="auto"/>
                <w:sz w:val="24"/>
                <w:szCs w:val="24"/>
              </w:rPr>
              <w:t xml:space="preserve"> report</w:t>
            </w:r>
            <w:r w:rsidR="00EE24AF" w:rsidRPr="00DA066E">
              <w:rPr>
                <w:color w:val="auto"/>
                <w:sz w:val="24"/>
                <w:szCs w:val="24"/>
              </w:rPr>
              <w:t>ed</w:t>
            </w:r>
            <w:r w:rsidRPr="00DA066E">
              <w:rPr>
                <w:color w:val="auto"/>
                <w:sz w:val="24"/>
                <w:szCs w:val="24"/>
              </w:rPr>
              <w:t xml:space="preserve"> to speak Welsh wh</w:t>
            </w:r>
            <w:r w:rsidR="006E7BBC" w:rsidRPr="00DA066E">
              <w:rPr>
                <w:color w:val="auto"/>
                <w:sz w:val="24"/>
                <w:szCs w:val="24"/>
              </w:rPr>
              <w:t>ich is roughly 40,5</w:t>
            </w:r>
            <w:r w:rsidRPr="00DA066E">
              <w:rPr>
                <w:color w:val="auto"/>
                <w:sz w:val="24"/>
                <w:szCs w:val="24"/>
              </w:rPr>
              <w:t>00 people (</w:t>
            </w:r>
            <w:proofErr w:type="spellStart"/>
            <w:r w:rsidR="006E7BBC" w:rsidRPr="00DA066E">
              <w:rPr>
                <w:color w:val="auto"/>
                <w:sz w:val="24"/>
                <w:szCs w:val="24"/>
              </w:rPr>
              <w:t>StatsWales</w:t>
            </w:r>
            <w:proofErr w:type="spellEnd"/>
            <w:r w:rsidR="006E7BBC" w:rsidRPr="00DA066E">
              <w:rPr>
                <w:color w:val="auto"/>
                <w:sz w:val="24"/>
                <w:szCs w:val="24"/>
              </w:rPr>
              <w:t>, 2024</w:t>
            </w:r>
            <w:r w:rsidRPr="00DA066E">
              <w:rPr>
                <w:color w:val="auto"/>
                <w:sz w:val="24"/>
                <w:szCs w:val="24"/>
              </w:rPr>
              <w:t>).</w:t>
            </w:r>
          </w:p>
          <w:p w14:paraId="1E94068F" w14:textId="468A1BD8" w:rsidR="009D6AB9" w:rsidRPr="006E7BBC" w:rsidRDefault="009D6AB9" w:rsidP="009D6AB9">
            <w:pPr>
              <w:spacing w:line="360" w:lineRule="auto"/>
              <w:ind w:firstLine="720"/>
              <w:rPr>
                <w:color w:val="auto"/>
                <w:sz w:val="24"/>
                <w:szCs w:val="24"/>
              </w:rPr>
            </w:pPr>
            <w:r>
              <w:rPr>
                <w:sz w:val="24"/>
                <w:szCs w:val="24"/>
              </w:rPr>
              <w:t xml:space="preserve">Whilst YJS are the lead agency for a child in custody, the local authority must continue to assess and meet the needs </w:t>
            </w:r>
            <w:r w:rsidRPr="006E7BBC">
              <w:rPr>
                <w:color w:val="auto"/>
                <w:sz w:val="24"/>
                <w:szCs w:val="24"/>
              </w:rPr>
              <w:t>of children who have been found guilty of an offence at court and sentenced to time in custody (</w:t>
            </w:r>
            <w:proofErr w:type="spellStart"/>
            <w:r w:rsidR="00777CD2" w:rsidRPr="006E7BBC">
              <w:rPr>
                <w:color w:val="auto"/>
                <w:sz w:val="24"/>
                <w:szCs w:val="24"/>
              </w:rPr>
              <w:t>Carr</w:t>
            </w:r>
            <w:proofErr w:type="spellEnd"/>
            <w:r w:rsidR="00777CD2" w:rsidRPr="006E7BBC">
              <w:rPr>
                <w:color w:val="auto"/>
                <w:sz w:val="24"/>
                <w:szCs w:val="24"/>
              </w:rPr>
              <w:t xml:space="preserve"> and</w:t>
            </w:r>
            <w:r w:rsidRPr="006E7BBC">
              <w:rPr>
                <w:color w:val="auto"/>
                <w:sz w:val="24"/>
                <w:szCs w:val="24"/>
              </w:rPr>
              <w:t xml:space="preserve"> </w:t>
            </w:r>
            <w:proofErr w:type="spellStart"/>
            <w:r w:rsidRPr="006E7BBC">
              <w:rPr>
                <w:color w:val="auto"/>
                <w:sz w:val="24"/>
                <w:szCs w:val="24"/>
              </w:rPr>
              <w:t>Goosey</w:t>
            </w:r>
            <w:proofErr w:type="spellEnd"/>
            <w:r w:rsidRPr="006E7BBC">
              <w:rPr>
                <w:color w:val="auto"/>
                <w:sz w:val="24"/>
                <w:szCs w:val="24"/>
              </w:rPr>
              <w:t xml:space="preserve">, 2017). Section 77 of SSWBA 2014 interfaces with the </w:t>
            </w:r>
            <w:r w:rsidRPr="006E7BBC">
              <w:rPr>
                <w:i/>
                <w:color w:val="auto"/>
                <w:sz w:val="24"/>
                <w:szCs w:val="24"/>
              </w:rPr>
              <w:t xml:space="preserve">Legal Aid Sentencing and Punishment </w:t>
            </w:r>
            <w:r w:rsidRPr="00CB793F">
              <w:rPr>
                <w:i/>
                <w:color w:val="auto"/>
                <w:sz w:val="24"/>
                <w:szCs w:val="24"/>
              </w:rPr>
              <w:t xml:space="preserve">of Offenders Act 2012 </w:t>
            </w:r>
            <w:r w:rsidRPr="00CB793F">
              <w:rPr>
                <w:color w:val="auto"/>
                <w:sz w:val="24"/>
                <w:szCs w:val="24"/>
              </w:rPr>
              <w:t xml:space="preserve">which define a young person on remand </w:t>
            </w:r>
            <w:r>
              <w:rPr>
                <w:sz w:val="24"/>
                <w:szCs w:val="24"/>
              </w:rPr>
              <w:t>as a Care Looked After (CLA) child of the designated local authority. When Child1 was no longer on remand, their CLA status changed, but due to the close relationship I had built with the social worker, we felt we had enough information to warrant</w:t>
            </w:r>
            <w:r w:rsidR="00EE24AF">
              <w:rPr>
                <w:sz w:val="24"/>
                <w:szCs w:val="24"/>
              </w:rPr>
              <w:t xml:space="preserve"> that</w:t>
            </w:r>
            <w:r>
              <w:rPr>
                <w:sz w:val="24"/>
                <w:szCs w:val="24"/>
              </w:rPr>
              <w:t xml:space="preserve"> Child1 continues to receive care and support from that children’s team. This </w:t>
            </w:r>
            <w:r>
              <w:rPr>
                <w:sz w:val="24"/>
                <w:szCs w:val="24"/>
              </w:rPr>
              <w:lastRenderedPageBreak/>
              <w:t>has enabled us to develop an intervention plan that closely meet the needs of Child</w:t>
            </w:r>
            <w:r w:rsidR="00EE24AF">
              <w:rPr>
                <w:sz w:val="24"/>
                <w:szCs w:val="24"/>
              </w:rPr>
              <w:t>1</w:t>
            </w:r>
            <w:r>
              <w:rPr>
                <w:sz w:val="24"/>
                <w:szCs w:val="24"/>
              </w:rPr>
              <w:t xml:space="preserve"> from </w:t>
            </w:r>
            <w:r w:rsidRPr="006E7BBC">
              <w:rPr>
                <w:color w:val="auto"/>
                <w:sz w:val="24"/>
                <w:szCs w:val="24"/>
              </w:rPr>
              <w:t>both a safeguarding and YJS perspective in line with a strengths-based approach (</w:t>
            </w:r>
            <w:r w:rsidR="006E7BBC" w:rsidRPr="006E7BBC">
              <w:rPr>
                <w:color w:val="auto"/>
                <w:sz w:val="24"/>
                <w:szCs w:val="24"/>
              </w:rPr>
              <w:t>SCW, 2019</w:t>
            </w:r>
            <w:r w:rsidR="00705EEE">
              <w:rPr>
                <w:color w:val="auto"/>
                <w:sz w:val="24"/>
                <w:szCs w:val="24"/>
              </w:rPr>
              <w:t>a</w:t>
            </w:r>
            <w:r w:rsidRPr="006E7BBC">
              <w:rPr>
                <w:color w:val="auto"/>
                <w:sz w:val="24"/>
                <w:szCs w:val="24"/>
              </w:rPr>
              <w:t xml:space="preserve">). </w:t>
            </w:r>
          </w:p>
          <w:p w14:paraId="2FCC6288" w14:textId="0D03A325" w:rsidR="009D6AB9" w:rsidRDefault="009D6AB9" w:rsidP="009D6AB9">
            <w:pPr>
              <w:spacing w:line="360" w:lineRule="auto"/>
              <w:ind w:firstLine="720"/>
              <w:rPr>
                <w:sz w:val="24"/>
                <w:szCs w:val="24"/>
              </w:rPr>
            </w:pPr>
            <w:r w:rsidRPr="006E7BBC">
              <w:rPr>
                <w:color w:val="auto"/>
                <w:sz w:val="24"/>
                <w:szCs w:val="24"/>
              </w:rPr>
              <w:t xml:space="preserve">In order </w:t>
            </w:r>
            <w:r>
              <w:rPr>
                <w:sz w:val="24"/>
                <w:szCs w:val="24"/>
              </w:rPr>
              <w:t xml:space="preserve">to prevent re-offending, YJS needs to understand the behaviour of the young person, identifying the risks and strengths and how factors interact with one another to </w:t>
            </w:r>
            <w:r w:rsidRPr="003E31A2">
              <w:rPr>
                <w:color w:val="auto"/>
                <w:sz w:val="24"/>
                <w:szCs w:val="24"/>
              </w:rPr>
              <w:t>determine an intervention plan that is individual to the needs of that young person (</w:t>
            </w:r>
            <w:r w:rsidR="00B75096" w:rsidRPr="003E31A2">
              <w:rPr>
                <w:color w:val="auto"/>
                <w:sz w:val="24"/>
                <w:szCs w:val="24"/>
              </w:rPr>
              <w:t>Baker, 2008</w:t>
            </w:r>
            <w:r w:rsidRPr="003E31A2">
              <w:rPr>
                <w:color w:val="auto"/>
                <w:sz w:val="24"/>
                <w:szCs w:val="24"/>
              </w:rPr>
              <w:t xml:space="preserve">). Risk </w:t>
            </w:r>
            <w:r>
              <w:rPr>
                <w:sz w:val="24"/>
                <w:szCs w:val="24"/>
              </w:rPr>
              <w:t xml:space="preserve">of reoffending, risk of serious harm to others and risks to the young person’s own safety and wellbeing are key areas of assessment. </w:t>
            </w:r>
          </w:p>
          <w:p w14:paraId="4EECD94A" w14:textId="1858031C" w:rsidR="009D6AB9" w:rsidRDefault="009D6AB9" w:rsidP="009D6AB9">
            <w:pPr>
              <w:spacing w:line="360" w:lineRule="auto"/>
              <w:ind w:firstLine="720"/>
              <w:jc w:val="both"/>
              <w:rPr>
                <w:sz w:val="24"/>
                <w:szCs w:val="24"/>
              </w:rPr>
            </w:pPr>
            <w:r>
              <w:rPr>
                <w:sz w:val="24"/>
                <w:szCs w:val="24"/>
              </w:rPr>
              <w:t xml:space="preserve">There is a tension within the YJS I had not fully appreciated until this case between the risk of harm to others posed by Child1 and Child1’s own safety and wellbeing. </w:t>
            </w:r>
            <w:r w:rsidRPr="00B6645B">
              <w:rPr>
                <w:sz w:val="24"/>
                <w:szCs w:val="24"/>
              </w:rPr>
              <w:t>This friction is a constant balance for social worker’s in the YJS to navigate and poses a lot of ethical questions when</w:t>
            </w:r>
            <w:r>
              <w:rPr>
                <w:sz w:val="24"/>
                <w:szCs w:val="24"/>
              </w:rPr>
              <w:t xml:space="preserve"> attempting</w:t>
            </w:r>
            <w:r w:rsidRPr="00B6645B">
              <w:rPr>
                <w:sz w:val="24"/>
                <w:szCs w:val="24"/>
              </w:rPr>
              <w:t xml:space="preserve"> balancing the rights of everyone involved</w:t>
            </w:r>
            <w:r>
              <w:rPr>
                <w:sz w:val="24"/>
                <w:szCs w:val="24"/>
              </w:rPr>
              <w:t xml:space="preserve"> which includes the victim</w:t>
            </w:r>
            <w:r w:rsidRPr="00B6645B">
              <w:rPr>
                <w:sz w:val="24"/>
                <w:szCs w:val="24"/>
              </w:rPr>
              <w:t xml:space="preserve">. </w:t>
            </w:r>
            <w:r w:rsidRPr="007B670B">
              <w:rPr>
                <w:sz w:val="24"/>
                <w:szCs w:val="24"/>
              </w:rPr>
              <w:t xml:space="preserve">In some ways these two risk elements are in conflict with one another, however, the reality is that one does </w:t>
            </w:r>
            <w:r w:rsidRPr="00355AE0">
              <w:rPr>
                <w:color w:val="auto"/>
                <w:sz w:val="24"/>
                <w:szCs w:val="24"/>
              </w:rPr>
              <w:t>not exist without the other. The challenge for all social work is meeting the needs of vulnerable people</w:t>
            </w:r>
            <w:r w:rsidR="00811F60" w:rsidRPr="00355AE0">
              <w:rPr>
                <w:color w:val="auto"/>
                <w:sz w:val="24"/>
                <w:szCs w:val="24"/>
              </w:rPr>
              <w:t>,</w:t>
            </w:r>
            <w:r w:rsidRPr="00355AE0">
              <w:rPr>
                <w:color w:val="auto"/>
                <w:sz w:val="24"/>
                <w:szCs w:val="24"/>
              </w:rPr>
              <w:t xml:space="preserve"> without stigmatising and labelling</w:t>
            </w:r>
            <w:r w:rsidR="00811F60" w:rsidRPr="00355AE0">
              <w:rPr>
                <w:color w:val="auto"/>
                <w:sz w:val="24"/>
                <w:szCs w:val="24"/>
              </w:rPr>
              <w:t>,</w:t>
            </w:r>
            <w:r w:rsidRPr="00355AE0">
              <w:rPr>
                <w:color w:val="auto"/>
                <w:sz w:val="24"/>
                <w:szCs w:val="24"/>
              </w:rPr>
              <w:t xml:space="preserve"> especially when offence is so serious and damaging to others (D</w:t>
            </w:r>
            <w:r w:rsidR="001F1649" w:rsidRPr="00355AE0">
              <w:rPr>
                <w:color w:val="auto"/>
                <w:sz w:val="24"/>
                <w:szCs w:val="24"/>
              </w:rPr>
              <w:t>eering and</w:t>
            </w:r>
            <w:r w:rsidRPr="00355AE0">
              <w:rPr>
                <w:color w:val="auto"/>
                <w:sz w:val="24"/>
                <w:szCs w:val="24"/>
              </w:rPr>
              <w:t xml:space="preserve"> Evans, 2021). Child1 continues to be angry and frustrated at their circumstances which can be difficult to witness </w:t>
            </w:r>
            <w:r>
              <w:rPr>
                <w:sz w:val="24"/>
                <w:szCs w:val="24"/>
              </w:rPr>
              <w:t xml:space="preserve">and leads to outbursts of heightened behaviour especially when being asked to recount the offence. Anger is often seen as an unacceptable way to deal with trauma and in Child1’s case could easily be misconstrued where professionals can be </w:t>
            </w:r>
            <w:r w:rsidRPr="00355AE0">
              <w:rPr>
                <w:color w:val="auto"/>
                <w:sz w:val="24"/>
                <w:szCs w:val="24"/>
              </w:rPr>
              <w:t>risk-focussed instead of child-focussed (</w:t>
            </w:r>
            <w:r w:rsidR="001F1649" w:rsidRPr="00355AE0">
              <w:rPr>
                <w:color w:val="auto"/>
                <w:sz w:val="24"/>
                <w:szCs w:val="24"/>
              </w:rPr>
              <w:t>Clark and</w:t>
            </w:r>
            <w:r w:rsidRPr="00355AE0">
              <w:rPr>
                <w:color w:val="auto"/>
                <w:sz w:val="24"/>
                <w:szCs w:val="24"/>
              </w:rPr>
              <w:t xml:space="preserve"> Hall, 2022</w:t>
            </w:r>
            <w:r>
              <w:rPr>
                <w:sz w:val="24"/>
                <w:szCs w:val="24"/>
              </w:rPr>
              <w:t>). From working with Child1 I have come to view anger differently, appreciating this a</w:t>
            </w:r>
            <w:r w:rsidR="00811F60">
              <w:rPr>
                <w:sz w:val="24"/>
                <w:szCs w:val="24"/>
              </w:rPr>
              <w:t xml:space="preserve">s a </w:t>
            </w:r>
            <w:r>
              <w:rPr>
                <w:sz w:val="24"/>
                <w:szCs w:val="24"/>
              </w:rPr>
              <w:t>manifestation of psychological, emotional and behaviour problems linked to harm (</w:t>
            </w:r>
            <w:proofErr w:type="spellStart"/>
            <w:r w:rsidRPr="00355AE0">
              <w:rPr>
                <w:color w:val="auto"/>
                <w:sz w:val="24"/>
                <w:szCs w:val="24"/>
              </w:rPr>
              <w:t>Papalia</w:t>
            </w:r>
            <w:proofErr w:type="spellEnd"/>
            <w:r w:rsidRPr="00355AE0">
              <w:rPr>
                <w:color w:val="auto"/>
                <w:sz w:val="24"/>
                <w:szCs w:val="24"/>
              </w:rPr>
              <w:t xml:space="preserve"> </w:t>
            </w:r>
            <w:r w:rsidRPr="00355AE0">
              <w:rPr>
                <w:i/>
                <w:color w:val="auto"/>
                <w:sz w:val="24"/>
                <w:szCs w:val="24"/>
              </w:rPr>
              <w:t>et al.,</w:t>
            </w:r>
            <w:r w:rsidRPr="00355AE0">
              <w:rPr>
                <w:color w:val="auto"/>
                <w:sz w:val="24"/>
                <w:szCs w:val="24"/>
              </w:rPr>
              <w:t xml:space="preserve"> 2018a).</w:t>
            </w:r>
          </w:p>
          <w:p w14:paraId="6F58DC93" w14:textId="51B05E42" w:rsidR="009D6AB9" w:rsidRPr="006E7BBC" w:rsidRDefault="009D6AB9" w:rsidP="009D6AB9">
            <w:pPr>
              <w:spacing w:line="360" w:lineRule="auto"/>
              <w:ind w:firstLine="720"/>
              <w:jc w:val="both"/>
              <w:rPr>
                <w:color w:val="auto"/>
                <w:sz w:val="24"/>
                <w:szCs w:val="24"/>
              </w:rPr>
            </w:pPr>
            <w:r>
              <w:rPr>
                <w:sz w:val="24"/>
                <w:szCs w:val="24"/>
              </w:rPr>
              <w:t xml:space="preserve">This frustration can also be linked with the principles in the </w:t>
            </w:r>
            <w:r w:rsidRPr="00B719E2">
              <w:rPr>
                <w:i/>
                <w:color w:val="auto"/>
                <w:sz w:val="24"/>
                <w:szCs w:val="24"/>
              </w:rPr>
              <w:t>Welsh Language (Wales) Measure 201</w:t>
            </w:r>
            <w:r w:rsidR="00BE443A" w:rsidRPr="00B719E2">
              <w:rPr>
                <w:i/>
                <w:color w:val="auto"/>
                <w:sz w:val="24"/>
                <w:szCs w:val="24"/>
              </w:rPr>
              <w:t>1</w:t>
            </w:r>
            <w:r w:rsidRPr="00B719E2">
              <w:rPr>
                <w:i/>
                <w:color w:val="auto"/>
                <w:sz w:val="24"/>
                <w:szCs w:val="24"/>
              </w:rPr>
              <w:t xml:space="preserve">. </w:t>
            </w:r>
            <w:r w:rsidRPr="00B719E2">
              <w:rPr>
                <w:color w:val="auto"/>
                <w:sz w:val="24"/>
                <w:szCs w:val="24"/>
              </w:rPr>
              <w:t xml:space="preserve">Even </w:t>
            </w:r>
            <w:r>
              <w:rPr>
                <w:sz w:val="24"/>
                <w:szCs w:val="24"/>
              </w:rPr>
              <w:t>though Child1 opted for their assessment to be conducted in English, their first language, there many things associated with the ‘Active Offer’ that I can appreciate with this case. A speech and language assessment had already highlighted communication difficulties before my assessment. This proved highly valuable and insightful not just for co-production, but also safeguarding</w:t>
            </w:r>
            <w:r w:rsidR="00BE443A">
              <w:rPr>
                <w:sz w:val="24"/>
                <w:szCs w:val="24"/>
              </w:rPr>
              <w:t xml:space="preserve"> (</w:t>
            </w:r>
            <w:r w:rsidR="00BE443A" w:rsidRPr="00B719E2">
              <w:rPr>
                <w:color w:val="auto"/>
                <w:sz w:val="24"/>
                <w:szCs w:val="24"/>
              </w:rPr>
              <w:t>Social Care Wales (SCW), 2017</w:t>
            </w:r>
            <w:r w:rsidR="00BE443A">
              <w:rPr>
                <w:sz w:val="24"/>
                <w:szCs w:val="24"/>
              </w:rPr>
              <w:t>)</w:t>
            </w:r>
            <w:r>
              <w:rPr>
                <w:sz w:val="24"/>
                <w:szCs w:val="24"/>
              </w:rPr>
              <w:t xml:space="preserve">. Child1 is already in a vulnerable and difficult situation so being able to express themselves authentically means </w:t>
            </w:r>
            <w:r w:rsidRPr="006E7BBC">
              <w:rPr>
                <w:color w:val="auto"/>
                <w:sz w:val="24"/>
                <w:szCs w:val="24"/>
              </w:rPr>
              <w:lastRenderedPageBreak/>
              <w:t xml:space="preserve">understanding and collaborating with Child1 to ensure their full participation in assessment (Hodges, 2021). </w:t>
            </w:r>
          </w:p>
          <w:p w14:paraId="3F12D46F" w14:textId="1AF23BE0" w:rsidR="009D6AB9" w:rsidRDefault="009D6AB9" w:rsidP="009D6AB9">
            <w:pPr>
              <w:spacing w:line="360" w:lineRule="auto"/>
              <w:ind w:firstLine="720"/>
              <w:jc w:val="both"/>
              <w:rPr>
                <w:sz w:val="24"/>
                <w:szCs w:val="24"/>
              </w:rPr>
            </w:pPr>
            <w:r w:rsidRPr="006E7BBC">
              <w:rPr>
                <w:color w:val="auto"/>
                <w:sz w:val="24"/>
                <w:szCs w:val="24"/>
              </w:rPr>
              <w:t xml:space="preserve">Offending behaviour </w:t>
            </w:r>
            <w:r>
              <w:rPr>
                <w:sz w:val="24"/>
                <w:szCs w:val="24"/>
              </w:rPr>
              <w:t xml:space="preserve">is named as an indicator of abuse in the </w:t>
            </w:r>
            <w:r w:rsidRPr="005A5236">
              <w:rPr>
                <w:i/>
                <w:color w:val="auto"/>
                <w:sz w:val="24"/>
                <w:szCs w:val="24"/>
              </w:rPr>
              <w:t>Wales Safeguarding Procedures</w:t>
            </w:r>
            <w:r w:rsidR="009C7E08" w:rsidRPr="005A5236">
              <w:rPr>
                <w:i/>
                <w:color w:val="auto"/>
                <w:sz w:val="24"/>
                <w:szCs w:val="24"/>
              </w:rPr>
              <w:t xml:space="preserve"> </w:t>
            </w:r>
            <w:r w:rsidR="009C7E08" w:rsidRPr="005A5236">
              <w:rPr>
                <w:color w:val="auto"/>
                <w:sz w:val="24"/>
                <w:szCs w:val="24"/>
              </w:rPr>
              <w:t xml:space="preserve">(SCW, </w:t>
            </w:r>
            <w:r w:rsidR="009470E3">
              <w:rPr>
                <w:color w:val="auto"/>
                <w:sz w:val="24"/>
                <w:szCs w:val="24"/>
              </w:rPr>
              <w:t>2019</w:t>
            </w:r>
            <w:r w:rsidR="00705EEE">
              <w:rPr>
                <w:color w:val="auto"/>
                <w:sz w:val="24"/>
                <w:szCs w:val="24"/>
              </w:rPr>
              <w:t>b</w:t>
            </w:r>
            <w:r w:rsidRPr="005A5236">
              <w:rPr>
                <w:color w:val="auto"/>
                <w:sz w:val="24"/>
                <w:szCs w:val="24"/>
              </w:rPr>
              <w:t xml:space="preserve">). </w:t>
            </w:r>
            <w:r>
              <w:rPr>
                <w:sz w:val="24"/>
                <w:szCs w:val="24"/>
              </w:rPr>
              <w:t>Research</w:t>
            </w:r>
            <w:r w:rsidRPr="00EB77F0">
              <w:rPr>
                <w:sz w:val="24"/>
                <w:szCs w:val="24"/>
              </w:rPr>
              <w:t xml:space="preserve"> widely accepts that those who offend are often victims of abuse </w:t>
            </w:r>
            <w:r w:rsidRPr="00355AE0">
              <w:rPr>
                <w:color w:val="auto"/>
                <w:sz w:val="24"/>
                <w:szCs w:val="24"/>
              </w:rPr>
              <w:t>themselves (</w:t>
            </w:r>
            <w:proofErr w:type="spellStart"/>
            <w:r w:rsidRPr="00355AE0">
              <w:rPr>
                <w:color w:val="auto"/>
                <w:sz w:val="24"/>
                <w:szCs w:val="24"/>
              </w:rPr>
              <w:t>Papalia</w:t>
            </w:r>
            <w:proofErr w:type="spellEnd"/>
            <w:r w:rsidRPr="00355AE0">
              <w:rPr>
                <w:color w:val="auto"/>
                <w:sz w:val="24"/>
                <w:szCs w:val="24"/>
              </w:rPr>
              <w:t xml:space="preserve"> </w:t>
            </w:r>
            <w:r w:rsidRPr="00355AE0">
              <w:rPr>
                <w:i/>
                <w:color w:val="auto"/>
                <w:sz w:val="24"/>
                <w:szCs w:val="24"/>
              </w:rPr>
              <w:t>et al.,</w:t>
            </w:r>
            <w:r w:rsidR="00355AE0" w:rsidRPr="00355AE0">
              <w:rPr>
                <w:color w:val="auto"/>
                <w:sz w:val="24"/>
                <w:szCs w:val="24"/>
              </w:rPr>
              <w:t xml:space="preserve"> 2018b</w:t>
            </w:r>
            <w:r w:rsidRPr="00355AE0">
              <w:rPr>
                <w:color w:val="auto"/>
                <w:sz w:val="24"/>
                <w:szCs w:val="24"/>
              </w:rPr>
              <w:t>).</w:t>
            </w:r>
            <w:r w:rsidRPr="00355AE0">
              <w:rPr>
                <w:color w:val="auto"/>
              </w:rPr>
              <w:t xml:space="preserve"> </w:t>
            </w:r>
            <w:r w:rsidRPr="00355AE0">
              <w:rPr>
                <w:color w:val="auto"/>
                <w:sz w:val="24"/>
                <w:szCs w:val="24"/>
              </w:rPr>
              <w:t xml:space="preserve">Offending usually is symptomatic of several types of harm. Harm is defined in the </w:t>
            </w:r>
            <w:r w:rsidRPr="00355AE0">
              <w:rPr>
                <w:i/>
                <w:color w:val="auto"/>
                <w:sz w:val="24"/>
                <w:szCs w:val="24"/>
              </w:rPr>
              <w:t>SSWBA 2014</w:t>
            </w:r>
            <w:r w:rsidRPr="00355AE0">
              <w:rPr>
                <w:color w:val="auto"/>
                <w:sz w:val="24"/>
                <w:szCs w:val="24"/>
              </w:rPr>
              <w:t xml:space="preserve"> as the ill-treatment of a child or the impairment of their physical or mental health or impairment </w:t>
            </w:r>
            <w:r>
              <w:rPr>
                <w:sz w:val="24"/>
                <w:szCs w:val="24"/>
              </w:rPr>
              <w:t xml:space="preserve">of </w:t>
            </w:r>
            <w:r w:rsidRPr="00CC131B">
              <w:rPr>
                <w:sz w:val="24"/>
                <w:szCs w:val="24"/>
              </w:rPr>
              <w:t>physical intellectual, emotional, social or behavi</w:t>
            </w:r>
            <w:r>
              <w:rPr>
                <w:sz w:val="24"/>
                <w:szCs w:val="24"/>
              </w:rPr>
              <w:t xml:space="preserve">oural </w:t>
            </w:r>
            <w:r w:rsidRPr="009E66B0">
              <w:rPr>
                <w:sz w:val="24"/>
                <w:szCs w:val="24"/>
              </w:rPr>
              <w:t>development</w:t>
            </w:r>
            <w:r>
              <w:rPr>
                <w:sz w:val="24"/>
                <w:szCs w:val="24"/>
              </w:rPr>
              <w:t xml:space="preserve">. Research also suggests that the majority of young people who commit serious violent offences have been exposed to severe adverse childhood experiences and are likely to be known to services before reaching the </w:t>
            </w:r>
            <w:r w:rsidRPr="008846CA">
              <w:rPr>
                <w:color w:val="auto"/>
                <w:sz w:val="24"/>
                <w:szCs w:val="24"/>
              </w:rPr>
              <w:t>YJS (</w:t>
            </w:r>
            <w:proofErr w:type="spellStart"/>
            <w:r w:rsidRPr="008846CA">
              <w:rPr>
                <w:color w:val="auto"/>
                <w:sz w:val="24"/>
                <w:szCs w:val="24"/>
              </w:rPr>
              <w:t>Reil</w:t>
            </w:r>
            <w:proofErr w:type="spellEnd"/>
            <w:r w:rsidRPr="008846CA">
              <w:rPr>
                <w:color w:val="auto"/>
                <w:sz w:val="24"/>
                <w:szCs w:val="24"/>
              </w:rPr>
              <w:t xml:space="preserve"> </w:t>
            </w:r>
            <w:r w:rsidRPr="008846CA">
              <w:rPr>
                <w:i/>
                <w:color w:val="auto"/>
                <w:sz w:val="24"/>
                <w:szCs w:val="24"/>
              </w:rPr>
              <w:t>et al.,</w:t>
            </w:r>
            <w:r w:rsidRPr="008846CA">
              <w:rPr>
                <w:color w:val="auto"/>
                <w:sz w:val="24"/>
                <w:szCs w:val="24"/>
              </w:rPr>
              <w:t xml:space="preserve"> 2022). This research available enabled me to clearly link offending with their children’s services </w:t>
            </w:r>
            <w:r>
              <w:rPr>
                <w:sz w:val="24"/>
                <w:szCs w:val="24"/>
              </w:rPr>
              <w:t xml:space="preserve">records </w:t>
            </w:r>
            <w:r w:rsidRPr="003E31A2">
              <w:rPr>
                <w:color w:val="auto"/>
                <w:sz w:val="24"/>
                <w:szCs w:val="24"/>
              </w:rPr>
              <w:t xml:space="preserve">and own </w:t>
            </w:r>
            <w:r w:rsidRPr="008846CA">
              <w:rPr>
                <w:color w:val="auto"/>
                <w:sz w:val="24"/>
                <w:szCs w:val="24"/>
              </w:rPr>
              <w:t>account of family life during my assessment and the impact this could have had</w:t>
            </w:r>
            <w:r w:rsidR="00BE443A" w:rsidRPr="008846CA">
              <w:rPr>
                <w:color w:val="auto"/>
                <w:sz w:val="24"/>
                <w:szCs w:val="24"/>
              </w:rPr>
              <w:t xml:space="preserve"> (SCW, 2017)</w:t>
            </w:r>
            <w:r w:rsidRPr="008846CA">
              <w:rPr>
                <w:color w:val="auto"/>
                <w:sz w:val="24"/>
                <w:szCs w:val="24"/>
              </w:rPr>
              <w:t>. It also enforces the child-first, offender-second principle (Youth Justice Board, 2021).</w:t>
            </w:r>
          </w:p>
          <w:p w14:paraId="506C88DB" w14:textId="51BEF1D1" w:rsidR="009D6AB9" w:rsidRDefault="009D6AB9" w:rsidP="009D6AB9">
            <w:pPr>
              <w:spacing w:line="360" w:lineRule="auto"/>
              <w:ind w:firstLine="720"/>
              <w:jc w:val="both"/>
              <w:rPr>
                <w:sz w:val="24"/>
                <w:szCs w:val="24"/>
              </w:rPr>
            </w:pPr>
            <w:r>
              <w:rPr>
                <w:sz w:val="24"/>
                <w:szCs w:val="24"/>
              </w:rPr>
              <w:t xml:space="preserve">Whilst this principle has been adopted for both England and </w:t>
            </w:r>
            <w:r w:rsidRPr="0055704B">
              <w:rPr>
                <w:color w:val="auto"/>
                <w:sz w:val="24"/>
                <w:szCs w:val="24"/>
              </w:rPr>
              <w:t xml:space="preserve">Wales, </w:t>
            </w:r>
            <w:proofErr w:type="spellStart"/>
            <w:r w:rsidRPr="0055704B">
              <w:rPr>
                <w:color w:val="auto"/>
                <w:sz w:val="24"/>
                <w:szCs w:val="24"/>
              </w:rPr>
              <w:t>Drakeford</w:t>
            </w:r>
            <w:proofErr w:type="spellEnd"/>
            <w:r w:rsidRPr="0055704B">
              <w:rPr>
                <w:color w:val="auto"/>
                <w:sz w:val="24"/>
                <w:szCs w:val="24"/>
              </w:rPr>
              <w:t xml:space="preserve"> (2009) argues that its roots are distinctly Welsh, focussing on the needs of the </w:t>
            </w:r>
            <w:r>
              <w:rPr>
                <w:sz w:val="24"/>
                <w:szCs w:val="24"/>
              </w:rPr>
              <w:t xml:space="preserve">child first and seeing the offence as part of a holistic picture. It is a strengths-based approach which is now </w:t>
            </w:r>
            <w:r w:rsidR="00811F60">
              <w:rPr>
                <w:sz w:val="24"/>
                <w:szCs w:val="24"/>
              </w:rPr>
              <w:t>e</w:t>
            </w:r>
            <w:r>
              <w:rPr>
                <w:sz w:val="24"/>
                <w:szCs w:val="24"/>
              </w:rPr>
              <w:t>mbedded in all policies across the yout</w:t>
            </w:r>
            <w:r w:rsidRPr="00F614B0">
              <w:rPr>
                <w:color w:val="auto"/>
                <w:sz w:val="24"/>
                <w:szCs w:val="24"/>
              </w:rPr>
              <w:t xml:space="preserve">h justice system, the tenets of which have been fully realised in the </w:t>
            </w:r>
            <w:r w:rsidRPr="00F614B0">
              <w:rPr>
                <w:i/>
                <w:color w:val="auto"/>
                <w:sz w:val="24"/>
                <w:szCs w:val="24"/>
              </w:rPr>
              <w:t>Youth Justice Blueprint for Wales</w:t>
            </w:r>
            <w:r w:rsidRPr="00F614B0">
              <w:rPr>
                <w:color w:val="auto"/>
                <w:sz w:val="24"/>
                <w:szCs w:val="24"/>
              </w:rPr>
              <w:t xml:space="preserve"> (</w:t>
            </w:r>
            <w:r w:rsidR="003A029E" w:rsidRPr="00F614B0">
              <w:rPr>
                <w:color w:val="auto"/>
                <w:sz w:val="24"/>
                <w:szCs w:val="24"/>
              </w:rPr>
              <w:t xml:space="preserve">Ministry of Justice and </w:t>
            </w:r>
            <w:r w:rsidRPr="00F614B0">
              <w:rPr>
                <w:color w:val="auto"/>
                <w:sz w:val="24"/>
                <w:szCs w:val="24"/>
              </w:rPr>
              <w:t xml:space="preserve">Welsh Government, 2019). </w:t>
            </w:r>
            <w:r>
              <w:rPr>
                <w:sz w:val="24"/>
                <w:szCs w:val="24"/>
              </w:rPr>
              <w:t xml:space="preserve">This goes alongside another core principle of trauma-informed practice and recognising and responding to adverse childhood experiences. </w:t>
            </w:r>
          </w:p>
          <w:p w14:paraId="6ECB0DED" w14:textId="6DE02ED4" w:rsidR="009D6AB9" w:rsidRDefault="009D6AB9" w:rsidP="009D6AB9">
            <w:pPr>
              <w:spacing w:line="360" w:lineRule="auto"/>
              <w:ind w:firstLine="720"/>
              <w:jc w:val="both"/>
              <w:rPr>
                <w:color w:val="ED7D31" w:themeColor="accent2"/>
                <w:sz w:val="24"/>
                <w:szCs w:val="24"/>
              </w:rPr>
            </w:pPr>
            <w:r>
              <w:rPr>
                <w:sz w:val="24"/>
                <w:szCs w:val="24"/>
              </w:rPr>
              <w:t>A significant tool in evidencing the harms to Child1 has been the Enhanced Case Management (ECM) programme. Not only has it enabled me to</w:t>
            </w:r>
            <w:r w:rsidR="00811F60">
              <w:rPr>
                <w:sz w:val="24"/>
                <w:szCs w:val="24"/>
              </w:rPr>
              <w:t xml:space="preserve"> evaluate</w:t>
            </w:r>
            <w:r>
              <w:rPr>
                <w:sz w:val="24"/>
                <w:szCs w:val="24"/>
              </w:rPr>
              <w:t xml:space="preserve"> how past experiences have impacted on Child1 but also supported my analysis on current presenting behaviour to link this to potential future risk of harm. This is a Wales only programme that only YJS operating in Wales can access (there are local authorities in England currently piloting the programme). T</w:t>
            </w:r>
            <w:r w:rsidRPr="001A4778">
              <w:rPr>
                <w:sz w:val="24"/>
                <w:szCs w:val="24"/>
              </w:rPr>
              <w:t xml:space="preserve">he ECM programme is an approach that uses psychology to help youth justice workers to understand and explain a child’s behaviour </w:t>
            </w:r>
            <w:r w:rsidRPr="0055704B">
              <w:rPr>
                <w:color w:val="auto"/>
                <w:sz w:val="24"/>
                <w:szCs w:val="24"/>
              </w:rPr>
              <w:t>(Youth Justice Board, 2020</w:t>
            </w:r>
            <w:r>
              <w:rPr>
                <w:sz w:val="24"/>
                <w:szCs w:val="24"/>
              </w:rPr>
              <w:t>). It is a multi-agency collaboration where all partner agencies are invited to take part not just the YJS. It is underpinned by th</w:t>
            </w:r>
            <w:r w:rsidR="001F1649">
              <w:rPr>
                <w:sz w:val="24"/>
                <w:szCs w:val="24"/>
              </w:rPr>
              <w:t>e Trauma Recovery Model (</w:t>
            </w:r>
            <w:proofErr w:type="spellStart"/>
            <w:r w:rsidR="001F1649">
              <w:rPr>
                <w:sz w:val="24"/>
                <w:szCs w:val="24"/>
              </w:rPr>
              <w:t>Skuse</w:t>
            </w:r>
            <w:proofErr w:type="spellEnd"/>
            <w:r w:rsidR="001F1649">
              <w:rPr>
                <w:sz w:val="24"/>
                <w:szCs w:val="24"/>
              </w:rPr>
              <w:t xml:space="preserve"> and</w:t>
            </w:r>
            <w:r>
              <w:rPr>
                <w:sz w:val="24"/>
                <w:szCs w:val="24"/>
              </w:rPr>
              <w:t xml:space="preserve"> Matthew, 2015) which merges theories of attachment, child development and neuroscience to help professionals </w:t>
            </w:r>
            <w:r>
              <w:rPr>
                <w:sz w:val="24"/>
                <w:szCs w:val="24"/>
              </w:rPr>
              <w:lastRenderedPageBreak/>
              <w:t xml:space="preserve">with their interventions, putting an emphasis on relational development and when to sequence the interventions so the best outcomes can be achieved. ECM is firmly a part of the Welsh context of youth justice in Wales and Welsh policy which links back to the origins of child-first policy, Wales’ commitment to child rights with strategies ensuring better support for those children who offend because of their </w:t>
            </w:r>
            <w:r w:rsidRPr="002F1506">
              <w:rPr>
                <w:color w:val="auto"/>
                <w:sz w:val="24"/>
                <w:szCs w:val="24"/>
              </w:rPr>
              <w:t>vulnerabilities (Youth Justice Board, 2020).</w:t>
            </w:r>
          </w:p>
          <w:p w14:paraId="7EE22B2A" w14:textId="17E1F313" w:rsidR="009D6AB9" w:rsidRDefault="009D6AB9" w:rsidP="009D6AB9">
            <w:pPr>
              <w:spacing w:line="360" w:lineRule="auto"/>
              <w:ind w:firstLine="720"/>
              <w:jc w:val="both"/>
              <w:rPr>
                <w:sz w:val="24"/>
                <w:szCs w:val="24"/>
              </w:rPr>
            </w:pPr>
            <w:r>
              <w:rPr>
                <w:sz w:val="24"/>
                <w:szCs w:val="24"/>
              </w:rPr>
              <w:t>The ECM has enabled me to articulate behaviours which could easily be overlooked as risky, dangerous or problematic. The time-lining of experiences enabled all partners to appreciate the amount of significant harm and abuse that Child1 had suffered in their life before the offence. As a consequence it allowed me</w:t>
            </w:r>
            <w:r w:rsidRPr="003A26B4">
              <w:rPr>
                <w:sz w:val="24"/>
                <w:szCs w:val="24"/>
              </w:rPr>
              <w:t xml:space="preserve"> to discuss openly the impact and ongoing harm that is still present that could have be side-lined</w:t>
            </w:r>
            <w:r>
              <w:rPr>
                <w:sz w:val="24"/>
                <w:szCs w:val="24"/>
              </w:rPr>
              <w:t>. The ECM laid out</w:t>
            </w:r>
            <w:r w:rsidRPr="003A26B4">
              <w:rPr>
                <w:sz w:val="24"/>
                <w:szCs w:val="24"/>
              </w:rPr>
              <w:t xml:space="preserve"> chronic abuse that took place over years that made Child1’s ex</w:t>
            </w:r>
            <w:r>
              <w:rPr>
                <w:sz w:val="24"/>
                <w:szCs w:val="24"/>
              </w:rPr>
              <w:t xml:space="preserve">periences difficult to ignore. This did leave me feeling frustrated, however, as I felt it highlighted missed opportunities to protect Child1 in the past by Children’s Services. Part 7 of the statutory guidance that focusses on child protection highlights </w:t>
            </w:r>
            <w:r w:rsidRPr="00A8079C">
              <w:rPr>
                <w:color w:val="auto"/>
                <w:sz w:val="24"/>
                <w:szCs w:val="24"/>
              </w:rPr>
              <w:t>that successful safeguarding systems are where “the wishes, needs and well-being of the child are put first, so that they receive the care and support they need before a problem escalates” (</w:t>
            </w:r>
            <w:r w:rsidR="002F1506" w:rsidRPr="00A8079C">
              <w:rPr>
                <w:color w:val="auto"/>
                <w:sz w:val="24"/>
                <w:szCs w:val="24"/>
              </w:rPr>
              <w:t>Welsh Government, 2018</w:t>
            </w:r>
            <w:r w:rsidR="0011787C" w:rsidRPr="00A8079C">
              <w:rPr>
                <w:color w:val="auto"/>
                <w:sz w:val="24"/>
                <w:szCs w:val="24"/>
              </w:rPr>
              <w:t>b</w:t>
            </w:r>
            <w:r w:rsidRPr="00A8079C">
              <w:rPr>
                <w:color w:val="auto"/>
                <w:sz w:val="24"/>
                <w:szCs w:val="24"/>
              </w:rPr>
              <w:t xml:space="preserve">, p.10). The escalation in this case was Child1 committing a violent offence and harming another. Offending is often the result of cumulative adverse childhood experiences and the more exposure </w:t>
            </w:r>
            <w:r>
              <w:rPr>
                <w:sz w:val="24"/>
                <w:szCs w:val="24"/>
              </w:rPr>
              <w:t>a young person experience, the higher the risk</w:t>
            </w:r>
            <w:r w:rsidRPr="00253E93">
              <w:rPr>
                <w:sz w:val="24"/>
                <w:szCs w:val="24"/>
              </w:rPr>
              <w:t xml:space="preserve"> (</w:t>
            </w:r>
            <w:proofErr w:type="spellStart"/>
            <w:r w:rsidRPr="00253E93">
              <w:rPr>
                <w:sz w:val="24"/>
                <w:szCs w:val="24"/>
              </w:rPr>
              <w:t>Reil</w:t>
            </w:r>
            <w:proofErr w:type="spellEnd"/>
            <w:r w:rsidRPr="00253E93">
              <w:rPr>
                <w:sz w:val="24"/>
                <w:szCs w:val="24"/>
              </w:rPr>
              <w:t xml:space="preserve"> et al., 2022</w:t>
            </w:r>
            <w:r>
              <w:rPr>
                <w:sz w:val="24"/>
                <w:szCs w:val="24"/>
              </w:rPr>
              <w:t xml:space="preserve">). Another benefit of ECM time-lining exercise was that it enabled me to </w:t>
            </w:r>
            <w:r w:rsidRPr="006E7BBC">
              <w:rPr>
                <w:color w:val="auto"/>
                <w:sz w:val="24"/>
                <w:szCs w:val="24"/>
              </w:rPr>
              <w:t xml:space="preserve">identify patterns of behaviour. Patterns of behaviour are key indicators of future harmful behaviour and generally signify higher risk than isolated or one-off events (Youth Justice Board, 2015). </w:t>
            </w:r>
          </w:p>
          <w:p w14:paraId="459EE404" w14:textId="5721F51C" w:rsidR="009D6AB9" w:rsidRDefault="009D6AB9" w:rsidP="009D6AB9">
            <w:pPr>
              <w:spacing w:line="360" w:lineRule="auto"/>
              <w:ind w:firstLine="720"/>
              <w:jc w:val="both"/>
              <w:rPr>
                <w:sz w:val="24"/>
                <w:szCs w:val="24"/>
              </w:rPr>
            </w:pPr>
            <w:r>
              <w:rPr>
                <w:sz w:val="24"/>
                <w:szCs w:val="24"/>
              </w:rPr>
              <w:t xml:space="preserve">In the case of Child1, I have found it </w:t>
            </w:r>
            <w:r w:rsidR="00811F60">
              <w:rPr>
                <w:sz w:val="24"/>
                <w:szCs w:val="24"/>
              </w:rPr>
              <w:t xml:space="preserve">a </w:t>
            </w:r>
            <w:r>
              <w:rPr>
                <w:sz w:val="24"/>
                <w:szCs w:val="24"/>
              </w:rPr>
              <w:t xml:space="preserve">challenge to </w:t>
            </w:r>
            <w:r w:rsidR="00D65E78">
              <w:rPr>
                <w:sz w:val="24"/>
                <w:szCs w:val="24"/>
              </w:rPr>
              <w:t>square</w:t>
            </w:r>
            <w:r>
              <w:rPr>
                <w:sz w:val="24"/>
                <w:szCs w:val="24"/>
              </w:rPr>
              <w:t xml:space="preserve"> some decisions against the child-first principle. The child-first approach </w:t>
            </w:r>
            <w:r w:rsidRPr="008846CA">
              <w:rPr>
                <w:color w:val="auto"/>
                <w:sz w:val="24"/>
                <w:szCs w:val="24"/>
              </w:rPr>
              <w:t xml:space="preserve">should prioritise the best interests of children which takes its cue from legislative language like </w:t>
            </w:r>
            <w:r w:rsidRPr="008846CA">
              <w:rPr>
                <w:i/>
                <w:color w:val="auto"/>
                <w:sz w:val="24"/>
                <w:szCs w:val="24"/>
              </w:rPr>
              <w:t>United Nations Convention on the Rights of the Child (UNCRC) 1989</w:t>
            </w:r>
            <w:r w:rsidR="00BE443A" w:rsidRPr="008846CA">
              <w:rPr>
                <w:color w:val="auto"/>
                <w:sz w:val="24"/>
                <w:szCs w:val="24"/>
              </w:rPr>
              <w:t>,</w:t>
            </w:r>
            <w:r w:rsidRPr="008846CA">
              <w:rPr>
                <w:color w:val="auto"/>
                <w:sz w:val="24"/>
                <w:szCs w:val="24"/>
              </w:rPr>
              <w:t xml:space="preserve"> </w:t>
            </w:r>
            <w:r w:rsidRPr="008846CA">
              <w:rPr>
                <w:i/>
                <w:color w:val="auto"/>
                <w:sz w:val="24"/>
                <w:szCs w:val="24"/>
              </w:rPr>
              <w:t>Children Act 1989</w:t>
            </w:r>
            <w:r w:rsidRPr="008846CA">
              <w:rPr>
                <w:color w:val="auto"/>
                <w:sz w:val="24"/>
                <w:szCs w:val="24"/>
              </w:rPr>
              <w:t xml:space="preserve"> and SSWBA 2014. This is unsurprising when the </w:t>
            </w:r>
            <w:r w:rsidRPr="008846CA">
              <w:rPr>
                <w:i/>
                <w:color w:val="auto"/>
                <w:sz w:val="24"/>
                <w:szCs w:val="24"/>
              </w:rPr>
              <w:t xml:space="preserve">Rights of Children and Young People (Wales) Measure 2011 </w:t>
            </w:r>
            <w:r w:rsidRPr="008846CA">
              <w:rPr>
                <w:color w:val="auto"/>
                <w:sz w:val="24"/>
                <w:szCs w:val="24"/>
              </w:rPr>
              <w:t xml:space="preserve">imposes a duty upon Welsh legislators to have due regard to the rights and obligations </w:t>
            </w:r>
            <w:r>
              <w:rPr>
                <w:sz w:val="24"/>
                <w:szCs w:val="24"/>
              </w:rPr>
              <w:t xml:space="preserve">in UNCRC 1989 when making decisions. However, a custodial sentence for Child1 </w:t>
            </w:r>
            <w:r w:rsidR="00AB2444">
              <w:rPr>
                <w:sz w:val="24"/>
                <w:szCs w:val="24"/>
              </w:rPr>
              <w:t>did</w:t>
            </w:r>
            <w:r>
              <w:rPr>
                <w:sz w:val="24"/>
                <w:szCs w:val="24"/>
              </w:rPr>
              <w:t xml:space="preserve"> not always s</w:t>
            </w:r>
            <w:r w:rsidR="00AB2444">
              <w:rPr>
                <w:sz w:val="24"/>
                <w:szCs w:val="24"/>
              </w:rPr>
              <w:t>i</w:t>
            </w:r>
            <w:r>
              <w:rPr>
                <w:sz w:val="24"/>
                <w:szCs w:val="24"/>
              </w:rPr>
              <w:t xml:space="preserve">t well with me in terms of being in their best interests under Article 3 where adults must do what is best for the child (UNCRC 1989). </w:t>
            </w:r>
          </w:p>
          <w:p w14:paraId="7B9E4DBC" w14:textId="0C7397A2" w:rsidR="009D6AB9" w:rsidRPr="00EC3DC8" w:rsidRDefault="009D6AB9" w:rsidP="009D6AB9">
            <w:pPr>
              <w:spacing w:line="360" w:lineRule="auto"/>
              <w:ind w:firstLine="720"/>
              <w:jc w:val="both"/>
              <w:rPr>
                <w:color w:val="auto"/>
                <w:sz w:val="24"/>
                <w:szCs w:val="24"/>
              </w:rPr>
            </w:pPr>
            <w:r w:rsidRPr="00707138">
              <w:rPr>
                <w:sz w:val="24"/>
                <w:szCs w:val="24"/>
              </w:rPr>
              <w:lastRenderedPageBreak/>
              <w:t>A custodial outcome for Child1 has been difficult for me to reconcile</w:t>
            </w:r>
            <w:r>
              <w:rPr>
                <w:sz w:val="24"/>
                <w:szCs w:val="24"/>
              </w:rPr>
              <w:t xml:space="preserve"> as my assessment and analysis played a crucial role in a judge making this decision</w:t>
            </w:r>
            <w:r w:rsidRPr="0011787C">
              <w:rPr>
                <w:color w:val="auto"/>
                <w:sz w:val="24"/>
                <w:szCs w:val="24"/>
              </w:rPr>
              <w:t xml:space="preserve">. Decisions around sentencing should be proportionate and </w:t>
            </w:r>
            <w:r w:rsidR="007E6E98" w:rsidRPr="0011787C">
              <w:rPr>
                <w:color w:val="auto"/>
                <w:sz w:val="24"/>
                <w:szCs w:val="24"/>
              </w:rPr>
              <w:t xml:space="preserve">made to limit any harm to the child </w:t>
            </w:r>
            <w:r w:rsidRPr="0011787C">
              <w:rPr>
                <w:color w:val="auto"/>
                <w:sz w:val="24"/>
                <w:szCs w:val="24"/>
              </w:rPr>
              <w:t xml:space="preserve">(Forde, 2022). As such, the principle of Article 37 of the UNCRC 1989 is that detention should only </w:t>
            </w:r>
            <w:r>
              <w:rPr>
                <w:sz w:val="24"/>
                <w:szCs w:val="24"/>
              </w:rPr>
              <w:t xml:space="preserve">be used a last resort. Custody should only be explored for the most serious offending and if no other options are viable. It impacts on several rights such as the right to liberty and right to a family life which are rights I should be upholding according to SSWBA 2014. Wales adopted the UNCRC 1989 across policy and a decision that goes against this feels </w:t>
            </w:r>
            <w:r w:rsidR="00CF150F">
              <w:rPr>
                <w:sz w:val="24"/>
                <w:szCs w:val="24"/>
              </w:rPr>
              <w:t>contradictory for me considering my values</w:t>
            </w:r>
            <w:r>
              <w:rPr>
                <w:sz w:val="24"/>
                <w:szCs w:val="24"/>
              </w:rPr>
              <w:t xml:space="preserve"> as a social worker. Child1’s own distress at this outcome has been difficult because it has gone against their own wishes</w:t>
            </w:r>
            <w:r w:rsidR="007E6E98">
              <w:rPr>
                <w:sz w:val="24"/>
                <w:szCs w:val="24"/>
              </w:rPr>
              <w:t xml:space="preserve">. </w:t>
            </w:r>
            <w:r>
              <w:rPr>
                <w:sz w:val="24"/>
                <w:szCs w:val="24"/>
              </w:rPr>
              <w:t>Especially when as a social worker I should be looking at the least oppressive option (</w:t>
            </w:r>
            <w:r w:rsidR="007E6E98" w:rsidRPr="00EC3DC8">
              <w:rPr>
                <w:color w:val="auto"/>
                <w:sz w:val="24"/>
                <w:szCs w:val="24"/>
              </w:rPr>
              <w:t>SCW</w:t>
            </w:r>
            <w:r w:rsidRPr="00EC3DC8">
              <w:rPr>
                <w:color w:val="auto"/>
                <w:sz w:val="24"/>
                <w:szCs w:val="24"/>
              </w:rPr>
              <w:t xml:space="preserve">, 2011; 2017). This outcome for Child1 </w:t>
            </w:r>
            <w:r w:rsidR="00AB2444" w:rsidRPr="00EC3DC8">
              <w:rPr>
                <w:color w:val="auto"/>
                <w:sz w:val="24"/>
                <w:szCs w:val="24"/>
              </w:rPr>
              <w:t>emphasised the</w:t>
            </w:r>
            <w:r w:rsidRPr="00EC3DC8">
              <w:rPr>
                <w:color w:val="auto"/>
                <w:sz w:val="24"/>
                <w:szCs w:val="24"/>
              </w:rPr>
              <w:t xml:space="preserve"> power of my assessment and its influence over the consequences for Child1. </w:t>
            </w:r>
          </w:p>
          <w:p w14:paraId="03190ECD" w14:textId="2BD84517" w:rsidR="009D6AB9" w:rsidRDefault="009D6AB9" w:rsidP="009D6AB9">
            <w:pPr>
              <w:spacing w:line="360" w:lineRule="auto"/>
              <w:ind w:firstLine="720"/>
              <w:jc w:val="both"/>
              <w:rPr>
                <w:sz w:val="24"/>
                <w:szCs w:val="24"/>
              </w:rPr>
            </w:pPr>
            <w:r w:rsidRPr="00EC3DC8">
              <w:rPr>
                <w:color w:val="auto"/>
                <w:sz w:val="24"/>
                <w:szCs w:val="24"/>
              </w:rPr>
              <w:t xml:space="preserve">I need to be accountable for my assessment which highlighted significant possible harm to others if Child1 were to have a community sentence instead </w:t>
            </w:r>
            <w:r>
              <w:rPr>
                <w:sz w:val="24"/>
                <w:szCs w:val="24"/>
              </w:rPr>
              <w:t>of a custodial sentence. When personal values are challenged, it is difficult to hold that accountability without some personal doubt about whether this was right and in the best interests for Child1. In reflecting on this</w:t>
            </w:r>
            <w:r w:rsidR="00AB2444">
              <w:rPr>
                <w:sz w:val="24"/>
                <w:szCs w:val="24"/>
              </w:rPr>
              <w:t>, however,</w:t>
            </w:r>
            <w:r>
              <w:rPr>
                <w:sz w:val="24"/>
                <w:szCs w:val="24"/>
              </w:rPr>
              <w:t xml:space="preserve"> there are several factors that give me </w:t>
            </w:r>
            <w:r w:rsidR="00AB2444">
              <w:rPr>
                <w:sz w:val="24"/>
                <w:szCs w:val="24"/>
              </w:rPr>
              <w:t xml:space="preserve">some </w:t>
            </w:r>
            <w:r>
              <w:rPr>
                <w:sz w:val="24"/>
                <w:szCs w:val="24"/>
              </w:rPr>
              <w:t>confidence. First, t</w:t>
            </w:r>
            <w:r w:rsidRPr="00C532EA">
              <w:rPr>
                <w:sz w:val="24"/>
                <w:szCs w:val="24"/>
              </w:rPr>
              <w:t xml:space="preserve">he right to liberty under Article 5 </w:t>
            </w:r>
            <w:r w:rsidRPr="004A33F0">
              <w:rPr>
                <w:color w:val="auto"/>
                <w:sz w:val="24"/>
                <w:szCs w:val="24"/>
              </w:rPr>
              <w:t xml:space="preserve">of </w:t>
            </w:r>
            <w:r w:rsidRPr="004A33F0">
              <w:rPr>
                <w:i/>
                <w:color w:val="auto"/>
                <w:sz w:val="24"/>
                <w:szCs w:val="24"/>
              </w:rPr>
              <w:t>Human Rights Act 1998</w:t>
            </w:r>
            <w:r w:rsidRPr="004A33F0">
              <w:rPr>
                <w:color w:val="auto"/>
                <w:sz w:val="24"/>
                <w:szCs w:val="24"/>
              </w:rPr>
              <w:t xml:space="preserve"> is a qualified right meaning that someone can be detained by the government for a number of </w:t>
            </w:r>
            <w:r>
              <w:rPr>
                <w:sz w:val="24"/>
                <w:szCs w:val="24"/>
              </w:rPr>
              <w:t xml:space="preserve">lawful reasons which include being found guilty of criminal acts. Child1 was lawfully detained due to their guilty plea at trial and as a result, their </w:t>
            </w:r>
            <w:r w:rsidRPr="002F1506">
              <w:rPr>
                <w:color w:val="auto"/>
                <w:sz w:val="24"/>
                <w:szCs w:val="24"/>
              </w:rPr>
              <w:t>rights can be proportionately interfered with. Ethically, professionally and legally, the action to interfere with Child1’s freedom was justifiable (British Association of Social Workers, 2012).</w:t>
            </w:r>
            <w:r w:rsidRPr="002F1506">
              <w:rPr>
                <w:i/>
                <w:color w:val="auto"/>
                <w:sz w:val="24"/>
                <w:szCs w:val="24"/>
              </w:rPr>
              <w:t xml:space="preserve"> </w:t>
            </w:r>
            <w:r>
              <w:rPr>
                <w:sz w:val="24"/>
                <w:szCs w:val="24"/>
              </w:rPr>
              <w:t>Secondly,</w:t>
            </w:r>
            <w:r>
              <w:rPr>
                <w:color w:val="ED7D31" w:themeColor="accent2"/>
                <w:sz w:val="24"/>
                <w:szCs w:val="24"/>
              </w:rPr>
              <w:t xml:space="preserve"> </w:t>
            </w:r>
            <w:r>
              <w:rPr>
                <w:sz w:val="24"/>
                <w:szCs w:val="24"/>
              </w:rPr>
              <w:t>t</w:t>
            </w:r>
            <w:r w:rsidRPr="007602EB">
              <w:rPr>
                <w:sz w:val="24"/>
                <w:szCs w:val="24"/>
              </w:rPr>
              <w:t xml:space="preserve">here are clear expectations </w:t>
            </w:r>
            <w:r>
              <w:rPr>
                <w:sz w:val="24"/>
                <w:szCs w:val="24"/>
              </w:rPr>
              <w:t>on the</w:t>
            </w:r>
            <w:r w:rsidRPr="007602EB">
              <w:rPr>
                <w:sz w:val="24"/>
                <w:szCs w:val="24"/>
              </w:rPr>
              <w:t xml:space="preserve"> YJS</w:t>
            </w:r>
            <w:r>
              <w:rPr>
                <w:sz w:val="24"/>
                <w:szCs w:val="24"/>
              </w:rPr>
              <w:t xml:space="preserve"> to</w:t>
            </w:r>
            <w:r w:rsidRPr="007602EB">
              <w:rPr>
                <w:sz w:val="24"/>
                <w:szCs w:val="24"/>
              </w:rPr>
              <w:t xml:space="preserve"> make decisions to protect the public, and through assessment, ide</w:t>
            </w:r>
            <w:r>
              <w:rPr>
                <w:sz w:val="24"/>
                <w:szCs w:val="24"/>
              </w:rPr>
              <w:t>ntify anyone at risk of harm to intervene effectively and</w:t>
            </w:r>
            <w:r w:rsidRPr="007602EB">
              <w:rPr>
                <w:sz w:val="24"/>
                <w:szCs w:val="24"/>
              </w:rPr>
              <w:t xml:space="preserve"> reduce any risk (</w:t>
            </w:r>
            <w:r w:rsidRPr="004A33F0">
              <w:rPr>
                <w:color w:val="auto"/>
                <w:sz w:val="24"/>
                <w:szCs w:val="24"/>
              </w:rPr>
              <w:t xml:space="preserve">HM Inspectorate of Probation, 2017). </w:t>
            </w:r>
          </w:p>
          <w:p w14:paraId="7359785B" w14:textId="25AE9C89" w:rsidR="009D6AB9" w:rsidRDefault="009D6AB9" w:rsidP="009D6AB9">
            <w:pPr>
              <w:spacing w:line="360" w:lineRule="auto"/>
              <w:ind w:firstLine="720"/>
              <w:jc w:val="both"/>
              <w:rPr>
                <w:sz w:val="24"/>
                <w:szCs w:val="24"/>
              </w:rPr>
            </w:pPr>
            <w:r>
              <w:rPr>
                <w:sz w:val="24"/>
                <w:szCs w:val="24"/>
              </w:rPr>
              <w:t xml:space="preserve">Making complex and difficult decisions is rife with tension, conflict and dilemmas. Custody enabled Child1 to be removed from circumstances that were harmful and had already been identified by other agencies before YJS involvement, hence Child1 being on the child protection register at the time. Custody also enabled other people to be safeguarded from Child1’s presenting behaviour linked to their own adverse </w:t>
            </w:r>
            <w:r w:rsidRPr="002F1506">
              <w:rPr>
                <w:color w:val="auto"/>
                <w:sz w:val="24"/>
                <w:szCs w:val="24"/>
              </w:rPr>
              <w:t xml:space="preserve">experiences. Dyke (2019) </w:t>
            </w:r>
            <w:r>
              <w:rPr>
                <w:sz w:val="24"/>
                <w:szCs w:val="24"/>
              </w:rPr>
              <w:t xml:space="preserve">states that assessments that are valuable means accepting that your decisions can be challenged, </w:t>
            </w:r>
            <w:r>
              <w:rPr>
                <w:sz w:val="24"/>
                <w:szCs w:val="24"/>
              </w:rPr>
              <w:lastRenderedPageBreak/>
              <w:t xml:space="preserve">criticised or even wrong. </w:t>
            </w:r>
            <w:r w:rsidR="005473E0">
              <w:rPr>
                <w:sz w:val="24"/>
                <w:szCs w:val="24"/>
              </w:rPr>
              <w:t>My assessment wa</w:t>
            </w:r>
            <w:r>
              <w:rPr>
                <w:sz w:val="24"/>
                <w:szCs w:val="24"/>
              </w:rPr>
              <w:t xml:space="preserve">s based on the best information and evidence </w:t>
            </w:r>
            <w:r w:rsidR="005473E0">
              <w:rPr>
                <w:sz w:val="24"/>
                <w:szCs w:val="24"/>
              </w:rPr>
              <w:t xml:space="preserve">I had at the time. </w:t>
            </w:r>
          </w:p>
          <w:p w14:paraId="4A6B2981" w14:textId="4DE22FC4" w:rsidR="009D6AB9" w:rsidRPr="002E0D94" w:rsidRDefault="009D6AB9" w:rsidP="009D6AB9">
            <w:pPr>
              <w:spacing w:line="360" w:lineRule="auto"/>
              <w:ind w:firstLine="720"/>
              <w:jc w:val="both"/>
              <w:rPr>
                <w:color w:val="auto"/>
                <w:sz w:val="24"/>
                <w:szCs w:val="24"/>
              </w:rPr>
            </w:pPr>
            <w:r>
              <w:rPr>
                <w:sz w:val="24"/>
                <w:szCs w:val="24"/>
              </w:rPr>
              <w:t>There is a passage from the Council of Europe’s guidelines on a child-friendly justice system</w:t>
            </w:r>
            <w:r w:rsidR="00486AF3">
              <w:rPr>
                <w:sz w:val="24"/>
                <w:szCs w:val="24"/>
              </w:rPr>
              <w:t xml:space="preserve"> (again another interface with Welsh and UK legislation and policy)</w:t>
            </w:r>
            <w:r>
              <w:rPr>
                <w:sz w:val="24"/>
                <w:szCs w:val="24"/>
              </w:rPr>
              <w:t xml:space="preserve"> which I found useful in reconciling my feelings around custody. It states that the ideals of the system should be “someone who treats you well, who trusts you and whom you </w:t>
            </w:r>
            <w:r w:rsidRPr="001026F6">
              <w:rPr>
                <w:sz w:val="24"/>
                <w:szCs w:val="24"/>
              </w:rPr>
              <w:t xml:space="preserve">can trust, who listens to what you </w:t>
            </w:r>
            <w:r>
              <w:rPr>
                <w:sz w:val="24"/>
                <w:szCs w:val="24"/>
              </w:rPr>
              <w:t xml:space="preserve">say and to whom you listen, who </w:t>
            </w:r>
            <w:r w:rsidRPr="001026F6">
              <w:rPr>
                <w:sz w:val="24"/>
                <w:szCs w:val="24"/>
              </w:rPr>
              <w:t>understands you and whom you und</w:t>
            </w:r>
            <w:r>
              <w:rPr>
                <w:sz w:val="24"/>
                <w:szCs w:val="24"/>
              </w:rPr>
              <w:t xml:space="preserve">erstand. A true friend also has </w:t>
            </w:r>
            <w:r w:rsidRPr="001026F6">
              <w:rPr>
                <w:sz w:val="24"/>
                <w:szCs w:val="24"/>
              </w:rPr>
              <w:t xml:space="preserve">the </w:t>
            </w:r>
            <w:r w:rsidRPr="002F1506">
              <w:rPr>
                <w:color w:val="auto"/>
                <w:sz w:val="24"/>
                <w:szCs w:val="24"/>
              </w:rPr>
              <w:t>courage to tell you when you are in the wrong and stands by you to help you work out a solution” (Council of Europe, 2010, p.7). My relational work with Child1 has been fundamenta</w:t>
            </w:r>
            <w:r w:rsidR="00486AF3" w:rsidRPr="002F1506">
              <w:rPr>
                <w:color w:val="auto"/>
                <w:sz w:val="24"/>
                <w:szCs w:val="24"/>
              </w:rPr>
              <w:t xml:space="preserve">l in supporting their needs by being </w:t>
            </w:r>
            <w:r>
              <w:rPr>
                <w:sz w:val="24"/>
                <w:szCs w:val="24"/>
              </w:rPr>
              <w:t>consistent, pred</w:t>
            </w:r>
            <w:r w:rsidR="00486AF3">
              <w:rPr>
                <w:sz w:val="24"/>
                <w:szCs w:val="24"/>
              </w:rPr>
              <w:t>ictable and trauma-informed</w:t>
            </w:r>
            <w:r>
              <w:rPr>
                <w:sz w:val="24"/>
                <w:szCs w:val="24"/>
              </w:rPr>
              <w:t xml:space="preserve">. Ignoring the harm Child1 could pose others could also be harmful to them as it leaves them open to further </w:t>
            </w:r>
            <w:r w:rsidRPr="004A33F0">
              <w:rPr>
                <w:color w:val="auto"/>
                <w:sz w:val="24"/>
                <w:szCs w:val="24"/>
              </w:rPr>
              <w:t>criminalisation (</w:t>
            </w:r>
            <w:r w:rsidR="004A33F0" w:rsidRPr="004A33F0">
              <w:rPr>
                <w:color w:val="auto"/>
                <w:sz w:val="24"/>
                <w:szCs w:val="24"/>
              </w:rPr>
              <w:t>HM Inspectorate of Probation, 2022</w:t>
            </w:r>
            <w:r w:rsidRPr="004A33F0">
              <w:rPr>
                <w:color w:val="auto"/>
                <w:sz w:val="24"/>
                <w:szCs w:val="24"/>
              </w:rPr>
              <w:t xml:space="preserve">). </w:t>
            </w:r>
            <w:r w:rsidR="002E0D94">
              <w:rPr>
                <w:color w:val="auto"/>
                <w:sz w:val="24"/>
                <w:szCs w:val="24"/>
              </w:rPr>
              <w:t>But being strengths-based enables to me address harmful behaviour in a w</w:t>
            </w:r>
            <w:r w:rsidR="00CF150F">
              <w:rPr>
                <w:color w:val="auto"/>
                <w:sz w:val="24"/>
                <w:szCs w:val="24"/>
              </w:rPr>
              <w:t>ay that is individual to Child1 (SCW, 2017).</w:t>
            </w:r>
            <w:r w:rsidR="002E0D94">
              <w:rPr>
                <w:color w:val="auto"/>
                <w:sz w:val="24"/>
                <w:szCs w:val="24"/>
              </w:rPr>
              <w:t xml:space="preserve"> </w:t>
            </w:r>
          </w:p>
          <w:p w14:paraId="0C2420BE" w14:textId="7953C4AC" w:rsidR="009D6AB9" w:rsidRDefault="009D6AB9" w:rsidP="009D6AB9">
            <w:pPr>
              <w:spacing w:line="360" w:lineRule="auto"/>
              <w:ind w:firstLine="720"/>
              <w:jc w:val="both"/>
              <w:rPr>
                <w:sz w:val="24"/>
                <w:szCs w:val="24"/>
              </w:rPr>
            </w:pPr>
            <w:r>
              <w:rPr>
                <w:sz w:val="24"/>
                <w:szCs w:val="24"/>
              </w:rPr>
              <w:t>A custodial sentence not only protected potential victims from harm, but, paradoxically in some ways, it also offered protection to Child1 from the harms they were experiencing at the time of the offence. On several occasions and using Child1’s own words, they have expressed that they have never felt ‘settled’ anywhere in their life. This insight into how they viewed their world, gave me evidence that Chil</w:t>
            </w:r>
            <w:r w:rsidR="002E0D94">
              <w:rPr>
                <w:sz w:val="24"/>
                <w:szCs w:val="24"/>
              </w:rPr>
              <w:t>d1 has likely never felt safe</w:t>
            </w:r>
            <w:r>
              <w:rPr>
                <w:sz w:val="24"/>
                <w:szCs w:val="24"/>
              </w:rPr>
              <w:t>. In working closely with a psychologist, we came to establish that Child1’s inner working model, contextualised that the world is an inherently unsafe place (</w:t>
            </w:r>
            <w:proofErr w:type="spellStart"/>
            <w:r>
              <w:rPr>
                <w:sz w:val="24"/>
                <w:szCs w:val="24"/>
              </w:rPr>
              <w:t>Skuse</w:t>
            </w:r>
            <w:proofErr w:type="spellEnd"/>
            <w:r>
              <w:rPr>
                <w:sz w:val="24"/>
                <w:szCs w:val="24"/>
              </w:rPr>
              <w:t xml:space="preserve"> &amp; Matthew, 2015). This collaboration enabled to understand that their sense of safety is inextricably linked to the harm they could pose to others.</w:t>
            </w:r>
          </w:p>
          <w:p w14:paraId="6108DB8F" w14:textId="5EA3837A" w:rsidR="009D6AB9" w:rsidRDefault="009D6AB9" w:rsidP="009D6AB9">
            <w:pPr>
              <w:spacing w:line="360" w:lineRule="auto"/>
              <w:ind w:firstLine="720"/>
              <w:jc w:val="both"/>
              <w:rPr>
                <w:sz w:val="24"/>
                <w:szCs w:val="24"/>
              </w:rPr>
            </w:pPr>
            <w:r>
              <w:rPr>
                <w:sz w:val="24"/>
                <w:szCs w:val="24"/>
              </w:rPr>
              <w:t xml:space="preserve">Ecological system theory developed by </w:t>
            </w:r>
            <w:r w:rsidRPr="00702AB5">
              <w:rPr>
                <w:color w:val="auto"/>
                <w:sz w:val="24"/>
                <w:szCs w:val="24"/>
              </w:rPr>
              <w:t xml:space="preserve">Bronfenbrenner (1977) allowed </w:t>
            </w:r>
            <w:r>
              <w:rPr>
                <w:sz w:val="24"/>
                <w:szCs w:val="24"/>
              </w:rPr>
              <w:t>me to explore Child1’s environment and how systems influence and interact with another</w:t>
            </w:r>
            <w:r>
              <w:rPr>
                <w:color w:val="ED7D31" w:themeColor="accent2"/>
                <w:sz w:val="24"/>
                <w:szCs w:val="24"/>
              </w:rPr>
              <w:t xml:space="preserve">. </w:t>
            </w:r>
            <w:r>
              <w:rPr>
                <w:sz w:val="24"/>
                <w:szCs w:val="24"/>
              </w:rPr>
              <w:t xml:space="preserve">The theory links well to the International Federation of Social Workers (IFSW) global definition of social work which acknowledges the influence environment, </w:t>
            </w:r>
            <w:r w:rsidRPr="004A33F0">
              <w:rPr>
                <w:color w:val="auto"/>
                <w:sz w:val="24"/>
                <w:szCs w:val="24"/>
              </w:rPr>
              <w:t xml:space="preserve">geography and social systems has on people and how social workers work holistically with people (IFSW, 2014). The framework of the theory consists of four levels, paying attention to the individual, interpersonal </w:t>
            </w:r>
            <w:r>
              <w:rPr>
                <w:sz w:val="24"/>
                <w:szCs w:val="24"/>
              </w:rPr>
              <w:t>(family and peers), community (school, neighbourhood) and societal levels (cultural). It places importance on understanding the context a child finds themselves in (</w:t>
            </w:r>
            <w:proofErr w:type="spellStart"/>
            <w:r w:rsidR="00D802B7" w:rsidRPr="00702AB5">
              <w:rPr>
                <w:color w:val="auto"/>
                <w:sz w:val="24"/>
                <w:szCs w:val="24"/>
              </w:rPr>
              <w:t>Kemshall</w:t>
            </w:r>
            <w:proofErr w:type="spellEnd"/>
            <w:r w:rsidR="00D802B7" w:rsidRPr="00702AB5">
              <w:rPr>
                <w:color w:val="auto"/>
                <w:sz w:val="24"/>
                <w:szCs w:val="24"/>
              </w:rPr>
              <w:t xml:space="preserve"> and McCartan, 2022</w:t>
            </w:r>
            <w:r w:rsidRPr="00702AB5">
              <w:rPr>
                <w:color w:val="auto"/>
                <w:sz w:val="24"/>
                <w:szCs w:val="24"/>
              </w:rPr>
              <w:t xml:space="preserve">). </w:t>
            </w:r>
          </w:p>
          <w:p w14:paraId="2BDBE22E" w14:textId="3D485D25" w:rsidR="009D6AB9" w:rsidRPr="0081349B" w:rsidRDefault="009D6AB9" w:rsidP="009D6AB9">
            <w:pPr>
              <w:spacing w:line="360" w:lineRule="auto"/>
              <w:ind w:firstLine="720"/>
              <w:jc w:val="both"/>
              <w:rPr>
                <w:sz w:val="24"/>
                <w:szCs w:val="24"/>
              </w:rPr>
            </w:pPr>
            <w:r>
              <w:rPr>
                <w:sz w:val="24"/>
                <w:szCs w:val="24"/>
              </w:rPr>
              <w:lastRenderedPageBreak/>
              <w:t xml:space="preserve">Community has always been an accessible talking point for Child1 and therefore it was easy for me to build a picture of how they viewed and experienced this. Linking the micro and the macro for Child1 emphasised how unsafe they felt in their community as well as at home. Their </w:t>
            </w:r>
            <w:r w:rsidR="00086FE5">
              <w:rPr>
                <w:sz w:val="24"/>
                <w:szCs w:val="24"/>
              </w:rPr>
              <w:t xml:space="preserve">subjective </w:t>
            </w:r>
            <w:r>
              <w:rPr>
                <w:sz w:val="24"/>
                <w:szCs w:val="24"/>
              </w:rPr>
              <w:t>reality i</w:t>
            </w:r>
            <w:r w:rsidR="00086FE5">
              <w:rPr>
                <w:sz w:val="24"/>
                <w:szCs w:val="24"/>
              </w:rPr>
              <w:t xml:space="preserve">s that there are no spaces in which they feel </w:t>
            </w:r>
            <w:r w:rsidR="00086FE5" w:rsidRPr="00B719E2">
              <w:rPr>
                <w:color w:val="auto"/>
                <w:sz w:val="24"/>
                <w:szCs w:val="24"/>
              </w:rPr>
              <w:t xml:space="preserve">safe </w:t>
            </w:r>
            <w:r w:rsidRPr="00B719E2">
              <w:rPr>
                <w:color w:val="auto"/>
                <w:sz w:val="24"/>
                <w:szCs w:val="24"/>
              </w:rPr>
              <w:t>(Brierley, 2021</w:t>
            </w:r>
            <w:r>
              <w:rPr>
                <w:sz w:val="24"/>
                <w:szCs w:val="24"/>
              </w:rPr>
              <w:t xml:space="preserve">). Analysis by the ONS show that Child1’s </w:t>
            </w:r>
            <w:r w:rsidRPr="00EC3DC8">
              <w:rPr>
                <w:color w:val="auto"/>
                <w:sz w:val="24"/>
                <w:szCs w:val="24"/>
              </w:rPr>
              <w:t>community belongs to a cluster of local authorities that include many of Wales’ past industrial heartlands (</w:t>
            </w:r>
            <w:r w:rsidR="00EC3DC8" w:rsidRPr="00EC3DC8">
              <w:rPr>
                <w:color w:val="auto"/>
                <w:sz w:val="24"/>
                <w:szCs w:val="24"/>
              </w:rPr>
              <w:t>ONS, 2023</w:t>
            </w:r>
            <w:r w:rsidRPr="00EC3DC8">
              <w:rPr>
                <w:color w:val="auto"/>
                <w:sz w:val="24"/>
                <w:szCs w:val="24"/>
              </w:rPr>
              <w:t xml:space="preserve">). This cluster has low life expectancy, a high proportion of children in relative poverty </w:t>
            </w:r>
            <w:r>
              <w:rPr>
                <w:sz w:val="24"/>
                <w:szCs w:val="24"/>
              </w:rPr>
              <w:t xml:space="preserve">and low level education attainment. Research found that family poverty </w:t>
            </w:r>
            <w:r w:rsidRPr="00E93F72">
              <w:rPr>
                <w:sz w:val="24"/>
                <w:szCs w:val="24"/>
              </w:rPr>
              <w:t>and inequality are key drivers of harm to children</w:t>
            </w:r>
            <w:r>
              <w:rPr>
                <w:sz w:val="24"/>
                <w:szCs w:val="24"/>
              </w:rPr>
              <w:t xml:space="preserve"> but it is not a stand-alone factor in predicting and identifying abuse (</w:t>
            </w:r>
            <w:proofErr w:type="spellStart"/>
            <w:r w:rsidRPr="00D802B7">
              <w:rPr>
                <w:color w:val="auto"/>
                <w:sz w:val="24"/>
                <w:szCs w:val="24"/>
              </w:rPr>
              <w:t>Bywaters</w:t>
            </w:r>
            <w:proofErr w:type="spellEnd"/>
            <w:r w:rsidRPr="00D802B7">
              <w:rPr>
                <w:color w:val="auto"/>
                <w:sz w:val="24"/>
                <w:szCs w:val="24"/>
              </w:rPr>
              <w:t xml:space="preserve"> </w:t>
            </w:r>
            <w:r w:rsidRPr="00D802B7">
              <w:rPr>
                <w:i/>
                <w:color w:val="auto"/>
                <w:sz w:val="24"/>
                <w:szCs w:val="24"/>
              </w:rPr>
              <w:t>et al.,</w:t>
            </w:r>
            <w:r w:rsidRPr="00D802B7">
              <w:rPr>
                <w:color w:val="auto"/>
                <w:sz w:val="24"/>
                <w:szCs w:val="24"/>
              </w:rPr>
              <w:t xml:space="preserve"> 2022</w:t>
            </w:r>
            <w:r>
              <w:rPr>
                <w:sz w:val="24"/>
                <w:szCs w:val="24"/>
              </w:rPr>
              <w:t>).</w:t>
            </w:r>
            <w:r w:rsidRPr="0081349B">
              <w:rPr>
                <w:color w:val="ED7D31" w:themeColor="accent2"/>
                <w:sz w:val="24"/>
                <w:szCs w:val="24"/>
              </w:rPr>
              <w:t xml:space="preserve"> </w:t>
            </w:r>
            <w:r>
              <w:rPr>
                <w:sz w:val="24"/>
                <w:szCs w:val="24"/>
              </w:rPr>
              <w:t>In examining this, I felt deprivation could be seen on many levels, from their socio-economic position to the deprivation of an education due to permanent exclusions. Child 1 has experienced so much rejection on a personal, community and societal level all of which has impacted on their sense of safety and wellbeing</w:t>
            </w:r>
            <w:r w:rsidR="00235A63">
              <w:rPr>
                <w:sz w:val="24"/>
                <w:szCs w:val="24"/>
              </w:rPr>
              <w:t xml:space="preserve"> (SCW, 2017)</w:t>
            </w:r>
            <w:r>
              <w:rPr>
                <w:sz w:val="24"/>
                <w:szCs w:val="24"/>
              </w:rPr>
              <w:t xml:space="preserve">. </w:t>
            </w:r>
          </w:p>
          <w:p w14:paraId="2D80C166" w14:textId="5F393840" w:rsidR="009D6AB9" w:rsidRPr="00E52184" w:rsidRDefault="009D6AB9" w:rsidP="00E52184">
            <w:pPr>
              <w:spacing w:line="360" w:lineRule="auto"/>
              <w:ind w:firstLine="720"/>
              <w:jc w:val="both"/>
              <w:rPr>
                <w:color w:val="ED7D31" w:themeColor="accent2"/>
                <w:sz w:val="24"/>
                <w:szCs w:val="24"/>
              </w:rPr>
            </w:pPr>
            <w:r>
              <w:rPr>
                <w:sz w:val="24"/>
                <w:szCs w:val="24"/>
              </w:rPr>
              <w:t>This conversation also revealed several indicators of contextual risk to Child1, especially when speaking about the prevalence of carrying a knife amongst their peers</w:t>
            </w:r>
            <w:r w:rsidR="00264C7B">
              <w:rPr>
                <w:sz w:val="24"/>
                <w:szCs w:val="24"/>
              </w:rPr>
              <w:t xml:space="preserve"> (SCW, 2017)</w:t>
            </w:r>
            <w:r>
              <w:rPr>
                <w:sz w:val="24"/>
                <w:szCs w:val="24"/>
              </w:rPr>
              <w:t xml:space="preserve">. Whilst sexual exploitation had been identified in previous assessments, child criminal exploitation (CCE) had not been established up until this point. Involvement with CCE can cause an individual to feel the need to carry a knife for </w:t>
            </w:r>
            <w:r w:rsidRPr="002F1506">
              <w:rPr>
                <w:color w:val="auto"/>
                <w:sz w:val="24"/>
                <w:szCs w:val="24"/>
              </w:rPr>
              <w:t xml:space="preserve">protection (Ashton </w:t>
            </w:r>
            <w:r w:rsidRPr="002F1506">
              <w:rPr>
                <w:i/>
                <w:color w:val="auto"/>
                <w:sz w:val="24"/>
                <w:szCs w:val="24"/>
              </w:rPr>
              <w:t>et al.,</w:t>
            </w:r>
            <w:r w:rsidRPr="002F1506">
              <w:rPr>
                <w:color w:val="auto"/>
                <w:sz w:val="24"/>
                <w:szCs w:val="24"/>
              </w:rPr>
              <w:t xml:space="preserve"> 2024). In finding this out</w:t>
            </w:r>
            <w:r w:rsidRPr="004A33F0">
              <w:rPr>
                <w:color w:val="auto"/>
                <w:sz w:val="24"/>
                <w:szCs w:val="24"/>
              </w:rPr>
              <w:t xml:space="preserve">, there was a duty to report to relevant partners under Section 130 of the SSWBA 2014. The </w:t>
            </w:r>
            <w:r w:rsidR="004A33F0" w:rsidRPr="004A33F0">
              <w:rPr>
                <w:i/>
                <w:color w:val="auto"/>
                <w:sz w:val="24"/>
                <w:szCs w:val="24"/>
              </w:rPr>
              <w:t>Data Protection Act 2018</w:t>
            </w:r>
            <w:r w:rsidRPr="004A33F0">
              <w:rPr>
                <w:i/>
                <w:color w:val="auto"/>
                <w:sz w:val="24"/>
                <w:szCs w:val="24"/>
              </w:rPr>
              <w:t xml:space="preserve"> </w:t>
            </w:r>
            <w:r>
              <w:rPr>
                <w:sz w:val="24"/>
                <w:szCs w:val="24"/>
              </w:rPr>
              <w:t>does not override the duty to report when there is information about the prevention of abuse or serious harm (</w:t>
            </w:r>
            <w:r w:rsidR="009C7E08">
              <w:rPr>
                <w:sz w:val="24"/>
                <w:szCs w:val="24"/>
              </w:rPr>
              <w:t>SCW</w:t>
            </w:r>
            <w:r w:rsidR="009470E3">
              <w:rPr>
                <w:sz w:val="24"/>
                <w:szCs w:val="24"/>
              </w:rPr>
              <w:t>, 2019</w:t>
            </w:r>
            <w:r w:rsidR="00705EEE">
              <w:rPr>
                <w:sz w:val="24"/>
                <w:szCs w:val="24"/>
              </w:rPr>
              <w:t>b</w:t>
            </w:r>
            <w:r w:rsidR="009C7E08">
              <w:rPr>
                <w:sz w:val="24"/>
                <w:szCs w:val="24"/>
              </w:rPr>
              <w:t xml:space="preserve">; </w:t>
            </w:r>
            <w:r w:rsidR="001A6F81">
              <w:rPr>
                <w:sz w:val="24"/>
                <w:szCs w:val="24"/>
              </w:rPr>
              <w:t>Welsh Government, 2016</w:t>
            </w:r>
            <w:r>
              <w:rPr>
                <w:sz w:val="24"/>
                <w:szCs w:val="24"/>
              </w:rPr>
              <w:t>). Again, at this point in Child1’s life, their custodial sentence removed them from the immediate harm of CCE. However, it is a consideration going forward for future risks of harm</w:t>
            </w:r>
            <w:r w:rsidR="00503BDF">
              <w:rPr>
                <w:sz w:val="24"/>
                <w:szCs w:val="24"/>
              </w:rPr>
              <w:t xml:space="preserve"> meaning a possible Section 47 enquiry under </w:t>
            </w:r>
            <w:r w:rsidR="00503BDF">
              <w:rPr>
                <w:i/>
                <w:sz w:val="24"/>
                <w:szCs w:val="24"/>
              </w:rPr>
              <w:t>Children Act 1989</w:t>
            </w:r>
            <w:r>
              <w:rPr>
                <w:sz w:val="24"/>
                <w:szCs w:val="24"/>
              </w:rPr>
              <w:t xml:space="preserve">. It also enabled professionals be aware of potential perpetrators of abuse for other young people in the </w:t>
            </w:r>
            <w:r w:rsidRPr="00ED0795">
              <w:rPr>
                <w:color w:val="auto"/>
                <w:sz w:val="24"/>
                <w:szCs w:val="24"/>
              </w:rPr>
              <w:t>community and intelligence was shared with the police around this in a strategy discussion (</w:t>
            </w:r>
            <w:r w:rsidR="00520239" w:rsidRPr="00ED0795">
              <w:rPr>
                <w:color w:val="auto"/>
                <w:sz w:val="24"/>
                <w:szCs w:val="24"/>
              </w:rPr>
              <w:t>Welsh Government, 2018a</w:t>
            </w:r>
            <w:r w:rsidRPr="00ED0795">
              <w:rPr>
                <w:color w:val="auto"/>
                <w:sz w:val="24"/>
                <w:szCs w:val="24"/>
              </w:rPr>
              <w:t>).</w:t>
            </w:r>
          </w:p>
          <w:p w14:paraId="3F8832DB" w14:textId="5DEA4842" w:rsidR="009D6AB9" w:rsidRDefault="009D6AB9" w:rsidP="009D6AB9">
            <w:pPr>
              <w:spacing w:line="360" w:lineRule="auto"/>
              <w:ind w:firstLine="720"/>
              <w:jc w:val="both"/>
              <w:rPr>
                <w:sz w:val="24"/>
                <w:szCs w:val="24"/>
              </w:rPr>
            </w:pPr>
            <w:r>
              <w:rPr>
                <w:sz w:val="24"/>
                <w:szCs w:val="24"/>
              </w:rPr>
              <w:t xml:space="preserve">Child1 has disclosed much of the harm within the household to me such as witnessing domestic abuse, their personal experiences of physical harm such as being punched, slapped and spat at and the emotional abuse through feeling blamed for anything ‘bad’ happening in the household. </w:t>
            </w:r>
            <w:r w:rsidRPr="008D286C">
              <w:rPr>
                <w:sz w:val="24"/>
                <w:szCs w:val="24"/>
              </w:rPr>
              <w:t xml:space="preserve">Young people who are </w:t>
            </w:r>
            <w:r w:rsidRPr="0011787C">
              <w:rPr>
                <w:color w:val="auto"/>
                <w:sz w:val="24"/>
                <w:szCs w:val="24"/>
              </w:rPr>
              <w:t xml:space="preserve">exposed to physical abuse are 70% more likely to </w:t>
            </w:r>
            <w:r w:rsidRPr="0011787C">
              <w:rPr>
                <w:color w:val="auto"/>
                <w:sz w:val="24"/>
                <w:szCs w:val="24"/>
              </w:rPr>
              <w:lastRenderedPageBreak/>
              <w:t>offend than where other forms of abuse are present (</w:t>
            </w:r>
            <w:proofErr w:type="spellStart"/>
            <w:r w:rsidRPr="0011787C">
              <w:rPr>
                <w:color w:val="auto"/>
                <w:sz w:val="24"/>
                <w:szCs w:val="24"/>
              </w:rPr>
              <w:t>Kurpiel</w:t>
            </w:r>
            <w:proofErr w:type="spellEnd"/>
            <w:r w:rsidRPr="0011787C">
              <w:rPr>
                <w:color w:val="auto"/>
                <w:sz w:val="24"/>
                <w:szCs w:val="24"/>
              </w:rPr>
              <w:t xml:space="preserve"> </w:t>
            </w:r>
            <w:r w:rsidRPr="0011787C">
              <w:rPr>
                <w:i/>
                <w:color w:val="auto"/>
                <w:sz w:val="24"/>
                <w:szCs w:val="24"/>
              </w:rPr>
              <w:t>et al.,</w:t>
            </w:r>
            <w:r w:rsidRPr="0011787C">
              <w:rPr>
                <w:color w:val="auto"/>
                <w:sz w:val="24"/>
                <w:szCs w:val="24"/>
              </w:rPr>
              <w:t xml:space="preserve"> 2024). 48% of young people who are perpetrators of violence are also victims of violence. This increases to 87% if that young person had police contact for other offences which fits Child1’s profile (Youth Endowment Fund, 2023)</w:t>
            </w:r>
            <w:r w:rsidR="00E52184" w:rsidRPr="0011787C">
              <w:rPr>
                <w:color w:val="auto"/>
                <w:sz w:val="24"/>
                <w:szCs w:val="24"/>
              </w:rPr>
              <w:t>.</w:t>
            </w:r>
            <w:r w:rsidRPr="0011787C">
              <w:rPr>
                <w:color w:val="auto"/>
                <w:sz w:val="24"/>
                <w:szCs w:val="24"/>
              </w:rPr>
              <w:t xml:space="preserve">  On several occasions Child1 has identified that they have been treated differently from their siblings and as </w:t>
            </w:r>
            <w:r>
              <w:rPr>
                <w:sz w:val="24"/>
                <w:szCs w:val="24"/>
              </w:rPr>
              <w:t>a result did</w:t>
            </w:r>
            <w:r w:rsidR="00C32B9A">
              <w:rPr>
                <w:sz w:val="24"/>
                <w:szCs w:val="24"/>
              </w:rPr>
              <w:t xml:space="preserve"> not</w:t>
            </w:r>
            <w:r>
              <w:rPr>
                <w:sz w:val="24"/>
                <w:szCs w:val="24"/>
              </w:rPr>
              <w:t xml:space="preserve"> </w:t>
            </w:r>
            <w:r w:rsidR="00AB2444">
              <w:rPr>
                <w:sz w:val="24"/>
                <w:szCs w:val="24"/>
              </w:rPr>
              <w:t xml:space="preserve">feel they </w:t>
            </w:r>
            <w:r>
              <w:rPr>
                <w:sz w:val="24"/>
                <w:szCs w:val="24"/>
              </w:rPr>
              <w:t>belong</w:t>
            </w:r>
            <w:r w:rsidR="00AB2444">
              <w:rPr>
                <w:sz w:val="24"/>
                <w:szCs w:val="24"/>
              </w:rPr>
              <w:t>ed</w:t>
            </w:r>
            <w:r>
              <w:rPr>
                <w:sz w:val="24"/>
                <w:szCs w:val="24"/>
              </w:rPr>
              <w:t xml:space="preserve"> in the family unit</w:t>
            </w:r>
            <w:r w:rsidR="00D93C83">
              <w:rPr>
                <w:sz w:val="24"/>
                <w:szCs w:val="24"/>
              </w:rPr>
              <w:t>,</w:t>
            </w:r>
            <w:r>
              <w:rPr>
                <w:sz w:val="24"/>
                <w:szCs w:val="24"/>
              </w:rPr>
              <w:t xml:space="preserve"> </w:t>
            </w:r>
            <w:r w:rsidR="00D93C83">
              <w:rPr>
                <w:sz w:val="24"/>
                <w:szCs w:val="24"/>
              </w:rPr>
              <w:t>making them feel</w:t>
            </w:r>
            <w:r>
              <w:rPr>
                <w:sz w:val="24"/>
                <w:szCs w:val="24"/>
              </w:rPr>
              <w:t xml:space="preserve"> unsettled in the home</w:t>
            </w:r>
            <w:r w:rsidR="00250B1D">
              <w:rPr>
                <w:sz w:val="24"/>
                <w:szCs w:val="24"/>
              </w:rPr>
              <w:t xml:space="preserve"> (SCW, 2017)</w:t>
            </w:r>
            <w:r>
              <w:rPr>
                <w:sz w:val="24"/>
                <w:szCs w:val="24"/>
              </w:rPr>
              <w:t>. Again, ecological theory allowed me to get a valuable insight into what day-to-day life felt like for Child1. Whilst this positions Child1 into context, contemporary trauma theory supported my information gathering and assessment in terms of linking this to their behaviour.</w:t>
            </w:r>
          </w:p>
          <w:p w14:paraId="6713DC5D" w14:textId="250C0A3D" w:rsidR="009D6AB9" w:rsidRDefault="009D6AB9" w:rsidP="009D6AB9">
            <w:pPr>
              <w:spacing w:line="360" w:lineRule="auto"/>
              <w:ind w:firstLine="720"/>
              <w:jc w:val="both"/>
              <w:rPr>
                <w:sz w:val="24"/>
                <w:szCs w:val="24"/>
              </w:rPr>
            </w:pPr>
            <w:r>
              <w:rPr>
                <w:sz w:val="24"/>
                <w:szCs w:val="24"/>
              </w:rPr>
              <w:t xml:space="preserve">Contemporary trauma </w:t>
            </w:r>
            <w:r w:rsidRPr="0011787C">
              <w:rPr>
                <w:color w:val="auto"/>
                <w:sz w:val="24"/>
                <w:szCs w:val="24"/>
              </w:rPr>
              <w:t xml:space="preserve">theory appreciates that developmental delays can come from unresolved childhood trauma (Herman, 1992). The theory has been central to my understanding of Child1’s presenting behaviour </w:t>
            </w:r>
            <w:r>
              <w:rPr>
                <w:sz w:val="24"/>
                <w:szCs w:val="24"/>
              </w:rPr>
              <w:t>looking at attachment, impairment of emotions leading to hyper-arousal and lack of self-regulation and looking towards longer-term effects on physical and mental health.</w:t>
            </w:r>
            <w:r w:rsidRPr="00325E5A">
              <w:rPr>
                <w:sz w:val="24"/>
                <w:szCs w:val="24"/>
              </w:rPr>
              <w:t xml:space="preserve"> </w:t>
            </w:r>
            <w:r>
              <w:rPr>
                <w:sz w:val="24"/>
                <w:szCs w:val="24"/>
              </w:rPr>
              <w:t xml:space="preserve">Contemporary trauma theory enabled me to collaborate with the psychologist in the Secure Children’s Home to identify that Child1 was dissociating on an alarmingly regular basis. Dissociation is one of five central elements in contemporary trauma theory </w:t>
            </w:r>
            <w:r w:rsidRPr="00AC00A7">
              <w:rPr>
                <w:color w:val="auto"/>
                <w:sz w:val="24"/>
                <w:szCs w:val="24"/>
              </w:rPr>
              <w:t xml:space="preserve">which acts as a defence mechanism to block out unwanted experiences, thoughts and feelings (Goodman, 2017). Those who commit violent offences often describe a dissociative state (Bourget </w:t>
            </w:r>
            <w:r w:rsidRPr="00AC00A7">
              <w:rPr>
                <w:i/>
                <w:color w:val="auto"/>
                <w:sz w:val="24"/>
                <w:szCs w:val="24"/>
              </w:rPr>
              <w:t>et al.,</w:t>
            </w:r>
            <w:r w:rsidRPr="00AC00A7">
              <w:rPr>
                <w:color w:val="auto"/>
                <w:sz w:val="24"/>
                <w:szCs w:val="24"/>
              </w:rPr>
              <w:t xml:space="preserve"> 2017). Child1 believes that their disso</w:t>
            </w:r>
            <w:r w:rsidR="0050082E" w:rsidRPr="00AC00A7">
              <w:rPr>
                <w:color w:val="auto"/>
                <w:sz w:val="24"/>
                <w:szCs w:val="24"/>
              </w:rPr>
              <w:t>ciation began when their stepparent</w:t>
            </w:r>
            <w:r w:rsidRPr="00AC00A7">
              <w:rPr>
                <w:color w:val="auto"/>
                <w:sz w:val="24"/>
                <w:szCs w:val="24"/>
              </w:rPr>
              <w:t xml:space="preserve"> came into their life at the age of 5. Evidencing this has been crucial in understanding the harm and the possible </w:t>
            </w:r>
            <w:r>
              <w:rPr>
                <w:sz w:val="24"/>
                <w:szCs w:val="24"/>
              </w:rPr>
              <w:t>harm o</w:t>
            </w:r>
            <w:r w:rsidR="0050082E">
              <w:rPr>
                <w:sz w:val="24"/>
                <w:szCs w:val="24"/>
              </w:rPr>
              <w:t>f continued contact with Child1’s caregivers</w:t>
            </w:r>
            <w:r>
              <w:rPr>
                <w:sz w:val="24"/>
                <w:szCs w:val="24"/>
              </w:rPr>
              <w:t xml:space="preserve">. Child1’s dissociation also increases their risk of violent offending if they can disconnect their actions from their </w:t>
            </w:r>
            <w:r w:rsidRPr="00AC00A7">
              <w:rPr>
                <w:color w:val="auto"/>
                <w:sz w:val="24"/>
                <w:szCs w:val="24"/>
              </w:rPr>
              <w:t xml:space="preserve">feelings (Di Cori, 2024). </w:t>
            </w:r>
            <w:r>
              <w:rPr>
                <w:sz w:val="24"/>
                <w:szCs w:val="24"/>
              </w:rPr>
              <w:t xml:space="preserve">Again, the link between Child1’s own harm leading to increasing the risk of them harming others was made clear to me through this work. </w:t>
            </w:r>
          </w:p>
          <w:p w14:paraId="7FF9CFB2" w14:textId="2E51C8A9" w:rsidR="009D6AB9" w:rsidRDefault="009D6AB9" w:rsidP="009D6AB9">
            <w:pPr>
              <w:spacing w:line="360" w:lineRule="auto"/>
              <w:ind w:firstLine="720"/>
              <w:jc w:val="both"/>
              <w:rPr>
                <w:sz w:val="24"/>
                <w:szCs w:val="24"/>
              </w:rPr>
            </w:pPr>
            <w:r>
              <w:rPr>
                <w:sz w:val="24"/>
                <w:szCs w:val="24"/>
              </w:rPr>
              <w:t xml:space="preserve">This case is a clear example to me of why violence prevention work is critical in safeguarding people from harm. Violent acts are prevalent across this whole reflection from Child1 being a victim and then becoming a perpetrator of violence; a re-enactment of their </w:t>
            </w:r>
            <w:r w:rsidRPr="00AC00A7">
              <w:rPr>
                <w:color w:val="auto"/>
                <w:sz w:val="24"/>
                <w:szCs w:val="24"/>
              </w:rPr>
              <w:t>trauma perhaps to gain some control over a situation that had become scary and intolerable to them (</w:t>
            </w:r>
            <w:r w:rsidR="001F1649" w:rsidRPr="00AC00A7">
              <w:rPr>
                <w:color w:val="auto"/>
                <w:sz w:val="24"/>
                <w:szCs w:val="24"/>
              </w:rPr>
              <w:t>Penning and</w:t>
            </w:r>
            <w:r w:rsidRPr="00AC00A7">
              <w:rPr>
                <w:color w:val="auto"/>
                <w:sz w:val="24"/>
                <w:szCs w:val="24"/>
              </w:rPr>
              <w:t xml:space="preserve"> Collings, 2016). </w:t>
            </w:r>
          </w:p>
          <w:p w14:paraId="2DA1DFCB" w14:textId="77777777" w:rsidR="009D6AB9" w:rsidRDefault="009D6AB9" w:rsidP="009D6AB9">
            <w:pPr>
              <w:spacing w:line="360" w:lineRule="auto"/>
              <w:ind w:firstLine="720"/>
              <w:jc w:val="both"/>
              <w:rPr>
                <w:sz w:val="24"/>
                <w:szCs w:val="24"/>
              </w:rPr>
            </w:pPr>
          </w:p>
          <w:p w14:paraId="3613399A" w14:textId="466EF538" w:rsidR="009D6AB9" w:rsidRDefault="009D6AB9" w:rsidP="009D6AB9">
            <w:pPr>
              <w:spacing w:line="360" w:lineRule="auto"/>
              <w:ind w:firstLine="720"/>
              <w:jc w:val="both"/>
              <w:rPr>
                <w:sz w:val="24"/>
                <w:szCs w:val="24"/>
              </w:rPr>
            </w:pPr>
            <w:r>
              <w:rPr>
                <w:sz w:val="24"/>
                <w:szCs w:val="24"/>
              </w:rPr>
              <w:lastRenderedPageBreak/>
              <w:t>In looking forward, there is a wealth of evidence to suggest that Child1 will continue to be in need of support under SSWBA 2014 and will need safeguarding from harm, especially if returned to back to the same environment in which the offence took place. T</w:t>
            </w:r>
            <w:r w:rsidRPr="001150EE">
              <w:rPr>
                <w:sz w:val="24"/>
                <w:szCs w:val="24"/>
              </w:rPr>
              <w:t>he definition of harm as the ill-treatment of a child or the impairment of their health or development</w:t>
            </w:r>
            <w:r>
              <w:rPr>
                <w:sz w:val="24"/>
                <w:szCs w:val="24"/>
              </w:rPr>
              <w:t xml:space="preserve">, this reflection highlights how Child1 has experienced a spectrum of this and offending is the symptom of their </w:t>
            </w:r>
            <w:r w:rsidRPr="00AC00A7">
              <w:rPr>
                <w:color w:val="auto"/>
                <w:sz w:val="24"/>
                <w:szCs w:val="24"/>
              </w:rPr>
              <w:t>experiences (</w:t>
            </w:r>
            <w:proofErr w:type="spellStart"/>
            <w:r w:rsidRPr="00AC00A7">
              <w:rPr>
                <w:color w:val="auto"/>
                <w:sz w:val="24"/>
                <w:szCs w:val="24"/>
              </w:rPr>
              <w:t>Reil</w:t>
            </w:r>
            <w:proofErr w:type="spellEnd"/>
            <w:r w:rsidRPr="00AC00A7">
              <w:rPr>
                <w:color w:val="auto"/>
                <w:sz w:val="24"/>
                <w:szCs w:val="24"/>
              </w:rPr>
              <w:t xml:space="preserve"> </w:t>
            </w:r>
            <w:r w:rsidRPr="00AC00A7">
              <w:rPr>
                <w:i/>
                <w:color w:val="auto"/>
                <w:sz w:val="24"/>
                <w:szCs w:val="24"/>
              </w:rPr>
              <w:t>et al.,</w:t>
            </w:r>
            <w:r w:rsidRPr="00AC00A7">
              <w:rPr>
                <w:color w:val="auto"/>
                <w:sz w:val="24"/>
                <w:szCs w:val="24"/>
              </w:rPr>
              <w:t xml:space="preserve"> 2022). My assessment and intervention work continues to reinforce my professional opinion that Child1 </w:t>
            </w:r>
            <w:r>
              <w:rPr>
                <w:sz w:val="24"/>
                <w:szCs w:val="24"/>
              </w:rPr>
              <w:t>is suffering from neglect. The SSWBA 2014 defines neglect as:</w:t>
            </w:r>
          </w:p>
          <w:p w14:paraId="29C23093" w14:textId="77777777" w:rsidR="0050082E" w:rsidRDefault="0050082E" w:rsidP="00A52539">
            <w:pPr>
              <w:spacing w:line="360" w:lineRule="auto"/>
              <w:ind w:left="510" w:right="284" w:firstLine="720"/>
              <w:jc w:val="both"/>
              <w:rPr>
                <w:sz w:val="24"/>
                <w:szCs w:val="24"/>
              </w:rPr>
            </w:pPr>
          </w:p>
          <w:p w14:paraId="1A958E08" w14:textId="104FF319" w:rsidR="009D6AB9" w:rsidRDefault="009D6AB9" w:rsidP="00A52539">
            <w:pPr>
              <w:spacing w:line="360" w:lineRule="auto"/>
              <w:ind w:left="510" w:right="454" w:firstLine="720"/>
              <w:jc w:val="both"/>
              <w:rPr>
                <w:sz w:val="24"/>
                <w:szCs w:val="24"/>
              </w:rPr>
            </w:pPr>
            <w:r w:rsidRPr="00703634">
              <w:rPr>
                <w:sz w:val="24"/>
                <w:szCs w:val="24"/>
              </w:rPr>
              <w:t>“</w:t>
            </w:r>
            <w:r w:rsidRPr="00703634">
              <w:rPr>
                <w:i/>
                <w:sz w:val="24"/>
                <w:szCs w:val="24"/>
              </w:rPr>
              <w:t>…</w:t>
            </w:r>
            <w:r>
              <w:rPr>
                <w:sz w:val="24"/>
                <w:szCs w:val="24"/>
              </w:rPr>
              <w:t xml:space="preserve"> </w:t>
            </w:r>
            <w:proofErr w:type="gramStart"/>
            <w:r w:rsidRPr="00703634">
              <w:rPr>
                <w:i/>
                <w:sz w:val="24"/>
                <w:szCs w:val="24"/>
              </w:rPr>
              <w:t>a</w:t>
            </w:r>
            <w:proofErr w:type="gramEnd"/>
            <w:r w:rsidRPr="00703634">
              <w:rPr>
                <w:i/>
                <w:sz w:val="24"/>
                <w:szCs w:val="24"/>
              </w:rPr>
              <w:t xml:space="preserve"> failure to meet a person’s basic physical, emotional, social or psychological needs, which is likely to result in an impairment of the person’s well-being (for example, an impairment of the person’s health or, in the case of a child, an impairment of the child’s </w:t>
            </w:r>
            <w:r w:rsidRPr="00AC00A7">
              <w:rPr>
                <w:i/>
                <w:color w:val="auto"/>
                <w:sz w:val="24"/>
                <w:szCs w:val="24"/>
              </w:rPr>
              <w:t>development</w:t>
            </w:r>
            <w:r w:rsidRPr="00AC00A7">
              <w:rPr>
                <w:color w:val="auto"/>
                <w:sz w:val="24"/>
                <w:szCs w:val="24"/>
              </w:rPr>
              <w:t>”. (</w:t>
            </w:r>
            <w:r w:rsidR="0011787C" w:rsidRPr="00AC00A7">
              <w:rPr>
                <w:color w:val="auto"/>
                <w:sz w:val="24"/>
                <w:szCs w:val="24"/>
              </w:rPr>
              <w:t>Welsh Government, 2016</w:t>
            </w:r>
            <w:r w:rsidRPr="00AC00A7">
              <w:rPr>
                <w:color w:val="auto"/>
                <w:sz w:val="24"/>
                <w:szCs w:val="24"/>
              </w:rPr>
              <w:t>, p.8).</w:t>
            </w:r>
          </w:p>
          <w:p w14:paraId="3D7E8153" w14:textId="77777777" w:rsidR="0050082E" w:rsidRDefault="0050082E" w:rsidP="009D6AB9">
            <w:pPr>
              <w:spacing w:line="360" w:lineRule="auto"/>
              <w:ind w:firstLine="720"/>
              <w:jc w:val="both"/>
              <w:rPr>
                <w:sz w:val="24"/>
                <w:szCs w:val="24"/>
              </w:rPr>
            </w:pPr>
          </w:p>
          <w:p w14:paraId="76768E83" w14:textId="0900F670" w:rsidR="009D6AB9" w:rsidRDefault="009D6AB9" w:rsidP="009D6AB9">
            <w:pPr>
              <w:spacing w:line="360" w:lineRule="auto"/>
              <w:ind w:firstLine="720"/>
              <w:jc w:val="both"/>
              <w:rPr>
                <w:sz w:val="24"/>
                <w:szCs w:val="24"/>
              </w:rPr>
            </w:pPr>
            <w:r>
              <w:rPr>
                <w:sz w:val="24"/>
                <w:szCs w:val="24"/>
              </w:rPr>
              <w:t xml:space="preserve">In doing things differently, I perhaps would not have agreed to take Child1 off the Child Protection Register when they entered custody. I feel as a group we made the assumption that because they were now physically safe, they were no longer at significant risk of harm but in reality the emotional abuse and the processing of this for Child1 is still impacting their wellbeing. </w:t>
            </w:r>
          </w:p>
          <w:p w14:paraId="3D462DFA" w14:textId="5E7C40F4" w:rsidR="009D6AB9" w:rsidRDefault="009D6AB9" w:rsidP="009D6AB9">
            <w:pPr>
              <w:spacing w:line="360" w:lineRule="auto"/>
              <w:ind w:firstLine="720"/>
              <w:jc w:val="both"/>
              <w:rPr>
                <w:sz w:val="24"/>
                <w:szCs w:val="24"/>
              </w:rPr>
            </w:pPr>
            <w:r>
              <w:rPr>
                <w:sz w:val="24"/>
                <w:szCs w:val="24"/>
              </w:rPr>
              <w:t xml:space="preserve">This reflection has also been helpful as I will be attending my first multi-agency public protection arrangements (MAPPA) in the coming months to discuss Child1. As they committed a serious violent offence, a referral to MAPPA and subsequent acceptance of this referral </w:t>
            </w:r>
            <w:r w:rsidR="00D93C83">
              <w:rPr>
                <w:sz w:val="24"/>
                <w:szCs w:val="24"/>
              </w:rPr>
              <w:t>w</w:t>
            </w:r>
            <w:r>
              <w:rPr>
                <w:sz w:val="24"/>
                <w:szCs w:val="24"/>
              </w:rPr>
              <w:t>as made on the basis of my assessment and analysis of risks. MAPPA is process</w:t>
            </w:r>
            <w:r w:rsidRPr="00CB13C6">
              <w:rPr>
                <w:sz w:val="24"/>
                <w:szCs w:val="24"/>
              </w:rPr>
              <w:t xml:space="preserve"> through which agencies can better discharge their statutory responsibilities and protect the public in a co-ordinated manner</w:t>
            </w:r>
            <w:r>
              <w:rPr>
                <w:sz w:val="24"/>
                <w:szCs w:val="24"/>
              </w:rPr>
              <w:t xml:space="preserve"> </w:t>
            </w:r>
            <w:r w:rsidRPr="003E31A2">
              <w:rPr>
                <w:color w:val="auto"/>
                <w:sz w:val="24"/>
                <w:szCs w:val="24"/>
              </w:rPr>
              <w:t>(HM Prison and Probation Servi</w:t>
            </w:r>
            <w:r w:rsidR="003E31A2" w:rsidRPr="003E31A2">
              <w:rPr>
                <w:color w:val="auto"/>
                <w:sz w:val="24"/>
                <w:szCs w:val="24"/>
              </w:rPr>
              <w:t>ces, 202</w:t>
            </w:r>
            <w:r w:rsidRPr="003E31A2">
              <w:rPr>
                <w:color w:val="auto"/>
                <w:sz w:val="24"/>
                <w:szCs w:val="24"/>
              </w:rPr>
              <w:t xml:space="preserve">4). </w:t>
            </w:r>
            <w:r>
              <w:rPr>
                <w:sz w:val="24"/>
                <w:szCs w:val="24"/>
              </w:rPr>
              <w:t xml:space="preserve">Discussing Child1 at MAPPA will enable all partners to assess ongoing risk and agree to the best outcomes to mitigate risks to all identified, including to Child1. It also takes the pressure off one agency holding the overall risk which </w:t>
            </w:r>
            <w:r w:rsidR="00503BDF">
              <w:rPr>
                <w:sz w:val="24"/>
                <w:szCs w:val="24"/>
              </w:rPr>
              <w:t>could</w:t>
            </w:r>
            <w:r>
              <w:rPr>
                <w:sz w:val="24"/>
                <w:szCs w:val="24"/>
              </w:rPr>
              <w:t xml:space="preserve"> help</w:t>
            </w:r>
            <w:r w:rsidR="00503BDF">
              <w:rPr>
                <w:sz w:val="24"/>
                <w:szCs w:val="24"/>
              </w:rPr>
              <w:t xml:space="preserve"> my</w:t>
            </w:r>
            <w:r>
              <w:rPr>
                <w:sz w:val="24"/>
                <w:szCs w:val="24"/>
              </w:rPr>
              <w:t xml:space="preserve"> feelings around oppressive practice. </w:t>
            </w:r>
          </w:p>
          <w:p w14:paraId="485EA95C" w14:textId="249E12A9" w:rsidR="009D6AB9" w:rsidRDefault="009D6AB9" w:rsidP="009D6AB9">
            <w:pPr>
              <w:spacing w:line="360" w:lineRule="auto"/>
              <w:ind w:firstLine="720"/>
              <w:jc w:val="both"/>
              <w:rPr>
                <w:sz w:val="24"/>
                <w:szCs w:val="24"/>
              </w:rPr>
            </w:pPr>
            <w:r>
              <w:rPr>
                <w:sz w:val="24"/>
                <w:szCs w:val="24"/>
              </w:rPr>
              <w:t>There remains much uncertainty with Child1 and how best to achieve their personal goals of being ‘happy and successful’</w:t>
            </w:r>
            <w:r w:rsidR="00E64A15">
              <w:rPr>
                <w:sz w:val="24"/>
                <w:szCs w:val="24"/>
              </w:rPr>
              <w:t xml:space="preserve"> and their </w:t>
            </w:r>
            <w:r w:rsidR="00E64A15" w:rsidRPr="007762D2">
              <w:rPr>
                <w:color w:val="auto"/>
                <w:sz w:val="24"/>
                <w:szCs w:val="24"/>
              </w:rPr>
              <w:t xml:space="preserve">longer-term wellbeing and quality of life (Welsh </w:t>
            </w:r>
            <w:r w:rsidR="0027754E" w:rsidRPr="007762D2">
              <w:rPr>
                <w:color w:val="auto"/>
                <w:sz w:val="24"/>
                <w:szCs w:val="24"/>
              </w:rPr>
              <w:t>Government, 20</w:t>
            </w:r>
            <w:r w:rsidR="00E65FA4">
              <w:rPr>
                <w:color w:val="auto"/>
                <w:sz w:val="24"/>
                <w:szCs w:val="24"/>
              </w:rPr>
              <w:t>24</w:t>
            </w:r>
            <w:r w:rsidR="00E64A15" w:rsidRPr="007762D2">
              <w:rPr>
                <w:color w:val="auto"/>
                <w:sz w:val="24"/>
                <w:szCs w:val="24"/>
              </w:rPr>
              <w:t>)</w:t>
            </w:r>
            <w:r w:rsidRPr="007762D2">
              <w:rPr>
                <w:color w:val="auto"/>
                <w:sz w:val="24"/>
                <w:szCs w:val="24"/>
              </w:rPr>
              <w:t xml:space="preserve">. </w:t>
            </w:r>
            <w:r>
              <w:rPr>
                <w:sz w:val="24"/>
                <w:szCs w:val="24"/>
              </w:rPr>
              <w:t xml:space="preserve">Ensuring that they reach their potential is going to be difficult due to </w:t>
            </w:r>
            <w:r>
              <w:rPr>
                <w:sz w:val="24"/>
                <w:szCs w:val="24"/>
              </w:rPr>
              <w:lastRenderedPageBreak/>
              <w:t xml:space="preserve">stigma attached to their </w:t>
            </w:r>
            <w:r w:rsidRPr="00AC00A7">
              <w:rPr>
                <w:color w:val="auto"/>
                <w:sz w:val="24"/>
                <w:szCs w:val="24"/>
              </w:rPr>
              <w:t xml:space="preserve">offending. Thompson (2015), </w:t>
            </w:r>
            <w:r>
              <w:rPr>
                <w:sz w:val="24"/>
                <w:szCs w:val="24"/>
              </w:rPr>
              <w:t xml:space="preserve">however, feels that holding uncertainty is the core role for social work and acceptance of this will lead to good practice. </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6BAF9A33" w:rsidR="00D3203C" w:rsidRPr="007621D3" w:rsidRDefault="003E31A2" w:rsidP="00FF7EBB">
            <w:pPr>
              <w:jc w:val="both"/>
              <w:rPr>
                <w:sz w:val="24"/>
                <w:szCs w:val="24"/>
              </w:rPr>
            </w:pPr>
            <w:r>
              <w:rPr>
                <w:sz w:val="24"/>
                <w:szCs w:val="24"/>
              </w:rPr>
              <w:t xml:space="preserve">Word Count = </w:t>
            </w:r>
            <w:r w:rsidR="00BA7F37">
              <w:rPr>
                <w:sz w:val="24"/>
                <w:szCs w:val="24"/>
              </w:rPr>
              <w:t>4001</w:t>
            </w:r>
            <w:bookmarkStart w:id="0" w:name="_GoBack"/>
            <w:bookmarkEnd w:id="0"/>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957AA5E" w:rsidR="00A5656A" w:rsidRDefault="00A5656A">
    <w:pPr>
      <w:pStyle w:val="Footer"/>
      <w:jc w:val="right"/>
    </w:pPr>
    <w:r>
      <w:fldChar w:fldCharType="begin"/>
    </w:r>
    <w:r>
      <w:instrText xml:space="preserve"> PAGE   \* MERGEFORMAT </w:instrText>
    </w:r>
    <w:r>
      <w:fldChar w:fldCharType="separate"/>
    </w:r>
    <w:r w:rsidR="00BA7F37">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6FE5"/>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87C"/>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6F81"/>
    <w:rsid w:val="001A79C4"/>
    <w:rsid w:val="001B331A"/>
    <w:rsid w:val="001C0237"/>
    <w:rsid w:val="001C0E74"/>
    <w:rsid w:val="001C4DB8"/>
    <w:rsid w:val="001C50B8"/>
    <w:rsid w:val="001D229F"/>
    <w:rsid w:val="001D2FD7"/>
    <w:rsid w:val="001E2EB6"/>
    <w:rsid w:val="001F1649"/>
    <w:rsid w:val="001F4552"/>
    <w:rsid w:val="002019EB"/>
    <w:rsid w:val="00204B58"/>
    <w:rsid w:val="00205051"/>
    <w:rsid w:val="00211F65"/>
    <w:rsid w:val="00214047"/>
    <w:rsid w:val="00216563"/>
    <w:rsid w:val="0021792F"/>
    <w:rsid w:val="00220D06"/>
    <w:rsid w:val="002246A0"/>
    <w:rsid w:val="00230439"/>
    <w:rsid w:val="00232A09"/>
    <w:rsid w:val="00235176"/>
    <w:rsid w:val="00235A63"/>
    <w:rsid w:val="00236061"/>
    <w:rsid w:val="0024100E"/>
    <w:rsid w:val="00241C1B"/>
    <w:rsid w:val="0024288B"/>
    <w:rsid w:val="00243DB0"/>
    <w:rsid w:val="00247265"/>
    <w:rsid w:val="00250B1D"/>
    <w:rsid w:val="00260663"/>
    <w:rsid w:val="00264C7B"/>
    <w:rsid w:val="002657E9"/>
    <w:rsid w:val="0026665E"/>
    <w:rsid w:val="0027147E"/>
    <w:rsid w:val="002761F4"/>
    <w:rsid w:val="0027754E"/>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DA3"/>
    <w:rsid w:val="002D2F29"/>
    <w:rsid w:val="002D46C0"/>
    <w:rsid w:val="002D5A92"/>
    <w:rsid w:val="002D65D2"/>
    <w:rsid w:val="002D6B31"/>
    <w:rsid w:val="002E0D94"/>
    <w:rsid w:val="002E6D17"/>
    <w:rsid w:val="002E7017"/>
    <w:rsid w:val="002E7F2C"/>
    <w:rsid w:val="002F1506"/>
    <w:rsid w:val="002F1FC7"/>
    <w:rsid w:val="002F2185"/>
    <w:rsid w:val="002F4F6E"/>
    <w:rsid w:val="003015C3"/>
    <w:rsid w:val="0030787C"/>
    <w:rsid w:val="003106DB"/>
    <w:rsid w:val="0031350A"/>
    <w:rsid w:val="00316815"/>
    <w:rsid w:val="003168CA"/>
    <w:rsid w:val="00321255"/>
    <w:rsid w:val="0032230D"/>
    <w:rsid w:val="00322A0B"/>
    <w:rsid w:val="00326562"/>
    <w:rsid w:val="00330881"/>
    <w:rsid w:val="00331CD2"/>
    <w:rsid w:val="00332426"/>
    <w:rsid w:val="00334BCF"/>
    <w:rsid w:val="00335C41"/>
    <w:rsid w:val="00335FC5"/>
    <w:rsid w:val="0033771E"/>
    <w:rsid w:val="00337FEF"/>
    <w:rsid w:val="00354B6D"/>
    <w:rsid w:val="00355210"/>
    <w:rsid w:val="00355AE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29E"/>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31A2"/>
    <w:rsid w:val="003E4B70"/>
    <w:rsid w:val="003E54CF"/>
    <w:rsid w:val="003E5FBA"/>
    <w:rsid w:val="003F1233"/>
    <w:rsid w:val="003F67A4"/>
    <w:rsid w:val="00400786"/>
    <w:rsid w:val="00401FDA"/>
    <w:rsid w:val="004046F0"/>
    <w:rsid w:val="0040668F"/>
    <w:rsid w:val="00411EF7"/>
    <w:rsid w:val="00412677"/>
    <w:rsid w:val="00421C62"/>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6AF3"/>
    <w:rsid w:val="004911B4"/>
    <w:rsid w:val="0049196A"/>
    <w:rsid w:val="004923DA"/>
    <w:rsid w:val="00492EEB"/>
    <w:rsid w:val="00493434"/>
    <w:rsid w:val="004968E2"/>
    <w:rsid w:val="004A2A49"/>
    <w:rsid w:val="004A33F0"/>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082E"/>
    <w:rsid w:val="005011D6"/>
    <w:rsid w:val="00502A14"/>
    <w:rsid w:val="00503BDF"/>
    <w:rsid w:val="005042F1"/>
    <w:rsid w:val="0050481B"/>
    <w:rsid w:val="005113D4"/>
    <w:rsid w:val="0051287D"/>
    <w:rsid w:val="00513C7D"/>
    <w:rsid w:val="00520239"/>
    <w:rsid w:val="00521123"/>
    <w:rsid w:val="00521221"/>
    <w:rsid w:val="0052250B"/>
    <w:rsid w:val="005305C6"/>
    <w:rsid w:val="00540EEC"/>
    <w:rsid w:val="005414F4"/>
    <w:rsid w:val="00546187"/>
    <w:rsid w:val="005473E0"/>
    <w:rsid w:val="00547B11"/>
    <w:rsid w:val="0055704B"/>
    <w:rsid w:val="00557D77"/>
    <w:rsid w:val="00562EAA"/>
    <w:rsid w:val="00563B58"/>
    <w:rsid w:val="005640C4"/>
    <w:rsid w:val="0056684C"/>
    <w:rsid w:val="00574A0C"/>
    <w:rsid w:val="0057780F"/>
    <w:rsid w:val="00581E0A"/>
    <w:rsid w:val="00586D89"/>
    <w:rsid w:val="005877C8"/>
    <w:rsid w:val="00587923"/>
    <w:rsid w:val="00594F9F"/>
    <w:rsid w:val="005A1B4C"/>
    <w:rsid w:val="005A5236"/>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E7BBC"/>
    <w:rsid w:val="006F0862"/>
    <w:rsid w:val="006F1438"/>
    <w:rsid w:val="006F2A9E"/>
    <w:rsid w:val="006F5ED3"/>
    <w:rsid w:val="00700249"/>
    <w:rsid w:val="00702AB5"/>
    <w:rsid w:val="00705EEE"/>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B4F"/>
    <w:rsid w:val="0075031F"/>
    <w:rsid w:val="00751263"/>
    <w:rsid w:val="007544FC"/>
    <w:rsid w:val="00755427"/>
    <w:rsid w:val="00756548"/>
    <w:rsid w:val="0075673A"/>
    <w:rsid w:val="0075704F"/>
    <w:rsid w:val="007621D3"/>
    <w:rsid w:val="00763B2D"/>
    <w:rsid w:val="00764C84"/>
    <w:rsid w:val="007710AD"/>
    <w:rsid w:val="00772924"/>
    <w:rsid w:val="007762D2"/>
    <w:rsid w:val="00777CD2"/>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E98"/>
    <w:rsid w:val="007F10BD"/>
    <w:rsid w:val="007F312E"/>
    <w:rsid w:val="007F3F7E"/>
    <w:rsid w:val="007F4BA4"/>
    <w:rsid w:val="00811F6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6CA"/>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F5C"/>
    <w:rsid w:val="0094495F"/>
    <w:rsid w:val="009470E3"/>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C7E08"/>
    <w:rsid w:val="009D4365"/>
    <w:rsid w:val="009D477B"/>
    <w:rsid w:val="009D4E3B"/>
    <w:rsid w:val="009D59C2"/>
    <w:rsid w:val="009D6AB9"/>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2539"/>
    <w:rsid w:val="00A54D67"/>
    <w:rsid w:val="00A55A3F"/>
    <w:rsid w:val="00A5656A"/>
    <w:rsid w:val="00A60103"/>
    <w:rsid w:val="00A652F6"/>
    <w:rsid w:val="00A65861"/>
    <w:rsid w:val="00A732EA"/>
    <w:rsid w:val="00A7489E"/>
    <w:rsid w:val="00A8015F"/>
    <w:rsid w:val="00A8079C"/>
    <w:rsid w:val="00A85039"/>
    <w:rsid w:val="00A906AA"/>
    <w:rsid w:val="00A94C5E"/>
    <w:rsid w:val="00AA252C"/>
    <w:rsid w:val="00AA666E"/>
    <w:rsid w:val="00AA7960"/>
    <w:rsid w:val="00AB2444"/>
    <w:rsid w:val="00AB5518"/>
    <w:rsid w:val="00AC00A7"/>
    <w:rsid w:val="00AC3A0E"/>
    <w:rsid w:val="00AC4A04"/>
    <w:rsid w:val="00AC5679"/>
    <w:rsid w:val="00AD336F"/>
    <w:rsid w:val="00AE00B9"/>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9E2"/>
    <w:rsid w:val="00B71A32"/>
    <w:rsid w:val="00B7502A"/>
    <w:rsid w:val="00B75096"/>
    <w:rsid w:val="00B77305"/>
    <w:rsid w:val="00B774BD"/>
    <w:rsid w:val="00B82CC2"/>
    <w:rsid w:val="00B84A89"/>
    <w:rsid w:val="00B9256C"/>
    <w:rsid w:val="00B92BEF"/>
    <w:rsid w:val="00B94443"/>
    <w:rsid w:val="00B9689A"/>
    <w:rsid w:val="00B97056"/>
    <w:rsid w:val="00BA531E"/>
    <w:rsid w:val="00BA728B"/>
    <w:rsid w:val="00BA7F37"/>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43A"/>
    <w:rsid w:val="00BF0D6C"/>
    <w:rsid w:val="00C01D14"/>
    <w:rsid w:val="00C01D97"/>
    <w:rsid w:val="00C025B4"/>
    <w:rsid w:val="00C029EC"/>
    <w:rsid w:val="00C05834"/>
    <w:rsid w:val="00C161FD"/>
    <w:rsid w:val="00C17C9F"/>
    <w:rsid w:val="00C23F17"/>
    <w:rsid w:val="00C246F2"/>
    <w:rsid w:val="00C26D0D"/>
    <w:rsid w:val="00C27C95"/>
    <w:rsid w:val="00C300D2"/>
    <w:rsid w:val="00C3270F"/>
    <w:rsid w:val="00C3278B"/>
    <w:rsid w:val="00C32B9A"/>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7E4"/>
    <w:rsid w:val="00CA0894"/>
    <w:rsid w:val="00CA3593"/>
    <w:rsid w:val="00CA5726"/>
    <w:rsid w:val="00CA7E6A"/>
    <w:rsid w:val="00CB258E"/>
    <w:rsid w:val="00CB3C8F"/>
    <w:rsid w:val="00CB793F"/>
    <w:rsid w:val="00CC02F1"/>
    <w:rsid w:val="00CC1122"/>
    <w:rsid w:val="00CC11A6"/>
    <w:rsid w:val="00CC135E"/>
    <w:rsid w:val="00CC7226"/>
    <w:rsid w:val="00CD0735"/>
    <w:rsid w:val="00CD45E3"/>
    <w:rsid w:val="00CD4771"/>
    <w:rsid w:val="00CD5089"/>
    <w:rsid w:val="00CD5D3F"/>
    <w:rsid w:val="00CD7E1F"/>
    <w:rsid w:val="00CE4BC4"/>
    <w:rsid w:val="00CE7DA2"/>
    <w:rsid w:val="00CF150F"/>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5E78"/>
    <w:rsid w:val="00D71201"/>
    <w:rsid w:val="00D720C7"/>
    <w:rsid w:val="00D802B7"/>
    <w:rsid w:val="00D84841"/>
    <w:rsid w:val="00D876E6"/>
    <w:rsid w:val="00D90958"/>
    <w:rsid w:val="00D93C83"/>
    <w:rsid w:val="00DA066E"/>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2184"/>
    <w:rsid w:val="00E5498A"/>
    <w:rsid w:val="00E559CE"/>
    <w:rsid w:val="00E60F42"/>
    <w:rsid w:val="00E64A15"/>
    <w:rsid w:val="00E65FA4"/>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3DC8"/>
    <w:rsid w:val="00EC4B89"/>
    <w:rsid w:val="00EC59A5"/>
    <w:rsid w:val="00EC6E15"/>
    <w:rsid w:val="00ED0795"/>
    <w:rsid w:val="00ED1B30"/>
    <w:rsid w:val="00ED5D03"/>
    <w:rsid w:val="00EE01ED"/>
    <w:rsid w:val="00EE1AC1"/>
    <w:rsid w:val="00EE24AF"/>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4B0"/>
    <w:rsid w:val="00F640A6"/>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EFA5066-A4BD-4D53-80C4-C4177E656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12</Pages>
  <Words>4210</Words>
  <Characters>22088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Bevan</cp:lastModifiedBy>
  <cp:revision>49</cp:revision>
  <cp:lastPrinted>2020-02-11T19:20:00Z</cp:lastPrinted>
  <dcterms:created xsi:type="dcterms:W3CDTF">2023-10-13T12:51:00Z</dcterms:created>
  <dcterms:modified xsi:type="dcterms:W3CDTF">2024-10-07T15:30:00Z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