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8C53F03" w14:textId="3915F24A" w:rsidR="00E92A09" w:rsidRPr="00A0302F" w:rsidRDefault="00E92A09" w:rsidP="00E92A09">
      <w:pPr>
        <w:jc w:val="center"/>
        <w:rPr>
          <w:b/>
          <w:bCs/>
          <w:lang w:val="en-US"/>
        </w:rPr>
      </w:pPr>
      <w:r w:rsidRPr="00A0302F">
        <w:rPr>
          <w:rFonts w:hint="eastAsia"/>
          <w:b/>
          <w:bCs/>
          <w:lang w:val="en-US"/>
        </w:rPr>
        <w:t>S</w:t>
      </w:r>
      <w:r w:rsidRPr="00A0302F">
        <w:rPr>
          <w:b/>
          <w:bCs/>
          <w:lang w:val="en-US"/>
        </w:rPr>
        <w:t>upporting N</w:t>
      </w:r>
      <w:r w:rsidRPr="00A0302F">
        <w:rPr>
          <w:rFonts w:hint="eastAsia"/>
          <w:b/>
          <w:bCs/>
          <w:lang w:val="en-US"/>
        </w:rPr>
        <w:t>otes</w:t>
      </w:r>
      <w:r w:rsidRPr="00A0302F">
        <w:rPr>
          <w:b/>
          <w:bCs/>
          <w:lang w:val="en-US"/>
        </w:rPr>
        <w:t>: Explanation for the Timeline</w:t>
      </w:r>
    </w:p>
    <w:p w14:paraId="6F8C8669" w14:textId="77777777" w:rsidR="00E92A09" w:rsidRPr="00E92A09" w:rsidRDefault="00E92A09" w:rsidP="00E92A09">
      <w:pPr>
        <w:jc w:val="center"/>
        <w:rPr>
          <w:lang w:val="en-US"/>
        </w:rPr>
      </w:pPr>
    </w:p>
    <w:p w14:paraId="120F1362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>
        <w:t xml:space="preserve">In 1964, </w:t>
      </w:r>
      <w:r w:rsidRPr="0030389D">
        <w:t xml:space="preserve">Title VI </w:t>
      </w:r>
      <w:r>
        <w:t>was enacted</w:t>
      </w:r>
      <w:r w:rsidRPr="0030389D">
        <w:t xml:space="preserve"> </w:t>
      </w:r>
      <w:r>
        <w:t>in response to</w:t>
      </w:r>
      <w:r w:rsidRPr="0030389D">
        <w:t xml:space="preserve"> the issue of race (such as, racial segregation, racial harassment, etc.), which ha</w:t>
      </w:r>
      <w:r>
        <w:t>d</w:t>
      </w:r>
      <w:r w:rsidRPr="0030389D">
        <w:t xml:space="preserve"> for centuries negatively affected people in America; it shows what the government can do to deeply change people’s </w:t>
      </w:r>
      <w:r>
        <w:t>racially discriminatory</w:t>
      </w:r>
      <w:r w:rsidRPr="0030389D">
        <w:t xml:space="preserve"> behaviors; Title VI,</w:t>
      </w:r>
      <w:r>
        <w:t xml:space="preserve"> which</w:t>
      </w:r>
      <w:r w:rsidRPr="0030389D">
        <w:t xml:space="preserve"> followed the Brown decision </w:t>
      </w:r>
      <w:r>
        <w:t xml:space="preserve">– a decision that </w:t>
      </w:r>
      <w:r w:rsidRPr="0030389D">
        <w:t>prohibited segregation but caused resistance</w:t>
      </w:r>
      <w:r>
        <w:t xml:space="preserve"> – combats</w:t>
      </w:r>
      <w:r w:rsidRPr="0030389D">
        <w:t xml:space="preserve"> Jim Crow</w:t>
      </w:r>
      <w:r>
        <w:t xml:space="preserve"> doctrine of </w:t>
      </w:r>
      <w:r w:rsidRPr="0030389D">
        <w:t>“segregated but equal”</w:t>
      </w:r>
      <w:r>
        <w:t xml:space="preserve"> </w:t>
      </w:r>
      <w:r w:rsidRPr="0030389D">
        <w:t>(Grofman, 2000)</w:t>
      </w:r>
      <w:r>
        <w:t>.</w:t>
      </w:r>
    </w:p>
    <w:p w14:paraId="67676067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>In 1973, federal agencies expanded Title VI rules by implementing</w:t>
      </w:r>
      <w:r w:rsidRPr="00ED1853">
        <w:rPr>
          <w:b/>
          <w:bCs/>
          <w:lang w:val="en-US"/>
        </w:rPr>
        <w:t xml:space="preserve"> </w:t>
      </w:r>
      <w:r w:rsidRPr="00173968">
        <w:rPr>
          <w:lang w:val="en-US"/>
        </w:rPr>
        <w:t xml:space="preserve">disparate-impact liability, asserting that facially neutral policies or practices can violate Title VI if their effects discriminate based on race (Martin, 2025; </w:t>
      </w:r>
      <w:r w:rsidRPr="00173968">
        <w:t>Federal Register, 2026a</w:t>
      </w:r>
      <w:r w:rsidRPr="00ED1853">
        <w:rPr>
          <w:lang w:val="en-US"/>
        </w:rPr>
        <w:t xml:space="preserve">). </w:t>
      </w:r>
    </w:p>
    <w:p w14:paraId="03EA4C67" w14:textId="77777777" w:rsidR="00E92A09" w:rsidRPr="00ED1853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 xml:space="preserve">The </w:t>
      </w:r>
      <w:r w:rsidRPr="00ED1853">
        <w:rPr>
          <w:i/>
          <w:iCs/>
          <w:lang w:val="en-US"/>
        </w:rPr>
        <w:t xml:space="preserve">Lau v. Nichols </w:t>
      </w:r>
      <w:r w:rsidRPr="00ED1853">
        <w:rPr>
          <w:lang w:val="en-US"/>
        </w:rPr>
        <w:t>case extended Title VI’s use to linguistic discrimination: the Court decided that one must not provide English-only instruction without language assistance to a group of 1800</w:t>
      </w:r>
      <w:r w:rsidRPr="0030389D">
        <w:t xml:space="preserve"> </w:t>
      </w:r>
      <w:r w:rsidRPr="00ED1853">
        <w:rPr>
          <w:lang w:val="en-US"/>
        </w:rPr>
        <w:t xml:space="preserve">students who did not speak English when they entered public school, </w:t>
      </w:r>
      <w:r w:rsidRPr="0030389D">
        <w:t>as this causes a disparate impact</w:t>
      </w:r>
      <w:r w:rsidRPr="00ED1853">
        <w:rPr>
          <w:lang w:val="en-US"/>
        </w:rPr>
        <w:t xml:space="preserve"> (Sugarman and </w:t>
      </w:r>
      <w:proofErr w:type="spellStart"/>
      <w:r w:rsidRPr="00ED1853">
        <w:rPr>
          <w:lang w:val="en-US"/>
        </w:rPr>
        <w:t>Widess</w:t>
      </w:r>
      <w:proofErr w:type="spellEnd"/>
      <w:r w:rsidRPr="00ED1853">
        <w:rPr>
          <w:lang w:val="en-US"/>
        </w:rPr>
        <w:t>, 1974).</w:t>
      </w:r>
    </w:p>
    <w:p w14:paraId="4E81BDFE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>Department of Health, Education, and Welfare (HEW) issued first Title VI rules in 1964; Department of Education (</w:t>
      </w:r>
      <w:r w:rsidRPr="0030389D">
        <w:t>ED</w:t>
      </w:r>
      <w:r w:rsidRPr="00ED1853">
        <w:rPr>
          <w:lang w:val="en-US"/>
        </w:rPr>
        <w:t>) later took over in 1980 (Federal Register, 2026b).</w:t>
      </w:r>
    </w:p>
    <w:p w14:paraId="2CC6828E" w14:textId="1B5A92A5" w:rsidR="006414A4" w:rsidRPr="0030389D" w:rsidRDefault="00E92A09" w:rsidP="006414A4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30389D">
        <w:t>In 1984’s </w:t>
      </w:r>
      <w:r w:rsidRPr="00ED1853">
        <w:rPr>
          <w:i/>
          <w:iCs/>
        </w:rPr>
        <w:t>Grove City College v. Bell</w:t>
      </w:r>
      <w:r w:rsidRPr="0030389D">
        <w:t>, the</w:t>
      </w:r>
      <w:r w:rsidR="006414A4">
        <w:t xml:space="preserve"> </w:t>
      </w:r>
      <w:r w:rsidRPr="0030389D">
        <w:t>Court interpreted “program or activity” in the anti</w:t>
      </w:r>
      <w:r w:rsidR="006414A4">
        <w:t>-</w:t>
      </w:r>
      <w:r w:rsidRPr="0030389D">
        <w:t>sex</w:t>
      </w:r>
      <w:r w:rsidR="006414A4">
        <w:t>-</w:t>
      </w:r>
      <w:r w:rsidRPr="0030389D">
        <w:t>discrimination policy as institution</w:t>
      </w:r>
      <w:r w:rsidR="006414A4">
        <w:t>-</w:t>
      </w:r>
      <w:r w:rsidRPr="0030389D">
        <w:t>wide rather than program</w:t>
      </w:r>
      <w:r w:rsidR="006414A4">
        <w:t>-</w:t>
      </w:r>
      <w:r w:rsidRPr="0030389D">
        <w:t>specific, stating that only the College’s financial aid office that directly using federal </w:t>
      </w:r>
      <w:r w:rsidR="00541975">
        <w:t xml:space="preserve">     </w:t>
      </w:r>
      <w:r w:rsidRPr="0030389D">
        <w:t>money needs to follow the policy (Brejcha, 1985). </w:t>
      </w:r>
    </w:p>
    <w:p w14:paraId="7E3088FC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30389D">
        <w:t>This triggered the Civil Rights Restoration Act of 1987, which restored the institution</w:t>
      </w:r>
      <w:r w:rsidRPr="00ED1853">
        <w:rPr>
          <w:lang w:val="en-US"/>
        </w:rPr>
        <w:t>-</w:t>
      </w:r>
      <w:r w:rsidRPr="0030389D">
        <w:t xml:space="preserve">wide definition of “program or activity” in statutes such as Title VI (Weldon, 1990). </w:t>
      </w:r>
      <w:r w:rsidRPr="00ED1853">
        <w:rPr>
          <w:lang w:val="en-US"/>
        </w:rPr>
        <w:t xml:space="preserve">Viz. this amended </w:t>
      </w:r>
      <w:r w:rsidRPr="0030389D">
        <w:t>Title VI </w:t>
      </w:r>
      <w:r w:rsidRPr="00ED1853">
        <w:rPr>
          <w:lang w:val="en-US"/>
        </w:rPr>
        <w:t>(Hawkins, 1988; Nj.gov, 2026; US Social Security Administration, 2026).</w:t>
      </w:r>
    </w:p>
    <w:p w14:paraId="27041BA4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 xml:space="preserve">In 2000, ED updated Title VI rules to conform the definition of "program or activity" to the 1987 Act (Federal Register, 2026b).  </w:t>
      </w:r>
    </w:p>
    <w:p w14:paraId="63A5323A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 xml:space="preserve">In 2001’s </w:t>
      </w:r>
      <w:r w:rsidRPr="00ED1853">
        <w:rPr>
          <w:i/>
          <w:iCs/>
          <w:lang w:val="en-US"/>
        </w:rPr>
        <w:t>Alexander v. Sandoval</w:t>
      </w:r>
      <w:r w:rsidRPr="00ED1853">
        <w:rPr>
          <w:lang w:val="en-US"/>
        </w:rPr>
        <w:t>, the Court decided that a private individual (in this case, a Mexican immigrant) may not challenge state agencies by using Title VI based on unintentional discrimination (given, e.g., the impact of English-only policy on driver</w:t>
      </w:r>
      <w:r>
        <w:rPr>
          <w:lang w:val="en-US"/>
        </w:rPr>
        <w:t>’</w:t>
      </w:r>
      <w:r w:rsidRPr="00ED1853">
        <w:rPr>
          <w:lang w:val="en-US"/>
        </w:rPr>
        <w:t>s license exams) (Dale, 2009).</w:t>
      </w:r>
    </w:p>
    <w:p w14:paraId="5384B821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 xml:space="preserve">The guidance used statistical data to characterize racial discrimination, noticing that Black students are disciplined far more than Whites (Lhamon and Samuels, 2014). </w:t>
      </w:r>
    </w:p>
    <w:p w14:paraId="2598BAC2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>ED rescinded the 2014 guidance under Trump and declared that schools need autonomy and deference in discipline matters (DeVos et al., 2018).</w:t>
      </w:r>
    </w:p>
    <w:p w14:paraId="6F41661C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 xml:space="preserve">In the 2023 </w:t>
      </w:r>
      <w:r w:rsidRPr="00ED1853">
        <w:rPr>
          <w:i/>
          <w:iCs/>
          <w:lang w:val="en-US"/>
        </w:rPr>
        <w:t>SFFA</w:t>
      </w:r>
      <w:r w:rsidRPr="00ED1853">
        <w:rPr>
          <w:lang w:val="en-US"/>
        </w:rPr>
        <w:t xml:space="preserve"> case, the Court held that the use of race in college admissions was unlawful (Trainor, 2025).</w:t>
      </w:r>
    </w:p>
    <w:p w14:paraId="3AF744DF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 xml:space="preserve">In 2023, under Biden, ED restored the 2014 guidance, noting that statistical racial inequalities in discipline may violate Title VI (Trump, 2025b). </w:t>
      </w:r>
    </w:p>
    <w:p w14:paraId="3B19ECDD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lastRenderedPageBreak/>
        <w:t>Under Trump, ED rejected diversity, equity, and inclusion under Title VI, and thus its 2-14-25 guidance was blocked and cancelled by federal courts (American Civil Liberties Union, 2025).</w:t>
      </w:r>
    </w:p>
    <w:p w14:paraId="6CA0A98F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 xml:space="preserve">Trump (2025a) prioritizes merit and wants to end </w:t>
      </w:r>
      <w:r w:rsidRPr="006414A4">
        <w:rPr>
          <w:lang w:val="en-US"/>
        </w:rPr>
        <w:t>disparate-impact liability</w:t>
      </w:r>
      <w:r w:rsidRPr="00ED1853">
        <w:rPr>
          <w:lang w:val="en-US"/>
        </w:rPr>
        <w:t>.</w:t>
      </w:r>
    </w:p>
    <w:p w14:paraId="6A95B388" w14:textId="77777777" w:rsidR="00E92A09" w:rsidRPr="0030389D" w:rsidRDefault="00E92A09" w:rsidP="00E92A09">
      <w:pPr>
        <w:pStyle w:val="ListParagraph"/>
        <w:numPr>
          <w:ilvl w:val="0"/>
          <w:numId w:val="1"/>
        </w:numPr>
        <w:spacing w:after="160" w:line="278" w:lineRule="auto"/>
        <w:jc w:val="both"/>
      </w:pPr>
      <w:r w:rsidRPr="00ED1853">
        <w:rPr>
          <w:lang w:val="en-US"/>
        </w:rPr>
        <w:t>In July 2026, ED ended the disparate-impact provision via final rule (Federal Register, 2026b).</w:t>
      </w:r>
    </w:p>
    <w:p w14:paraId="0C15477E" w14:textId="77777777" w:rsidR="00E92A09" w:rsidRPr="009F3940" w:rsidRDefault="00E92A09" w:rsidP="00E92A09">
      <w:pPr>
        <w:tabs>
          <w:tab w:val="num" w:pos="720"/>
        </w:tabs>
        <w:spacing w:after="160" w:line="278" w:lineRule="auto"/>
        <w:ind w:left="720" w:hanging="360"/>
        <w:rPr>
          <w:sz w:val="32"/>
          <w:szCs w:val="32"/>
        </w:rPr>
      </w:pPr>
    </w:p>
    <w:p w14:paraId="27647382" w14:textId="77777777" w:rsidR="00E92A09" w:rsidRPr="00A0302F" w:rsidRDefault="00E92A09" w:rsidP="00E92A09">
      <w:pPr>
        <w:jc w:val="center"/>
        <w:rPr>
          <w:b/>
          <w:bCs/>
          <w:lang w:val="en-US"/>
        </w:rPr>
      </w:pPr>
      <w:r w:rsidRPr="00A0302F">
        <w:rPr>
          <w:b/>
          <w:bCs/>
          <w:lang w:val="en-US"/>
        </w:rPr>
        <w:t xml:space="preserve">References for </w:t>
      </w:r>
      <w:r w:rsidRPr="00A0302F">
        <w:rPr>
          <w:rFonts w:hint="eastAsia"/>
          <w:b/>
          <w:bCs/>
          <w:lang w:val="en-US"/>
        </w:rPr>
        <w:t>S</w:t>
      </w:r>
      <w:r w:rsidRPr="00A0302F">
        <w:rPr>
          <w:b/>
          <w:bCs/>
          <w:lang w:val="en-US"/>
        </w:rPr>
        <w:t>upporting N</w:t>
      </w:r>
      <w:r w:rsidRPr="00A0302F">
        <w:rPr>
          <w:rFonts w:hint="eastAsia"/>
          <w:b/>
          <w:bCs/>
          <w:lang w:val="en-US"/>
        </w:rPr>
        <w:t>otes</w:t>
      </w:r>
    </w:p>
    <w:p w14:paraId="3C5EF00A" w14:textId="77777777" w:rsidR="00E92A09" w:rsidRPr="00E92A09" w:rsidRDefault="00E92A09" w:rsidP="00E92A09">
      <w:pPr>
        <w:jc w:val="center"/>
        <w:rPr>
          <w:lang w:val="en-US"/>
        </w:rPr>
      </w:pPr>
    </w:p>
    <w:p w14:paraId="53B007AF" w14:textId="77777777" w:rsidR="00E92A09" w:rsidRPr="009D4E66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American Civil Liberties Union.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National Education Association et al. v. US Department of Education et al</w:t>
      </w:r>
      <w:r>
        <w:rPr>
          <w:color w:val="000000"/>
        </w:rPr>
        <w:t>. [online] Available at: https://www.aclu.org/cases/national-education-association-et-al-v-us-department-of-education-et-al [Accessed 24 Oct. 2026].</w:t>
      </w:r>
    </w:p>
    <w:p w14:paraId="2323AD07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Brejcha, B.L. (1985). Grove City College v. Bell: Restricting The Remedial Reach Of Title IX.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Loyola University Chicago Law Journal</w:t>
      </w:r>
      <w:r>
        <w:rPr>
          <w:color w:val="000000"/>
        </w:rPr>
        <w:t xml:space="preserve">, [online] 16(2), p.319. Available at: </w:t>
      </w:r>
      <w:hyperlink r:id="rId5" w:history="1">
        <w:r w:rsidRPr="00F32A36">
          <w:rPr>
            <w:rStyle w:val="Hyperlink"/>
          </w:rPr>
          <w:t>http://lawecommons.luc.edu/luclj/vol16/iss2/4</w:t>
        </w:r>
      </w:hyperlink>
      <w:r>
        <w:rPr>
          <w:color w:val="000000"/>
        </w:rPr>
        <w:t xml:space="preserve"> [Accessed 22 Oct. 2026].</w:t>
      </w:r>
    </w:p>
    <w:p w14:paraId="2AB1A0F6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Dale, C. (2009).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Private Actions To Sue For Civil Rights Violations In Federally Assisted Programs After Alexander V. Sandoval</w:t>
      </w:r>
      <w:r>
        <w:rPr>
          <w:color w:val="000000"/>
        </w:rPr>
        <w:t>. Congressional Research Service: WikiLeaks Document Release.</w:t>
      </w:r>
    </w:p>
    <w:p w14:paraId="7B78D8C7" w14:textId="77777777" w:rsidR="00E92A09" w:rsidRPr="003B429E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DeVos, B., Nielsen, K.M., Azar, A.M. and Whitaker, M.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Final Report Of The Federal Commission On School Safety</w:t>
      </w:r>
      <w:r>
        <w:rPr>
          <w:color w:val="000000"/>
        </w:rPr>
        <w:t>. U.S. Department of Education, U.S. Department of Justice, U.S. Department of Health and Human Services, U.S. Department of Homeland Security.</w:t>
      </w:r>
    </w:p>
    <w:p w14:paraId="66213B35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Federal Register. (2026a).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Rescinding Portions of Department Of The Interior Title VI Regulations To Conform More Closely With The Statutory Text And To Implement Executive Order 14281</w:t>
      </w:r>
      <w:r>
        <w:rPr>
          <w:color w:val="000000"/>
        </w:rPr>
        <w:t>. [online] Available at: https://www.federalregister.gov/documents/2026/05/22/2026-10258/rescinding-portions-of-department-of-the-interior-title-vi-regulations-to-conform-more-closely-with [Accessed 22 Oct. 2026].</w:t>
      </w:r>
    </w:p>
    <w:p w14:paraId="23E95645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Federal Register. (2026b).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Rescinding Portions Of The Department Of Education Title VI Regulations To Align With The Statutory Text And Conform To Executive Order 14281</w:t>
      </w:r>
      <w:r>
        <w:rPr>
          <w:color w:val="000000"/>
        </w:rPr>
        <w:t>. [online] Available at: https://www.federalregister.gov/documents/2026/07/24/2026-15019/rescinding-portions-of-the-department-of-education-title-vi-regulations-to-align-with-the-statutory [Accessed 23 Oct. 2026].</w:t>
      </w:r>
    </w:p>
    <w:p w14:paraId="499F4BC4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>Grofman, B. (2000).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Legacies Of The 1964 Civil Rights Act</w:t>
      </w:r>
      <w:r>
        <w:rPr>
          <w:color w:val="000000"/>
        </w:rPr>
        <w:t>. University Press of Virginia.</w:t>
      </w:r>
    </w:p>
    <w:p w14:paraId="7F2A689A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Hawkins, A.F. (1988).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H.R.1214 - Civil Rights Restoration Act of 1987</w:t>
      </w:r>
      <w:r>
        <w:rPr>
          <w:color w:val="000000"/>
        </w:rPr>
        <w:t>. [online] www.congress.gov. Available at: https://www.congress.gov/bill/100th-congress/house-bill/1214 [Accessed 22 Oct. 2026].</w:t>
      </w:r>
    </w:p>
    <w:p w14:paraId="18FBEA50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Lhamon, C.E. and Samuels, J. (2014).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Dear Colleague Letter On The Nondiscriminatory Administration Of School Discipline</w:t>
      </w:r>
      <w:r>
        <w:rPr>
          <w:color w:val="000000"/>
        </w:rPr>
        <w:t>. U.S. Department of Education, Office for Civil Rights.</w:t>
      </w:r>
    </w:p>
    <w:p w14:paraId="1358B709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Martin, D.S.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DOJ Final Rule Limits Title VI Claims to Intentional Discrimination</w:t>
      </w:r>
      <w:r>
        <w:rPr>
          <w:rStyle w:val="apple-converted-space"/>
          <w:i/>
          <w:iCs/>
          <w:color w:val="000000"/>
        </w:rPr>
        <w:t> </w:t>
      </w:r>
      <w:r>
        <w:rPr>
          <w:color w:val="000000"/>
        </w:rPr>
        <w:t>. [online] Venable. Available at: https://www.venable.com/insights/publications/2025/12/doj-final-rule-limits-title-vi-claims-to [Accessed 22 Oct. 2026].</w:t>
      </w:r>
    </w:p>
    <w:p w14:paraId="4D72A20B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Nj.gov. (2026).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Civil Rights/Affirmative Action: Title VI Nondiscrimination Frequently Asked Questions</w:t>
      </w:r>
      <w:r>
        <w:rPr>
          <w:color w:val="000000"/>
        </w:rPr>
        <w:t>. [online] Available at: https://dot.nj.gov/transportation/business/civilrights/faq_titlevi.shtm [Accessed 22 Oct. 2026].</w:t>
      </w:r>
    </w:p>
    <w:p w14:paraId="41BF6EAA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Sugarman, S.D. and Widess, E.G. (1974). Equal Protection For Non-English-Speaking School Children: Lau V. Nichols.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California Law Review</w:t>
      </w:r>
      <w:r>
        <w:rPr>
          <w:color w:val="000000"/>
        </w:rPr>
        <w:t>, 62(1), p.157. doi:10.2307/3479823.</w:t>
      </w:r>
    </w:p>
    <w:p w14:paraId="68055476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Trainor, C.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Dear Colleague Letter: Title VI Of The Civil Rights Act In Light Of Students For Fair Admissions V. Harvard</w:t>
      </w:r>
      <w:r>
        <w:rPr>
          <w:color w:val="000000"/>
        </w:rPr>
        <w:t>. United States Department of Education, Office for Civil Rights, pp.1–2.</w:t>
      </w:r>
    </w:p>
    <w:p w14:paraId="2F861181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Trump, D.</w:t>
      </w:r>
      <w:r>
        <w:rPr>
          <w:color w:val="000000"/>
          <w:lang w:val="en-US"/>
        </w:rPr>
        <w:t>J.</w:t>
      </w:r>
      <w:r>
        <w:rPr>
          <w:color w:val="000000"/>
        </w:rPr>
        <w:t xml:space="preserve"> (2025</w:t>
      </w:r>
      <w:r>
        <w:rPr>
          <w:rFonts w:hint="eastAsia"/>
          <w:color w:val="000000"/>
        </w:rPr>
        <w:t>a</w:t>
      </w:r>
      <w:r>
        <w:rPr>
          <w:color w:val="000000"/>
        </w:rPr>
        <w:t>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Restoring Equality of Opportunity and Meritocracy</w:t>
      </w:r>
      <w:r>
        <w:rPr>
          <w:color w:val="000000"/>
        </w:rPr>
        <w:t>. [online] The White House. Available at: https://www.whitehouse.gov/presidential-actions/2025/04/restoring-equality-of-opportunity-and-meritocracy/ [Accessed 22 Oct. 2026].</w:t>
      </w:r>
    </w:p>
    <w:p w14:paraId="455A4526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Trump, D.J. (2025b).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Reinstating Common Sense School Discipline Policies</w:t>
      </w:r>
      <w:r>
        <w:rPr>
          <w:color w:val="000000"/>
        </w:rPr>
        <w:t>. [online] The White House. Available at: https://www.whitehouse.gov/presidential-actions/2025/04/reinstating-common-sense-school-discipline-policies/ [Accessed 23 Oct. 2026].</w:t>
      </w:r>
    </w:p>
    <w:p w14:paraId="331BA0FE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US Social Security Administration. (2026).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Compilation Of The Social Security Laws</w:t>
      </w:r>
      <w:r>
        <w:rPr>
          <w:color w:val="000000"/>
        </w:rPr>
        <w:t>. [online] Available at: https://www.ssa.gov/OP_Home/comp2/F088-352.html [Accessed 22 Oct. 2026].</w:t>
      </w:r>
    </w:p>
    <w:p w14:paraId="2E27937B" w14:textId="77777777" w:rsidR="002C7521" w:rsidRDefault="002C7521" w:rsidP="002C7521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Weldon, W. (1990). Effects Of The 1987 Civil Rights Restoration Act On Educational Policy And Practice.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Journal of Negro Education</w:t>
      </w:r>
      <w:r>
        <w:rPr>
          <w:color w:val="000000"/>
        </w:rPr>
        <w:t>, 59(2), p.155. doi:10.2307/2295641.</w:t>
      </w:r>
    </w:p>
    <w:p w14:paraId="5EF85D5A" w14:textId="77777777" w:rsidR="00E92A09" w:rsidRDefault="00E92A09"/>
    <w:p w14:paraId="188C99B3" w14:textId="77777777" w:rsidR="002C7521" w:rsidRDefault="002C7521"/>
    <w:p w14:paraId="0E321AE9" w14:textId="4570F173" w:rsidR="00E92A09" w:rsidRPr="00A0302F" w:rsidRDefault="00E92A09" w:rsidP="00E92A09">
      <w:pPr>
        <w:jc w:val="center"/>
        <w:rPr>
          <w:b/>
          <w:bCs/>
          <w:lang w:val="en-US"/>
        </w:rPr>
      </w:pPr>
      <w:r w:rsidRPr="00A0302F">
        <w:rPr>
          <w:b/>
          <w:bCs/>
          <w:lang w:val="en-US"/>
        </w:rPr>
        <w:lastRenderedPageBreak/>
        <w:t>References for the Poster</w:t>
      </w:r>
    </w:p>
    <w:p w14:paraId="64910211" w14:textId="77777777" w:rsidR="00E92A09" w:rsidRDefault="00E92A09" w:rsidP="00E92A09">
      <w:pPr>
        <w:jc w:val="center"/>
        <w:rPr>
          <w:lang w:val="en-US"/>
        </w:rPr>
      </w:pPr>
    </w:p>
    <w:p w14:paraId="333F17D7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Assad, S. and Ramos, A.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U.S. Department Of Education Investigating Northwestern After Anti-Palestinian, Islamophobic Complaint</w:t>
      </w:r>
      <w:r>
        <w:rPr>
          <w:color w:val="000000"/>
        </w:rPr>
        <w:t>. [online] CBS News. Available at: https://www.cbsnews.com/chicago/news/federal-civil-rights-complaint-northwestern-discriminating-palestinian-muslim-students/ [Accessed 25 Oct. 2026].</w:t>
      </w:r>
    </w:p>
    <w:p w14:paraId="1682599E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 w:rsidRPr="00AC7567">
        <w:rPr>
          <w:color w:val="000000"/>
        </w:rPr>
        <w:t xml:space="preserve">Gill-Pedro, E. (2020) </w:t>
      </w:r>
      <w:r>
        <w:rPr>
          <w:rFonts w:hint="eastAsia"/>
          <w:color w:val="000000"/>
        </w:rPr>
        <w:t>‘</w:t>
      </w:r>
      <w:r w:rsidRPr="00AC7567">
        <w:rPr>
          <w:color w:val="000000"/>
        </w:rPr>
        <w:t xml:space="preserve">Claiming </w:t>
      </w:r>
      <w:r>
        <w:rPr>
          <w:color w:val="000000"/>
        </w:rPr>
        <w:t>H</w:t>
      </w:r>
      <w:r w:rsidRPr="00AC7567">
        <w:rPr>
          <w:color w:val="000000"/>
        </w:rPr>
        <w:t xml:space="preserve">uman </w:t>
      </w:r>
      <w:r>
        <w:rPr>
          <w:color w:val="000000"/>
        </w:rPr>
        <w:t>R</w:t>
      </w:r>
      <w:r w:rsidRPr="00AC7567">
        <w:rPr>
          <w:color w:val="000000"/>
        </w:rPr>
        <w:t xml:space="preserve">ights: The </w:t>
      </w:r>
      <w:r>
        <w:rPr>
          <w:color w:val="000000"/>
        </w:rPr>
        <w:t>R</w:t>
      </w:r>
      <w:r w:rsidRPr="00AC7567">
        <w:rPr>
          <w:color w:val="000000"/>
        </w:rPr>
        <w:t xml:space="preserve">eflexive </w:t>
      </w:r>
      <w:r>
        <w:rPr>
          <w:color w:val="000000"/>
        </w:rPr>
        <w:t>I</w:t>
      </w:r>
      <w:r w:rsidRPr="00AC7567">
        <w:rPr>
          <w:color w:val="000000"/>
        </w:rPr>
        <w:t xml:space="preserve">dentity </w:t>
      </w:r>
      <w:r>
        <w:rPr>
          <w:color w:val="000000"/>
        </w:rPr>
        <w:t>O</w:t>
      </w:r>
      <w:r w:rsidRPr="00AC7567">
        <w:rPr>
          <w:color w:val="000000"/>
        </w:rPr>
        <w:t xml:space="preserve">f </w:t>
      </w:r>
      <w:r>
        <w:rPr>
          <w:color w:val="000000"/>
        </w:rPr>
        <w:t>T</w:t>
      </w:r>
      <w:r w:rsidRPr="00AC7567">
        <w:rPr>
          <w:color w:val="000000"/>
        </w:rPr>
        <w:t xml:space="preserve">he </w:t>
      </w:r>
      <w:r>
        <w:rPr>
          <w:color w:val="000000"/>
        </w:rPr>
        <w:t>P</w:t>
      </w:r>
      <w:r w:rsidRPr="00AC7567">
        <w:rPr>
          <w:color w:val="000000"/>
        </w:rPr>
        <w:t>eople</w:t>
      </w:r>
      <w:r>
        <w:rPr>
          <w:rFonts w:hint="eastAsia"/>
          <w:color w:val="000000"/>
        </w:rPr>
        <w:t>’</w:t>
      </w:r>
      <w:r w:rsidRPr="00AC7567">
        <w:rPr>
          <w:color w:val="000000"/>
        </w:rPr>
        <w:t>, in Matilda Arvidsson, Leila Brännström and Panu Minkkinen (ed.) </w:t>
      </w:r>
      <w:r w:rsidRPr="00AC7567">
        <w:rPr>
          <w:i/>
          <w:iCs/>
          <w:color w:val="000000"/>
        </w:rPr>
        <w:t xml:space="preserve">Constituent </w:t>
      </w:r>
      <w:r>
        <w:rPr>
          <w:i/>
          <w:iCs/>
          <w:color w:val="000000"/>
        </w:rPr>
        <w:t>P</w:t>
      </w:r>
      <w:r w:rsidRPr="00AC7567">
        <w:rPr>
          <w:i/>
          <w:iCs/>
          <w:color w:val="000000"/>
        </w:rPr>
        <w:t xml:space="preserve">ower: Law, </w:t>
      </w:r>
      <w:r>
        <w:rPr>
          <w:i/>
          <w:iCs/>
          <w:color w:val="000000"/>
        </w:rPr>
        <w:t>P</w:t>
      </w:r>
      <w:r w:rsidRPr="00AC7567">
        <w:rPr>
          <w:i/>
          <w:iCs/>
          <w:color w:val="000000"/>
        </w:rPr>
        <w:t xml:space="preserve">opular </w:t>
      </w:r>
      <w:r>
        <w:rPr>
          <w:i/>
          <w:iCs/>
          <w:color w:val="000000"/>
        </w:rPr>
        <w:t>R</w:t>
      </w:r>
      <w:r w:rsidRPr="00AC7567">
        <w:rPr>
          <w:i/>
          <w:iCs/>
          <w:color w:val="000000"/>
        </w:rPr>
        <w:t xml:space="preserve">ule </w:t>
      </w:r>
      <w:r>
        <w:rPr>
          <w:i/>
          <w:iCs/>
          <w:color w:val="000000"/>
        </w:rPr>
        <w:t>A</w:t>
      </w:r>
      <w:r w:rsidRPr="00AC7567">
        <w:rPr>
          <w:i/>
          <w:iCs/>
          <w:color w:val="000000"/>
        </w:rPr>
        <w:t xml:space="preserve">nd </w:t>
      </w:r>
      <w:r>
        <w:rPr>
          <w:i/>
          <w:iCs/>
          <w:color w:val="000000"/>
        </w:rPr>
        <w:t>P</w:t>
      </w:r>
      <w:r w:rsidRPr="00AC7567">
        <w:rPr>
          <w:i/>
          <w:iCs/>
          <w:color w:val="000000"/>
        </w:rPr>
        <w:t>olitics</w:t>
      </w:r>
      <w:r w:rsidRPr="00AC7567">
        <w:rPr>
          <w:color w:val="000000"/>
        </w:rPr>
        <w:t>. Edinburgh University Press, pp. 132–147.</w:t>
      </w:r>
    </w:p>
    <w:p w14:paraId="21B4B2F4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Grofman, B. (2000).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Legacies Of The 1964 Civil Rights Act</w:t>
      </w:r>
      <w:r>
        <w:rPr>
          <w:color w:val="000000"/>
        </w:rPr>
        <w:t>. University Press of Virginia.</w:t>
      </w:r>
    </w:p>
    <w:p w14:paraId="2C420918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Hsin, J.S.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Civil Rights At School: Agency Enforcement Of Title VI Of The Civil Rights Act Of 1964</w:t>
      </w:r>
      <w:r>
        <w:rPr>
          <w:color w:val="000000"/>
        </w:rPr>
        <w:t>. Congressional Research Service.</w:t>
      </w:r>
    </w:p>
    <w:p w14:paraId="7C639802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Kramer, L. (2004).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People Themselves: Popular Constitutionalism And Judicial Review</w:t>
      </w:r>
      <w:r>
        <w:rPr>
          <w:color w:val="000000"/>
        </w:rPr>
        <w:t>. Oxford University Press.</w:t>
      </w:r>
    </w:p>
    <w:p w14:paraId="13CB9112" w14:textId="77777777" w:rsidR="00E92A09" w:rsidRPr="00F07D83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Li, D.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Discriminating Against Dissent: The Weaponization Of Civil Rights Law To Repress Campus Speech On Palestine</w:t>
      </w:r>
      <w:r>
        <w:rPr>
          <w:color w:val="000000"/>
        </w:rPr>
        <w:t>. AAUP &amp; MESA.</w:t>
      </w:r>
    </w:p>
    <w:p w14:paraId="03891B43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Martin, D.S.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DOJ Final Rule Limits Title VI Claims to Intentional Discrimination</w:t>
      </w:r>
      <w:r>
        <w:rPr>
          <w:rStyle w:val="apple-converted-space"/>
          <w:i/>
          <w:iCs/>
          <w:color w:val="000000"/>
        </w:rPr>
        <w:t> </w:t>
      </w:r>
      <w:r>
        <w:rPr>
          <w:color w:val="000000"/>
        </w:rPr>
        <w:t>. [online] Venable. Available at: https://www.venable.com/insights/publications/2025/12/doj-final-rule-limits-title-vi-claims-to [Accessed 22 Oct. 2026].</w:t>
      </w:r>
    </w:p>
    <w:p w14:paraId="3DE783E6" w14:textId="77777777" w:rsidR="00E92A09" w:rsidRPr="00F07D83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Meckler, L.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Courts Block Trump’s Effort To Prohibit DEI Programs In Schools</w:t>
      </w:r>
      <w:r>
        <w:rPr>
          <w:color w:val="000000"/>
        </w:rPr>
        <w:t>. [online] The Washington Post. Available at: https://www.washingtonpost.com/education/2025/04/24/trump-dei-schools-blocked-courts/ [Accessed 25 Oct. 2026].</w:t>
      </w:r>
    </w:p>
    <w:p w14:paraId="75BBEEFC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National Archives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Civil Rights Act (1964)</w:t>
      </w:r>
      <w:r>
        <w:rPr>
          <w:color w:val="000000"/>
        </w:rPr>
        <w:t>. [online] National Archives. Available at: https://www.archives.gov/milestone-documents/civil-rights-act [Accessed 24 Oct. 2026].</w:t>
      </w:r>
    </w:p>
    <w:p w14:paraId="45CC30FC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Owens, J.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Students’ Rights, The 1964 Civil Rights Act, And The Impact Of Federal Cuts</w:t>
      </w:r>
      <w:r>
        <w:rPr>
          <w:color w:val="000000"/>
        </w:rPr>
        <w:t>. [online] New America. Available at: https://www.newamerica.org/insights/students-rights-the-1964-civil-rights-act-and-the-impact-of-federal-cuts/ [Accessed 24 Oct. 2026].</w:t>
      </w:r>
    </w:p>
    <w:p w14:paraId="457FFB8E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rStyle w:val="apple-converted-space"/>
          <w:color w:val="000000"/>
        </w:rPr>
      </w:pPr>
      <w:r>
        <w:rPr>
          <w:color w:val="000000"/>
        </w:rPr>
        <w:lastRenderedPageBreak/>
        <w:t>Sorial, H. (2026)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Legal Defense Fund: Ed Dept’s Title VI rollback weakens Anti-Discrimination Safeguards - Davis Vanguard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Vanguard News Group</w:t>
      </w:r>
      <w:r>
        <w:rPr>
          <w:color w:val="000000"/>
        </w:rPr>
        <w:t>. Available at: https://davisvanguard.org/2026/07/doe-title-vi-disparate-impact-rollback/ (Accessed: 24 October 2026).</w:t>
      </w:r>
      <w:r>
        <w:rPr>
          <w:rStyle w:val="apple-converted-space"/>
          <w:color w:val="000000"/>
        </w:rPr>
        <w:t> </w:t>
      </w:r>
    </w:p>
    <w:p w14:paraId="59E23F6A" w14:textId="77777777" w:rsidR="00E92A09" w:rsidRPr="00F07D83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Suthammanont, V. (2009). Rebalancing The Scales: Restoring The Availability Of Disparate Impact Causes Of Action In Title VI Cases.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New York Law School Law Journal</w:t>
      </w:r>
      <w:r>
        <w:rPr>
          <w:color w:val="000000"/>
        </w:rPr>
        <w:t>, [online] 54(1 (Alumni Issue)), p.27. Available at: https://digitalcommons.nyls.edu/nyls_law_review [Accessed 24 Oct. 2026].</w:t>
      </w:r>
    </w:p>
    <w:p w14:paraId="57A7B4A0" w14:textId="77777777" w:rsidR="00E92A09" w:rsidRDefault="00E92A09" w:rsidP="00E92A0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Trump, D. (</w:t>
      </w:r>
      <w:r w:rsidRPr="005E08FD">
        <w:rPr>
          <w:color w:val="000000"/>
        </w:rPr>
        <w:t>2025</w:t>
      </w:r>
      <w:r>
        <w:rPr>
          <w:color w:val="000000"/>
        </w:rPr>
        <w:t>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Restoring Equality of Opportunity and Meritocracy</w:t>
      </w:r>
      <w:r>
        <w:rPr>
          <w:color w:val="000000"/>
        </w:rPr>
        <w:t>. [online] The White House. Available at: https://www.whitehouse.gov/presidential-actions/2025/04/restoring-equality-of-opportunity-and-meritocracy/ [Accessed 22 Oct. 2026].</w:t>
      </w:r>
    </w:p>
    <w:p w14:paraId="57C94646" w14:textId="77777777" w:rsidR="00E92A09" w:rsidRPr="00F07D83" w:rsidRDefault="00E92A09" w:rsidP="00E92A09"/>
    <w:p w14:paraId="2D7F782D" w14:textId="77777777" w:rsidR="00E92A09" w:rsidRDefault="00E92A09"/>
    <w:sectPr w:rsidR="00E92A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A3D3647"/>
    <w:multiLevelType w:val="hybridMultilevel"/>
    <w:tmpl w:val="F1529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73334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09"/>
    <w:rsid w:val="002C7521"/>
    <w:rsid w:val="00541975"/>
    <w:rsid w:val="00625D27"/>
    <w:rsid w:val="006414A4"/>
    <w:rsid w:val="00A0302F"/>
    <w:rsid w:val="00E9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81DF9F"/>
  <w15:chartTrackingRefBased/>
  <w15:docId w15:val="{32B177B8-F718-FD40-9C03-2B6B62C1F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N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A09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2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2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2A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2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2A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2A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2A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2A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2A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2A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2A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2A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2A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2A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2A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2A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2A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2A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2A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2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2A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2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2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2A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2A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2A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2A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2A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2A0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92A0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E92A09"/>
  </w:style>
  <w:style w:type="character" w:styleId="Hyperlink">
    <w:name w:val="Hyperlink"/>
    <w:basedOn w:val="DefaultParagraphFont"/>
    <w:uiPriority w:val="99"/>
    <w:unhideWhenUsed/>
    <w:rsid w:val="00E92A0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awecommons.luc.edu/luclj/vol16/iss2/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1485</Words>
  <Characters>8470</Characters>
  <Application>Microsoft Office Word</Application>
  <DocSecurity>0</DocSecurity>
  <Lines>70</Lines>
  <Paragraphs>19</Paragraphs>
  <ScaleCrop>false</ScaleCrop>
  <Company/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 WANG</dc:creator>
  <cp:keywords/>
  <dc:description/>
  <cp:lastModifiedBy>YI WANG</cp:lastModifiedBy>
  <cp:revision>5</cp:revision>
  <dcterms:created xsi:type="dcterms:W3CDTF">2026-10-26T15:55:00Z</dcterms:created>
  <dcterms:modified xsi:type="dcterms:W3CDTF">2026-10-26T20:02:00Z</dcterms:modified>
</cp:coreProperties>
</file>