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C560C" w14:textId="7BFC3F79" w:rsidR="00704DD0" w:rsidRPr="00C51A44" w:rsidRDefault="00A42250" w:rsidP="009D6BA9">
      <w:pPr>
        <w:spacing w:line="480" w:lineRule="auto"/>
        <w:rPr>
          <w:rFonts w:ascii="Arial" w:hAnsi="Arial" w:cs="Arial"/>
          <w:b/>
          <w:bCs/>
          <w:sz w:val="24"/>
          <w:szCs w:val="24"/>
        </w:rPr>
      </w:pPr>
      <w:r w:rsidRPr="00C51A44">
        <w:rPr>
          <w:rFonts w:ascii="Arial" w:hAnsi="Arial" w:cs="Arial"/>
          <w:b/>
          <w:bCs/>
          <w:sz w:val="24"/>
          <w:szCs w:val="24"/>
        </w:rPr>
        <w:t xml:space="preserve">Essay </w:t>
      </w:r>
      <w:r w:rsidR="004B787B" w:rsidRPr="00C51A44">
        <w:rPr>
          <w:rFonts w:ascii="Arial" w:hAnsi="Arial" w:cs="Arial"/>
          <w:b/>
          <w:bCs/>
          <w:sz w:val="24"/>
          <w:szCs w:val="24"/>
        </w:rPr>
        <w:t>One</w:t>
      </w:r>
      <w:r w:rsidRPr="00C51A44">
        <w:rPr>
          <w:rFonts w:ascii="Arial" w:hAnsi="Arial" w:cs="Arial"/>
          <w:b/>
          <w:bCs/>
          <w:sz w:val="24"/>
          <w:szCs w:val="24"/>
        </w:rPr>
        <w:t>:</w:t>
      </w:r>
      <w:r w:rsidR="009D6BA9">
        <w:rPr>
          <w:rFonts w:ascii="Arial" w:hAnsi="Arial" w:cs="Arial"/>
          <w:b/>
          <w:bCs/>
          <w:sz w:val="24"/>
          <w:szCs w:val="24"/>
        </w:rPr>
        <w:t xml:space="preserve"> </w:t>
      </w:r>
      <w:r w:rsidR="009D6BA9" w:rsidRPr="009D6BA9">
        <w:rPr>
          <w:rFonts w:ascii="Arial" w:hAnsi="Arial" w:cs="Arial"/>
          <w:b/>
          <w:bCs/>
          <w:sz w:val="24"/>
          <w:szCs w:val="24"/>
        </w:rPr>
        <w:t>Research conducted on behalf of HMICFRS found that if people do not believe that the police</w:t>
      </w:r>
      <w:r w:rsidR="009D6BA9">
        <w:rPr>
          <w:rFonts w:ascii="Arial" w:hAnsi="Arial" w:cs="Arial"/>
          <w:b/>
          <w:bCs/>
          <w:sz w:val="24"/>
          <w:szCs w:val="24"/>
        </w:rPr>
        <w:t xml:space="preserve"> </w:t>
      </w:r>
      <w:r w:rsidR="009D6BA9" w:rsidRPr="009D6BA9">
        <w:rPr>
          <w:rFonts w:ascii="Arial" w:hAnsi="Arial" w:cs="Arial"/>
          <w:b/>
          <w:bCs/>
          <w:sz w:val="24"/>
          <w:szCs w:val="24"/>
        </w:rPr>
        <w:t>treat the public fairly and with respect, they are significantly less likely to report crime either as</w:t>
      </w:r>
      <w:r w:rsidR="009D6BA9">
        <w:rPr>
          <w:rFonts w:ascii="Arial" w:hAnsi="Arial" w:cs="Arial"/>
          <w:b/>
          <w:bCs/>
          <w:sz w:val="24"/>
          <w:szCs w:val="24"/>
        </w:rPr>
        <w:t xml:space="preserve"> </w:t>
      </w:r>
      <w:r w:rsidR="009D6BA9" w:rsidRPr="009D6BA9">
        <w:rPr>
          <w:rFonts w:ascii="Arial" w:hAnsi="Arial" w:cs="Arial"/>
          <w:b/>
          <w:bCs/>
          <w:sz w:val="24"/>
          <w:szCs w:val="24"/>
        </w:rPr>
        <w:t>a victim or a witness (BMG Research, 2018). How effective are measures in place to ensure</w:t>
      </w:r>
      <w:r w:rsidR="009D6BA9">
        <w:rPr>
          <w:rFonts w:ascii="Arial" w:hAnsi="Arial" w:cs="Arial"/>
          <w:b/>
          <w:bCs/>
          <w:sz w:val="24"/>
          <w:szCs w:val="24"/>
        </w:rPr>
        <w:t xml:space="preserve"> </w:t>
      </w:r>
      <w:r w:rsidR="009D6BA9" w:rsidRPr="009D6BA9">
        <w:rPr>
          <w:rFonts w:ascii="Arial" w:hAnsi="Arial" w:cs="Arial"/>
          <w:b/>
          <w:bCs/>
          <w:sz w:val="24"/>
          <w:szCs w:val="24"/>
        </w:rPr>
        <w:t>that officers act with integrity and treat the public fairly and with respect?</w:t>
      </w:r>
    </w:p>
    <w:p w14:paraId="524BCEDD" w14:textId="77777777" w:rsidR="00A42250" w:rsidRDefault="00A42250" w:rsidP="00C51A44">
      <w:pPr>
        <w:spacing w:line="480" w:lineRule="auto"/>
        <w:rPr>
          <w:rFonts w:ascii="Arial" w:hAnsi="Arial" w:cs="Arial"/>
          <w:sz w:val="24"/>
          <w:szCs w:val="24"/>
        </w:rPr>
      </w:pPr>
    </w:p>
    <w:p w14:paraId="51EC4754" w14:textId="5C07F714" w:rsidR="009D6BA9" w:rsidRDefault="009D6BA9" w:rsidP="00C51A44">
      <w:pPr>
        <w:spacing w:line="480" w:lineRule="auto"/>
        <w:rPr>
          <w:rFonts w:ascii="Arial" w:hAnsi="Arial" w:cs="Arial"/>
          <w:sz w:val="24"/>
          <w:szCs w:val="24"/>
        </w:rPr>
      </w:pPr>
      <w:r>
        <w:rPr>
          <w:rFonts w:ascii="Arial" w:hAnsi="Arial" w:cs="Arial"/>
          <w:sz w:val="24"/>
          <w:szCs w:val="24"/>
        </w:rPr>
        <w:t xml:space="preserve">The HMICFRS </w:t>
      </w:r>
      <w:r w:rsidR="00B35498">
        <w:rPr>
          <w:rFonts w:ascii="Arial" w:hAnsi="Arial" w:cs="Arial"/>
          <w:sz w:val="24"/>
          <w:szCs w:val="24"/>
        </w:rPr>
        <w:t xml:space="preserve">in 2018 have stated that if people don’t believe that the Police treat the public fairly and with respect, they are less likely to report a crime. This essay aims to detail how effective different measures are at combating the view that the Public Hold in the police. College of Police (2015) cover the aspect of the Professional Standards Department (PSD) who handle the complaints procedure against Police Officers. This will be talked about alongside </w:t>
      </w:r>
      <w:proofErr w:type="spellStart"/>
      <w:r w:rsidR="00B35498">
        <w:rPr>
          <w:rFonts w:ascii="Arial" w:hAnsi="Arial" w:cs="Arial"/>
          <w:sz w:val="24"/>
          <w:szCs w:val="24"/>
        </w:rPr>
        <w:t>Torrible</w:t>
      </w:r>
      <w:proofErr w:type="spellEnd"/>
      <w:r w:rsidR="00B35498">
        <w:rPr>
          <w:rFonts w:ascii="Arial" w:hAnsi="Arial" w:cs="Arial"/>
          <w:sz w:val="24"/>
          <w:szCs w:val="24"/>
        </w:rPr>
        <w:t xml:space="preserve"> (2021) who details how the Policing and Crime Act (PACA) 2017 had been introduced to reform the complaints and discipline system within the police and promote integrity. </w:t>
      </w:r>
    </w:p>
    <w:p w14:paraId="2AC4F336" w14:textId="77777777" w:rsidR="009D6BA9" w:rsidRPr="00C51A44" w:rsidRDefault="009D6BA9" w:rsidP="00C51A44">
      <w:pPr>
        <w:spacing w:line="480" w:lineRule="auto"/>
        <w:rPr>
          <w:rFonts w:ascii="Arial" w:hAnsi="Arial" w:cs="Arial"/>
          <w:sz w:val="24"/>
          <w:szCs w:val="24"/>
        </w:rPr>
      </w:pPr>
    </w:p>
    <w:p w14:paraId="4490EE54" w14:textId="44A7B14C" w:rsidR="00C73E12" w:rsidRPr="00C51A44" w:rsidRDefault="00707806" w:rsidP="00C51A44">
      <w:pPr>
        <w:spacing w:line="480" w:lineRule="auto"/>
        <w:rPr>
          <w:rFonts w:ascii="Arial" w:hAnsi="Arial" w:cs="Arial"/>
          <w:sz w:val="24"/>
          <w:szCs w:val="24"/>
        </w:rPr>
      </w:pPr>
      <w:r w:rsidRPr="00C51A44">
        <w:rPr>
          <w:rFonts w:ascii="Arial" w:hAnsi="Arial" w:cs="Arial"/>
          <w:sz w:val="24"/>
          <w:szCs w:val="24"/>
        </w:rPr>
        <w:t xml:space="preserve">As per </w:t>
      </w:r>
      <w:r w:rsidR="0022104C" w:rsidRPr="00C51A44">
        <w:rPr>
          <w:rFonts w:ascii="Arial" w:hAnsi="Arial" w:cs="Arial"/>
          <w:sz w:val="24"/>
          <w:szCs w:val="24"/>
        </w:rPr>
        <w:t xml:space="preserve">Hambly and Hanway (2023) confidence in the Police is a required attribute for the Police Services to conduct their duties. Transparency of the Police and perceptions of the Police treating people fairly and with respect are important in ensuring cooperation with the public. </w:t>
      </w:r>
      <w:r w:rsidR="001C349F">
        <w:rPr>
          <w:rFonts w:ascii="Arial" w:hAnsi="Arial" w:cs="Arial"/>
          <w:sz w:val="24"/>
          <w:szCs w:val="24"/>
        </w:rPr>
        <w:t xml:space="preserve">This is backed up by Mohammed et al (2023) who states trust and legitimacy means that the Public are more likely to cooperate with the Police. </w:t>
      </w:r>
      <w:r w:rsidR="00C73E12" w:rsidRPr="00C51A44">
        <w:rPr>
          <w:rFonts w:ascii="Arial" w:hAnsi="Arial" w:cs="Arial"/>
          <w:sz w:val="24"/>
          <w:szCs w:val="24"/>
        </w:rPr>
        <w:t xml:space="preserve">Hambly and Hanway (2023) found that contact with the public was a key part of obtaining confidence and trust in Police services and Satisfaction with their acts. This can be seen in BMG Research (2018) </w:t>
      </w:r>
      <w:r w:rsidR="00B20CFB">
        <w:rPr>
          <w:rFonts w:ascii="Arial" w:hAnsi="Arial" w:cs="Arial"/>
          <w:sz w:val="24"/>
          <w:szCs w:val="24"/>
        </w:rPr>
        <w:t>who have found that</w:t>
      </w:r>
      <w:r w:rsidR="00C73E12" w:rsidRPr="00C51A44">
        <w:rPr>
          <w:rFonts w:ascii="Arial" w:hAnsi="Arial" w:cs="Arial"/>
          <w:sz w:val="24"/>
          <w:szCs w:val="24"/>
        </w:rPr>
        <w:t xml:space="preserve"> people </w:t>
      </w:r>
      <w:r w:rsidR="00C73E12" w:rsidRPr="00C51A44">
        <w:rPr>
          <w:rFonts w:ascii="Arial" w:hAnsi="Arial" w:cs="Arial"/>
          <w:sz w:val="24"/>
          <w:szCs w:val="24"/>
        </w:rPr>
        <w:lastRenderedPageBreak/>
        <w:t xml:space="preserve">aren’t informed as to what their local Police are doing and about their own safety due to the lack of engagement from and with Police. </w:t>
      </w:r>
    </w:p>
    <w:p w14:paraId="2C3A43FE" w14:textId="77777777" w:rsidR="00C73E12" w:rsidRPr="00C51A44" w:rsidRDefault="00C73E12" w:rsidP="00C51A44">
      <w:pPr>
        <w:spacing w:line="480" w:lineRule="auto"/>
        <w:rPr>
          <w:rFonts w:ascii="Arial" w:hAnsi="Arial" w:cs="Arial"/>
          <w:sz w:val="24"/>
          <w:szCs w:val="24"/>
        </w:rPr>
      </w:pPr>
    </w:p>
    <w:p w14:paraId="3042DE0E" w14:textId="01814AD1" w:rsidR="00B47FFE" w:rsidRPr="00C51A44" w:rsidRDefault="00B47FFE" w:rsidP="00C51A44">
      <w:pPr>
        <w:spacing w:line="480" w:lineRule="auto"/>
        <w:rPr>
          <w:rFonts w:ascii="Arial" w:hAnsi="Arial" w:cs="Arial"/>
          <w:sz w:val="24"/>
          <w:szCs w:val="24"/>
        </w:rPr>
      </w:pPr>
      <w:r w:rsidRPr="00C51A44">
        <w:rPr>
          <w:rFonts w:ascii="Arial" w:hAnsi="Arial" w:cs="Arial"/>
          <w:sz w:val="24"/>
          <w:szCs w:val="24"/>
        </w:rPr>
        <w:t xml:space="preserve">Hunt (2024) </w:t>
      </w:r>
      <w:r w:rsidR="00B20CFB">
        <w:rPr>
          <w:rFonts w:ascii="Arial" w:hAnsi="Arial" w:cs="Arial"/>
          <w:sz w:val="24"/>
          <w:szCs w:val="24"/>
        </w:rPr>
        <w:t>states</w:t>
      </w:r>
      <w:r w:rsidRPr="00C51A44">
        <w:rPr>
          <w:rFonts w:ascii="Arial" w:hAnsi="Arial" w:cs="Arial"/>
          <w:sz w:val="24"/>
          <w:szCs w:val="24"/>
        </w:rPr>
        <w:t xml:space="preserve"> that Police are perceived to use dishonesty as a tactic in order to provide the means to the end</w:t>
      </w:r>
      <w:r w:rsidR="00B20CFB">
        <w:rPr>
          <w:rFonts w:ascii="Arial" w:hAnsi="Arial" w:cs="Arial"/>
          <w:sz w:val="24"/>
          <w:szCs w:val="24"/>
        </w:rPr>
        <w:t xml:space="preserve">. An example given is in order to </w:t>
      </w:r>
      <w:r w:rsidRPr="00C51A44">
        <w:rPr>
          <w:rFonts w:ascii="Arial" w:hAnsi="Arial" w:cs="Arial"/>
          <w:sz w:val="24"/>
          <w:szCs w:val="24"/>
        </w:rPr>
        <w:t xml:space="preserve">lure someone who is believed to be wanted out of hiding. </w:t>
      </w:r>
      <w:r w:rsidR="0022104C" w:rsidRPr="00C51A44">
        <w:rPr>
          <w:rFonts w:ascii="Arial" w:hAnsi="Arial" w:cs="Arial"/>
          <w:sz w:val="24"/>
          <w:szCs w:val="24"/>
        </w:rPr>
        <w:t>This is further backed up by the COP</w:t>
      </w:r>
      <w:r w:rsidR="00B35498">
        <w:rPr>
          <w:rFonts w:ascii="Arial" w:hAnsi="Arial" w:cs="Arial"/>
          <w:sz w:val="24"/>
          <w:szCs w:val="24"/>
        </w:rPr>
        <w:t xml:space="preserve"> </w:t>
      </w:r>
      <w:r w:rsidR="0022104C" w:rsidRPr="00C51A44">
        <w:rPr>
          <w:rFonts w:ascii="Arial" w:hAnsi="Arial" w:cs="Arial"/>
          <w:sz w:val="24"/>
          <w:szCs w:val="24"/>
        </w:rPr>
        <w:t xml:space="preserve">(2015) whereby they state that the Police within the UK rely on the trust and confidence within the public in order to conduct their job. COP go onto detail that the PSD cover Complaints and Misconduct of all Officers within their force, whilst also conducting Vetting on members within and joining the Force, to ensure the trust in Officers isn’t </w:t>
      </w:r>
      <w:proofErr w:type="gramStart"/>
      <w:r w:rsidR="0022104C" w:rsidRPr="00C51A44">
        <w:rPr>
          <w:rFonts w:ascii="Arial" w:hAnsi="Arial" w:cs="Arial"/>
          <w:sz w:val="24"/>
          <w:szCs w:val="24"/>
        </w:rPr>
        <w:t>effected</w:t>
      </w:r>
      <w:proofErr w:type="gramEnd"/>
      <w:r w:rsidR="0022104C" w:rsidRPr="00C51A44">
        <w:rPr>
          <w:rFonts w:ascii="Arial" w:hAnsi="Arial" w:cs="Arial"/>
          <w:sz w:val="24"/>
          <w:szCs w:val="24"/>
        </w:rPr>
        <w:t>.</w:t>
      </w:r>
      <w:r w:rsidR="009D6BA9">
        <w:rPr>
          <w:rFonts w:ascii="Arial" w:hAnsi="Arial" w:cs="Arial"/>
          <w:sz w:val="24"/>
          <w:szCs w:val="24"/>
        </w:rPr>
        <w:t xml:space="preserve"> </w:t>
      </w:r>
      <w:r w:rsidRPr="00C51A44">
        <w:rPr>
          <w:rFonts w:ascii="Arial" w:hAnsi="Arial" w:cs="Arial"/>
          <w:sz w:val="24"/>
          <w:szCs w:val="24"/>
        </w:rPr>
        <w:t xml:space="preserve">Hunt (2024) poses the problem that although trust is an important aspect of policing, dishonesty and deception is a tool that is regularly used by Police, that thus impacts the </w:t>
      </w:r>
      <w:proofErr w:type="gramStart"/>
      <w:r w:rsidRPr="00C51A44">
        <w:rPr>
          <w:rFonts w:ascii="Arial" w:hAnsi="Arial" w:cs="Arial"/>
          <w:sz w:val="24"/>
          <w:szCs w:val="24"/>
        </w:rPr>
        <w:t>Public</w:t>
      </w:r>
      <w:proofErr w:type="gramEnd"/>
      <w:r w:rsidRPr="00C51A44">
        <w:rPr>
          <w:rFonts w:ascii="Arial" w:hAnsi="Arial" w:cs="Arial"/>
          <w:sz w:val="24"/>
          <w:szCs w:val="24"/>
        </w:rPr>
        <w:t xml:space="preserve"> perception.</w:t>
      </w:r>
      <w:r w:rsidR="009D477D" w:rsidRPr="00C51A44">
        <w:rPr>
          <w:rFonts w:ascii="Arial" w:hAnsi="Arial" w:cs="Arial"/>
          <w:sz w:val="24"/>
          <w:szCs w:val="24"/>
        </w:rPr>
        <w:t xml:space="preserve"> </w:t>
      </w:r>
      <w:r w:rsidR="001C349F">
        <w:rPr>
          <w:rFonts w:ascii="Arial" w:hAnsi="Arial" w:cs="Arial"/>
          <w:sz w:val="24"/>
          <w:szCs w:val="24"/>
        </w:rPr>
        <w:t xml:space="preserve">As Mohammed et al (2023) pose </w:t>
      </w:r>
      <w:r w:rsidR="00E16C7C">
        <w:rPr>
          <w:rFonts w:ascii="Arial" w:hAnsi="Arial" w:cs="Arial"/>
          <w:sz w:val="24"/>
          <w:szCs w:val="24"/>
        </w:rPr>
        <w:t>that community engagement is often used in order to improve the relationship between Police and Public and the Community Policing Model is often used as a method to do so, whereby the Community is put first in order to build trust and legitimacy that then provides more cooperation from the community.</w:t>
      </w:r>
    </w:p>
    <w:p w14:paraId="03CA7359" w14:textId="77777777" w:rsidR="009D477D" w:rsidRPr="00C51A44" w:rsidRDefault="009D477D" w:rsidP="00C51A44">
      <w:pPr>
        <w:spacing w:line="480" w:lineRule="auto"/>
        <w:rPr>
          <w:rFonts w:ascii="Arial" w:hAnsi="Arial" w:cs="Arial"/>
          <w:sz w:val="24"/>
          <w:szCs w:val="24"/>
        </w:rPr>
      </w:pPr>
    </w:p>
    <w:p w14:paraId="5615A39D" w14:textId="7975C627" w:rsidR="006A5961" w:rsidRDefault="00871E02" w:rsidP="00C51A44">
      <w:pPr>
        <w:spacing w:line="480" w:lineRule="auto"/>
        <w:rPr>
          <w:rFonts w:ascii="Arial" w:hAnsi="Arial" w:cs="Arial"/>
          <w:sz w:val="24"/>
          <w:szCs w:val="24"/>
        </w:rPr>
      </w:pPr>
      <w:r w:rsidRPr="00C51A44">
        <w:rPr>
          <w:rFonts w:ascii="Arial" w:hAnsi="Arial" w:cs="Arial"/>
          <w:sz w:val="24"/>
          <w:szCs w:val="24"/>
        </w:rPr>
        <w:t xml:space="preserve">As per </w:t>
      </w:r>
      <w:proofErr w:type="spellStart"/>
      <w:r w:rsidRPr="00C51A44">
        <w:rPr>
          <w:rFonts w:ascii="Arial" w:hAnsi="Arial" w:cs="Arial"/>
          <w:sz w:val="24"/>
          <w:szCs w:val="24"/>
        </w:rPr>
        <w:t>Torrible</w:t>
      </w:r>
      <w:proofErr w:type="spellEnd"/>
      <w:r w:rsidRPr="00C51A44">
        <w:rPr>
          <w:rFonts w:ascii="Arial" w:hAnsi="Arial" w:cs="Arial"/>
          <w:sz w:val="24"/>
          <w:szCs w:val="24"/>
        </w:rPr>
        <w:t xml:space="preserve"> (2021)</w:t>
      </w:r>
      <w:r w:rsidR="00B35498">
        <w:rPr>
          <w:rFonts w:ascii="Arial" w:hAnsi="Arial" w:cs="Arial"/>
          <w:sz w:val="24"/>
          <w:szCs w:val="24"/>
        </w:rPr>
        <w:t xml:space="preserve"> who states that PACA 2017</w:t>
      </w:r>
      <w:r w:rsidRPr="00C51A44">
        <w:rPr>
          <w:rFonts w:ascii="Arial" w:hAnsi="Arial" w:cs="Arial"/>
          <w:sz w:val="24"/>
          <w:szCs w:val="24"/>
        </w:rPr>
        <w:t xml:space="preserve"> had been introduced in order to try and promote integrity within police services by reforming the complaints and discipline system by focusing on </w:t>
      </w:r>
      <w:r w:rsidR="00B20CFB">
        <w:rPr>
          <w:rFonts w:ascii="Arial" w:hAnsi="Arial" w:cs="Arial"/>
          <w:sz w:val="24"/>
          <w:szCs w:val="24"/>
        </w:rPr>
        <w:t>the learning lessons method whereby it allows people to use previous examples in order to guide a more effective measure on tackling disciplinary measures</w:t>
      </w:r>
      <w:r w:rsidRPr="00C51A44">
        <w:rPr>
          <w:rFonts w:ascii="Arial" w:hAnsi="Arial" w:cs="Arial"/>
          <w:sz w:val="24"/>
          <w:szCs w:val="24"/>
        </w:rPr>
        <w:t xml:space="preserve">. This backs up COP (2015) whereby </w:t>
      </w:r>
      <w:proofErr w:type="spellStart"/>
      <w:r w:rsidRPr="00C51A44">
        <w:rPr>
          <w:rFonts w:ascii="Arial" w:hAnsi="Arial" w:cs="Arial"/>
          <w:sz w:val="24"/>
          <w:szCs w:val="24"/>
        </w:rPr>
        <w:t>Torrible</w:t>
      </w:r>
      <w:proofErr w:type="spellEnd"/>
      <w:r w:rsidRPr="00C51A44">
        <w:rPr>
          <w:rFonts w:ascii="Arial" w:hAnsi="Arial" w:cs="Arial"/>
          <w:sz w:val="24"/>
          <w:szCs w:val="24"/>
        </w:rPr>
        <w:t xml:space="preserve"> (2021) goes into detail in regards to PSD, detailing how they have responsibility over </w:t>
      </w:r>
      <w:r w:rsidRPr="00C51A44">
        <w:rPr>
          <w:rFonts w:ascii="Arial" w:hAnsi="Arial" w:cs="Arial"/>
          <w:sz w:val="24"/>
          <w:szCs w:val="24"/>
        </w:rPr>
        <w:lastRenderedPageBreak/>
        <w:t xml:space="preserve">complaints for Officers on the street. </w:t>
      </w:r>
      <w:proofErr w:type="spellStart"/>
      <w:r w:rsidR="00594EC0" w:rsidRPr="00C51A44">
        <w:rPr>
          <w:rFonts w:ascii="Arial" w:hAnsi="Arial" w:cs="Arial"/>
          <w:sz w:val="24"/>
          <w:szCs w:val="24"/>
        </w:rPr>
        <w:t>T</w:t>
      </w:r>
      <w:r w:rsidRPr="00C51A44">
        <w:rPr>
          <w:rFonts w:ascii="Arial" w:hAnsi="Arial" w:cs="Arial"/>
          <w:sz w:val="24"/>
          <w:szCs w:val="24"/>
        </w:rPr>
        <w:t>orrible</w:t>
      </w:r>
      <w:proofErr w:type="spellEnd"/>
      <w:r w:rsidRPr="00C51A44">
        <w:rPr>
          <w:rFonts w:ascii="Arial" w:hAnsi="Arial" w:cs="Arial"/>
          <w:sz w:val="24"/>
          <w:szCs w:val="24"/>
        </w:rPr>
        <w:t xml:space="preserve"> (2021) details that prior to PACA 2017 complaints did not have to be recorded at all. Whereby under PACA 2017 it is required that PSD are to conduct a severity assessment before recording it or passing it down to the local level to be resolved. </w:t>
      </w:r>
      <w:r w:rsidR="009D6A36" w:rsidRPr="00C51A44">
        <w:rPr>
          <w:rFonts w:ascii="Arial" w:hAnsi="Arial" w:cs="Arial"/>
          <w:sz w:val="24"/>
          <w:szCs w:val="24"/>
        </w:rPr>
        <w:t>As COP (2023) detail in their Guidance for Misconduct Proceedings, that when assessing the seriousness of the complaint, they are assessing what harm has been caused, any aspects of the complaint that might aggravate or mitigate and the responsibility initially on the Officer who the complaint was made against.</w:t>
      </w:r>
      <w:r w:rsidR="009D6BA9">
        <w:rPr>
          <w:rFonts w:ascii="Arial" w:hAnsi="Arial" w:cs="Arial"/>
          <w:sz w:val="24"/>
          <w:szCs w:val="24"/>
        </w:rPr>
        <w:t xml:space="preserve"> </w:t>
      </w:r>
      <w:proofErr w:type="spellStart"/>
      <w:r w:rsidR="009D6A36" w:rsidRPr="00C51A44">
        <w:rPr>
          <w:rFonts w:ascii="Arial" w:hAnsi="Arial" w:cs="Arial"/>
          <w:sz w:val="24"/>
          <w:szCs w:val="24"/>
        </w:rPr>
        <w:t>Torrible</w:t>
      </w:r>
      <w:proofErr w:type="spellEnd"/>
      <w:r w:rsidR="009D6A36" w:rsidRPr="00C51A44">
        <w:rPr>
          <w:rFonts w:ascii="Arial" w:hAnsi="Arial" w:cs="Arial"/>
          <w:sz w:val="24"/>
          <w:szCs w:val="24"/>
        </w:rPr>
        <w:t xml:space="preserve"> (2021) goes onto detail that</w:t>
      </w:r>
      <w:r w:rsidRPr="00C51A44">
        <w:rPr>
          <w:rFonts w:ascii="Arial" w:hAnsi="Arial" w:cs="Arial"/>
          <w:sz w:val="24"/>
          <w:szCs w:val="24"/>
        </w:rPr>
        <w:t xml:space="preserve"> when the complainant asked for an investigation to </w:t>
      </w:r>
      <w:r w:rsidR="009D6A36" w:rsidRPr="00C51A44">
        <w:rPr>
          <w:rFonts w:ascii="Arial" w:hAnsi="Arial" w:cs="Arial"/>
          <w:sz w:val="24"/>
          <w:szCs w:val="24"/>
        </w:rPr>
        <w:t>be</w:t>
      </w:r>
      <w:r w:rsidRPr="00C51A44">
        <w:rPr>
          <w:rFonts w:ascii="Arial" w:hAnsi="Arial" w:cs="Arial"/>
          <w:sz w:val="24"/>
          <w:szCs w:val="24"/>
        </w:rPr>
        <w:t xml:space="preserve"> conducted by PSD, it was found that PSD Officers tended to try and dissuade them and push them to opt for a local resolve. Which is where PACA 2017 should benefit PSD Officers, by requiring </w:t>
      </w:r>
      <w:r w:rsidR="008218E8" w:rsidRPr="00C51A44">
        <w:rPr>
          <w:rFonts w:ascii="Arial" w:hAnsi="Arial" w:cs="Arial"/>
          <w:sz w:val="24"/>
          <w:szCs w:val="24"/>
        </w:rPr>
        <w:t>complaints to be handled in a</w:t>
      </w:r>
      <w:r w:rsidRPr="00C51A44">
        <w:rPr>
          <w:rFonts w:ascii="Arial" w:hAnsi="Arial" w:cs="Arial"/>
          <w:sz w:val="24"/>
          <w:szCs w:val="24"/>
        </w:rPr>
        <w:t xml:space="preserve"> </w:t>
      </w:r>
      <w:r w:rsidR="008218E8" w:rsidRPr="00C51A44">
        <w:rPr>
          <w:rFonts w:ascii="Arial" w:hAnsi="Arial" w:cs="Arial"/>
          <w:sz w:val="24"/>
          <w:szCs w:val="24"/>
        </w:rPr>
        <w:t>reasonable and proportionate.</w:t>
      </w:r>
      <w:r w:rsidR="006A5961">
        <w:rPr>
          <w:rFonts w:ascii="Arial" w:hAnsi="Arial" w:cs="Arial"/>
          <w:sz w:val="24"/>
          <w:szCs w:val="24"/>
        </w:rPr>
        <w:t xml:space="preserve"> </w:t>
      </w:r>
      <w:r w:rsidR="00B772F1" w:rsidRPr="00C51A44">
        <w:rPr>
          <w:rFonts w:ascii="Arial" w:hAnsi="Arial" w:cs="Arial"/>
          <w:sz w:val="24"/>
          <w:szCs w:val="24"/>
        </w:rPr>
        <w:t>As per Rowe (2020) depicts that investigating Police misdemeanours provides a series of challenges to PSD. The majority of complaints from the public end up being allegations that an officer wasn’t polite or respectful with them and noted that these issues tend to be addressed easily with a local resolve.</w:t>
      </w:r>
      <w:r w:rsidR="006E2227">
        <w:rPr>
          <w:rFonts w:ascii="Arial" w:hAnsi="Arial" w:cs="Arial"/>
          <w:sz w:val="24"/>
          <w:szCs w:val="24"/>
        </w:rPr>
        <w:t xml:space="preserve"> As</w:t>
      </w:r>
      <w:r w:rsidR="006A5961">
        <w:rPr>
          <w:rFonts w:ascii="Arial" w:hAnsi="Arial" w:cs="Arial"/>
          <w:sz w:val="24"/>
          <w:szCs w:val="24"/>
        </w:rPr>
        <w:t xml:space="preserve"> </w:t>
      </w:r>
      <w:proofErr w:type="spellStart"/>
      <w:r w:rsidR="006A5961">
        <w:rPr>
          <w:rFonts w:ascii="Arial" w:hAnsi="Arial" w:cs="Arial"/>
          <w:sz w:val="24"/>
          <w:szCs w:val="24"/>
        </w:rPr>
        <w:t>Borchadt</w:t>
      </w:r>
      <w:proofErr w:type="spellEnd"/>
      <w:r w:rsidR="006A5961">
        <w:rPr>
          <w:rFonts w:ascii="Arial" w:hAnsi="Arial" w:cs="Arial"/>
          <w:sz w:val="24"/>
          <w:szCs w:val="24"/>
        </w:rPr>
        <w:t xml:space="preserve"> et al (2024) </w:t>
      </w:r>
      <w:r w:rsidR="006E2227">
        <w:rPr>
          <w:rFonts w:ascii="Arial" w:hAnsi="Arial" w:cs="Arial"/>
          <w:sz w:val="24"/>
          <w:szCs w:val="24"/>
        </w:rPr>
        <w:t xml:space="preserve">found that there </w:t>
      </w:r>
      <w:proofErr w:type="gramStart"/>
      <w:r w:rsidR="006E2227">
        <w:rPr>
          <w:rFonts w:ascii="Arial" w:hAnsi="Arial" w:cs="Arial"/>
          <w:sz w:val="24"/>
          <w:szCs w:val="24"/>
        </w:rPr>
        <w:t>is</w:t>
      </w:r>
      <w:proofErr w:type="gramEnd"/>
      <w:r w:rsidR="006E2227">
        <w:rPr>
          <w:rFonts w:ascii="Arial" w:hAnsi="Arial" w:cs="Arial"/>
          <w:sz w:val="24"/>
          <w:szCs w:val="24"/>
        </w:rPr>
        <w:t xml:space="preserve"> conflicted views amongst Police Officers on if they view an external agency, internal agency or supervisory disciple as more effective. However, noted that other literature found that Police Officers appeared to prefer internal as they don’t hold as much weight on the Citizens point of view. </w:t>
      </w:r>
    </w:p>
    <w:p w14:paraId="7C7021C8" w14:textId="77777777" w:rsidR="006A5961" w:rsidRDefault="006A5961" w:rsidP="00C51A44">
      <w:pPr>
        <w:spacing w:line="480" w:lineRule="auto"/>
        <w:rPr>
          <w:rFonts w:ascii="Arial" w:hAnsi="Arial" w:cs="Arial"/>
          <w:sz w:val="24"/>
          <w:szCs w:val="24"/>
        </w:rPr>
      </w:pPr>
    </w:p>
    <w:p w14:paraId="6C2FCB3E" w14:textId="029EDC14" w:rsidR="00E16C7C" w:rsidRDefault="00B772F1" w:rsidP="00C51A44">
      <w:pPr>
        <w:spacing w:line="480" w:lineRule="auto"/>
        <w:rPr>
          <w:rFonts w:ascii="Arial" w:hAnsi="Arial" w:cs="Arial"/>
          <w:sz w:val="24"/>
          <w:szCs w:val="24"/>
        </w:rPr>
      </w:pPr>
      <w:r w:rsidRPr="00C51A44">
        <w:rPr>
          <w:rFonts w:ascii="Arial" w:hAnsi="Arial" w:cs="Arial"/>
          <w:sz w:val="24"/>
          <w:szCs w:val="24"/>
        </w:rPr>
        <w:t xml:space="preserve">Rowe (2020) continues to state that the nature of Police Work, requires discretion and thus away from the sight of both supervisors and witnesses, thus obtaining accounts that are competing end up being difficult to establish the truthfulness and accuracy of and whilst there are resources such as </w:t>
      </w:r>
      <w:proofErr w:type="spellStart"/>
      <w:r w:rsidRPr="00C51A44">
        <w:rPr>
          <w:rFonts w:ascii="Arial" w:hAnsi="Arial" w:cs="Arial"/>
          <w:sz w:val="24"/>
          <w:szCs w:val="24"/>
        </w:rPr>
        <w:t>Bodyworn</w:t>
      </w:r>
      <w:proofErr w:type="spellEnd"/>
      <w:r w:rsidRPr="00C51A44">
        <w:rPr>
          <w:rFonts w:ascii="Arial" w:hAnsi="Arial" w:cs="Arial"/>
          <w:sz w:val="24"/>
          <w:szCs w:val="24"/>
        </w:rPr>
        <w:t xml:space="preserve"> and</w:t>
      </w:r>
      <w:r w:rsidR="006A5961">
        <w:rPr>
          <w:rFonts w:ascii="Arial" w:hAnsi="Arial" w:cs="Arial"/>
          <w:sz w:val="24"/>
          <w:szCs w:val="24"/>
        </w:rPr>
        <w:t xml:space="preserve"> </w:t>
      </w:r>
      <w:r w:rsidRPr="00C51A44">
        <w:rPr>
          <w:rFonts w:ascii="Arial" w:hAnsi="Arial" w:cs="Arial"/>
          <w:sz w:val="24"/>
          <w:szCs w:val="24"/>
        </w:rPr>
        <w:t xml:space="preserve">Recordings from </w:t>
      </w:r>
      <w:r w:rsidRPr="00C51A44">
        <w:rPr>
          <w:rFonts w:ascii="Arial" w:hAnsi="Arial" w:cs="Arial"/>
          <w:sz w:val="24"/>
          <w:szCs w:val="24"/>
        </w:rPr>
        <w:lastRenderedPageBreak/>
        <w:t>both Public and Council, they don’t always cover said actions.</w:t>
      </w:r>
      <w:r w:rsidR="006A5961">
        <w:rPr>
          <w:rFonts w:ascii="Arial" w:hAnsi="Arial" w:cs="Arial"/>
          <w:sz w:val="24"/>
          <w:szCs w:val="24"/>
        </w:rPr>
        <w:t xml:space="preserve"> Noting on the resources such as </w:t>
      </w:r>
      <w:proofErr w:type="spellStart"/>
      <w:r w:rsidR="006A5961">
        <w:rPr>
          <w:rFonts w:ascii="Arial" w:hAnsi="Arial" w:cs="Arial"/>
          <w:sz w:val="24"/>
          <w:szCs w:val="24"/>
        </w:rPr>
        <w:t>Bodyworn</w:t>
      </w:r>
      <w:proofErr w:type="spellEnd"/>
      <w:r w:rsidR="006A5961">
        <w:rPr>
          <w:rFonts w:ascii="Arial" w:hAnsi="Arial" w:cs="Arial"/>
          <w:sz w:val="24"/>
          <w:szCs w:val="24"/>
        </w:rPr>
        <w:t xml:space="preserve">, </w:t>
      </w:r>
      <w:r w:rsidR="00B35498">
        <w:rPr>
          <w:rFonts w:ascii="Arial" w:hAnsi="Arial" w:cs="Arial"/>
          <w:sz w:val="24"/>
          <w:szCs w:val="24"/>
        </w:rPr>
        <w:t xml:space="preserve">Poirier et al (2023) </w:t>
      </w:r>
      <w:r w:rsidR="006A5961">
        <w:rPr>
          <w:rFonts w:ascii="Arial" w:hAnsi="Arial" w:cs="Arial"/>
          <w:sz w:val="24"/>
          <w:szCs w:val="24"/>
        </w:rPr>
        <w:t>states that the Camera’s worn by Officers are a method of increasing the transparency and accountability from the Officers and has received support from the public. However, it is also noted that Officers have noted that since the introduction it is additional stress as they are constantly being watched.</w:t>
      </w:r>
    </w:p>
    <w:p w14:paraId="3FC30CF3" w14:textId="77777777" w:rsidR="00E16C7C" w:rsidRDefault="00E16C7C" w:rsidP="00C51A44">
      <w:pPr>
        <w:spacing w:line="480" w:lineRule="auto"/>
        <w:rPr>
          <w:rFonts w:ascii="Arial" w:hAnsi="Arial" w:cs="Arial"/>
          <w:sz w:val="24"/>
          <w:szCs w:val="24"/>
        </w:rPr>
      </w:pPr>
    </w:p>
    <w:p w14:paraId="6ECE6B52" w14:textId="5B493540" w:rsidR="00E16C7C" w:rsidRPr="00C51A44" w:rsidRDefault="00E16C7C" w:rsidP="00C51A44">
      <w:pPr>
        <w:spacing w:line="480" w:lineRule="auto"/>
        <w:rPr>
          <w:rFonts w:ascii="Arial" w:hAnsi="Arial" w:cs="Arial"/>
          <w:sz w:val="24"/>
          <w:szCs w:val="24"/>
        </w:rPr>
      </w:pPr>
      <w:r>
        <w:rPr>
          <w:rFonts w:ascii="Arial" w:hAnsi="Arial" w:cs="Arial"/>
          <w:sz w:val="24"/>
          <w:szCs w:val="24"/>
        </w:rPr>
        <w:t xml:space="preserve">In conclusion, whilst there is a varied </w:t>
      </w:r>
      <w:proofErr w:type="gramStart"/>
      <w:r>
        <w:rPr>
          <w:rFonts w:ascii="Arial" w:hAnsi="Arial" w:cs="Arial"/>
          <w:sz w:val="24"/>
          <w:szCs w:val="24"/>
        </w:rPr>
        <w:t>amount</w:t>
      </w:r>
      <w:proofErr w:type="gramEnd"/>
      <w:r>
        <w:rPr>
          <w:rFonts w:ascii="Arial" w:hAnsi="Arial" w:cs="Arial"/>
          <w:sz w:val="24"/>
          <w:szCs w:val="24"/>
        </w:rPr>
        <w:t xml:space="preserve"> of methods and agencies looking to ensure that the Police are held accountable and trusted by the Public, they attempt to keep it through a varied collection of methods that I have only noted on in this essay. AS COP (2015) detail about PSD who are an internal agency, Poirier et al (2023) had noted on </w:t>
      </w:r>
      <w:proofErr w:type="spellStart"/>
      <w:r>
        <w:rPr>
          <w:rFonts w:ascii="Arial" w:hAnsi="Arial" w:cs="Arial"/>
          <w:sz w:val="24"/>
          <w:szCs w:val="24"/>
        </w:rPr>
        <w:t>Bodyworn</w:t>
      </w:r>
      <w:proofErr w:type="spellEnd"/>
      <w:r>
        <w:rPr>
          <w:rFonts w:ascii="Arial" w:hAnsi="Arial" w:cs="Arial"/>
          <w:sz w:val="24"/>
          <w:szCs w:val="24"/>
        </w:rPr>
        <w:t xml:space="preserve"> as an effective measure put in place to build the trust and keep the Police transparent. All of this provides evidence of what BMG Research (2018) had found that there is a slow increase in the public view that the Police can be trusted.</w:t>
      </w:r>
    </w:p>
    <w:p w14:paraId="541D34D1" w14:textId="77777777" w:rsidR="00D511A3" w:rsidRPr="00C51A44" w:rsidRDefault="00D511A3" w:rsidP="00C51A44">
      <w:pPr>
        <w:spacing w:line="480" w:lineRule="auto"/>
        <w:rPr>
          <w:rFonts w:ascii="Arial" w:hAnsi="Arial" w:cs="Arial"/>
          <w:sz w:val="24"/>
          <w:szCs w:val="24"/>
        </w:rPr>
      </w:pPr>
    </w:p>
    <w:p w14:paraId="0BD0E7BA" w14:textId="0DF3B534" w:rsidR="00C51A44" w:rsidRDefault="00D511A3" w:rsidP="00C51A44">
      <w:pPr>
        <w:spacing w:line="480" w:lineRule="auto"/>
        <w:rPr>
          <w:rFonts w:ascii="Arial" w:hAnsi="Arial" w:cs="Arial"/>
          <w:b/>
          <w:bCs/>
          <w:sz w:val="24"/>
          <w:szCs w:val="24"/>
        </w:rPr>
      </w:pPr>
      <w:r w:rsidRPr="00C51A44">
        <w:rPr>
          <w:rFonts w:ascii="Arial" w:hAnsi="Arial" w:cs="Arial"/>
          <w:b/>
          <w:bCs/>
          <w:sz w:val="24"/>
          <w:szCs w:val="24"/>
        </w:rPr>
        <w:t>Word</w:t>
      </w:r>
      <w:r w:rsidR="00060030" w:rsidRPr="00C51A44">
        <w:rPr>
          <w:rFonts w:ascii="Arial" w:hAnsi="Arial" w:cs="Arial"/>
          <w:b/>
          <w:bCs/>
          <w:sz w:val="24"/>
          <w:szCs w:val="24"/>
        </w:rPr>
        <w:t xml:space="preserve"> Count</w:t>
      </w:r>
      <w:r w:rsidRPr="00C51A44">
        <w:rPr>
          <w:rFonts w:ascii="Arial" w:hAnsi="Arial" w:cs="Arial"/>
          <w:b/>
          <w:bCs/>
          <w:sz w:val="24"/>
          <w:szCs w:val="24"/>
        </w:rPr>
        <w:t xml:space="preserve">: </w:t>
      </w:r>
      <w:r w:rsidR="00B20CFB">
        <w:rPr>
          <w:rFonts w:ascii="Arial" w:hAnsi="Arial" w:cs="Arial"/>
          <w:b/>
          <w:bCs/>
          <w:sz w:val="24"/>
          <w:szCs w:val="24"/>
        </w:rPr>
        <w:t>1012</w:t>
      </w:r>
    </w:p>
    <w:p w14:paraId="4AC4CACD" w14:textId="77777777" w:rsidR="00C51A44" w:rsidRDefault="00C51A44">
      <w:pPr>
        <w:rPr>
          <w:rFonts w:ascii="Arial" w:hAnsi="Arial" w:cs="Arial"/>
          <w:b/>
          <w:bCs/>
          <w:sz w:val="24"/>
          <w:szCs w:val="24"/>
        </w:rPr>
      </w:pPr>
      <w:r>
        <w:rPr>
          <w:rFonts w:ascii="Arial" w:hAnsi="Arial" w:cs="Arial"/>
          <w:b/>
          <w:bCs/>
          <w:sz w:val="24"/>
          <w:szCs w:val="24"/>
        </w:rPr>
        <w:br w:type="page"/>
      </w:r>
    </w:p>
    <w:p w14:paraId="32276676" w14:textId="459D35D3" w:rsidR="0076436C" w:rsidRPr="00C51A44" w:rsidRDefault="00C51A44" w:rsidP="008A1EE2">
      <w:pPr>
        <w:spacing w:line="480" w:lineRule="auto"/>
        <w:rPr>
          <w:rFonts w:ascii="Arial" w:hAnsi="Arial" w:cs="Arial"/>
          <w:b/>
          <w:bCs/>
          <w:sz w:val="24"/>
          <w:szCs w:val="24"/>
        </w:rPr>
      </w:pPr>
      <w:r>
        <w:rPr>
          <w:rFonts w:ascii="Arial" w:hAnsi="Arial" w:cs="Arial"/>
          <w:b/>
          <w:bCs/>
          <w:sz w:val="24"/>
          <w:szCs w:val="24"/>
        </w:rPr>
        <w:lastRenderedPageBreak/>
        <w:t>E</w:t>
      </w:r>
      <w:r w:rsidR="00D511A3" w:rsidRPr="00C51A44">
        <w:rPr>
          <w:rFonts w:ascii="Arial" w:hAnsi="Arial" w:cs="Arial"/>
          <w:b/>
          <w:bCs/>
          <w:sz w:val="24"/>
          <w:szCs w:val="24"/>
        </w:rPr>
        <w:t xml:space="preserve">ssay </w:t>
      </w:r>
      <w:r w:rsidR="004B787B" w:rsidRPr="00C51A44">
        <w:rPr>
          <w:rFonts w:ascii="Arial" w:hAnsi="Arial" w:cs="Arial"/>
          <w:b/>
          <w:bCs/>
          <w:sz w:val="24"/>
          <w:szCs w:val="24"/>
        </w:rPr>
        <w:t>Two</w:t>
      </w:r>
      <w:r w:rsidR="00D511A3" w:rsidRPr="00C51A44">
        <w:rPr>
          <w:rFonts w:ascii="Arial" w:hAnsi="Arial" w:cs="Arial"/>
          <w:b/>
          <w:bCs/>
          <w:sz w:val="24"/>
          <w:szCs w:val="24"/>
        </w:rPr>
        <w:t>:</w:t>
      </w:r>
      <w:r w:rsidR="004B655F" w:rsidRPr="00C51A44">
        <w:rPr>
          <w:rFonts w:ascii="Arial" w:hAnsi="Arial" w:cs="Arial"/>
          <w:b/>
          <w:bCs/>
          <w:sz w:val="24"/>
          <w:szCs w:val="24"/>
        </w:rPr>
        <w:t xml:space="preserve"> </w:t>
      </w:r>
      <w:r w:rsidR="008A1EE2" w:rsidRPr="008A1EE2">
        <w:rPr>
          <w:rFonts w:ascii="Arial" w:hAnsi="Arial" w:cs="Arial"/>
          <w:b/>
          <w:bCs/>
          <w:sz w:val="24"/>
          <w:szCs w:val="24"/>
        </w:rPr>
        <w:t>–</w:t>
      </w:r>
      <w:r w:rsidR="008A1EE2">
        <w:rPr>
          <w:rFonts w:ascii="Arial" w:hAnsi="Arial" w:cs="Arial"/>
          <w:b/>
          <w:bCs/>
          <w:sz w:val="24"/>
          <w:szCs w:val="24"/>
        </w:rPr>
        <w:t xml:space="preserve"> Community Policing –</w:t>
      </w:r>
      <w:r w:rsidR="008A1EE2" w:rsidRPr="008A1EE2">
        <w:rPr>
          <w:rFonts w:ascii="Arial" w:hAnsi="Arial" w:cs="Arial"/>
          <w:b/>
          <w:bCs/>
          <w:sz w:val="24"/>
          <w:szCs w:val="24"/>
        </w:rPr>
        <w:t xml:space="preserve"> Why is partnership the most effective strategy for improving</w:t>
      </w:r>
      <w:r w:rsidR="008A1EE2">
        <w:rPr>
          <w:rFonts w:ascii="Arial" w:hAnsi="Arial" w:cs="Arial"/>
          <w:b/>
          <w:bCs/>
          <w:sz w:val="24"/>
          <w:szCs w:val="24"/>
        </w:rPr>
        <w:t xml:space="preserve"> </w:t>
      </w:r>
      <w:r w:rsidR="008A1EE2" w:rsidRPr="008A1EE2">
        <w:rPr>
          <w:rFonts w:ascii="Arial" w:hAnsi="Arial" w:cs="Arial"/>
          <w:b/>
          <w:bCs/>
          <w:sz w:val="24"/>
          <w:szCs w:val="24"/>
        </w:rPr>
        <w:t>community engagement?</w:t>
      </w:r>
    </w:p>
    <w:p w14:paraId="11C3B49E" w14:textId="77777777" w:rsidR="004B787B" w:rsidRPr="00C51A44" w:rsidRDefault="004B787B" w:rsidP="00C51A44">
      <w:pPr>
        <w:spacing w:line="480" w:lineRule="auto"/>
        <w:rPr>
          <w:rFonts w:ascii="Arial" w:hAnsi="Arial" w:cs="Arial"/>
          <w:b/>
          <w:bCs/>
          <w:sz w:val="24"/>
          <w:szCs w:val="24"/>
        </w:rPr>
      </w:pPr>
    </w:p>
    <w:p w14:paraId="31B912AA" w14:textId="166FF992" w:rsidR="00C25C86" w:rsidRPr="00C51A44" w:rsidRDefault="00E841F2" w:rsidP="00C51A44">
      <w:pPr>
        <w:spacing w:line="480" w:lineRule="auto"/>
        <w:rPr>
          <w:rFonts w:ascii="Arial" w:hAnsi="Arial" w:cs="Arial"/>
          <w:sz w:val="24"/>
          <w:szCs w:val="24"/>
        </w:rPr>
      </w:pPr>
      <w:r>
        <w:rPr>
          <w:rFonts w:ascii="Arial" w:hAnsi="Arial" w:cs="Arial"/>
          <w:sz w:val="24"/>
          <w:szCs w:val="24"/>
        </w:rPr>
        <w:t>This essay aims to provide evidence through literature as to why Community Policing is the most effective strategy at improving engagement from the Community. Community Policing, a</w:t>
      </w:r>
      <w:r w:rsidR="0047555D" w:rsidRPr="00C51A44">
        <w:rPr>
          <w:rFonts w:ascii="Arial" w:hAnsi="Arial" w:cs="Arial"/>
          <w:sz w:val="24"/>
          <w:szCs w:val="24"/>
        </w:rPr>
        <w:t>s McCarthy (2021) introduces</w:t>
      </w:r>
      <w:r>
        <w:rPr>
          <w:rFonts w:ascii="Arial" w:hAnsi="Arial" w:cs="Arial"/>
          <w:sz w:val="24"/>
          <w:szCs w:val="24"/>
        </w:rPr>
        <w:t xml:space="preserve">, </w:t>
      </w:r>
      <w:r w:rsidR="0047555D" w:rsidRPr="00C51A44">
        <w:rPr>
          <w:rFonts w:ascii="Arial" w:hAnsi="Arial" w:cs="Arial"/>
          <w:sz w:val="24"/>
          <w:szCs w:val="24"/>
        </w:rPr>
        <w:t xml:space="preserve">has been used across a range of countries for decades and was originally purposed at a response to the dissatisfaction with Police from the Public. Whereby, the idea was to make the public an important aspect in decision making and priorities of the Police. </w:t>
      </w:r>
      <w:proofErr w:type="spellStart"/>
      <w:r w:rsidR="00FF5B8E" w:rsidRPr="00C51A44">
        <w:rPr>
          <w:rFonts w:ascii="Arial" w:hAnsi="Arial" w:cs="Arial"/>
          <w:sz w:val="24"/>
          <w:szCs w:val="24"/>
        </w:rPr>
        <w:t>Levantakis</w:t>
      </w:r>
      <w:proofErr w:type="spellEnd"/>
      <w:r w:rsidR="00FF5B8E" w:rsidRPr="00C51A44">
        <w:rPr>
          <w:rFonts w:ascii="Arial" w:hAnsi="Arial" w:cs="Arial"/>
          <w:sz w:val="24"/>
          <w:szCs w:val="24"/>
        </w:rPr>
        <w:t xml:space="preserve"> an Haberfeld (2018) state that Community Policing is an extension of the contract that is pre-existing between the Police and Public, that places more requirements on both parties to work in partnership to protect communities and accept the role of the Police in said communities.</w:t>
      </w:r>
    </w:p>
    <w:p w14:paraId="42CA2A74" w14:textId="68A9C891" w:rsidR="00C25C86" w:rsidRPr="00C51A44" w:rsidRDefault="00C25C86" w:rsidP="00C51A44">
      <w:pPr>
        <w:spacing w:line="480" w:lineRule="auto"/>
        <w:rPr>
          <w:rFonts w:ascii="Arial" w:hAnsi="Arial" w:cs="Arial"/>
          <w:sz w:val="24"/>
          <w:szCs w:val="24"/>
        </w:rPr>
      </w:pPr>
      <w:r w:rsidRPr="00C51A44">
        <w:rPr>
          <w:rFonts w:ascii="Arial" w:hAnsi="Arial" w:cs="Arial"/>
          <w:sz w:val="24"/>
          <w:szCs w:val="24"/>
        </w:rPr>
        <w:t xml:space="preserve">As </w:t>
      </w:r>
      <w:proofErr w:type="spellStart"/>
      <w:r w:rsidRPr="00C51A44">
        <w:rPr>
          <w:rFonts w:ascii="Arial" w:hAnsi="Arial" w:cs="Arial"/>
          <w:sz w:val="24"/>
          <w:szCs w:val="24"/>
        </w:rPr>
        <w:t>Frevel</w:t>
      </w:r>
      <w:proofErr w:type="spellEnd"/>
      <w:r w:rsidRPr="00C51A44">
        <w:rPr>
          <w:rFonts w:ascii="Arial" w:hAnsi="Arial" w:cs="Arial"/>
          <w:sz w:val="24"/>
          <w:szCs w:val="24"/>
        </w:rPr>
        <w:t xml:space="preserve"> and Rogers (2016) state that previous Police Services have been alone in providing public security and due to various reasons, since then they have started to build partnerships with multiple agencies in order to deliver a wide range of activities surrounding security for the public.</w:t>
      </w:r>
      <w:r w:rsidR="0073712F" w:rsidRPr="00C51A44">
        <w:rPr>
          <w:rFonts w:ascii="Arial" w:hAnsi="Arial" w:cs="Arial"/>
          <w:sz w:val="24"/>
          <w:szCs w:val="24"/>
        </w:rPr>
        <w:t xml:space="preserve"> They go onto state that in the late 20</w:t>
      </w:r>
      <w:r w:rsidR="0073712F" w:rsidRPr="00C51A44">
        <w:rPr>
          <w:rFonts w:ascii="Arial" w:hAnsi="Arial" w:cs="Arial"/>
          <w:sz w:val="24"/>
          <w:szCs w:val="24"/>
          <w:vertAlign w:val="superscript"/>
        </w:rPr>
        <w:t>th</w:t>
      </w:r>
      <w:r w:rsidR="0073712F" w:rsidRPr="00C51A44">
        <w:rPr>
          <w:rFonts w:ascii="Arial" w:hAnsi="Arial" w:cs="Arial"/>
          <w:sz w:val="24"/>
          <w:szCs w:val="24"/>
        </w:rPr>
        <w:t xml:space="preserve"> century, there had been a significant strain put onto Police due to increase in recorded crimes, people in the penal system. Prior to this Police in the UK were mostly left alone, due to being seen as different and avoid of party politics.</w:t>
      </w:r>
    </w:p>
    <w:p w14:paraId="180D432C" w14:textId="77777777" w:rsidR="001F513E" w:rsidRPr="00C51A44" w:rsidRDefault="001F513E" w:rsidP="00C51A44">
      <w:pPr>
        <w:spacing w:line="480" w:lineRule="auto"/>
        <w:rPr>
          <w:rFonts w:ascii="Arial" w:hAnsi="Arial" w:cs="Arial"/>
          <w:sz w:val="24"/>
          <w:szCs w:val="24"/>
        </w:rPr>
      </w:pPr>
    </w:p>
    <w:p w14:paraId="3C771FF1" w14:textId="672F76D8" w:rsidR="003F3384" w:rsidRPr="00C51A44" w:rsidRDefault="00835E39" w:rsidP="00C51A44">
      <w:pPr>
        <w:spacing w:line="480" w:lineRule="auto"/>
        <w:rPr>
          <w:rFonts w:ascii="Arial" w:hAnsi="Arial" w:cs="Arial"/>
          <w:sz w:val="24"/>
          <w:szCs w:val="24"/>
        </w:rPr>
      </w:pPr>
      <w:r w:rsidRPr="00C51A44">
        <w:rPr>
          <w:rFonts w:ascii="Arial" w:hAnsi="Arial" w:cs="Arial"/>
          <w:sz w:val="24"/>
          <w:szCs w:val="24"/>
        </w:rPr>
        <w:t xml:space="preserve">As per Meyer (2014) who details that Multi-Agency Partnerships have recently moved beyond the Criminal Justice borders and have started to involve other agencies. These partnerships assist in addressing aspects of crimes that tend to </w:t>
      </w:r>
      <w:r w:rsidRPr="00C51A44">
        <w:rPr>
          <w:rFonts w:ascii="Arial" w:hAnsi="Arial" w:cs="Arial"/>
          <w:sz w:val="24"/>
          <w:szCs w:val="24"/>
        </w:rPr>
        <w:lastRenderedPageBreak/>
        <w:t>involve vulnerabilities, such as drug-related crimes and property crimes that Police may not be the best agency to handle as per College of Policing (2021) detail that offenders may manipulate the Victim into believing they won’t be believed by Police.</w:t>
      </w:r>
      <w:r w:rsidR="003F3384" w:rsidRPr="00C51A44">
        <w:rPr>
          <w:rFonts w:ascii="Arial" w:hAnsi="Arial" w:cs="Arial"/>
          <w:sz w:val="24"/>
          <w:szCs w:val="24"/>
        </w:rPr>
        <w:t xml:space="preserve"> This can be seen by Ross et al (20220 who state that reporting of Domestic Abuse Incidents </w:t>
      </w:r>
      <w:proofErr w:type="gramStart"/>
      <w:r w:rsidR="003F3384" w:rsidRPr="00C51A44">
        <w:rPr>
          <w:rFonts w:ascii="Arial" w:hAnsi="Arial" w:cs="Arial"/>
          <w:sz w:val="24"/>
          <w:szCs w:val="24"/>
        </w:rPr>
        <w:t>continue</w:t>
      </w:r>
      <w:proofErr w:type="gramEnd"/>
      <w:r w:rsidR="003F3384" w:rsidRPr="00C51A44">
        <w:rPr>
          <w:rFonts w:ascii="Arial" w:hAnsi="Arial" w:cs="Arial"/>
          <w:sz w:val="24"/>
          <w:szCs w:val="24"/>
        </w:rPr>
        <w:t xml:space="preserve"> to increase and the role of partnerships with agencies, such as victim advocacy is an effective tool in this.</w:t>
      </w:r>
      <w:r w:rsidR="00B20CFB">
        <w:rPr>
          <w:rFonts w:ascii="Arial" w:hAnsi="Arial" w:cs="Arial"/>
          <w:sz w:val="24"/>
          <w:szCs w:val="24"/>
        </w:rPr>
        <w:t xml:space="preserve"> </w:t>
      </w:r>
      <w:r w:rsidR="003F3384" w:rsidRPr="00C51A44">
        <w:rPr>
          <w:rFonts w:ascii="Arial" w:hAnsi="Arial" w:cs="Arial"/>
          <w:sz w:val="24"/>
          <w:szCs w:val="24"/>
        </w:rPr>
        <w:t xml:space="preserve">This is shown by Ross et al (2022) who detail Independent Domestic Violence Advisors (IDVA) who are one of several agencies police work in partnership with to secure the safety of Domestic Abuse Victims and are a key part to assisting victims outside and inside of the legal system. </w:t>
      </w:r>
    </w:p>
    <w:p w14:paraId="3B54E01B" w14:textId="36C14E10" w:rsidR="000C2840" w:rsidRPr="00C51A44" w:rsidRDefault="000C2840" w:rsidP="00C51A44">
      <w:pPr>
        <w:spacing w:line="480" w:lineRule="auto"/>
        <w:rPr>
          <w:rFonts w:ascii="Arial" w:hAnsi="Arial" w:cs="Arial"/>
          <w:sz w:val="24"/>
          <w:szCs w:val="24"/>
        </w:rPr>
      </w:pPr>
      <w:r w:rsidRPr="00C51A44">
        <w:rPr>
          <w:rFonts w:ascii="Arial" w:hAnsi="Arial" w:cs="Arial"/>
          <w:sz w:val="24"/>
          <w:szCs w:val="24"/>
        </w:rPr>
        <w:t xml:space="preserve">As Pycroft and Gough (2019) detail that Domestic Abuse Prevention Partnership (DAPP) has been brought into Hampshire to track Domestic Abuse Perpetrators and offering provisions for sharing information with multiple agencies. Following this, in 2011 Multi-Agency Risk Assessment Conferences (MARAC) were brought in that aim to assess the risks posed by perpetrators and develop methods in order to address their behaviour. This provides a crucial aspect in information sharing as MARACs will develop further information by working with both Perpetrators and Victims long term and ensuring the safeguarding of the victims. </w:t>
      </w:r>
    </w:p>
    <w:p w14:paraId="4B46BC23" w14:textId="217F2CD2" w:rsidR="00CA6E16" w:rsidRDefault="0047555D" w:rsidP="00C51A44">
      <w:pPr>
        <w:spacing w:line="480" w:lineRule="auto"/>
        <w:rPr>
          <w:rFonts w:ascii="Arial" w:hAnsi="Arial" w:cs="Arial"/>
          <w:sz w:val="24"/>
          <w:szCs w:val="24"/>
        </w:rPr>
      </w:pPr>
      <w:r w:rsidRPr="00C51A44">
        <w:rPr>
          <w:rFonts w:ascii="Arial" w:hAnsi="Arial" w:cs="Arial"/>
          <w:sz w:val="24"/>
          <w:szCs w:val="24"/>
        </w:rPr>
        <w:t xml:space="preserve">McCarthy (2021) states that the more engagement in the community by Police, the less requirement the same Officers who’ve engaged need to use force or coerce people into being compliant with them. </w:t>
      </w:r>
      <w:r w:rsidR="00382593" w:rsidRPr="00C51A44">
        <w:rPr>
          <w:rFonts w:ascii="Arial" w:hAnsi="Arial" w:cs="Arial"/>
          <w:sz w:val="24"/>
          <w:szCs w:val="24"/>
        </w:rPr>
        <w:t>McCarthy (2021) also states that the more partnerships made within the community, with the community, end up finding that Officers perceive the community as less distant from themselves and that this view builds the Police to be more empathic and less aggressive in use of force situations.</w:t>
      </w:r>
      <w:r w:rsidR="00E841F2">
        <w:rPr>
          <w:rFonts w:ascii="Arial" w:hAnsi="Arial" w:cs="Arial"/>
          <w:sz w:val="24"/>
          <w:szCs w:val="24"/>
        </w:rPr>
        <w:t>]</w:t>
      </w:r>
    </w:p>
    <w:p w14:paraId="12459E52" w14:textId="77777777" w:rsidR="00E841F2" w:rsidRPr="00C51A44" w:rsidRDefault="00E841F2" w:rsidP="00C51A44">
      <w:pPr>
        <w:spacing w:line="480" w:lineRule="auto"/>
        <w:rPr>
          <w:rFonts w:ascii="Arial" w:hAnsi="Arial" w:cs="Arial"/>
          <w:sz w:val="24"/>
          <w:szCs w:val="24"/>
        </w:rPr>
      </w:pPr>
    </w:p>
    <w:p w14:paraId="14E3017A" w14:textId="6DE551DF" w:rsidR="00137EC7" w:rsidRPr="00C51A44" w:rsidRDefault="001F513E" w:rsidP="00C51A44">
      <w:pPr>
        <w:spacing w:line="480" w:lineRule="auto"/>
        <w:rPr>
          <w:rFonts w:ascii="Arial" w:hAnsi="Arial" w:cs="Arial"/>
          <w:sz w:val="24"/>
          <w:szCs w:val="24"/>
        </w:rPr>
      </w:pPr>
      <w:r w:rsidRPr="00C51A44">
        <w:rPr>
          <w:rFonts w:ascii="Arial" w:hAnsi="Arial" w:cs="Arial"/>
          <w:sz w:val="24"/>
          <w:szCs w:val="24"/>
        </w:rPr>
        <w:lastRenderedPageBreak/>
        <w:t xml:space="preserve">As </w:t>
      </w:r>
      <w:proofErr w:type="spellStart"/>
      <w:r w:rsidRPr="00C51A44">
        <w:rPr>
          <w:rFonts w:ascii="Arial" w:hAnsi="Arial" w:cs="Arial"/>
          <w:sz w:val="24"/>
          <w:szCs w:val="24"/>
        </w:rPr>
        <w:t>Levantakis</w:t>
      </w:r>
      <w:proofErr w:type="spellEnd"/>
      <w:r w:rsidRPr="00C51A44">
        <w:rPr>
          <w:rFonts w:ascii="Arial" w:hAnsi="Arial" w:cs="Arial"/>
          <w:sz w:val="24"/>
          <w:szCs w:val="24"/>
        </w:rPr>
        <w:t xml:space="preserve"> and Haberfeld (2018) </w:t>
      </w:r>
      <w:r w:rsidR="0081042C" w:rsidRPr="00C51A44">
        <w:rPr>
          <w:rFonts w:ascii="Arial" w:hAnsi="Arial" w:cs="Arial"/>
          <w:sz w:val="24"/>
          <w:szCs w:val="24"/>
        </w:rPr>
        <w:t xml:space="preserve">state that Social Capital that is core to Community Policing whereby it is exchanged between the Public and Police as a Partnership, Social Capital includes trust as a key aspect to it. The exchange they talk about is reliant on participation from both Community and Police, in order to build trust and confidence in both and are easily broken and effected. This is backed up by </w:t>
      </w:r>
      <w:r w:rsidR="00137EC7" w:rsidRPr="00C51A44">
        <w:rPr>
          <w:rFonts w:ascii="Arial" w:hAnsi="Arial" w:cs="Arial"/>
          <w:sz w:val="24"/>
          <w:szCs w:val="24"/>
        </w:rPr>
        <w:t>McCarthy (2021) also notes on that an increased accountability can also impact the way the community view Police and may make people more willing to be compliant.</w:t>
      </w:r>
    </w:p>
    <w:p w14:paraId="7AF60351" w14:textId="77777777" w:rsidR="00CA6E16" w:rsidRPr="00C51A44" w:rsidRDefault="00CA6E16" w:rsidP="00C51A44">
      <w:pPr>
        <w:spacing w:line="480" w:lineRule="auto"/>
        <w:rPr>
          <w:rFonts w:ascii="Arial" w:hAnsi="Arial" w:cs="Arial"/>
          <w:sz w:val="24"/>
          <w:szCs w:val="24"/>
        </w:rPr>
      </w:pPr>
    </w:p>
    <w:p w14:paraId="2269D838" w14:textId="21559864" w:rsidR="00CA6E16" w:rsidRPr="00C51A44" w:rsidRDefault="00CA6E16" w:rsidP="00C51A44">
      <w:pPr>
        <w:spacing w:line="480" w:lineRule="auto"/>
        <w:rPr>
          <w:rFonts w:ascii="Arial" w:hAnsi="Arial" w:cs="Arial"/>
          <w:sz w:val="24"/>
          <w:szCs w:val="24"/>
        </w:rPr>
      </w:pPr>
      <w:r w:rsidRPr="00C51A44">
        <w:rPr>
          <w:rFonts w:ascii="Arial" w:hAnsi="Arial" w:cs="Arial"/>
          <w:sz w:val="24"/>
          <w:szCs w:val="24"/>
        </w:rPr>
        <w:t>As Innes</w:t>
      </w:r>
      <w:r w:rsidR="002B7852" w:rsidRPr="00C51A44">
        <w:rPr>
          <w:rFonts w:ascii="Arial" w:hAnsi="Arial" w:cs="Arial"/>
          <w:sz w:val="24"/>
          <w:szCs w:val="24"/>
        </w:rPr>
        <w:t xml:space="preserve"> et al</w:t>
      </w:r>
      <w:r w:rsidRPr="00C51A44">
        <w:rPr>
          <w:rFonts w:ascii="Arial" w:hAnsi="Arial" w:cs="Arial"/>
          <w:sz w:val="24"/>
          <w:szCs w:val="24"/>
        </w:rPr>
        <w:t xml:space="preserve"> (2020) show that Police Community Support Officers (PCSO) assist in the partnership with the community and are critical to cooperation with agencies in the community. An example they’ve used is whereby the PCSO had bridged a gap between the Police and Residents Association and depicted that without the cooperation, vigilantism could </w:t>
      </w:r>
      <w:proofErr w:type="gramStart"/>
      <w:r w:rsidRPr="00C51A44">
        <w:rPr>
          <w:rFonts w:ascii="Arial" w:hAnsi="Arial" w:cs="Arial"/>
          <w:sz w:val="24"/>
          <w:szCs w:val="24"/>
        </w:rPr>
        <w:t>of</w:t>
      </w:r>
      <w:proofErr w:type="gramEnd"/>
      <w:r w:rsidRPr="00C51A44">
        <w:rPr>
          <w:rFonts w:ascii="Arial" w:hAnsi="Arial" w:cs="Arial"/>
          <w:sz w:val="24"/>
          <w:szCs w:val="24"/>
        </w:rPr>
        <w:t xml:space="preserve"> taken off. </w:t>
      </w:r>
    </w:p>
    <w:p w14:paraId="708F5AC5" w14:textId="3EED0C3D" w:rsidR="00CA6E16" w:rsidRPr="00C51A44" w:rsidRDefault="00CA6E16" w:rsidP="00C51A44">
      <w:pPr>
        <w:spacing w:line="480" w:lineRule="auto"/>
        <w:rPr>
          <w:rFonts w:ascii="Arial" w:hAnsi="Arial" w:cs="Arial"/>
          <w:sz w:val="24"/>
          <w:szCs w:val="24"/>
        </w:rPr>
      </w:pPr>
      <w:r w:rsidRPr="00C51A44">
        <w:rPr>
          <w:rFonts w:ascii="Arial" w:hAnsi="Arial" w:cs="Arial"/>
          <w:sz w:val="24"/>
          <w:szCs w:val="24"/>
        </w:rPr>
        <w:t>However, Innes</w:t>
      </w:r>
      <w:r w:rsidR="002B7852" w:rsidRPr="00C51A44">
        <w:rPr>
          <w:rFonts w:ascii="Arial" w:hAnsi="Arial" w:cs="Arial"/>
          <w:sz w:val="24"/>
          <w:szCs w:val="24"/>
        </w:rPr>
        <w:t xml:space="preserve"> et al</w:t>
      </w:r>
      <w:r w:rsidRPr="00C51A44">
        <w:rPr>
          <w:rFonts w:ascii="Arial" w:hAnsi="Arial" w:cs="Arial"/>
          <w:sz w:val="24"/>
          <w:szCs w:val="24"/>
        </w:rPr>
        <w:t xml:space="preserve"> (2020) depict that with the establishment of community partnerships, it triggers a range of methods to solve problems within the community with the Police supporting the local community.</w:t>
      </w:r>
    </w:p>
    <w:p w14:paraId="47143061" w14:textId="77777777" w:rsidR="00CA6E16" w:rsidRPr="00C51A44" w:rsidRDefault="00CA6E16" w:rsidP="00C51A44">
      <w:pPr>
        <w:spacing w:line="480" w:lineRule="auto"/>
        <w:rPr>
          <w:rFonts w:ascii="Arial" w:hAnsi="Arial" w:cs="Arial"/>
          <w:sz w:val="24"/>
          <w:szCs w:val="24"/>
        </w:rPr>
      </w:pPr>
    </w:p>
    <w:p w14:paraId="261FAE23" w14:textId="4ED7C594" w:rsidR="00080ED9" w:rsidRPr="00C51A44" w:rsidRDefault="002146D9" w:rsidP="00C51A44">
      <w:pPr>
        <w:spacing w:line="480" w:lineRule="auto"/>
        <w:rPr>
          <w:rFonts w:ascii="Arial" w:hAnsi="Arial" w:cs="Arial"/>
          <w:sz w:val="24"/>
          <w:szCs w:val="24"/>
        </w:rPr>
      </w:pPr>
      <w:r w:rsidRPr="00C51A44">
        <w:rPr>
          <w:rFonts w:ascii="Arial" w:hAnsi="Arial" w:cs="Arial"/>
          <w:sz w:val="24"/>
          <w:szCs w:val="24"/>
        </w:rPr>
        <w:t xml:space="preserve">As per Stephens and Fowler (2004) who show another case study, whereby in Guildford the Safer Cities programme had begun a trend whereby Police and Local Authorities would set up schemes in the urban centres in order to provide safety to communities and reduce crime. They detail this to be a </w:t>
      </w:r>
      <w:proofErr w:type="gramStart"/>
      <w:r w:rsidR="00A82B40" w:rsidRPr="00C51A44">
        <w:rPr>
          <w:rFonts w:ascii="Arial" w:hAnsi="Arial" w:cs="Arial"/>
          <w:sz w:val="24"/>
          <w:szCs w:val="24"/>
        </w:rPr>
        <w:t>problem</w:t>
      </w:r>
      <w:r w:rsidR="00477E9D" w:rsidRPr="00C51A44">
        <w:rPr>
          <w:rFonts w:ascii="Arial" w:hAnsi="Arial" w:cs="Arial"/>
          <w:sz w:val="24"/>
          <w:szCs w:val="24"/>
        </w:rPr>
        <w:t xml:space="preserve"> </w:t>
      </w:r>
      <w:r w:rsidR="00A82B40" w:rsidRPr="00C51A44">
        <w:rPr>
          <w:rFonts w:ascii="Arial" w:hAnsi="Arial" w:cs="Arial"/>
          <w:sz w:val="24"/>
          <w:szCs w:val="24"/>
        </w:rPr>
        <w:t>solving</w:t>
      </w:r>
      <w:proofErr w:type="gramEnd"/>
      <w:r w:rsidRPr="00C51A44">
        <w:rPr>
          <w:rFonts w:ascii="Arial" w:hAnsi="Arial" w:cs="Arial"/>
          <w:sz w:val="24"/>
          <w:szCs w:val="24"/>
        </w:rPr>
        <w:t xml:space="preserve"> approach to crime, whereby partnership with multiple agencies allows them to provide an effective reduction in crime. </w:t>
      </w:r>
      <w:r w:rsidR="00492745" w:rsidRPr="00C51A44">
        <w:rPr>
          <w:rFonts w:ascii="Arial" w:hAnsi="Arial" w:cs="Arial"/>
          <w:sz w:val="24"/>
          <w:szCs w:val="24"/>
        </w:rPr>
        <w:t xml:space="preserve">Stephens and Fowler (2004) describe that this had </w:t>
      </w:r>
      <w:r w:rsidR="00492745" w:rsidRPr="00C51A44">
        <w:rPr>
          <w:rFonts w:ascii="Arial" w:hAnsi="Arial" w:cs="Arial"/>
          <w:sz w:val="24"/>
          <w:szCs w:val="24"/>
        </w:rPr>
        <w:lastRenderedPageBreak/>
        <w:t>initially begun as a voluntary scheme, before due to the success it was having being turned into a legal requirement for Police and Local Authorities to cooperate under the Crime and Disorder Act 1998.</w:t>
      </w:r>
      <w:r w:rsidR="00B20CFB">
        <w:rPr>
          <w:rFonts w:ascii="Arial" w:hAnsi="Arial" w:cs="Arial"/>
          <w:sz w:val="24"/>
          <w:szCs w:val="24"/>
        </w:rPr>
        <w:t xml:space="preserve"> </w:t>
      </w:r>
      <w:r w:rsidR="00080ED9" w:rsidRPr="00C51A44">
        <w:rPr>
          <w:rFonts w:ascii="Arial" w:hAnsi="Arial" w:cs="Arial"/>
          <w:sz w:val="24"/>
          <w:szCs w:val="24"/>
        </w:rPr>
        <w:t xml:space="preserve">Going back to </w:t>
      </w:r>
      <w:proofErr w:type="spellStart"/>
      <w:r w:rsidR="00080ED9" w:rsidRPr="00C51A44">
        <w:rPr>
          <w:rFonts w:ascii="Arial" w:hAnsi="Arial" w:cs="Arial"/>
          <w:sz w:val="24"/>
          <w:szCs w:val="24"/>
        </w:rPr>
        <w:t>Frevel</w:t>
      </w:r>
      <w:proofErr w:type="spellEnd"/>
      <w:r w:rsidR="00080ED9" w:rsidRPr="00C51A44">
        <w:rPr>
          <w:rFonts w:ascii="Arial" w:hAnsi="Arial" w:cs="Arial"/>
          <w:sz w:val="24"/>
          <w:szCs w:val="24"/>
        </w:rPr>
        <w:t xml:space="preserve"> and Rogers (2016) </w:t>
      </w:r>
      <w:r w:rsidR="00072C9A" w:rsidRPr="00C51A44">
        <w:rPr>
          <w:rFonts w:ascii="Arial" w:hAnsi="Arial" w:cs="Arial"/>
          <w:sz w:val="24"/>
          <w:szCs w:val="24"/>
        </w:rPr>
        <w:t xml:space="preserve">they back up what Stephens and Fowler said above and state that the Safer Cities scheme and introduced in hopes to reduce crime and reduce the fear of crime, thus attempt to make cities safer so that communities could thrive. </w:t>
      </w:r>
    </w:p>
    <w:p w14:paraId="020F1095" w14:textId="77777777" w:rsidR="00E841F2" w:rsidRDefault="00E841F2" w:rsidP="00C51A44">
      <w:pPr>
        <w:spacing w:line="480" w:lineRule="auto"/>
        <w:rPr>
          <w:rFonts w:ascii="Arial" w:hAnsi="Arial" w:cs="Arial"/>
          <w:sz w:val="24"/>
          <w:szCs w:val="24"/>
        </w:rPr>
      </w:pPr>
    </w:p>
    <w:p w14:paraId="6ADC5240" w14:textId="64789C3F" w:rsidR="00DC12DF" w:rsidRPr="00C51A44" w:rsidRDefault="009A4864" w:rsidP="00C51A44">
      <w:pPr>
        <w:spacing w:line="480" w:lineRule="auto"/>
        <w:rPr>
          <w:rFonts w:ascii="Arial" w:hAnsi="Arial" w:cs="Arial"/>
          <w:sz w:val="24"/>
          <w:szCs w:val="24"/>
        </w:rPr>
      </w:pPr>
      <w:r w:rsidRPr="00C51A44">
        <w:rPr>
          <w:rFonts w:ascii="Arial" w:hAnsi="Arial" w:cs="Arial"/>
          <w:sz w:val="24"/>
          <w:szCs w:val="24"/>
        </w:rPr>
        <w:t>In conclusion, Community Partnerships are key to covering a wider array of policing duties and continued partnership with items like MARAC that Pycroft and Gough (2019) detailed, IDVA that Ross et al (2022) detail will assist Police in their duties to identify, safeguard and be proactive in domestic cases. Whereby, working with the Community by the function of PCSOs that Innes et al (2020) had depicted is a key part to solving issues within the community and finding more partnerships in the communities to assist in identifying and reducing crime.</w:t>
      </w:r>
      <w:r w:rsidR="00DA37A4" w:rsidRPr="00C51A44">
        <w:rPr>
          <w:rFonts w:ascii="Arial" w:hAnsi="Arial" w:cs="Arial"/>
          <w:sz w:val="24"/>
          <w:szCs w:val="24"/>
        </w:rPr>
        <w:t xml:space="preserve"> That as Stephens and Fowler (2004) state that the key to a successful community partnership with the Police, is the strategy implemented with it. </w:t>
      </w:r>
      <w:r w:rsidRPr="00C51A44">
        <w:rPr>
          <w:rFonts w:ascii="Arial" w:hAnsi="Arial" w:cs="Arial"/>
          <w:sz w:val="24"/>
          <w:szCs w:val="24"/>
        </w:rPr>
        <w:t xml:space="preserve">Yet, none of this can be done without what </w:t>
      </w:r>
      <w:proofErr w:type="spellStart"/>
      <w:r w:rsidRPr="00C51A44">
        <w:rPr>
          <w:rFonts w:ascii="Arial" w:hAnsi="Arial" w:cs="Arial"/>
          <w:sz w:val="24"/>
          <w:szCs w:val="24"/>
        </w:rPr>
        <w:t>Leventakis</w:t>
      </w:r>
      <w:proofErr w:type="spellEnd"/>
      <w:r w:rsidRPr="00C51A44">
        <w:rPr>
          <w:rFonts w:ascii="Arial" w:hAnsi="Arial" w:cs="Arial"/>
          <w:sz w:val="24"/>
          <w:szCs w:val="24"/>
        </w:rPr>
        <w:t xml:space="preserve"> and Haberfeld (2018) dictated that the requirement of accountability and trust, that is a key aspect </w:t>
      </w:r>
      <w:r w:rsidR="0088512F" w:rsidRPr="00C51A44">
        <w:rPr>
          <w:rFonts w:ascii="Arial" w:hAnsi="Arial" w:cs="Arial"/>
          <w:sz w:val="24"/>
          <w:szCs w:val="24"/>
        </w:rPr>
        <w:t>in the views of the Community on the Police, but is required to be built by both sides.</w:t>
      </w:r>
      <w:r w:rsidR="00DA37A4" w:rsidRPr="00C51A44">
        <w:rPr>
          <w:rFonts w:ascii="Arial" w:hAnsi="Arial" w:cs="Arial"/>
          <w:sz w:val="24"/>
          <w:szCs w:val="24"/>
        </w:rPr>
        <w:t xml:space="preserve"> </w:t>
      </w:r>
    </w:p>
    <w:p w14:paraId="7E7B38D4" w14:textId="77777777" w:rsidR="00492745" w:rsidRPr="00C51A44" w:rsidRDefault="00492745" w:rsidP="00C51A44">
      <w:pPr>
        <w:spacing w:line="480" w:lineRule="auto"/>
        <w:rPr>
          <w:rFonts w:ascii="Arial" w:hAnsi="Arial" w:cs="Arial"/>
          <w:sz w:val="24"/>
          <w:szCs w:val="24"/>
        </w:rPr>
      </w:pPr>
    </w:p>
    <w:p w14:paraId="534022E7" w14:textId="57F4F7D3" w:rsidR="00C51A44" w:rsidRDefault="00060030" w:rsidP="00C51A44">
      <w:pPr>
        <w:spacing w:line="480" w:lineRule="auto"/>
        <w:rPr>
          <w:rFonts w:ascii="Arial" w:hAnsi="Arial" w:cs="Arial"/>
          <w:b/>
          <w:bCs/>
          <w:sz w:val="24"/>
          <w:szCs w:val="24"/>
        </w:rPr>
      </w:pPr>
      <w:r w:rsidRPr="00C51A44">
        <w:rPr>
          <w:rFonts w:ascii="Arial" w:hAnsi="Arial" w:cs="Arial"/>
          <w:b/>
          <w:bCs/>
          <w:sz w:val="24"/>
          <w:szCs w:val="24"/>
        </w:rPr>
        <w:t>Word Count: 10</w:t>
      </w:r>
      <w:r w:rsidR="00E841F2">
        <w:rPr>
          <w:rFonts w:ascii="Arial" w:hAnsi="Arial" w:cs="Arial"/>
          <w:b/>
          <w:bCs/>
          <w:sz w:val="24"/>
          <w:szCs w:val="24"/>
        </w:rPr>
        <w:t>55</w:t>
      </w:r>
    </w:p>
    <w:p w14:paraId="1BD46DA9" w14:textId="77777777" w:rsidR="00C51A44" w:rsidRDefault="00C51A44">
      <w:pPr>
        <w:rPr>
          <w:rFonts w:ascii="Arial" w:hAnsi="Arial" w:cs="Arial"/>
          <w:b/>
          <w:bCs/>
          <w:sz w:val="24"/>
          <w:szCs w:val="24"/>
        </w:rPr>
      </w:pPr>
      <w:r>
        <w:rPr>
          <w:rFonts w:ascii="Arial" w:hAnsi="Arial" w:cs="Arial"/>
          <w:b/>
          <w:bCs/>
          <w:sz w:val="24"/>
          <w:szCs w:val="24"/>
        </w:rPr>
        <w:br w:type="page"/>
      </w:r>
    </w:p>
    <w:p w14:paraId="46F9F91C" w14:textId="757904B7" w:rsidR="00492745" w:rsidRPr="00C51A44" w:rsidRDefault="00432803" w:rsidP="004326AD">
      <w:pPr>
        <w:spacing w:line="480" w:lineRule="auto"/>
        <w:rPr>
          <w:rFonts w:ascii="Arial" w:hAnsi="Arial" w:cs="Arial"/>
          <w:b/>
          <w:bCs/>
          <w:sz w:val="24"/>
          <w:szCs w:val="24"/>
        </w:rPr>
      </w:pPr>
      <w:r w:rsidRPr="00C51A44">
        <w:rPr>
          <w:rFonts w:ascii="Arial" w:hAnsi="Arial" w:cs="Arial"/>
          <w:b/>
          <w:bCs/>
          <w:sz w:val="24"/>
          <w:szCs w:val="24"/>
        </w:rPr>
        <w:lastRenderedPageBreak/>
        <w:t>Essay Four</w:t>
      </w:r>
      <w:r w:rsidR="00964591" w:rsidRPr="00C51A44">
        <w:rPr>
          <w:rFonts w:ascii="Arial" w:hAnsi="Arial" w:cs="Arial"/>
          <w:b/>
          <w:bCs/>
          <w:sz w:val="24"/>
          <w:szCs w:val="24"/>
        </w:rPr>
        <w:t xml:space="preserve">: </w:t>
      </w:r>
      <w:r w:rsidR="004326AD" w:rsidRPr="004326AD">
        <w:rPr>
          <w:rFonts w:ascii="Arial" w:hAnsi="Arial" w:cs="Arial"/>
          <w:b/>
          <w:bCs/>
          <w:sz w:val="24"/>
          <w:szCs w:val="24"/>
        </w:rPr>
        <w:t>Examine the various socio-economic and psychological characteristics which can make</w:t>
      </w:r>
      <w:r w:rsidR="004326AD">
        <w:rPr>
          <w:rFonts w:ascii="Arial" w:hAnsi="Arial" w:cs="Arial"/>
          <w:b/>
          <w:bCs/>
          <w:sz w:val="24"/>
          <w:szCs w:val="24"/>
        </w:rPr>
        <w:t xml:space="preserve"> </w:t>
      </w:r>
      <w:r w:rsidR="004326AD" w:rsidRPr="004326AD">
        <w:rPr>
          <w:rFonts w:ascii="Arial" w:hAnsi="Arial" w:cs="Arial"/>
          <w:b/>
          <w:bCs/>
          <w:sz w:val="24"/>
          <w:szCs w:val="24"/>
        </w:rPr>
        <w:t>people vulnerable to exploitation by criminal gangs.</w:t>
      </w:r>
    </w:p>
    <w:p w14:paraId="7DB64A49" w14:textId="77777777" w:rsidR="00F55ADA" w:rsidRDefault="00F55ADA" w:rsidP="00C51A44">
      <w:pPr>
        <w:spacing w:line="480" w:lineRule="auto"/>
        <w:rPr>
          <w:rFonts w:ascii="Arial" w:hAnsi="Arial" w:cs="Arial"/>
          <w:sz w:val="24"/>
          <w:szCs w:val="24"/>
        </w:rPr>
      </w:pPr>
    </w:p>
    <w:p w14:paraId="2FB413CB" w14:textId="0CE07853" w:rsidR="006C7718" w:rsidRPr="00C51A44" w:rsidRDefault="004326AD" w:rsidP="00C51A44">
      <w:pPr>
        <w:spacing w:line="480" w:lineRule="auto"/>
        <w:rPr>
          <w:rFonts w:ascii="Arial" w:hAnsi="Arial" w:cs="Arial"/>
          <w:sz w:val="24"/>
          <w:szCs w:val="24"/>
        </w:rPr>
      </w:pPr>
      <w:r>
        <w:rPr>
          <w:rFonts w:ascii="Arial" w:hAnsi="Arial" w:cs="Arial"/>
          <w:sz w:val="24"/>
          <w:szCs w:val="24"/>
        </w:rPr>
        <w:t xml:space="preserve">This essay will examine the various characteristics on which make people vulnerable to the exploitation by criminal gangs. </w:t>
      </w:r>
      <w:r w:rsidR="0069625B" w:rsidRPr="00C51A44">
        <w:rPr>
          <w:rFonts w:ascii="Arial" w:hAnsi="Arial" w:cs="Arial"/>
          <w:sz w:val="24"/>
          <w:szCs w:val="24"/>
        </w:rPr>
        <w:t xml:space="preserve">Williams (2023) details that the definition of Vulnerability is a problematic area and is constantly changing as shown throughout history due to the varying different factors that make people vulnerable. </w:t>
      </w:r>
      <w:r w:rsidR="00E87D50" w:rsidRPr="00C51A44">
        <w:rPr>
          <w:rFonts w:ascii="Arial" w:hAnsi="Arial" w:cs="Arial"/>
          <w:sz w:val="24"/>
          <w:szCs w:val="24"/>
        </w:rPr>
        <w:t>However, Williams (2023) makes the point throughout the case studies used that an accepted factor of vulnerability is age</w:t>
      </w:r>
      <w:r w:rsidR="006C7718" w:rsidRPr="00C51A44">
        <w:rPr>
          <w:rFonts w:ascii="Arial" w:hAnsi="Arial" w:cs="Arial"/>
          <w:sz w:val="24"/>
          <w:szCs w:val="24"/>
        </w:rPr>
        <w:t xml:space="preserve"> and </w:t>
      </w:r>
      <w:r w:rsidR="00E87D50" w:rsidRPr="00C51A44">
        <w:rPr>
          <w:rFonts w:ascii="Arial" w:hAnsi="Arial" w:cs="Arial"/>
          <w:sz w:val="24"/>
          <w:szCs w:val="24"/>
        </w:rPr>
        <w:t xml:space="preserve">learning difficulties, whereby Children are regarded as vulnerable in society. </w:t>
      </w:r>
      <w:r w:rsidR="00683A2B" w:rsidRPr="00C51A44">
        <w:rPr>
          <w:rFonts w:ascii="Arial" w:hAnsi="Arial" w:cs="Arial"/>
          <w:sz w:val="24"/>
          <w:szCs w:val="24"/>
        </w:rPr>
        <w:t xml:space="preserve">This is backed up by Finelli (2019) who states that Children are vulnerable due to their susceptibility to peer pressure that severely effects their ability to make decisions for themselves. </w:t>
      </w:r>
    </w:p>
    <w:p w14:paraId="614F7652" w14:textId="77777777" w:rsidR="00E87D50" w:rsidRPr="00C51A44" w:rsidRDefault="00E87D50" w:rsidP="00C51A44">
      <w:pPr>
        <w:spacing w:line="480" w:lineRule="auto"/>
        <w:rPr>
          <w:rFonts w:ascii="Arial" w:hAnsi="Arial" w:cs="Arial"/>
          <w:sz w:val="24"/>
          <w:szCs w:val="24"/>
        </w:rPr>
      </w:pPr>
    </w:p>
    <w:p w14:paraId="5448952D" w14:textId="4121AA73" w:rsidR="00734AF3" w:rsidRPr="00C51A44" w:rsidRDefault="00B82040" w:rsidP="00C51A44">
      <w:pPr>
        <w:spacing w:line="480" w:lineRule="auto"/>
        <w:rPr>
          <w:rFonts w:ascii="Arial" w:hAnsi="Arial" w:cs="Arial"/>
          <w:sz w:val="24"/>
          <w:szCs w:val="24"/>
        </w:rPr>
      </w:pPr>
      <w:r w:rsidRPr="00C51A44">
        <w:rPr>
          <w:rFonts w:ascii="Arial" w:hAnsi="Arial" w:cs="Arial"/>
          <w:sz w:val="24"/>
          <w:szCs w:val="24"/>
        </w:rPr>
        <w:t xml:space="preserve">Thompson (2019) had noted that young people, akin to Homeless, who had offended did so out of the lack of opportunity for them alongside that of being given incentives like money and material wealth. </w:t>
      </w:r>
      <w:r w:rsidR="00614651" w:rsidRPr="00C51A44">
        <w:rPr>
          <w:rFonts w:ascii="Arial" w:hAnsi="Arial" w:cs="Arial"/>
          <w:sz w:val="24"/>
          <w:szCs w:val="24"/>
        </w:rPr>
        <w:t xml:space="preserve">This is then further backed up by Sanders et al (2009) who details that prior to joining gangs, young people mostly come from communities that are marginalised both socially and economically, making them more vulnerable and at risk of exploitation due to their </w:t>
      </w:r>
      <w:proofErr w:type="gramStart"/>
      <w:r w:rsidR="00614651" w:rsidRPr="00C51A44">
        <w:rPr>
          <w:rFonts w:ascii="Arial" w:hAnsi="Arial" w:cs="Arial"/>
          <w:sz w:val="24"/>
          <w:szCs w:val="24"/>
        </w:rPr>
        <w:t>families</w:t>
      </w:r>
      <w:proofErr w:type="gramEnd"/>
      <w:r w:rsidR="00614651" w:rsidRPr="00C51A44">
        <w:rPr>
          <w:rFonts w:ascii="Arial" w:hAnsi="Arial" w:cs="Arial"/>
          <w:sz w:val="24"/>
          <w:szCs w:val="24"/>
        </w:rPr>
        <w:t xml:space="preserve"> wealth.</w:t>
      </w:r>
      <w:r w:rsidR="00F5281B">
        <w:rPr>
          <w:rFonts w:ascii="Arial" w:hAnsi="Arial" w:cs="Arial"/>
          <w:sz w:val="24"/>
          <w:szCs w:val="24"/>
        </w:rPr>
        <w:t xml:space="preserve"> </w:t>
      </w:r>
      <w:r w:rsidR="00683A2B" w:rsidRPr="00C51A44">
        <w:rPr>
          <w:rFonts w:ascii="Arial" w:hAnsi="Arial" w:cs="Arial"/>
          <w:sz w:val="24"/>
          <w:szCs w:val="24"/>
        </w:rPr>
        <w:t xml:space="preserve">Finelli (2019) adds into the reasons why a Child joins </w:t>
      </w:r>
      <w:proofErr w:type="gramStart"/>
      <w:r w:rsidR="00683A2B" w:rsidRPr="00C51A44">
        <w:rPr>
          <w:rFonts w:ascii="Arial" w:hAnsi="Arial" w:cs="Arial"/>
          <w:sz w:val="24"/>
          <w:szCs w:val="24"/>
        </w:rPr>
        <w:t>gangs,</w:t>
      </w:r>
      <w:proofErr w:type="gramEnd"/>
      <w:r w:rsidR="00683A2B" w:rsidRPr="00C51A44">
        <w:rPr>
          <w:rFonts w:ascii="Arial" w:hAnsi="Arial" w:cs="Arial"/>
          <w:sz w:val="24"/>
          <w:szCs w:val="24"/>
        </w:rPr>
        <w:t xml:space="preserve"> by also notating on the sense of family that a gang provides them whereby Children with a Single Parent may be more likely to join a gang as they end up with a feeling of belonging and parental love from other members.</w:t>
      </w:r>
      <w:r w:rsidR="004326AD">
        <w:rPr>
          <w:rFonts w:ascii="Arial" w:hAnsi="Arial" w:cs="Arial"/>
          <w:sz w:val="24"/>
          <w:szCs w:val="24"/>
        </w:rPr>
        <w:t xml:space="preserve"> </w:t>
      </w:r>
      <w:r w:rsidR="00734AF3" w:rsidRPr="00C51A44">
        <w:rPr>
          <w:rFonts w:ascii="Arial" w:hAnsi="Arial" w:cs="Arial"/>
          <w:sz w:val="24"/>
          <w:szCs w:val="24"/>
        </w:rPr>
        <w:t xml:space="preserve">However, Sanders et al (2009) goes onto state that Young </w:t>
      </w:r>
      <w:r w:rsidR="00734AF3" w:rsidRPr="00C51A44">
        <w:rPr>
          <w:rFonts w:ascii="Arial" w:hAnsi="Arial" w:cs="Arial"/>
          <w:sz w:val="24"/>
          <w:szCs w:val="24"/>
        </w:rPr>
        <w:lastRenderedPageBreak/>
        <w:t>People in gangs tend to be more likely to undertake risky behaviours and as shown in studies tend to have a higher rate of drug and alcohol use compared to that of those not in a gang.</w:t>
      </w:r>
      <w:r w:rsidR="004326AD">
        <w:rPr>
          <w:rFonts w:ascii="Arial" w:hAnsi="Arial" w:cs="Arial"/>
          <w:sz w:val="24"/>
          <w:szCs w:val="24"/>
        </w:rPr>
        <w:t xml:space="preserve"> As Annan et al (2022) </w:t>
      </w:r>
      <w:r w:rsidR="00FE1286">
        <w:rPr>
          <w:rFonts w:ascii="Arial" w:hAnsi="Arial" w:cs="Arial"/>
          <w:sz w:val="24"/>
          <w:szCs w:val="24"/>
        </w:rPr>
        <w:t xml:space="preserve">found that most young people join a gang due to the inadequate supervision from their parents, usually down to the parents working too much </w:t>
      </w:r>
      <w:r w:rsidR="001E3849">
        <w:rPr>
          <w:rFonts w:ascii="Arial" w:hAnsi="Arial" w:cs="Arial"/>
          <w:sz w:val="24"/>
          <w:szCs w:val="24"/>
        </w:rPr>
        <w:t>that is likely down to the low socioeconomic status of the family</w:t>
      </w:r>
      <w:r w:rsidR="00FE1286">
        <w:rPr>
          <w:rFonts w:ascii="Arial" w:hAnsi="Arial" w:cs="Arial"/>
          <w:sz w:val="24"/>
          <w:szCs w:val="24"/>
        </w:rPr>
        <w:t xml:space="preserve">, </w:t>
      </w:r>
      <w:r w:rsidR="001E3849">
        <w:rPr>
          <w:rFonts w:ascii="Arial" w:hAnsi="Arial" w:cs="Arial"/>
          <w:sz w:val="24"/>
          <w:szCs w:val="24"/>
        </w:rPr>
        <w:t>this</w:t>
      </w:r>
      <w:r w:rsidR="00FE1286">
        <w:rPr>
          <w:rFonts w:ascii="Arial" w:hAnsi="Arial" w:cs="Arial"/>
          <w:sz w:val="24"/>
          <w:szCs w:val="24"/>
        </w:rPr>
        <w:t xml:space="preserve"> ties into what Saunders et al (2009) stated about familial wealth. </w:t>
      </w:r>
    </w:p>
    <w:p w14:paraId="151FD128" w14:textId="3CFEAB38" w:rsidR="00B82040" w:rsidRPr="00C51A44" w:rsidRDefault="00B82040" w:rsidP="00C51A44">
      <w:pPr>
        <w:spacing w:line="480" w:lineRule="auto"/>
        <w:rPr>
          <w:rFonts w:ascii="Arial" w:hAnsi="Arial" w:cs="Arial"/>
          <w:sz w:val="24"/>
          <w:szCs w:val="24"/>
        </w:rPr>
      </w:pPr>
    </w:p>
    <w:p w14:paraId="67038DA3" w14:textId="7C5246D4" w:rsidR="002254A2" w:rsidRDefault="00EC3B14" w:rsidP="00C51A44">
      <w:pPr>
        <w:spacing w:line="480" w:lineRule="auto"/>
        <w:rPr>
          <w:rFonts w:ascii="Arial" w:hAnsi="Arial" w:cs="Arial"/>
          <w:sz w:val="24"/>
          <w:szCs w:val="24"/>
        </w:rPr>
      </w:pPr>
      <w:r w:rsidRPr="00C51A44">
        <w:rPr>
          <w:rFonts w:ascii="Arial" w:hAnsi="Arial" w:cs="Arial"/>
          <w:sz w:val="24"/>
          <w:szCs w:val="24"/>
        </w:rPr>
        <w:t>Moving from the Violent Crime Gangs, Brookings (2013) depicts that Children are also more likely to be exploited in Sexual Exploitation gangs</w:t>
      </w:r>
      <w:r w:rsidR="002254A2">
        <w:rPr>
          <w:rFonts w:ascii="Arial" w:hAnsi="Arial" w:cs="Arial"/>
          <w:sz w:val="24"/>
          <w:szCs w:val="24"/>
        </w:rPr>
        <w:t xml:space="preserve"> due to their lack of awareness</w:t>
      </w:r>
      <w:r w:rsidR="00273A0E">
        <w:rPr>
          <w:rFonts w:ascii="Arial" w:hAnsi="Arial" w:cs="Arial"/>
          <w:sz w:val="24"/>
          <w:szCs w:val="24"/>
        </w:rPr>
        <w:t xml:space="preserve"> and impressionable</w:t>
      </w:r>
      <w:r w:rsidRPr="00C51A44">
        <w:rPr>
          <w:rFonts w:ascii="Arial" w:hAnsi="Arial" w:cs="Arial"/>
          <w:sz w:val="24"/>
          <w:szCs w:val="24"/>
        </w:rPr>
        <w:t>.</w:t>
      </w:r>
      <w:r w:rsidR="00273A0E">
        <w:rPr>
          <w:rFonts w:ascii="Arial" w:hAnsi="Arial" w:cs="Arial"/>
          <w:sz w:val="24"/>
          <w:szCs w:val="24"/>
        </w:rPr>
        <w:t xml:space="preserve"> Which can be seen by Annan et al (2022) who noted that Media influences Children, whereby they attempt to copy what they see or hear. Brookings (2013) continues to note</w:t>
      </w:r>
      <w:r w:rsidRPr="00C51A44">
        <w:rPr>
          <w:rFonts w:ascii="Arial" w:hAnsi="Arial" w:cs="Arial"/>
          <w:sz w:val="24"/>
          <w:szCs w:val="24"/>
        </w:rPr>
        <w:t xml:space="preserve"> that if a Child is close to a gang member or even in a gang, that they tend to </w:t>
      </w:r>
      <w:r w:rsidR="0014522F" w:rsidRPr="00C51A44">
        <w:rPr>
          <w:rFonts w:ascii="Arial" w:hAnsi="Arial" w:cs="Arial"/>
          <w:sz w:val="24"/>
          <w:szCs w:val="24"/>
        </w:rPr>
        <w:t>avoid reporting crimes due to the fear of reprisals from the gang</w:t>
      </w:r>
      <w:r w:rsidR="00FB5065">
        <w:rPr>
          <w:rFonts w:ascii="Arial" w:hAnsi="Arial" w:cs="Arial"/>
          <w:sz w:val="24"/>
          <w:szCs w:val="24"/>
        </w:rPr>
        <w:t xml:space="preserve"> or believe it to be normal</w:t>
      </w:r>
      <w:r w:rsidR="00B33683" w:rsidRPr="00C51A44">
        <w:rPr>
          <w:rFonts w:ascii="Arial" w:hAnsi="Arial" w:cs="Arial"/>
          <w:sz w:val="24"/>
          <w:szCs w:val="24"/>
        </w:rPr>
        <w:t>.</w:t>
      </w:r>
      <w:r w:rsidR="002254A2">
        <w:rPr>
          <w:rFonts w:ascii="Arial" w:hAnsi="Arial" w:cs="Arial"/>
          <w:sz w:val="24"/>
          <w:szCs w:val="24"/>
        </w:rPr>
        <w:t xml:space="preserve"> </w:t>
      </w:r>
      <w:r w:rsidR="00B33683" w:rsidRPr="00C51A44">
        <w:rPr>
          <w:rFonts w:ascii="Arial" w:hAnsi="Arial" w:cs="Arial"/>
          <w:sz w:val="24"/>
          <w:szCs w:val="24"/>
        </w:rPr>
        <w:t>Havard (2021) goes onto state that unlike what Sanders et al (2009) had found, Females are less likely to be involved in the violence of gangs but are more likely to be subject to victimisation of violence, specifically from their partners, including that of Sexual Violence that Brookings (2013) had noted on.</w:t>
      </w:r>
      <w:r w:rsidR="00FE3162" w:rsidRPr="00C51A44">
        <w:rPr>
          <w:rFonts w:ascii="Arial" w:hAnsi="Arial" w:cs="Arial"/>
          <w:sz w:val="24"/>
          <w:szCs w:val="24"/>
        </w:rPr>
        <w:t xml:space="preserve"> Havard (2021) goes onto note that Females end up coercively controlled in gangs, whereby they share privileged information that is then used to </w:t>
      </w:r>
      <w:r w:rsidR="00FB5065">
        <w:rPr>
          <w:rFonts w:ascii="Arial" w:hAnsi="Arial" w:cs="Arial"/>
          <w:sz w:val="24"/>
          <w:szCs w:val="24"/>
        </w:rPr>
        <w:t xml:space="preserve">emotionally </w:t>
      </w:r>
      <w:r w:rsidR="00FE3162" w:rsidRPr="00C51A44">
        <w:rPr>
          <w:rFonts w:ascii="Arial" w:hAnsi="Arial" w:cs="Arial"/>
          <w:sz w:val="24"/>
          <w:szCs w:val="24"/>
        </w:rPr>
        <w:t xml:space="preserve">control them by </w:t>
      </w:r>
      <w:r w:rsidR="00FB5065">
        <w:rPr>
          <w:rFonts w:ascii="Arial" w:hAnsi="Arial" w:cs="Arial"/>
          <w:sz w:val="24"/>
          <w:szCs w:val="24"/>
        </w:rPr>
        <w:t>gang members</w:t>
      </w:r>
      <w:r w:rsidR="00FE3162" w:rsidRPr="00C51A44">
        <w:rPr>
          <w:rFonts w:ascii="Arial" w:hAnsi="Arial" w:cs="Arial"/>
          <w:sz w:val="24"/>
          <w:szCs w:val="24"/>
        </w:rPr>
        <w:t>. It is noted that Gang Members target young Females, creating an impression of a romantic relationship before subjecting them to violence and controlling them with fear of further violence, humiliation and plenty more tactics.</w:t>
      </w:r>
      <w:r w:rsidR="002254A2">
        <w:rPr>
          <w:rFonts w:ascii="Arial" w:hAnsi="Arial" w:cs="Arial"/>
          <w:sz w:val="24"/>
          <w:szCs w:val="24"/>
        </w:rPr>
        <w:t xml:space="preserve"> </w:t>
      </w:r>
    </w:p>
    <w:p w14:paraId="1308DA8D" w14:textId="3B9B5934" w:rsidR="00E65226" w:rsidRDefault="007956F8" w:rsidP="00C51A44">
      <w:pPr>
        <w:spacing w:line="480" w:lineRule="auto"/>
        <w:rPr>
          <w:rFonts w:ascii="Arial" w:hAnsi="Arial" w:cs="Arial"/>
          <w:sz w:val="24"/>
          <w:szCs w:val="24"/>
        </w:rPr>
      </w:pPr>
      <w:r w:rsidRPr="00C51A44">
        <w:rPr>
          <w:rFonts w:ascii="Arial" w:hAnsi="Arial" w:cs="Arial"/>
          <w:sz w:val="24"/>
          <w:szCs w:val="24"/>
        </w:rPr>
        <w:lastRenderedPageBreak/>
        <w:t>College of Policing (COP) (2023) states that due to the emotional abuse connected with domestic relationships and the close proximity of the Offender and Victim, it causes Victims of Domestic Abuse to be more vulnerable and at elevated risk of further harm. Which as identified by Havard (2021) is shown in studies whereby Partners end up controlled when inside a gang and to join gangs, based on violence and emotional abuse.</w:t>
      </w:r>
      <w:r w:rsidR="002254A2">
        <w:rPr>
          <w:rFonts w:ascii="Arial" w:hAnsi="Arial" w:cs="Arial"/>
          <w:sz w:val="24"/>
          <w:szCs w:val="24"/>
        </w:rPr>
        <w:t xml:space="preserve"> </w:t>
      </w:r>
      <w:r w:rsidR="00F23089" w:rsidRPr="00C51A44">
        <w:rPr>
          <w:rFonts w:ascii="Arial" w:hAnsi="Arial" w:cs="Arial"/>
          <w:sz w:val="24"/>
          <w:szCs w:val="24"/>
        </w:rPr>
        <w:t>This is further backed up by Williams (2023) who lists gender as a main factor of what makes a person vulnerable, as they state that Females are more likely to be victims of repeated abuse</w:t>
      </w:r>
      <w:r w:rsidR="0049678B">
        <w:rPr>
          <w:rFonts w:ascii="Arial" w:hAnsi="Arial" w:cs="Arial"/>
          <w:sz w:val="24"/>
          <w:szCs w:val="24"/>
        </w:rPr>
        <w:t xml:space="preserve"> due to the emotional connection with their partners.</w:t>
      </w:r>
      <w:r w:rsidR="000E32AD">
        <w:rPr>
          <w:rFonts w:ascii="Arial" w:hAnsi="Arial" w:cs="Arial"/>
          <w:sz w:val="24"/>
          <w:szCs w:val="24"/>
        </w:rPr>
        <w:t xml:space="preserve"> This is as Shackelford (2021) details that coercive control whereby the Female is usually trapped due to the controlling behaviour exhibited by the partner.</w:t>
      </w:r>
    </w:p>
    <w:p w14:paraId="339F16AE" w14:textId="77777777" w:rsidR="002254A2" w:rsidRPr="00C51A44" w:rsidRDefault="002254A2" w:rsidP="00C51A44">
      <w:pPr>
        <w:spacing w:line="480" w:lineRule="auto"/>
        <w:rPr>
          <w:rFonts w:ascii="Arial" w:hAnsi="Arial" w:cs="Arial"/>
          <w:sz w:val="24"/>
          <w:szCs w:val="24"/>
        </w:rPr>
      </w:pPr>
    </w:p>
    <w:p w14:paraId="3E40D3F8" w14:textId="10C50A9F" w:rsidR="006C7718" w:rsidRPr="00C51A44" w:rsidRDefault="00DC5ECE" w:rsidP="00C51A44">
      <w:pPr>
        <w:spacing w:line="480" w:lineRule="auto"/>
        <w:rPr>
          <w:rFonts w:ascii="Arial" w:hAnsi="Arial" w:cs="Arial"/>
          <w:sz w:val="24"/>
          <w:szCs w:val="24"/>
        </w:rPr>
      </w:pPr>
      <w:r w:rsidRPr="00C51A44">
        <w:rPr>
          <w:rFonts w:ascii="Arial" w:hAnsi="Arial" w:cs="Arial"/>
          <w:sz w:val="24"/>
          <w:szCs w:val="24"/>
        </w:rPr>
        <w:t xml:space="preserve">As Harding (2020) details cuckooing is used to identify exploitation of vulnerable people whereby they are forced or pressured into sharing accommodation with what is usually drug dealers to provide a place for them to deal drugs. It is stated that these vulnerable people tend to have physical or mental health issues and has been underreported in the past and is only recently being identified as an issue. </w:t>
      </w:r>
      <w:r w:rsidR="003B6288" w:rsidRPr="00C51A44">
        <w:rPr>
          <w:rFonts w:ascii="Arial" w:hAnsi="Arial" w:cs="Arial"/>
          <w:sz w:val="24"/>
          <w:szCs w:val="24"/>
        </w:rPr>
        <w:t>Going back to Williams (2023) who backs this up, who lists Physical Disability as a mandatory factor on what makes a person vulnerable, same with Mental Health issues.</w:t>
      </w:r>
      <w:r w:rsidR="002B04BB">
        <w:rPr>
          <w:rFonts w:ascii="Arial" w:hAnsi="Arial" w:cs="Arial"/>
          <w:sz w:val="24"/>
          <w:szCs w:val="24"/>
        </w:rPr>
        <w:t xml:space="preserve"> As Spicer et al (2019) backs up, that most cuckooing revolves around the dealing of drugs who forcefully inhabit the home of someone who is usually labelled as vulnerable. Spicer notes that literature had found that in the model described as parasitic, it is normal for the vulnerable person to be befriended or had force used against them, with the goal of ascertaining their home to establish a local network for drugs. </w:t>
      </w:r>
    </w:p>
    <w:p w14:paraId="2C1B1ECD" w14:textId="77777777" w:rsidR="008237E4" w:rsidRPr="00C51A44" w:rsidRDefault="008237E4" w:rsidP="00C51A44">
      <w:pPr>
        <w:spacing w:line="480" w:lineRule="auto"/>
        <w:rPr>
          <w:rFonts w:ascii="Arial" w:hAnsi="Arial" w:cs="Arial"/>
          <w:sz w:val="24"/>
          <w:szCs w:val="24"/>
        </w:rPr>
      </w:pPr>
    </w:p>
    <w:p w14:paraId="4FE1488F" w14:textId="74C77B77" w:rsidR="00A63132" w:rsidRDefault="00E65226" w:rsidP="00C51A44">
      <w:pPr>
        <w:spacing w:line="480" w:lineRule="auto"/>
        <w:rPr>
          <w:rFonts w:ascii="Arial" w:hAnsi="Arial" w:cs="Arial"/>
          <w:sz w:val="24"/>
          <w:szCs w:val="24"/>
        </w:rPr>
      </w:pPr>
      <w:r w:rsidRPr="00C51A44">
        <w:rPr>
          <w:rFonts w:ascii="Arial" w:hAnsi="Arial" w:cs="Arial"/>
          <w:sz w:val="24"/>
          <w:szCs w:val="24"/>
        </w:rPr>
        <w:t>Thompson (2019) details that in regards to Children partaking in Organised Crime, there has been a focus on the threat of penal punishment in order to attempt and preventing reoffending and that this is shown in studies that identify the model in Britain is that of Crime Prevention, rather than focusing on the vulnerabilities of the children and states this is shown in the lack of education given to them.</w:t>
      </w:r>
      <w:r w:rsidR="006B0EF1">
        <w:rPr>
          <w:rFonts w:ascii="Arial" w:hAnsi="Arial" w:cs="Arial"/>
          <w:sz w:val="24"/>
          <w:szCs w:val="24"/>
        </w:rPr>
        <w:t xml:space="preserve"> Annan et al (2022) also stated that when a Young Person doesn’t have opportunities to get a job or progress in a workforce due to their ethnicity, they end up feeling deprived and sometimes steers them to gang members. This is backed up by Thompson (2019) who found that when speaking to young offenders, stated they would stop offending if there </w:t>
      </w:r>
      <w:proofErr w:type="gramStart"/>
      <w:r w:rsidR="006B0EF1">
        <w:rPr>
          <w:rFonts w:ascii="Arial" w:hAnsi="Arial" w:cs="Arial"/>
          <w:sz w:val="24"/>
          <w:szCs w:val="24"/>
        </w:rPr>
        <w:t>was</w:t>
      </w:r>
      <w:proofErr w:type="gramEnd"/>
      <w:r w:rsidR="006B0EF1">
        <w:rPr>
          <w:rFonts w:ascii="Arial" w:hAnsi="Arial" w:cs="Arial"/>
          <w:sz w:val="24"/>
          <w:szCs w:val="24"/>
        </w:rPr>
        <w:t xml:space="preserve"> opportunities for jobs or education available to them.</w:t>
      </w:r>
    </w:p>
    <w:p w14:paraId="402A5870" w14:textId="77777777" w:rsidR="008A32D5" w:rsidRPr="00C51A44" w:rsidRDefault="008A32D5" w:rsidP="00C51A44">
      <w:pPr>
        <w:spacing w:line="480" w:lineRule="auto"/>
        <w:rPr>
          <w:rFonts w:ascii="Arial" w:hAnsi="Arial" w:cs="Arial"/>
          <w:sz w:val="24"/>
          <w:szCs w:val="24"/>
        </w:rPr>
      </w:pPr>
    </w:p>
    <w:p w14:paraId="3EFFB93C" w14:textId="583B44B3" w:rsidR="00D511A3" w:rsidRDefault="00A63132" w:rsidP="00C51A44">
      <w:pPr>
        <w:spacing w:line="480" w:lineRule="auto"/>
        <w:rPr>
          <w:rFonts w:ascii="Arial" w:hAnsi="Arial" w:cs="Arial"/>
          <w:sz w:val="24"/>
          <w:szCs w:val="24"/>
        </w:rPr>
      </w:pPr>
      <w:r w:rsidRPr="00C51A44">
        <w:rPr>
          <w:rFonts w:ascii="Arial" w:hAnsi="Arial" w:cs="Arial"/>
          <w:sz w:val="24"/>
          <w:szCs w:val="24"/>
        </w:rPr>
        <w:t>In conclusion</w:t>
      </w:r>
      <w:r w:rsidR="008A32D5">
        <w:rPr>
          <w:rFonts w:ascii="Arial" w:hAnsi="Arial" w:cs="Arial"/>
          <w:sz w:val="24"/>
          <w:szCs w:val="24"/>
        </w:rPr>
        <w:t xml:space="preserve"> whilst there is a discrepancy on how people define vulnerability, there are factors that are largely agreed upon which is what Williams (2023) had covered at the start of this essay. However, under this I have focused primarily on Children due to as Annan et al (2022), Thompson (2019) and Saunders et al (2009) shows are vulnerable due to their age and therefore lack awareness and easily impressed upon and progressing to Harding (2020) and Spicer et al (2019) who touch upon cuckooing with the mentally or physically vulnerable, who are also either unaware, easily impressed or easily scared. </w:t>
      </w:r>
    </w:p>
    <w:p w14:paraId="081D57C8" w14:textId="77777777" w:rsidR="008A32D5" w:rsidRPr="00C51A44" w:rsidRDefault="008A32D5" w:rsidP="00C51A44">
      <w:pPr>
        <w:spacing w:line="480" w:lineRule="auto"/>
        <w:rPr>
          <w:rFonts w:ascii="Arial" w:hAnsi="Arial" w:cs="Arial"/>
          <w:sz w:val="24"/>
          <w:szCs w:val="24"/>
        </w:rPr>
      </w:pPr>
    </w:p>
    <w:p w14:paraId="1EE6C4C7" w14:textId="6A5D9B4C" w:rsidR="002A3ABE" w:rsidRPr="00C51A44" w:rsidRDefault="00A15A6E" w:rsidP="00C51A44">
      <w:pPr>
        <w:spacing w:line="480" w:lineRule="auto"/>
        <w:rPr>
          <w:rFonts w:ascii="Arial" w:hAnsi="Arial" w:cs="Arial"/>
          <w:sz w:val="24"/>
          <w:szCs w:val="24"/>
        </w:rPr>
      </w:pPr>
      <w:r w:rsidRPr="00C51A44">
        <w:rPr>
          <w:rFonts w:ascii="Arial" w:hAnsi="Arial" w:cs="Arial"/>
          <w:b/>
          <w:bCs/>
          <w:sz w:val="24"/>
          <w:szCs w:val="24"/>
        </w:rPr>
        <w:t>Words: 10</w:t>
      </w:r>
      <w:r w:rsidR="000E32AD">
        <w:rPr>
          <w:rFonts w:ascii="Arial" w:hAnsi="Arial" w:cs="Arial"/>
          <w:b/>
          <w:bCs/>
          <w:sz w:val="24"/>
          <w:szCs w:val="24"/>
        </w:rPr>
        <w:t>99</w:t>
      </w:r>
    </w:p>
    <w:p w14:paraId="4E7E6870" w14:textId="77777777" w:rsidR="00C51A44" w:rsidRDefault="00C51A44">
      <w:pPr>
        <w:rPr>
          <w:rFonts w:ascii="Arial" w:hAnsi="Arial" w:cs="Arial"/>
          <w:b/>
          <w:bCs/>
          <w:sz w:val="24"/>
          <w:szCs w:val="24"/>
        </w:rPr>
      </w:pPr>
      <w:r>
        <w:rPr>
          <w:rFonts w:ascii="Arial" w:hAnsi="Arial" w:cs="Arial"/>
          <w:b/>
          <w:bCs/>
          <w:sz w:val="24"/>
          <w:szCs w:val="24"/>
        </w:rPr>
        <w:br w:type="page"/>
      </w:r>
    </w:p>
    <w:p w14:paraId="4B3A32A0" w14:textId="0C5DFAB2" w:rsidR="008C17EE" w:rsidRPr="00C51A44" w:rsidRDefault="002A3ABE" w:rsidP="0067601F">
      <w:pPr>
        <w:spacing w:line="480" w:lineRule="auto"/>
        <w:rPr>
          <w:rFonts w:ascii="Arial" w:hAnsi="Arial" w:cs="Arial"/>
          <w:b/>
          <w:bCs/>
          <w:sz w:val="24"/>
          <w:szCs w:val="24"/>
        </w:rPr>
      </w:pPr>
      <w:r w:rsidRPr="00C51A44">
        <w:rPr>
          <w:rFonts w:ascii="Arial" w:hAnsi="Arial" w:cs="Arial"/>
          <w:b/>
          <w:bCs/>
          <w:sz w:val="24"/>
          <w:szCs w:val="24"/>
        </w:rPr>
        <w:lastRenderedPageBreak/>
        <w:t>Essay Five</w:t>
      </w:r>
      <w:r w:rsidR="004B2EE3" w:rsidRPr="00C51A44">
        <w:rPr>
          <w:rFonts w:ascii="Arial" w:hAnsi="Arial" w:cs="Arial"/>
          <w:b/>
          <w:bCs/>
          <w:sz w:val="24"/>
          <w:szCs w:val="24"/>
        </w:rPr>
        <w:t>:</w:t>
      </w:r>
      <w:r w:rsidR="0067601F">
        <w:rPr>
          <w:rFonts w:ascii="Arial" w:hAnsi="Arial" w:cs="Arial"/>
          <w:b/>
          <w:bCs/>
          <w:sz w:val="24"/>
          <w:szCs w:val="24"/>
        </w:rPr>
        <w:t xml:space="preserve"> </w:t>
      </w:r>
      <w:r w:rsidR="0067601F" w:rsidRPr="0067601F">
        <w:rPr>
          <w:rFonts w:ascii="Arial" w:hAnsi="Arial" w:cs="Arial"/>
          <w:b/>
          <w:bCs/>
          <w:sz w:val="24"/>
          <w:szCs w:val="24"/>
        </w:rPr>
        <w:t xml:space="preserve">Critically assess the effectiveness of options available to reduce re-offending. </w:t>
      </w:r>
    </w:p>
    <w:p w14:paraId="5B40725A" w14:textId="02C72503" w:rsidR="004B2EE3" w:rsidRPr="00C51A44" w:rsidRDefault="004B2EE3" w:rsidP="00C51A44">
      <w:pPr>
        <w:spacing w:line="480" w:lineRule="auto"/>
        <w:rPr>
          <w:rFonts w:ascii="Arial" w:hAnsi="Arial" w:cs="Arial"/>
          <w:b/>
          <w:bCs/>
          <w:sz w:val="24"/>
          <w:szCs w:val="24"/>
        </w:rPr>
      </w:pPr>
    </w:p>
    <w:p w14:paraId="43AAE3B5" w14:textId="46B37E78" w:rsidR="002A3ABE" w:rsidRPr="00C51A44" w:rsidRDefault="003A268C" w:rsidP="00C51A44">
      <w:pPr>
        <w:spacing w:line="480" w:lineRule="auto"/>
        <w:rPr>
          <w:rFonts w:ascii="Arial" w:hAnsi="Arial" w:cs="Arial"/>
          <w:sz w:val="24"/>
          <w:szCs w:val="24"/>
        </w:rPr>
      </w:pPr>
      <w:r>
        <w:rPr>
          <w:rFonts w:ascii="Arial" w:hAnsi="Arial" w:cs="Arial"/>
          <w:sz w:val="24"/>
          <w:szCs w:val="24"/>
        </w:rPr>
        <w:t xml:space="preserve">This essay aims to critically assess the effectiveness of options available to reduce re-offending and will use Domestic Violence as a way to assess how effective the measures detailed in this essay are at tackling reoffending. </w:t>
      </w:r>
      <w:r w:rsidR="00290B59" w:rsidRPr="00C51A44">
        <w:rPr>
          <w:rFonts w:ascii="Arial" w:hAnsi="Arial" w:cs="Arial"/>
          <w:sz w:val="24"/>
          <w:szCs w:val="24"/>
        </w:rPr>
        <w:t xml:space="preserve">As Barnett and Howard (2018) introduce that past research has identified plenty of ineffective methods to reduce reoffending, however rarely provide any negative outcomes of said methods. </w:t>
      </w:r>
      <w:r w:rsidR="009B307D" w:rsidRPr="00C51A44">
        <w:rPr>
          <w:rFonts w:ascii="Arial" w:hAnsi="Arial" w:cs="Arial"/>
          <w:sz w:val="24"/>
          <w:szCs w:val="24"/>
        </w:rPr>
        <w:t xml:space="preserve">The Ministry of Justice </w:t>
      </w:r>
      <w:r w:rsidR="0057323A" w:rsidRPr="00C51A44">
        <w:rPr>
          <w:rFonts w:ascii="Arial" w:hAnsi="Arial" w:cs="Arial"/>
          <w:sz w:val="24"/>
          <w:szCs w:val="24"/>
        </w:rPr>
        <w:t xml:space="preserve">(MoJ) </w:t>
      </w:r>
      <w:r w:rsidR="009B307D" w:rsidRPr="00C51A44">
        <w:rPr>
          <w:rFonts w:ascii="Arial" w:hAnsi="Arial" w:cs="Arial"/>
          <w:sz w:val="24"/>
          <w:szCs w:val="24"/>
        </w:rPr>
        <w:t>(2013) detailed 58% of prisoners reoffended under 12 months in custody, 35% beyond 12 months in custody and 34% on a court order. The report goes onto state that there are a range of factors that link to reoffending and label such risks as drug use, criminal history, employment that are all named to be permanent factors that are unable to be changed that lead a person to reoffend.</w:t>
      </w:r>
    </w:p>
    <w:p w14:paraId="09D6EF7A" w14:textId="77777777" w:rsidR="00F4268A" w:rsidRPr="00C51A44" w:rsidRDefault="00F4268A" w:rsidP="00C51A44">
      <w:pPr>
        <w:spacing w:line="480" w:lineRule="auto"/>
        <w:rPr>
          <w:rFonts w:ascii="Arial" w:hAnsi="Arial" w:cs="Arial"/>
          <w:sz w:val="24"/>
          <w:szCs w:val="24"/>
        </w:rPr>
      </w:pPr>
    </w:p>
    <w:p w14:paraId="4CA6B179" w14:textId="5ACAC4D5" w:rsidR="003A268C" w:rsidRPr="00C51A44" w:rsidRDefault="00C1133C" w:rsidP="00C51A44">
      <w:pPr>
        <w:spacing w:line="480" w:lineRule="auto"/>
        <w:rPr>
          <w:rFonts w:ascii="Arial" w:hAnsi="Arial" w:cs="Arial"/>
          <w:sz w:val="24"/>
          <w:szCs w:val="24"/>
        </w:rPr>
      </w:pPr>
      <w:r w:rsidRPr="00C51A44">
        <w:rPr>
          <w:rFonts w:ascii="Arial" w:hAnsi="Arial" w:cs="Arial"/>
          <w:sz w:val="24"/>
          <w:szCs w:val="24"/>
        </w:rPr>
        <w:t xml:space="preserve">Williams and Weatherburn (2022) detail that Electronic Monitoring has grown in popularity in its use in recent years. This tends to be used for the less serious offences and as an alternative to prison, due to the growing population. However, the research by Williams and Weatherburn (2022) show a great reduction in reoffending for those with more than 18 months of having </w:t>
      </w:r>
      <w:proofErr w:type="gramStart"/>
      <w:r w:rsidRPr="00C51A44">
        <w:rPr>
          <w:rFonts w:ascii="Arial" w:hAnsi="Arial" w:cs="Arial"/>
          <w:sz w:val="24"/>
          <w:szCs w:val="24"/>
        </w:rPr>
        <w:t>a</w:t>
      </w:r>
      <w:proofErr w:type="gramEnd"/>
      <w:r w:rsidRPr="00C51A44">
        <w:rPr>
          <w:rFonts w:ascii="Arial" w:hAnsi="Arial" w:cs="Arial"/>
          <w:sz w:val="24"/>
          <w:szCs w:val="24"/>
        </w:rPr>
        <w:t xml:space="preserve"> Electronic Monitoring tag installed and could of potentially served a prison sentence. </w:t>
      </w:r>
      <w:r w:rsidR="00233166" w:rsidRPr="00C51A44">
        <w:rPr>
          <w:rFonts w:ascii="Arial" w:hAnsi="Arial" w:cs="Arial"/>
          <w:sz w:val="24"/>
          <w:szCs w:val="24"/>
        </w:rPr>
        <w:t xml:space="preserve">As Vanhaelemeesch and Beken (2014) state that when someone has been sentenced to Electronic Monitoring, they may not live alone and this therefore effects the lives of those who live with the Offender. The people who live with the offender, end up </w:t>
      </w:r>
      <w:r w:rsidR="000F2E56" w:rsidRPr="00C51A44">
        <w:rPr>
          <w:rFonts w:ascii="Arial" w:hAnsi="Arial" w:cs="Arial"/>
          <w:sz w:val="24"/>
          <w:szCs w:val="24"/>
        </w:rPr>
        <w:t xml:space="preserve">taking part in ensuring that the Offender sticks to the sanctions posed with the </w:t>
      </w:r>
      <w:proofErr w:type="gramStart"/>
      <w:r w:rsidR="000F2E56" w:rsidRPr="00C51A44">
        <w:rPr>
          <w:rFonts w:ascii="Arial" w:hAnsi="Arial" w:cs="Arial"/>
          <w:sz w:val="24"/>
          <w:szCs w:val="24"/>
        </w:rPr>
        <w:t>Electronic</w:t>
      </w:r>
      <w:proofErr w:type="gramEnd"/>
      <w:r w:rsidR="000F2E56" w:rsidRPr="00C51A44">
        <w:rPr>
          <w:rFonts w:ascii="Arial" w:hAnsi="Arial" w:cs="Arial"/>
          <w:sz w:val="24"/>
          <w:szCs w:val="24"/>
        </w:rPr>
        <w:t xml:space="preserve"> tag. They also noted </w:t>
      </w:r>
      <w:r w:rsidR="000F2E56" w:rsidRPr="00C51A44">
        <w:rPr>
          <w:rFonts w:ascii="Arial" w:hAnsi="Arial" w:cs="Arial"/>
          <w:sz w:val="24"/>
          <w:szCs w:val="24"/>
        </w:rPr>
        <w:lastRenderedPageBreak/>
        <w:t>that the Electronic Monitoring allows for a slower re-entry of those who’ve been in prison and are released into the community, prior to completing their entire sentence.</w:t>
      </w:r>
      <w:r w:rsidR="003A268C">
        <w:rPr>
          <w:rFonts w:ascii="Arial" w:hAnsi="Arial" w:cs="Arial"/>
          <w:sz w:val="24"/>
          <w:szCs w:val="24"/>
        </w:rPr>
        <w:t xml:space="preserve"> As the </w:t>
      </w:r>
      <w:r w:rsidR="003A268C" w:rsidRPr="003A268C">
        <w:rPr>
          <w:rFonts w:ascii="Arial" w:hAnsi="Arial" w:cs="Arial"/>
          <w:sz w:val="24"/>
          <w:szCs w:val="24"/>
        </w:rPr>
        <w:t>UK Parliament Committees</w:t>
      </w:r>
      <w:r w:rsidR="003A268C">
        <w:rPr>
          <w:rFonts w:ascii="Arial" w:hAnsi="Arial" w:cs="Arial"/>
          <w:sz w:val="24"/>
          <w:szCs w:val="24"/>
        </w:rPr>
        <w:t xml:space="preserve"> (2022) has shown that Electronic Monitoring is effective for Domestic Abuse Prevention Orders, whereby the Offender is ordered to not attend the Victim’s address and/or go into the area of the address and this measure would keep track of their location constantly. It is also noted that as per the committee’s experience it helps to deter abusive and violent behaviour.</w:t>
      </w:r>
    </w:p>
    <w:p w14:paraId="764716D0" w14:textId="77777777" w:rsidR="00233166" w:rsidRPr="00C51A44" w:rsidRDefault="00233166" w:rsidP="00C51A44">
      <w:pPr>
        <w:spacing w:line="480" w:lineRule="auto"/>
        <w:rPr>
          <w:rFonts w:ascii="Arial" w:hAnsi="Arial" w:cs="Arial"/>
          <w:sz w:val="24"/>
          <w:szCs w:val="24"/>
        </w:rPr>
      </w:pPr>
    </w:p>
    <w:p w14:paraId="61CA0A06" w14:textId="3D004D8E" w:rsidR="00410C08" w:rsidRDefault="00856D02" w:rsidP="00410C08">
      <w:pPr>
        <w:spacing w:line="480" w:lineRule="auto"/>
        <w:rPr>
          <w:rFonts w:ascii="Arial" w:hAnsi="Arial" w:cs="Arial"/>
          <w:sz w:val="24"/>
          <w:szCs w:val="24"/>
        </w:rPr>
      </w:pPr>
      <w:r w:rsidRPr="00C51A44">
        <w:rPr>
          <w:rFonts w:ascii="Arial" w:hAnsi="Arial" w:cs="Arial"/>
          <w:sz w:val="24"/>
          <w:szCs w:val="24"/>
        </w:rPr>
        <w:t>Williams and Weatherburn (2022) note that efforts made to reduce reoffending inside prisons end up slacking due to the lack of contact with family</w:t>
      </w:r>
      <w:r w:rsidR="004223E2" w:rsidRPr="00C51A44">
        <w:rPr>
          <w:rFonts w:ascii="Arial" w:hAnsi="Arial" w:cs="Arial"/>
          <w:sz w:val="24"/>
          <w:szCs w:val="24"/>
        </w:rPr>
        <w:t>, deprivation from skills required for life outside of prison and the collection of education of further criminal means inside of prison. Whereby, they promote that the Electronic Tagging could reduce the issues found in attempting to rehabilitate prisoners, by ensuring the person serves a sentence outside of prison with restrictions on where they can go and what times they can leave certain addresses.</w:t>
      </w:r>
      <w:r w:rsidR="00410C08">
        <w:rPr>
          <w:rFonts w:ascii="Arial" w:hAnsi="Arial" w:cs="Arial"/>
          <w:sz w:val="24"/>
          <w:szCs w:val="24"/>
        </w:rPr>
        <w:t xml:space="preserve"> </w:t>
      </w:r>
      <w:r w:rsidR="009A0B48" w:rsidRPr="00C51A44">
        <w:rPr>
          <w:rFonts w:ascii="Arial" w:hAnsi="Arial" w:cs="Arial"/>
          <w:sz w:val="24"/>
          <w:szCs w:val="24"/>
        </w:rPr>
        <w:t xml:space="preserve">As </w:t>
      </w:r>
      <w:proofErr w:type="spellStart"/>
      <w:r w:rsidR="009A0B48" w:rsidRPr="00C51A44">
        <w:rPr>
          <w:rFonts w:ascii="Arial" w:hAnsi="Arial" w:cs="Arial"/>
          <w:sz w:val="24"/>
          <w:szCs w:val="24"/>
        </w:rPr>
        <w:t>Jugl</w:t>
      </w:r>
      <w:proofErr w:type="spellEnd"/>
      <w:r w:rsidR="009A0B48" w:rsidRPr="00C51A44">
        <w:rPr>
          <w:rFonts w:ascii="Arial" w:hAnsi="Arial" w:cs="Arial"/>
          <w:sz w:val="24"/>
          <w:szCs w:val="24"/>
        </w:rPr>
        <w:t xml:space="preserve"> et al (2023) detail that sport is believed to assist in promoting positive behaviour and prevent criminal activity and is often used to reduce or prevent crime and criminal behaviour. The research conducted showed that these programs had a significant impact on decreasing criminal behaviour and reducing offending rates in participants, be it inside of prison or outside of prison</w:t>
      </w:r>
      <w:r w:rsidR="00AE6F47">
        <w:rPr>
          <w:rFonts w:ascii="Arial" w:hAnsi="Arial" w:cs="Arial"/>
          <w:sz w:val="24"/>
          <w:szCs w:val="24"/>
        </w:rPr>
        <w:t xml:space="preserve"> and is therefore an effective option in order to reduce reoffending</w:t>
      </w:r>
      <w:r w:rsidR="009A0B48" w:rsidRPr="00C51A44">
        <w:rPr>
          <w:rFonts w:ascii="Arial" w:hAnsi="Arial" w:cs="Arial"/>
          <w:sz w:val="24"/>
          <w:szCs w:val="24"/>
        </w:rPr>
        <w:t>.</w:t>
      </w:r>
    </w:p>
    <w:p w14:paraId="17E0ACCA" w14:textId="77777777" w:rsidR="003A268C" w:rsidRPr="00C51A44" w:rsidRDefault="003A268C" w:rsidP="00410C08">
      <w:pPr>
        <w:spacing w:line="480" w:lineRule="auto"/>
        <w:rPr>
          <w:rFonts w:ascii="Arial" w:hAnsi="Arial" w:cs="Arial"/>
          <w:sz w:val="24"/>
          <w:szCs w:val="24"/>
        </w:rPr>
      </w:pPr>
    </w:p>
    <w:p w14:paraId="0FBC613B" w14:textId="541C90CF" w:rsidR="00841244" w:rsidRPr="00C51A44" w:rsidRDefault="00410C08" w:rsidP="00410C08">
      <w:pPr>
        <w:spacing w:line="480" w:lineRule="auto"/>
        <w:rPr>
          <w:rFonts w:ascii="Arial" w:hAnsi="Arial" w:cs="Arial"/>
          <w:sz w:val="24"/>
          <w:szCs w:val="24"/>
        </w:rPr>
      </w:pPr>
      <w:r w:rsidRPr="00C51A44">
        <w:rPr>
          <w:rFonts w:ascii="Arial" w:hAnsi="Arial" w:cs="Arial"/>
          <w:sz w:val="24"/>
          <w:szCs w:val="24"/>
        </w:rPr>
        <w:t xml:space="preserve">Viljoen (2018) depicts </w:t>
      </w:r>
      <w:r w:rsidR="0079389C">
        <w:rPr>
          <w:rFonts w:ascii="Arial" w:hAnsi="Arial" w:cs="Arial"/>
          <w:sz w:val="24"/>
          <w:szCs w:val="24"/>
        </w:rPr>
        <w:t xml:space="preserve">within the </w:t>
      </w:r>
      <w:r w:rsidRPr="00C51A44">
        <w:rPr>
          <w:rFonts w:ascii="Arial" w:hAnsi="Arial" w:cs="Arial"/>
          <w:sz w:val="24"/>
          <w:szCs w:val="24"/>
        </w:rPr>
        <w:t xml:space="preserve">last few decades plenty of professions have started to develop tools in order to assess risk of violence and reoffending of perpetrators. </w:t>
      </w:r>
      <w:r w:rsidRPr="00C51A44">
        <w:rPr>
          <w:rFonts w:ascii="Arial" w:hAnsi="Arial" w:cs="Arial"/>
          <w:sz w:val="24"/>
          <w:szCs w:val="24"/>
        </w:rPr>
        <w:lastRenderedPageBreak/>
        <w:t>This can be seen with the THRIVE tool by College of Policing (2021) whereby it is aimed to assess the level of risk of harm, vulnerabilities of those involved and therefore initiate the appropriate response. Viljoen (2018) states that this can assist in reducing reoffending by ensuring that there is an appropriate labelling of risk to the offender, which can be responded to with the appropriate measures by professionals</w:t>
      </w:r>
      <w:r w:rsidR="00527716">
        <w:rPr>
          <w:rFonts w:ascii="Arial" w:hAnsi="Arial" w:cs="Arial"/>
          <w:sz w:val="24"/>
          <w:szCs w:val="24"/>
        </w:rPr>
        <w:t xml:space="preserve"> and in turn hopefully </w:t>
      </w:r>
      <w:r w:rsidRPr="00C51A44">
        <w:rPr>
          <w:rFonts w:ascii="Arial" w:hAnsi="Arial" w:cs="Arial"/>
          <w:sz w:val="24"/>
          <w:szCs w:val="24"/>
        </w:rPr>
        <w:t>decrease reoffending rates</w:t>
      </w:r>
      <w:r w:rsidR="00527716">
        <w:rPr>
          <w:rFonts w:ascii="Arial" w:hAnsi="Arial" w:cs="Arial"/>
          <w:sz w:val="24"/>
          <w:szCs w:val="24"/>
        </w:rPr>
        <w:t xml:space="preserve">. </w:t>
      </w:r>
      <w:r w:rsidRPr="00C51A44">
        <w:rPr>
          <w:rFonts w:ascii="Arial" w:hAnsi="Arial" w:cs="Arial"/>
          <w:sz w:val="24"/>
          <w:szCs w:val="24"/>
        </w:rPr>
        <w:t>As Connell (2016) states that it is identified by occupational therapists that there is a need for people to be in occupation in order to fulfil needs such as belonging and survival</w:t>
      </w:r>
      <w:r w:rsidR="003A268C">
        <w:rPr>
          <w:rFonts w:ascii="Arial" w:hAnsi="Arial" w:cs="Arial"/>
          <w:sz w:val="24"/>
          <w:szCs w:val="24"/>
        </w:rPr>
        <w:t xml:space="preserve"> and in order to </w:t>
      </w:r>
      <w:r w:rsidRPr="00C51A44">
        <w:rPr>
          <w:rFonts w:ascii="Arial" w:hAnsi="Arial" w:cs="Arial"/>
          <w:sz w:val="24"/>
          <w:szCs w:val="24"/>
        </w:rPr>
        <w:t>reduce reoffending, the same therapists must be able to assess and identify change in risk when intervention is implemented and are required to complete risk assessments which backs up what Viljoen (2018) had noted on with Risk assessment being key to reducing reoffending.</w:t>
      </w:r>
      <w:r>
        <w:rPr>
          <w:rFonts w:ascii="Arial" w:hAnsi="Arial" w:cs="Arial"/>
          <w:sz w:val="24"/>
          <w:szCs w:val="24"/>
        </w:rPr>
        <w:t xml:space="preserve"> </w:t>
      </w:r>
      <w:r w:rsidR="00841244">
        <w:rPr>
          <w:rFonts w:ascii="Arial" w:hAnsi="Arial" w:cs="Arial"/>
          <w:sz w:val="24"/>
          <w:szCs w:val="24"/>
        </w:rPr>
        <w:t xml:space="preserve">As Renehan (2021) states that the Building Better Relationships (BBR) programme was accredited </w:t>
      </w:r>
      <w:r w:rsidR="002354B4">
        <w:rPr>
          <w:rFonts w:ascii="Arial" w:hAnsi="Arial" w:cs="Arial"/>
          <w:sz w:val="24"/>
          <w:szCs w:val="24"/>
        </w:rPr>
        <w:t xml:space="preserve">for working with Medium and </w:t>
      </w:r>
      <w:proofErr w:type="gramStart"/>
      <w:r w:rsidR="002354B4">
        <w:rPr>
          <w:rFonts w:ascii="Arial" w:hAnsi="Arial" w:cs="Arial"/>
          <w:sz w:val="24"/>
          <w:szCs w:val="24"/>
        </w:rPr>
        <w:t>High Risk</w:t>
      </w:r>
      <w:proofErr w:type="gramEnd"/>
      <w:r w:rsidR="002354B4">
        <w:rPr>
          <w:rFonts w:ascii="Arial" w:hAnsi="Arial" w:cs="Arial"/>
          <w:sz w:val="24"/>
          <w:szCs w:val="24"/>
        </w:rPr>
        <w:t xml:space="preserve"> Domestic Violence Perpetrators, however when it was transferred into the private sector an Inspection had ended up damning it due to being flawed and ineffective. </w:t>
      </w:r>
    </w:p>
    <w:p w14:paraId="5C46AF4C" w14:textId="77777777" w:rsidR="003A268C" w:rsidRDefault="003A268C" w:rsidP="00C51A44">
      <w:pPr>
        <w:spacing w:line="480" w:lineRule="auto"/>
        <w:rPr>
          <w:rFonts w:ascii="Arial" w:hAnsi="Arial" w:cs="Arial"/>
          <w:sz w:val="24"/>
          <w:szCs w:val="24"/>
        </w:rPr>
      </w:pPr>
    </w:p>
    <w:p w14:paraId="6D778CB3" w14:textId="77777777" w:rsidR="00527716" w:rsidRDefault="00B405CE" w:rsidP="00C51A44">
      <w:pPr>
        <w:spacing w:line="480" w:lineRule="auto"/>
        <w:rPr>
          <w:rFonts w:ascii="Arial" w:hAnsi="Arial" w:cs="Arial"/>
          <w:sz w:val="24"/>
          <w:szCs w:val="24"/>
        </w:rPr>
      </w:pPr>
      <w:r w:rsidRPr="00C51A44">
        <w:rPr>
          <w:rFonts w:ascii="Arial" w:hAnsi="Arial" w:cs="Arial"/>
          <w:sz w:val="24"/>
          <w:szCs w:val="24"/>
        </w:rPr>
        <w:t xml:space="preserve">Smith et al (2018) states that probation has an overall positive effect on reoffending rates, as they can assist the offender with obtaining employment which backs up what Williams and Weatherburn (2022) had stated about the deprivation of skills for like out of prison. However, Smith et al (2018) note that there is significant variation of supervision by probation across jurisdictions and only the most high-risk offenders end up under the National Probation Service, whereas the rest end up under by private sector organisations. </w:t>
      </w:r>
    </w:p>
    <w:p w14:paraId="3A452E9E" w14:textId="2227D733" w:rsidR="005B42C6" w:rsidRPr="00C51A44" w:rsidRDefault="004D6798" w:rsidP="00C51A44">
      <w:pPr>
        <w:spacing w:line="480" w:lineRule="auto"/>
        <w:rPr>
          <w:rFonts w:ascii="Arial" w:hAnsi="Arial" w:cs="Arial"/>
          <w:sz w:val="24"/>
          <w:szCs w:val="24"/>
        </w:rPr>
      </w:pPr>
      <w:r w:rsidRPr="00C51A44">
        <w:rPr>
          <w:rFonts w:ascii="Arial" w:hAnsi="Arial" w:cs="Arial"/>
          <w:sz w:val="24"/>
          <w:szCs w:val="24"/>
        </w:rPr>
        <w:lastRenderedPageBreak/>
        <w:t xml:space="preserve">Rawlinson (2012) details that there is a link between the needs for accommodation, employment and that of offending. Whereby, if an Offender had issues with obtaining accommodation or employment, there was a likelihood of reoffending. </w:t>
      </w:r>
      <w:r w:rsidR="00527716">
        <w:rPr>
          <w:rFonts w:ascii="Arial" w:hAnsi="Arial" w:cs="Arial"/>
          <w:sz w:val="24"/>
          <w:szCs w:val="24"/>
        </w:rPr>
        <w:t xml:space="preserve">This </w:t>
      </w:r>
      <w:r w:rsidR="005B42C6" w:rsidRPr="00C51A44">
        <w:rPr>
          <w:rFonts w:ascii="Arial" w:hAnsi="Arial" w:cs="Arial"/>
          <w:sz w:val="24"/>
          <w:szCs w:val="24"/>
        </w:rPr>
        <w:t xml:space="preserve">supports what Williams and Weatherburn (2022) had noted on earlier and links in with Smith et al (2018) who noted that it is part of the duty of the probation service who supervises the offender to assist. Rawlinson (2012) continued to state that 15% of prisoners had reported to be homeless prior to entering custody, whereas the normal rate is 3.5% in the general population. </w:t>
      </w:r>
      <w:r w:rsidR="00291847" w:rsidRPr="00C51A44">
        <w:rPr>
          <w:rFonts w:ascii="Arial" w:hAnsi="Arial" w:cs="Arial"/>
          <w:sz w:val="24"/>
          <w:szCs w:val="24"/>
        </w:rPr>
        <w:t>It was also noted that almost every prisoner who took part in the survey, would require some form of assistance when released.</w:t>
      </w:r>
      <w:r w:rsidR="00D07F20">
        <w:rPr>
          <w:rFonts w:ascii="Arial" w:hAnsi="Arial" w:cs="Arial"/>
          <w:sz w:val="24"/>
          <w:szCs w:val="24"/>
        </w:rPr>
        <w:t xml:space="preserve"> As Bruce et al (2014) found that Offenders who entered Supported Housing saw a significant lower rate of reoffending, that was up to 5% less likely to reoffend than the normal 51% likelihood to reoffend in a study on London’s Support Housing programme. This backs up what Rawlinson (2012) and the linked between reoffending and accommodation.</w:t>
      </w:r>
    </w:p>
    <w:p w14:paraId="6A743FAE" w14:textId="77777777" w:rsidR="0017593B" w:rsidRPr="00C51A44" w:rsidRDefault="0017593B" w:rsidP="00C51A44">
      <w:pPr>
        <w:spacing w:line="480" w:lineRule="auto"/>
        <w:rPr>
          <w:rFonts w:ascii="Arial" w:hAnsi="Arial" w:cs="Arial"/>
          <w:sz w:val="24"/>
          <w:szCs w:val="24"/>
        </w:rPr>
      </w:pPr>
    </w:p>
    <w:p w14:paraId="2BAFEBCA" w14:textId="0FC1DC7C" w:rsidR="0017593B" w:rsidRPr="00C51A44" w:rsidRDefault="0079389C" w:rsidP="00C51A44">
      <w:pPr>
        <w:spacing w:line="480" w:lineRule="auto"/>
        <w:rPr>
          <w:rFonts w:ascii="Arial" w:hAnsi="Arial" w:cs="Arial"/>
          <w:sz w:val="24"/>
          <w:szCs w:val="24"/>
        </w:rPr>
      </w:pPr>
      <w:r>
        <w:rPr>
          <w:rFonts w:ascii="Arial" w:hAnsi="Arial" w:cs="Arial"/>
          <w:sz w:val="24"/>
          <w:szCs w:val="24"/>
        </w:rPr>
        <w:t>In conclusion</w:t>
      </w:r>
      <w:r w:rsidR="00410C08">
        <w:rPr>
          <w:rFonts w:ascii="Arial" w:hAnsi="Arial" w:cs="Arial"/>
          <w:sz w:val="24"/>
          <w:szCs w:val="24"/>
        </w:rPr>
        <w:t xml:space="preserve">, </w:t>
      </w:r>
      <w:r w:rsidR="0057323A" w:rsidRPr="00C51A44">
        <w:rPr>
          <w:rFonts w:ascii="Arial" w:hAnsi="Arial" w:cs="Arial"/>
          <w:sz w:val="24"/>
          <w:szCs w:val="24"/>
        </w:rPr>
        <w:t xml:space="preserve">the MoJ (2013) does back up what Barnett and Howard (2018) had noted on, that the methods implemented and being implemented to attempt at reducing reoffending are ineffective due to the </w:t>
      </w:r>
      <w:proofErr w:type="gramStart"/>
      <w:r w:rsidR="0057323A" w:rsidRPr="00C51A44">
        <w:rPr>
          <w:rFonts w:ascii="Arial" w:hAnsi="Arial" w:cs="Arial"/>
          <w:sz w:val="24"/>
          <w:szCs w:val="24"/>
        </w:rPr>
        <w:t>amount</w:t>
      </w:r>
      <w:proofErr w:type="gramEnd"/>
      <w:r w:rsidR="0057323A" w:rsidRPr="00C51A44">
        <w:rPr>
          <w:rFonts w:ascii="Arial" w:hAnsi="Arial" w:cs="Arial"/>
          <w:sz w:val="24"/>
          <w:szCs w:val="24"/>
        </w:rPr>
        <w:t xml:space="preserve"> of offenders who reoffend</w:t>
      </w:r>
      <w:r w:rsidR="008045E6">
        <w:rPr>
          <w:rFonts w:ascii="Arial" w:hAnsi="Arial" w:cs="Arial"/>
          <w:sz w:val="24"/>
          <w:szCs w:val="24"/>
        </w:rPr>
        <w:t xml:space="preserve">. </w:t>
      </w:r>
      <w:r w:rsidR="00AA5A30">
        <w:rPr>
          <w:rFonts w:ascii="Arial" w:hAnsi="Arial" w:cs="Arial"/>
          <w:sz w:val="24"/>
          <w:szCs w:val="24"/>
        </w:rPr>
        <w:t xml:space="preserve">However, as shown with this essay there are plenty of methods that are effective for certain crimes, such as Electronic Monitoring for Domestic Violence as per UK Parliament Committees (2022) </w:t>
      </w:r>
      <w:r>
        <w:rPr>
          <w:rFonts w:ascii="Arial" w:hAnsi="Arial" w:cs="Arial"/>
          <w:sz w:val="24"/>
          <w:szCs w:val="24"/>
        </w:rPr>
        <w:t xml:space="preserve">and participation in sport that </w:t>
      </w:r>
      <w:proofErr w:type="spellStart"/>
      <w:r>
        <w:rPr>
          <w:rFonts w:ascii="Arial" w:hAnsi="Arial" w:cs="Arial"/>
          <w:sz w:val="24"/>
          <w:szCs w:val="24"/>
        </w:rPr>
        <w:t>Jugle</w:t>
      </w:r>
      <w:proofErr w:type="spellEnd"/>
      <w:r>
        <w:rPr>
          <w:rFonts w:ascii="Arial" w:hAnsi="Arial" w:cs="Arial"/>
          <w:sz w:val="24"/>
          <w:szCs w:val="24"/>
        </w:rPr>
        <w:t xml:space="preserve"> et al (2023) had found.</w:t>
      </w:r>
    </w:p>
    <w:p w14:paraId="6B19C710" w14:textId="77777777" w:rsidR="00F7101E" w:rsidRPr="00C51A44" w:rsidRDefault="00F7101E" w:rsidP="00C51A44">
      <w:pPr>
        <w:spacing w:line="480" w:lineRule="auto"/>
        <w:rPr>
          <w:rFonts w:ascii="Arial" w:hAnsi="Arial" w:cs="Arial"/>
          <w:sz w:val="24"/>
          <w:szCs w:val="24"/>
        </w:rPr>
      </w:pPr>
    </w:p>
    <w:p w14:paraId="5873DFC3" w14:textId="0B9C763C" w:rsidR="00511F8B" w:rsidRPr="00C51A44" w:rsidRDefault="00511F8B" w:rsidP="00C51A44">
      <w:pPr>
        <w:spacing w:line="480" w:lineRule="auto"/>
        <w:rPr>
          <w:rFonts w:ascii="Arial" w:hAnsi="Arial" w:cs="Arial"/>
          <w:sz w:val="24"/>
          <w:szCs w:val="24"/>
        </w:rPr>
      </w:pPr>
      <w:r w:rsidRPr="00C51A44">
        <w:rPr>
          <w:rFonts w:ascii="Arial" w:hAnsi="Arial" w:cs="Arial"/>
          <w:b/>
          <w:bCs/>
          <w:sz w:val="24"/>
          <w:szCs w:val="24"/>
        </w:rPr>
        <w:t xml:space="preserve">Word count: </w:t>
      </w:r>
      <w:r w:rsidR="00527716">
        <w:rPr>
          <w:rFonts w:ascii="Arial" w:hAnsi="Arial" w:cs="Arial"/>
          <w:b/>
          <w:bCs/>
          <w:sz w:val="24"/>
          <w:szCs w:val="24"/>
        </w:rPr>
        <w:t>1100</w:t>
      </w:r>
    </w:p>
    <w:p w14:paraId="5983DD0F" w14:textId="77777777" w:rsidR="006523F0" w:rsidRDefault="006523F0">
      <w:pPr>
        <w:rPr>
          <w:rFonts w:ascii="Arial" w:hAnsi="Arial" w:cs="Arial"/>
          <w:sz w:val="24"/>
          <w:szCs w:val="24"/>
        </w:rPr>
      </w:pPr>
    </w:p>
    <w:p w14:paraId="4F39EC10" w14:textId="77777777" w:rsidR="00F7101E" w:rsidRDefault="00F7101E">
      <w:pPr>
        <w:rPr>
          <w:rFonts w:ascii="Arial" w:hAnsi="Arial" w:cs="Arial"/>
          <w:sz w:val="24"/>
          <w:szCs w:val="24"/>
        </w:rPr>
      </w:pPr>
    </w:p>
    <w:p w14:paraId="3B9A0D17" w14:textId="77777777" w:rsidR="00167E78" w:rsidRDefault="00167E78">
      <w:pPr>
        <w:rPr>
          <w:rFonts w:ascii="Arial" w:hAnsi="Arial" w:cs="Arial"/>
          <w:sz w:val="24"/>
          <w:szCs w:val="24"/>
        </w:rPr>
      </w:pPr>
    </w:p>
    <w:p w14:paraId="4850B32D" w14:textId="77777777" w:rsidR="00B405CE" w:rsidRDefault="00B405CE">
      <w:pPr>
        <w:rPr>
          <w:rFonts w:ascii="Arial" w:hAnsi="Arial" w:cs="Arial"/>
          <w:sz w:val="24"/>
          <w:szCs w:val="24"/>
        </w:rPr>
      </w:pPr>
    </w:p>
    <w:p w14:paraId="000E6614" w14:textId="77777777" w:rsidR="00B405CE" w:rsidRDefault="00B405CE">
      <w:pPr>
        <w:rPr>
          <w:rFonts w:ascii="Arial" w:hAnsi="Arial" w:cs="Arial"/>
          <w:sz w:val="24"/>
          <w:szCs w:val="24"/>
        </w:rPr>
      </w:pPr>
    </w:p>
    <w:p w14:paraId="0BED7ECD" w14:textId="77777777" w:rsidR="00B405CE" w:rsidRDefault="00B405CE">
      <w:pPr>
        <w:rPr>
          <w:rFonts w:ascii="Arial" w:hAnsi="Arial" w:cs="Arial"/>
          <w:sz w:val="24"/>
          <w:szCs w:val="24"/>
        </w:rPr>
      </w:pPr>
    </w:p>
    <w:p w14:paraId="251FF5CC" w14:textId="77777777" w:rsidR="00551BD5" w:rsidRDefault="00551BD5">
      <w:pPr>
        <w:rPr>
          <w:rFonts w:ascii="Arial" w:hAnsi="Arial" w:cs="Arial"/>
          <w:sz w:val="24"/>
          <w:szCs w:val="24"/>
        </w:rPr>
      </w:pPr>
    </w:p>
    <w:p w14:paraId="73C903D8" w14:textId="77777777" w:rsidR="00551BD5" w:rsidRDefault="00551BD5">
      <w:pPr>
        <w:rPr>
          <w:rFonts w:ascii="Arial" w:hAnsi="Arial" w:cs="Arial"/>
          <w:sz w:val="24"/>
          <w:szCs w:val="24"/>
        </w:rPr>
      </w:pPr>
    </w:p>
    <w:p w14:paraId="2DF3AA71" w14:textId="77777777" w:rsidR="009506FF" w:rsidRDefault="009506FF">
      <w:pPr>
        <w:rPr>
          <w:rFonts w:ascii="Arial" w:hAnsi="Arial" w:cs="Arial"/>
          <w:sz w:val="24"/>
          <w:szCs w:val="24"/>
        </w:rPr>
      </w:pPr>
    </w:p>
    <w:p w14:paraId="7BD14CE9" w14:textId="77777777" w:rsidR="009506FF" w:rsidRDefault="009506FF">
      <w:pPr>
        <w:rPr>
          <w:rFonts w:ascii="Arial" w:hAnsi="Arial" w:cs="Arial"/>
          <w:sz w:val="24"/>
          <w:szCs w:val="24"/>
        </w:rPr>
      </w:pPr>
    </w:p>
    <w:p w14:paraId="53C94487" w14:textId="77777777" w:rsidR="00F4268A" w:rsidRDefault="00F4268A">
      <w:pPr>
        <w:rPr>
          <w:rFonts w:ascii="Arial" w:hAnsi="Arial" w:cs="Arial"/>
          <w:sz w:val="24"/>
          <w:szCs w:val="24"/>
        </w:rPr>
      </w:pPr>
    </w:p>
    <w:p w14:paraId="08FEB672" w14:textId="77777777" w:rsidR="005108D5" w:rsidRDefault="005108D5">
      <w:pPr>
        <w:rPr>
          <w:rFonts w:ascii="Arial" w:hAnsi="Arial" w:cs="Arial"/>
          <w:sz w:val="24"/>
          <w:szCs w:val="24"/>
        </w:rPr>
      </w:pPr>
    </w:p>
    <w:p w14:paraId="58CE1AA4" w14:textId="77777777" w:rsidR="000760B5" w:rsidRDefault="000760B5">
      <w:pPr>
        <w:rPr>
          <w:rFonts w:ascii="Arial" w:hAnsi="Arial" w:cs="Arial"/>
          <w:sz w:val="24"/>
          <w:szCs w:val="24"/>
        </w:rPr>
      </w:pPr>
    </w:p>
    <w:p w14:paraId="52407701" w14:textId="77777777" w:rsidR="000760B5" w:rsidRDefault="000760B5">
      <w:pPr>
        <w:rPr>
          <w:rFonts w:ascii="Arial" w:hAnsi="Arial" w:cs="Arial"/>
          <w:sz w:val="24"/>
          <w:szCs w:val="24"/>
        </w:rPr>
      </w:pPr>
    </w:p>
    <w:p w14:paraId="7C6C44B4" w14:textId="77777777" w:rsidR="00124A21" w:rsidRPr="002A3ABE" w:rsidRDefault="00124A21">
      <w:pPr>
        <w:rPr>
          <w:rFonts w:ascii="Arial" w:hAnsi="Arial" w:cs="Arial"/>
          <w:sz w:val="24"/>
          <w:szCs w:val="24"/>
        </w:rPr>
      </w:pPr>
    </w:p>
    <w:p w14:paraId="6F378E1E" w14:textId="1C383F44" w:rsidR="00A42250" w:rsidRDefault="00A42250">
      <w:pPr>
        <w:rPr>
          <w:rFonts w:ascii="Arial" w:hAnsi="Arial" w:cs="Arial"/>
          <w:sz w:val="24"/>
          <w:szCs w:val="24"/>
        </w:rPr>
      </w:pPr>
      <w:r>
        <w:rPr>
          <w:rFonts w:ascii="Arial" w:hAnsi="Arial" w:cs="Arial"/>
          <w:sz w:val="24"/>
          <w:szCs w:val="24"/>
        </w:rPr>
        <w:br w:type="page"/>
      </w:r>
    </w:p>
    <w:sdt>
      <w:sdtPr>
        <w:rPr>
          <w:rFonts w:asciiTheme="minorHAnsi" w:eastAsiaTheme="minorEastAsia" w:hAnsiTheme="minorHAnsi" w:cstheme="minorBidi"/>
          <w:color w:val="auto"/>
          <w:kern w:val="2"/>
          <w:sz w:val="22"/>
          <w:szCs w:val="22"/>
          <w:lang w:val="en-GB" w:eastAsia="ja-JP"/>
          <w14:ligatures w14:val="standardContextual"/>
        </w:rPr>
        <w:id w:val="-1350094290"/>
        <w:docPartObj>
          <w:docPartGallery w:val="Bibliographies"/>
          <w:docPartUnique/>
        </w:docPartObj>
      </w:sdtPr>
      <w:sdtEndPr>
        <w:rPr>
          <w:rFonts w:ascii="Arial" w:hAnsi="Arial" w:cs="Arial"/>
          <w:sz w:val="24"/>
          <w:szCs w:val="24"/>
        </w:rPr>
      </w:sdtEndPr>
      <w:sdtContent>
        <w:p w14:paraId="4CEDC39B" w14:textId="135C659C" w:rsidR="00A42250" w:rsidRDefault="00A42250">
          <w:pPr>
            <w:pStyle w:val="Heading1"/>
          </w:pPr>
          <w:r>
            <w:t>References</w:t>
          </w:r>
        </w:p>
        <w:sdt>
          <w:sdtPr>
            <w:id w:val="-573587230"/>
            <w:bibliography/>
          </w:sdtPr>
          <w:sdtEndPr>
            <w:rPr>
              <w:rFonts w:ascii="Arial" w:hAnsi="Arial" w:cs="Arial"/>
              <w:sz w:val="24"/>
              <w:szCs w:val="24"/>
            </w:rPr>
          </w:sdtEndPr>
          <w:sdtContent>
            <w:p w14:paraId="428C9027" w14:textId="77777777" w:rsidR="00E03520" w:rsidRDefault="00A42250" w:rsidP="00E03520">
              <w:pPr>
                <w:pStyle w:val="Bibliography"/>
                <w:rPr>
                  <w:noProof/>
                  <w:kern w:val="0"/>
                  <w:sz w:val="24"/>
                  <w:szCs w:val="24"/>
                  <w:lang w:val="en-US"/>
                  <w14:ligatures w14:val="none"/>
                </w:rPr>
              </w:pPr>
              <w:r w:rsidRPr="00884F11">
                <w:rPr>
                  <w:rFonts w:ascii="Arial" w:hAnsi="Arial" w:cs="Arial"/>
                  <w:sz w:val="24"/>
                  <w:szCs w:val="24"/>
                </w:rPr>
                <w:fldChar w:fldCharType="begin"/>
              </w:r>
              <w:r w:rsidRPr="00884F11">
                <w:rPr>
                  <w:rFonts w:ascii="Arial" w:hAnsi="Arial" w:cs="Arial"/>
                  <w:sz w:val="24"/>
                  <w:szCs w:val="24"/>
                </w:rPr>
                <w:instrText xml:space="preserve"> BIBLIOGRAPHY </w:instrText>
              </w:r>
              <w:r w:rsidRPr="00884F11">
                <w:rPr>
                  <w:rFonts w:ascii="Arial" w:hAnsi="Arial" w:cs="Arial"/>
                  <w:sz w:val="24"/>
                  <w:szCs w:val="24"/>
                </w:rPr>
                <w:fldChar w:fldCharType="separate"/>
              </w:r>
              <w:r w:rsidR="00E03520">
                <w:rPr>
                  <w:noProof/>
                  <w:lang w:val="en-US"/>
                </w:rPr>
                <w:t xml:space="preserve">Annan, L. G., Gaoua, N., Mileva, K. &amp; Borges, M., 2022. What makes young people get involved withstreet gangs in London? A study of theperceived risk factors. </w:t>
              </w:r>
              <w:r w:rsidR="00E03520">
                <w:rPr>
                  <w:i/>
                  <w:iCs/>
                  <w:noProof/>
                  <w:lang w:val="en-US"/>
                </w:rPr>
                <w:t>Journal of Community Psychology.</w:t>
              </w:r>
            </w:p>
            <w:p w14:paraId="2582F5CC" w14:textId="77777777" w:rsidR="00E03520" w:rsidRDefault="00E03520" w:rsidP="00E03520">
              <w:pPr>
                <w:pStyle w:val="Bibliography"/>
                <w:rPr>
                  <w:noProof/>
                  <w:lang w:val="en-US"/>
                </w:rPr>
              </w:pPr>
              <w:r>
                <w:rPr>
                  <w:noProof/>
                  <w:lang w:val="en-US"/>
                </w:rPr>
                <w:t>Barnett, G. D. &amp; Howard, F. F., 2018. What doesn’t work to reduce reoffending? A review of reviews of ineffective interventions for adults convicted of crimes.. 23(2), pp. 111-129.</w:t>
              </w:r>
            </w:p>
            <w:p w14:paraId="2C1C4D7B" w14:textId="77777777" w:rsidR="00E03520" w:rsidRDefault="00E03520" w:rsidP="00E03520">
              <w:pPr>
                <w:pStyle w:val="Bibliography"/>
                <w:rPr>
                  <w:noProof/>
                  <w:lang w:val="en-US"/>
                </w:rPr>
              </w:pPr>
              <w:r>
                <w:rPr>
                  <w:noProof/>
                  <w:lang w:val="en-US"/>
                </w:rPr>
                <w:t xml:space="preserve">BMG Research, 2018. </w:t>
              </w:r>
              <w:r>
                <w:rPr>
                  <w:i/>
                  <w:iCs/>
                  <w:noProof/>
                  <w:lang w:val="en-US"/>
                </w:rPr>
                <w:t xml:space="preserve">Public Perceptions of Policing in. </w:t>
              </w:r>
              <w:r>
                <w:rPr>
                  <w:noProof/>
                  <w:lang w:val="en-US"/>
                </w:rPr>
                <w:t xml:space="preserve">[Online] </w:t>
              </w:r>
              <w:r>
                <w:rPr>
                  <w:noProof/>
                  <w:lang w:val="en-US"/>
                </w:rPr>
                <w:br/>
                <w:t xml:space="preserve">Available at: </w:t>
              </w:r>
              <w:r>
                <w:rPr>
                  <w:noProof/>
                  <w:u w:val="single"/>
                  <w:lang w:val="en-US"/>
                </w:rPr>
                <w:t>https://www.bmgresearch.co.uk/wp-content/uploads/2019/01/1578-HMICFRS-Public-Perceptions-of-Policing-2018_FINAL.pdf</w:t>
              </w:r>
              <w:r>
                <w:rPr>
                  <w:noProof/>
                  <w:lang w:val="en-US"/>
                </w:rPr>
                <w:br/>
                <w:t>[Accessed 24 05 2024].</w:t>
              </w:r>
            </w:p>
            <w:p w14:paraId="54D52E44" w14:textId="77777777" w:rsidR="00E03520" w:rsidRDefault="00E03520" w:rsidP="00E03520">
              <w:pPr>
                <w:pStyle w:val="Bibliography"/>
                <w:rPr>
                  <w:noProof/>
                  <w:lang w:val="en-US"/>
                </w:rPr>
              </w:pPr>
              <w:r>
                <w:rPr>
                  <w:noProof/>
                  <w:lang w:val="en-US"/>
                </w:rPr>
                <w:t xml:space="preserve">Borchadt, D. J., Hect, S. A. &amp; Marcelo, C., 2024. Questioning the link between organizational justice and external procedural justice in police–citizen interactions. </w:t>
              </w:r>
              <w:r>
                <w:rPr>
                  <w:i/>
                  <w:iCs/>
                  <w:noProof/>
                  <w:lang w:val="en-US"/>
                </w:rPr>
                <w:t xml:space="preserve">International Journal of Police Science &amp; Management, </w:t>
              </w:r>
              <w:r>
                <w:rPr>
                  <w:noProof/>
                  <w:lang w:val="en-US"/>
                </w:rPr>
                <w:t>26(2).</w:t>
              </w:r>
            </w:p>
            <w:p w14:paraId="115CC497" w14:textId="77777777" w:rsidR="00E03520" w:rsidRDefault="00E03520" w:rsidP="00E03520">
              <w:pPr>
                <w:pStyle w:val="Bibliography"/>
                <w:rPr>
                  <w:noProof/>
                  <w:lang w:val="en-US"/>
                </w:rPr>
              </w:pPr>
              <w:r>
                <w:rPr>
                  <w:noProof/>
                  <w:lang w:val="en-US"/>
                </w:rPr>
                <w:t xml:space="preserve">Brookings, C., 2013. Gangs and sexual violence and exploitation. </w:t>
              </w:r>
              <w:r>
                <w:rPr>
                  <w:i/>
                  <w:iCs/>
                  <w:noProof/>
                  <w:lang w:val="en-US"/>
                </w:rPr>
                <w:t xml:space="preserve">Sexually Transmitted Infections, </w:t>
              </w:r>
              <w:r>
                <w:rPr>
                  <w:noProof/>
                  <w:lang w:val="en-US"/>
                </w:rPr>
                <w:t>89(1).</w:t>
              </w:r>
            </w:p>
            <w:p w14:paraId="2EEE9F30" w14:textId="77777777" w:rsidR="00E03520" w:rsidRDefault="00E03520" w:rsidP="00E03520">
              <w:pPr>
                <w:pStyle w:val="Bibliography"/>
                <w:rPr>
                  <w:noProof/>
                  <w:lang w:val="en-US"/>
                </w:rPr>
              </w:pPr>
              <w:r>
                <w:rPr>
                  <w:noProof/>
                  <w:lang w:val="en-US"/>
                </w:rPr>
                <w:t xml:space="preserve">Bruce, M., Crowley, S., Jeffcote, N. &amp; Coulston, B., 2014. Community DSPD pilot services in South London: Rates of reconviction and impact of supported housing on reducing recidivism. </w:t>
              </w:r>
              <w:r>
                <w:rPr>
                  <w:i/>
                  <w:iCs/>
                  <w:noProof/>
                  <w:lang w:val="en-US"/>
                </w:rPr>
                <w:t xml:space="preserve">Criminal behaviour and mental health, </w:t>
              </w:r>
              <w:r>
                <w:rPr>
                  <w:noProof/>
                  <w:lang w:val="en-US"/>
                </w:rPr>
                <w:t>24(2), pp. 129-140.</w:t>
              </w:r>
            </w:p>
            <w:p w14:paraId="135DAF1C" w14:textId="77777777" w:rsidR="00E03520" w:rsidRDefault="00E03520" w:rsidP="00E03520">
              <w:pPr>
                <w:pStyle w:val="Bibliography"/>
                <w:rPr>
                  <w:noProof/>
                  <w:lang w:val="en-US"/>
                </w:rPr>
              </w:pPr>
              <w:r>
                <w:rPr>
                  <w:noProof/>
                  <w:lang w:val="en-US"/>
                </w:rPr>
                <w:t xml:space="preserve">College of Police, 2024. </w:t>
              </w:r>
              <w:r>
                <w:rPr>
                  <w:i/>
                  <w:iCs/>
                  <w:noProof/>
                  <w:lang w:val="en-US"/>
                </w:rPr>
                <w:t xml:space="preserve">Ethical Policing Principles. </w:t>
              </w:r>
              <w:r>
                <w:rPr>
                  <w:noProof/>
                  <w:lang w:val="en-US"/>
                </w:rPr>
                <w:t xml:space="preserve">[Online] </w:t>
              </w:r>
              <w:r>
                <w:rPr>
                  <w:noProof/>
                  <w:lang w:val="en-US"/>
                </w:rPr>
                <w:br/>
                <w:t xml:space="preserve">Available at: </w:t>
              </w:r>
              <w:r>
                <w:rPr>
                  <w:noProof/>
                  <w:u w:val="single"/>
                  <w:lang w:val="en-US"/>
                </w:rPr>
                <w:t>https://www.college.police.uk/ethics/code-of-ethics/principles</w:t>
              </w:r>
              <w:r>
                <w:rPr>
                  <w:noProof/>
                  <w:lang w:val="en-US"/>
                </w:rPr>
                <w:br/>
                <w:t>[Accessed 24 05 2024].</w:t>
              </w:r>
            </w:p>
            <w:p w14:paraId="0C138145" w14:textId="77777777" w:rsidR="00E03520" w:rsidRDefault="00E03520" w:rsidP="00E03520">
              <w:pPr>
                <w:pStyle w:val="Bibliography"/>
                <w:rPr>
                  <w:noProof/>
                  <w:lang w:val="en-US"/>
                </w:rPr>
              </w:pPr>
              <w:r>
                <w:rPr>
                  <w:noProof/>
                  <w:lang w:val="en-US"/>
                </w:rPr>
                <w:t xml:space="preserve">College of Policing, 2015. </w:t>
              </w:r>
              <w:r>
                <w:rPr>
                  <w:i/>
                  <w:iCs/>
                  <w:noProof/>
                  <w:lang w:val="en-US"/>
                </w:rPr>
                <w:t xml:space="preserve">Professional standards. </w:t>
              </w:r>
              <w:r>
                <w:rPr>
                  <w:noProof/>
                  <w:lang w:val="en-US"/>
                </w:rPr>
                <w:t xml:space="preserve">[Online] </w:t>
              </w:r>
              <w:r>
                <w:rPr>
                  <w:noProof/>
                  <w:lang w:val="en-US"/>
                </w:rPr>
                <w:br/>
                <w:t xml:space="preserve">Available at: </w:t>
              </w:r>
              <w:r>
                <w:rPr>
                  <w:noProof/>
                  <w:u w:val="single"/>
                  <w:lang w:val="en-US"/>
                </w:rPr>
                <w:t>https://www.college.police.uk/app/professional-standards</w:t>
              </w:r>
              <w:r>
                <w:rPr>
                  <w:noProof/>
                  <w:lang w:val="en-US"/>
                </w:rPr>
                <w:br/>
                <w:t>[Accessed 24 05 2024].</w:t>
              </w:r>
            </w:p>
            <w:p w14:paraId="6352DB1A" w14:textId="77777777" w:rsidR="00E03520" w:rsidRDefault="00E03520" w:rsidP="00E03520">
              <w:pPr>
                <w:pStyle w:val="Bibliography"/>
                <w:rPr>
                  <w:noProof/>
                  <w:lang w:val="en-US"/>
                </w:rPr>
              </w:pPr>
              <w:r>
                <w:rPr>
                  <w:noProof/>
                  <w:lang w:val="en-US"/>
                </w:rPr>
                <w:t xml:space="preserve">College of Policing, 2021. </w:t>
              </w:r>
              <w:r>
                <w:rPr>
                  <w:i/>
                  <w:iCs/>
                  <w:noProof/>
                  <w:lang w:val="en-US"/>
                </w:rPr>
                <w:t xml:space="preserve">Context and dynamics of domestic abuse.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https://www.college.police.uk/app/major-investigation-and-public-protection/domestic-abuse/context-and-dynamics-domestic-abuse</w:t>
              </w:r>
              <w:r>
                <w:rPr>
                  <w:noProof/>
                  <w:lang w:val="en-US"/>
                </w:rPr>
                <w:br/>
                <w:t>[Accessed 24 05 2024].</w:t>
              </w:r>
            </w:p>
            <w:p w14:paraId="7CAC66A2" w14:textId="77777777" w:rsidR="00E03520" w:rsidRDefault="00E03520" w:rsidP="00E03520">
              <w:pPr>
                <w:pStyle w:val="Bibliography"/>
                <w:rPr>
                  <w:noProof/>
                  <w:lang w:val="en-US"/>
                </w:rPr>
              </w:pPr>
              <w:r>
                <w:rPr>
                  <w:noProof/>
                  <w:lang w:val="en-US"/>
                </w:rPr>
                <w:t xml:space="preserve">College of Policing, 2021. </w:t>
              </w:r>
              <w:r>
                <w:rPr>
                  <w:i/>
                  <w:iCs/>
                  <w:noProof/>
                  <w:lang w:val="en-US"/>
                </w:rPr>
                <w:t xml:space="preserve">Introduction to vulnerability-related risk. </w:t>
              </w:r>
              <w:r>
                <w:rPr>
                  <w:noProof/>
                  <w:lang w:val="en-US"/>
                </w:rPr>
                <w:t xml:space="preserve">[Online] </w:t>
              </w:r>
              <w:r>
                <w:rPr>
                  <w:noProof/>
                  <w:lang w:val="en-US"/>
                </w:rPr>
                <w:br/>
                <w:t xml:space="preserve">Available at: </w:t>
              </w:r>
              <w:r>
                <w:rPr>
                  <w:noProof/>
                  <w:u w:val="single"/>
                  <w:lang w:val="en-US"/>
                </w:rPr>
                <w:t>https://www.college.police.uk/guidance/vulnerability-related-risks/introduction-vulnerability-related-risk</w:t>
              </w:r>
              <w:r>
                <w:rPr>
                  <w:noProof/>
                  <w:lang w:val="en-US"/>
                </w:rPr>
                <w:br/>
                <w:t>[Accessed 25 05 2024].</w:t>
              </w:r>
            </w:p>
            <w:p w14:paraId="7CEA4E28" w14:textId="77777777" w:rsidR="00E03520" w:rsidRDefault="00E03520" w:rsidP="00E03520">
              <w:pPr>
                <w:pStyle w:val="Bibliography"/>
                <w:rPr>
                  <w:noProof/>
                  <w:lang w:val="en-US"/>
                </w:rPr>
              </w:pPr>
              <w:r>
                <w:rPr>
                  <w:noProof/>
                  <w:lang w:val="en-US"/>
                </w:rPr>
                <w:t xml:space="preserve">College of Policing, 2023. </w:t>
              </w:r>
              <w:r>
                <w:rPr>
                  <w:i/>
                  <w:iCs/>
                  <w:noProof/>
                  <w:lang w:val="en-US"/>
                </w:rPr>
                <w:t xml:space="preserve">Guidance on outcomes. </w:t>
              </w:r>
              <w:r>
                <w:rPr>
                  <w:noProof/>
                  <w:lang w:val="en-US"/>
                </w:rPr>
                <w:t xml:space="preserve">[Online] </w:t>
              </w:r>
              <w:r>
                <w:rPr>
                  <w:noProof/>
                  <w:lang w:val="en-US"/>
                </w:rPr>
                <w:br/>
                <w:t xml:space="preserve">Available at: </w:t>
              </w:r>
              <w:r>
                <w:rPr>
                  <w:noProof/>
                  <w:u w:val="single"/>
                  <w:lang w:val="en-US"/>
                </w:rPr>
                <w:t>https://www.college.police.uk/app/professional-standards/complaints-and-misconduct</w:t>
              </w:r>
              <w:r>
                <w:rPr>
                  <w:noProof/>
                  <w:lang w:val="en-US"/>
                </w:rPr>
                <w:br/>
                <w:t>[Accessed 24 05 2024].</w:t>
              </w:r>
            </w:p>
            <w:p w14:paraId="43C557BB" w14:textId="77777777" w:rsidR="00E03520" w:rsidRDefault="00E03520" w:rsidP="00E03520">
              <w:pPr>
                <w:pStyle w:val="Bibliography"/>
                <w:rPr>
                  <w:noProof/>
                  <w:lang w:val="en-US"/>
                </w:rPr>
              </w:pPr>
              <w:r>
                <w:rPr>
                  <w:noProof/>
                  <w:lang w:val="en-US"/>
                </w:rPr>
                <w:t xml:space="preserve">College of Policing, 2023. </w:t>
              </w:r>
              <w:r>
                <w:rPr>
                  <w:i/>
                  <w:iCs/>
                  <w:noProof/>
                  <w:lang w:val="en-US"/>
                </w:rPr>
                <w:t xml:space="preserve">Understanding risk and vulnerability in the context of domestic abuse.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https://www.college.police.uk/app/major-investigation-and-public-protection/domestic-abuse/understanding-risk-and-vulnerability-context-domestic-abuse</w:t>
              </w:r>
              <w:r>
                <w:rPr>
                  <w:noProof/>
                  <w:lang w:val="en-US"/>
                </w:rPr>
                <w:br/>
                <w:t>[Accessed 25 05 2024].</w:t>
              </w:r>
            </w:p>
            <w:p w14:paraId="04C37CE0" w14:textId="77777777" w:rsidR="00E03520" w:rsidRDefault="00E03520" w:rsidP="00E03520">
              <w:pPr>
                <w:pStyle w:val="Bibliography"/>
                <w:rPr>
                  <w:noProof/>
                  <w:lang w:val="en-US"/>
                </w:rPr>
              </w:pPr>
              <w:r>
                <w:rPr>
                  <w:noProof/>
                  <w:lang w:val="en-US"/>
                </w:rPr>
                <w:t xml:space="preserve">Connell, C., 2016. Forensic occupational therapy to reduce risk of reoffending: a survey of practice in the United Kingdom. </w:t>
              </w:r>
              <w:r>
                <w:rPr>
                  <w:i/>
                  <w:iCs/>
                  <w:noProof/>
                  <w:lang w:val="en-US"/>
                </w:rPr>
                <w:t xml:space="preserve">The journal of forensic psychiatry &amp; psychology, </w:t>
              </w:r>
              <w:r>
                <w:rPr>
                  <w:noProof/>
                  <w:lang w:val="en-US"/>
                </w:rPr>
                <w:t>27(6), pp. 907-928.</w:t>
              </w:r>
            </w:p>
            <w:p w14:paraId="5A9A4BFB" w14:textId="77777777" w:rsidR="00E03520" w:rsidRDefault="00E03520" w:rsidP="00E03520">
              <w:pPr>
                <w:pStyle w:val="Bibliography"/>
                <w:rPr>
                  <w:noProof/>
                  <w:lang w:val="en-US"/>
                </w:rPr>
              </w:pPr>
              <w:r>
                <w:rPr>
                  <w:noProof/>
                  <w:lang w:val="en-US"/>
                </w:rPr>
                <w:lastRenderedPageBreak/>
                <w:t xml:space="preserve">Finelli, G. A., 2019. Slash, Shoot, Kill: Gang Recruitment of Children and the Penalties Gangs Face. </w:t>
              </w:r>
              <w:r>
                <w:rPr>
                  <w:i/>
                  <w:iCs/>
                  <w:noProof/>
                  <w:lang w:val="en-US"/>
                </w:rPr>
                <w:t xml:space="preserve">Family Court Review, </w:t>
              </w:r>
              <w:r>
                <w:rPr>
                  <w:noProof/>
                  <w:lang w:val="en-US"/>
                </w:rPr>
                <w:t>57(2), pp. 243-257.</w:t>
              </w:r>
            </w:p>
            <w:p w14:paraId="6C61B545" w14:textId="77777777" w:rsidR="00E03520" w:rsidRDefault="00E03520" w:rsidP="00E03520">
              <w:pPr>
                <w:pStyle w:val="Bibliography"/>
                <w:rPr>
                  <w:noProof/>
                  <w:lang w:val="en-US"/>
                </w:rPr>
              </w:pPr>
              <w:r>
                <w:rPr>
                  <w:noProof/>
                  <w:lang w:val="en-US"/>
                </w:rPr>
                <w:t xml:space="preserve">Frevel, B. &amp; Rogers, C., 2016. Community partnerships (UK) vs Crime Prevention Councils (GER): Differences and similarities. </w:t>
              </w:r>
              <w:r>
                <w:rPr>
                  <w:i/>
                  <w:iCs/>
                  <w:noProof/>
                  <w:lang w:val="en-US"/>
                </w:rPr>
                <w:t xml:space="preserve">The Police Journal: Theory, Practice and Principles, </w:t>
              </w:r>
              <w:r>
                <w:rPr>
                  <w:noProof/>
                  <w:lang w:val="en-US"/>
                </w:rPr>
                <w:t>89(2).</w:t>
              </w:r>
            </w:p>
            <w:p w14:paraId="7B741724" w14:textId="77777777" w:rsidR="00E03520" w:rsidRDefault="00E03520" w:rsidP="00E03520">
              <w:pPr>
                <w:pStyle w:val="Bibliography"/>
                <w:rPr>
                  <w:noProof/>
                  <w:lang w:val="en-US"/>
                </w:rPr>
              </w:pPr>
              <w:r>
                <w:rPr>
                  <w:noProof/>
                  <w:lang w:val="en-US"/>
                </w:rPr>
                <w:t xml:space="preserve">Hanway, P. &amp; Hambly, O., 2023. </w:t>
              </w:r>
              <w:r>
                <w:rPr>
                  <w:i/>
                  <w:iCs/>
                  <w:noProof/>
                  <w:lang w:val="en-US"/>
                </w:rPr>
                <w:t xml:space="preserve">Public perceptions of policing: A review of research and literature. </w:t>
              </w:r>
              <w:r>
                <w:rPr>
                  <w:noProof/>
                  <w:lang w:val="en-US"/>
                </w:rPr>
                <w:t xml:space="preserve">[Online] </w:t>
              </w:r>
              <w:r>
                <w:rPr>
                  <w:noProof/>
                  <w:lang w:val="en-US"/>
                </w:rPr>
                <w:br/>
                <w:t xml:space="preserve">Available at: </w:t>
              </w:r>
              <w:r>
                <w:rPr>
                  <w:noProof/>
                  <w:u w:val="single"/>
                  <w:lang w:val="en-US"/>
                </w:rPr>
                <w:t>https://www.gov.uk/government/publications/public-perceptions-of-policing-a-review-of-research-and-literature/public-perceptions-of-policing-a-review-of-research-and-literature</w:t>
              </w:r>
              <w:r>
                <w:rPr>
                  <w:noProof/>
                  <w:lang w:val="en-US"/>
                </w:rPr>
                <w:br/>
                <w:t>[Accessed 24 05 2024].</w:t>
              </w:r>
            </w:p>
            <w:p w14:paraId="2FA8C2AE" w14:textId="77777777" w:rsidR="00E03520" w:rsidRDefault="00E03520" w:rsidP="00E03520">
              <w:pPr>
                <w:pStyle w:val="Bibliography"/>
                <w:rPr>
                  <w:noProof/>
                  <w:lang w:val="en-US"/>
                </w:rPr>
              </w:pPr>
              <w:r>
                <w:rPr>
                  <w:noProof/>
                  <w:lang w:val="en-US"/>
                </w:rPr>
                <w:t xml:space="preserve">Harding, S., 2020. </w:t>
              </w:r>
              <w:r>
                <w:rPr>
                  <w:i/>
                  <w:iCs/>
                  <w:noProof/>
                  <w:lang w:val="en-US"/>
                </w:rPr>
                <w:t xml:space="preserve">County Lines: Exploitation and Drug Dealing amongst Urban Street Gangs. </w:t>
              </w:r>
              <w:r>
                <w:rPr>
                  <w:noProof/>
                  <w:lang w:val="en-US"/>
                </w:rPr>
                <w:t>1 ed. Bristol: Bristol University Press.</w:t>
              </w:r>
            </w:p>
            <w:p w14:paraId="784157C3" w14:textId="77777777" w:rsidR="00E03520" w:rsidRDefault="00E03520" w:rsidP="00E03520">
              <w:pPr>
                <w:pStyle w:val="Bibliography"/>
                <w:rPr>
                  <w:noProof/>
                  <w:lang w:val="en-US"/>
                </w:rPr>
              </w:pPr>
              <w:r>
                <w:rPr>
                  <w:noProof/>
                  <w:lang w:val="en-US"/>
                </w:rPr>
                <w:t xml:space="preserve">Havard, T. E., Densley, J. A. &amp; Wills, J., 2021. Street gangs and coercive control: The gendered exploitation of young women and girls in county lines. </w:t>
              </w:r>
              <w:r>
                <w:rPr>
                  <w:i/>
                  <w:iCs/>
                  <w:noProof/>
                  <w:lang w:val="en-US"/>
                </w:rPr>
                <w:t xml:space="preserve">Criminology &amp; Criminal Justice, </w:t>
              </w:r>
              <w:r>
                <w:rPr>
                  <w:noProof/>
                  <w:lang w:val="en-US"/>
                </w:rPr>
                <w:t>23(3).</w:t>
              </w:r>
            </w:p>
            <w:p w14:paraId="7DD0C9C6" w14:textId="77777777" w:rsidR="00E03520" w:rsidRDefault="00E03520" w:rsidP="00E03520">
              <w:pPr>
                <w:pStyle w:val="Bibliography"/>
                <w:rPr>
                  <w:noProof/>
                  <w:lang w:val="en-US"/>
                </w:rPr>
              </w:pPr>
              <w:r>
                <w:rPr>
                  <w:noProof/>
                  <w:lang w:val="en-US"/>
                </w:rPr>
                <w:t xml:space="preserve">Hunt, L. W., 2024. </w:t>
              </w:r>
              <w:r>
                <w:rPr>
                  <w:i/>
                  <w:iCs/>
                  <w:noProof/>
                  <w:lang w:val="en-US"/>
                </w:rPr>
                <w:t xml:space="preserve">The Logic of Lying Five Presumed Justifications for Police Dishonesty. </w:t>
              </w:r>
              <w:r>
                <w:rPr>
                  <w:noProof/>
                  <w:lang w:val="en-US"/>
                </w:rPr>
                <w:t>New York: Oxford University Press.</w:t>
              </w:r>
            </w:p>
            <w:p w14:paraId="4DD9AD89" w14:textId="77777777" w:rsidR="00E03520" w:rsidRDefault="00E03520" w:rsidP="00E03520">
              <w:pPr>
                <w:pStyle w:val="Bibliography"/>
                <w:rPr>
                  <w:noProof/>
                  <w:lang w:val="en-US"/>
                </w:rPr>
              </w:pPr>
              <w:r>
                <w:rPr>
                  <w:noProof/>
                  <w:lang w:val="en-US"/>
                </w:rPr>
                <w:t xml:space="preserve">Innes, M., Roberts, C., Lowe, T. &amp; Innes, H., 2020. </w:t>
              </w:r>
              <w:r>
                <w:rPr>
                  <w:i/>
                  <w:iCs/>
                  <w:noProof/>
                  <w:lang w:val="en-US"/>
                </w:rPr>
                <w:t xml:space="preserve">Neighbourhood Policing : The Rise and Fall of a Policing Model. </w:t>
              </w:r>
              <w:r>
                <w:rPr>
                  <w:noProof/>
                  <w:lang w:val="en-US"/>
                </w:rPr>
                <w:t>s.l.:Oxford University Press.</w:t>
              </w:r>
            </w:p>
            <w:p w14:paraId="32E33D4F" w14:textId="77777777" w:rsidR="00E03520" w:rsidRDefault="00E03520" w:rsidP="00E03520">
              <w:pPr>
                <w:pStyle w:val="Bibliography"/>
                <w:rPr>
                  <w:noProof/>
                  <w:lang w:val="en-US"/>
                </w:rPr>
              </w:pPr>
              <w:r>
                <w:rPr>
                  <w:noProof/>
                  <w:lang w:val="en-US"/>
                </w:rPr>
                <w:t xml:space="preserve">Jugl, I., Bender, D. &amp; Losel, F., 2023. Do Sports Programs Prevent Crime and Reduce Reoffending? A Systematic Review and Meta-Analysis on the Effectiveness of Sports Programs. </w:t>
              </w:r>
              <w:r>
                <w:rPr>
                  <w:i/>
                  <w:iCs/>
                  <w:noProof/>
                  <w:lang w:val="en-US"/>
                </w:rPr>
                <w:t xml:space="preserve">Journal of Quantitative Criminology, </w:t>
              </w:r>
              <w:r>
                <w:rPr>
                  <w:noProof/>
                  <w:lang w:val="en-US"/>
                </w:rPr>
                <w:t>Volume 39, pp. 333-384.</w:t>
              </w:r>
            </w:p>
            <w:p w14:paraId="52B3BFB0" w14:textId="77777777" w:rsidR="00E03520" w:rsidRDefault="00E03520" w:rsidP="00E03520">
              <w:pPr>
                <w:pStyle w:val="Bibliography"/>
                <w:rPr>
                  <w:noProof/>
                  <w:lang w:val="en-US"/>
                </w:rPr>
              </w:pPr>
              <w:r>
                <w:rPr>
                  <w:noProof/>
                  <w:lang w:val="en-US"/>
                </w:rPr>
                <w:t xml:space="preserve">Levantakis, G. &amp; Haberfeld, M. R., 2018. </w:t>
              </w:r>
              <w:r>
                <w:rPr>
                  <w:i/>
                  <w:iCs/>
                  <w:noProof/>
                  <w:lang w:val="en-US"/>
                </w:rPr>
                <w:t xml:space="preserve">Societal Implications of Community-Oriented Policing and Technology. </w:t>
              </w:r>
              <w:r>
                <w:rPr>
                  <w:noProof/>
                  <w:lang w:val="en-US"/>
                </w:rPr>
                <w:t>1 ed. s.l.:Springer Cham.</w:t>
              </w:r>
            </w:p>
            <w:p w14:paraId="54CDA16C" w14:textId="77777777" w:rsidR="00E03520" w:rsidRDefault="00E03520" w:rsidP="00E03520">
              <w:pPr>
                <w:pStyle w:val="Bibliography"/>
                <w:rPr>
                  <w:noProof/>
                  <w:lang w:val="en-US"/>
                </w:rPr>
              </w:pPr>
              <w:r>
                <w:rPr>
                  <w:noProof/>
                  <w:lang w:val="en-US"/>
                </w:rPr>
                <w:t xml:space="preserve">Mccarthy, M., 2021. The role of social distance in the relationship between police-community engagement and police coercion. </w:t>
              </w:r>
              <w:r>
                <w:rPr>
                  <w:i/>
                  <w:iCs/>
                  <w:noProof/>
                  <w:lang w:val="en-US"/>
                </w:rPr>
                <w:t xml:space="preserve">An International Journal of Research and Policy, </w:t>
              </w:r>
              <w:r>
                <w:rPr>
                  <w:noProof/>
                  <w:lang w:val="en-US"/>
                </w:rPr>
                <w:t>31(4), pp. 434-453.</w:t>
              </w:r>
            </w:p>
            <w:p w14:paraId="6FB687F2" w14:textId="77777777" w:rsidR="00E03520" w:rsidRDefault="00E03520" w:rsidP="00E03520">
              <w:pPr>
                <w:pStyle w:val="Bibliography"/>
                <w:rPr>
                  <w:noProof/>
                  <w:lang w:val="en-US"/>
                </w:rPr>
              </w:pPr>
              <w:r>
                <w:rPr>
                  <w:noProof/>
                  <w:lang w:val="en-US"/>
                </w:rPr>
                <w:t xml:space="preserve">Meyer, S., 2014. Police-led partnership responses to high risk youths and their families: challenges associated with forming successful and sustainable partnerships. </w:t>
              </w:r>
              <w:r>
                <w:rPr>
                  <w:i/>
                  <w:iCs/>
                  <w:noProof/>
                  <w:lang w:val="en-US"/>
                </w:rPr>
                <w:t xml:space="preserve">An International Journal of Research and Policy, </w:t>
              </w:r>
              <w:r>
                <w:rPr>
                  <w:noProof/>
                  <w:lang w:val="en-US"/>
                </w:rPr>
                <w:t>24(2), pp. 242-260.</w:t>
              </w:r>
            </w:p>
            <w:p w14:paraId="488A3557" w14:textId="77777777" w:rsidR="00E03520" w:rsidRDefault="00E03520" w:rsidP="00E03520">
              <w:pPr>
                <w:pStyle w:val="Bibliography"/>
                <w:rPr>
                  <w:noProof/>
                  <w:lang w:val="en-US"/>
                </w:rPr>
              </w:pPr>
              <w:r>
                <w:rPr>
                  <w:noProof/>
                  <w:lang w:val="en-US"/>
                </w:rPr>
                <w:t xml:space="preserve">Minister of Justice, 2013. </w:t>
              </w:r>
              <w:r>
                <w:rPr>
                  <w:i/>
                  <w:iCs/>
                  <w:noProof/>
                  <w:lang w:val="en-US"/>
                </w:rPr>
                <w:t xml:space="preserve">Transforming Rehabilitation: A Summary of Evidence on reducing reoffending.. </w:t>
              </w:r>
              <w:r>
                <w:rPr>
                  <w:noProof/>
                  <w:lang w:val="en-US"/>
                </w:rPr>
                <w:t xml:space="preserve">[Online] </w:t>
              </w:r>
              <w:r>
                <w:rPr>
                  <w:noProof/>
                  <w:lang w:val="en-US"/>
                </w:rPr>
                <w:br/>
                <w:t xml:space="preserve">Available at: </w:t>
              </w:r>
              <w:r>
                <w:rPr>
                  <w:noProof/>
                  <w:u w:val="single"/>
                  <w:lang w:val="en-US"/>
                </w:rPr>
                <w:t>https://assets.publishing.service.gov.uk/media/5a7565a8e5274a1baf95e408/evidence-reduce-reoffending.pdf</w:t>
              </w:r>
              <w:r>
                <w:rPr>
                  <w:noProof/>
                  <w:lang w:val="en-US"/>
                </w:rPr>
                <w:br/>
                <w:t>[Accessed 25 05 2024].</w:t>
              </w:r>
            </w:p>
            <w:p w14:paraId="792D3021" w14:textId="77777777" w:rsidR="00E03520" w:rsidRDefault="00E03520" w:rsidP="00E03520">
              <w:pPr>
                <w:pStyle w:val="Bibliography"/>
                <w:rPr>
                  <w:noProof/>
                  <w:lang w:val="en-US"/>
                </w:rPr>
              </w:pPr>
              <w:r>
                <w:rPr>
                  <w:noProof/>
                  <w:lang w:val="en-US"/>
                </w:rPr>
                <w:t xml:space="preserve">Mohammed, A. M., Shepard, S. &amp; Berhan, A. M., 2023. Promoting trust and police legitimacy in African Australian communities: A critical reflection on community engagement strategies and practical recommendations for police. </w:t>
              </w:r>
              <w:r>
                <w:rPr>
                  <w:i/>
                  <w:iCs/>
                  <w:noProof/>
                  <w:lang w:val="en-US"/>
                </w:rPr>
                <w:t xml:space="preserve">International Journal of Police Science &amp; Management, </w:t>
              </w:r>
              <w:r>
                <w:rPr>
                  <w:noProof/>
                  <w:lang w:val="en-US"/>
                </w:rPr>
                <w:t>25(1).</w:t>
              </w:r>
            </w:p>
            <w:p w14:paraId="559C66E9" w14:textId="77777777" w:rsidR="00E03520" w:rsidRDefault="00E03520" w:rsidP="00E03520">
              <w:pPr>
                <w:pStyle w:val="Bibliography"/>
                <w:rPr>
                  <w:noProof/>
                  <w:lang w:val="en-US"/>
                </w:rPr>
              </w:pPr>
              <w:r>
                <w:rPr>
                  <w:noProof/>
                  <w:lang w:val="en-US"/>
                </w:rPr>
                <w:t xml:space="preserve">poirier, b., charbonneau, e. &amp; bolvin, r., 2023. Police body-worn cameras and privacy: Views and concerns of officers and citizens. </w:t>
              </w:r>
              <w:r>
                <w:rPr>
                  <w:i/>
                  <w:iCs/>
                  <w:noProof/>
                  <w:lang w:val="en-US"/>
                </w:rPr>
                <w:t xml:space="preserve">International Journal of Police Science &amp; Management, </w:t>
              </w:r>
              <w:r>
                <w:rPr>
                  <w:noProof/>
                  <w:lang w:val="en-US"/>
                </w:rPr>
                <w:t>26(2).</w:t>
              </w:r>
            </w:p>
            <w:p w14:paraId="6C24DB79" w14:textId="77777777" w:rsidR="00E03520" w:rsidRDefault="00E03520" w:rsidP="00E03520">
              <w:pPr>
                <w:pStyle w:val="Bibliography"/>
                <w:rPr>
                  <w:noProof/>
                  <w:lang w:val="en-US"/>
                </w:rPr>
              </w:pPr>
              <w:r>
                <w:rPr>
                  <w:noProof/>
                  <w:lang w:val="en-US"/>
                </w:rPr>
                <w:t xml:space="preserve">Pycroft, A. &amp; Gough, D., 2019. </w:t>
              </w:r>
              <w:r>
                <w:rPr>
                  <w:i/>
                  <w:iCs/>
                  <w:noProof/>
                  <w:lang w:val="en-US"/>
                </w:rPr>
                <w:t xml:space="preserve">Multi-Agency Working in Criminal Justice 2e: Theory, Policy and Practice. </w:t>
              </w:r>
              <w:r>
                <w:rPr>
                  <w:noProof/>
                  <w:lang w:val="en-US"/>
                </w:rPr>
                <w:t>2 ed. Bristol: Bristol University Press.</w:t>
              </w:r>
            </w:p>
            <w:p w14:paraId="5D04A133" w14:textId="77777777" w:rsidR="00E03520" w:rsidRDefault="00E03520" w:rsidP="00E03520">
              <w:pPr>
                <w:pStyle w:val="Bibliography"/>
                <w:rPr>
                  <w:noProof/>
                  <w:lang w:val="en-US"/>
                </w:rPr>
              </w:pPr>
              <w:r>
                <w:rPr>
                  <w:noProof/>
                  <w:lang w:val="en-US"/>
                </w:rPr>
                <w:lastRenderedPageBreak/>
                <w:t xml:space="preserve">Rawlinson, L., 2012. Accommodation, Homelessness and Reoffending of Prisoners. </w:t>
              </w:r>
              <w:r>
                <w:rPr>
                  <w:i/>
                  <w:iCs/>
                  <w:noProof/>
                  <w:lang w:val="en-US"/>
                </w:rPr>
                <w:t xml:space="preserve">Probation Journal, </w:t>
              </w:r>
              <w:r>
                <w:rPr>
                  <w:noProof/>
                  <w:lang w:val="en-US"/>
                </w:rPr>
                <w:t>59(3).</w:t>
              </w:r>
            </w:p>
            <w:p w14:paraId="15A8FF44" w14:textId="77777777" w:rsidR="00E03520" w:rsidRDefault="00E03520" w:rsidP="00E03520">
              <w:pPr>
                <w:pStyle w:val="Bibliography"/>
                <w:rPr>
                  <w:noProof/>
                  <w:lang w:val="en-US"/>
                </w:rPr>
              </w:pPr>
              <w:r>
                <w:rPr>
                  <w:noProof/>
                  <w:lang w:val="en-US"/>
                </w:rPr>
                <w:t xml:space="preserve">Renehan, N., 2021. Facilitators of probation-based domestic violence perpetrator programmes: ‘Who’s in the room?’. </w:t>
              </w:r>
              <w:r>
                <w:rPr>
                  <w:i/>
                  <w:iCs/>
                  <w:noProof/>
                  <w:lang w:val="en-US"/>
                </w:rPr>
                <w:t xml:space="preserve">Probation Journal, </w:t>
              </w:r>
              <w:r>
                <w:rPr>
                  <w:noProof/>
                  <w:lang w:val="en-US"/>
                </w:rPr>
                <w:t>68(3).</w:t>
              </w:r>
            </w:p>
            <w:p w14:paraId="0F559019" w14:textId="77777777" w:rsidR="00E03520" w:rsidRDefault="00E03520" w:rsidP="00E03520">
              <w:pPr>
                <w:pStyle w:val="Bibliography"/>
                <w:rPr>
                  <w:noProof/>
                  <w:lang w:val="en-US"/>
                </w:rPr>
              </w:pPr>
              <w:r>
                <w:rPr>
                  <w:noProof/>
                  <w:lang w:val="en-US"/>
                </w:rPr>
                <w:t xml:space="preserve">Ross, J., Sebire, J. &amp; Strang, H., 2022. Tracking Repeat Victimisation After Domestic Abuse Cases Are Heard With and Without Independent Domestic Violence Advisors (IDVAs) in an English Magistrate’s Court. </w:t>
              </w:r>
              <w:r>
                <w:rPr>
                  <w:i/>
                  <w:iCs/>
                  <w:noProof/>
                  <w:lang w:val="en-US"/>
                </w:rPr>
                <w:t xml:space="preserve">Cambridge Journal of Evidence-Based Policing, </w:t>
              </w:r>
              <w:r>
                <w:rPr>
                  <w:noProof/>
                  <w:lang w:val="en-US"/>
                </w:rPr>
                <w:t>Volume 6, pp. 54-68.</w:t>
              </w:r>
            </w:p>
            <w:p w14:paraId="6085D1FE" w14:textId="77777777" w:rsidR="00E03520" w:rsidRDefault="00E03520" w:rsidP="00E03520">
              <w:pPr>
                <w:pStyle w:val="Bibliography"/>
                <w:rPr>
                  <w:noProof/>
                  <w:lang w:val="en-US"/>
                </w:rPr>
              </w:pPr>
              <w:r>
                <w:rPr>
                  <w:noProof/>
                  <w:lang w:val="en-US"/>
                </w:rPr>
                <w:t xml:space="preserve">Rowe, M., 2020. </w:t>
              </w:r>
              <w:r>
                <w:rPr>
                  <w:i/>
                  <w:iCs/>
                  <w:noProof/>
                  <w:lang w:val="en-US"/>
                </w:rPr>
                <w:t xml:space="preserve">Policing the police: challenges of democracy and accountability. </w:t>
              </w:r>
              <w:r>
                <w:rPr>
                  <w:noProof/>
                  <w:lang w:val="en-US"/>
                </w:rPr>
                <w:t>Britsol: The Policy Press.</w:t>
              </w:r>
            </w:p>
            <w:p w14:paraId="08D5DEFC" w14:textId="77777777" w:rsidR="00E03520" w:rsidRDefault="00E03520" w:rsidP="00E03520">
              <w:pPr>
                <w:pStyle w:val="Bibliography"/>
                <w:rPr>
                  <w:noProof/>
                  <w:lang w:val="en-US"/>
                </w:rPr>
              </w:pPr>
              <w:r>
                <w:rPr>
                  <w:noProof/>
                  <w:lang w:val="en-US"/>
                </w:rPr>
                <w:t xml:space="preserve">Sanders, B. et al., 2009. Gang Youth as a Vulnerable Population for Nursing Intervention. </w:t>
              </w:r>
              <w:r>
                <w:rPr>
                  <w:i/>
                  <w:iCs/>
                  <w:noProof/>
                  <w:lang w:val="en-US"/>
                </w:rPr>
                <w:t xml:space="preserve">Public Health Nursing, </w:t>
              </w:r>
              <w:r>
                <w:rPr>
                  <w:noProof/>
                  <w:lang w:val="en-US"/>
                </w:rPr>
                <w:t>26(4), pp. 346 - 352.</w:t>
              </w:r>
            </w:p>
            <w:p w14:paraId="0FD817A2" w14:textId="77777777" w:rsidR="00E03520" w:rsidRDefault="00E03520" w:rsidP="00E03520">
              <w:pPr>
                <w:pStyle w:val="Bibliography"/>
                <w:rPr>
                  <w:noProof/>
                  <w:lang w:val="en-US"/>
                </w:rPr>
              </w:pPr>
              <w:r>
                <w:rPr>
                  <w:noProof/>
                  <w:lang w:val="en-US"/>
                </w:rPr>
                <w:t xml:space="preserve">Shackelford, T. K., 2021. </w:t>
              </w:r>
              <w:r>
                <w:rPr>
                  <w:i/>
                  <w:iCs/>
                  <w:noProof/>
                  <w:lang w:val="en-US"/>
                </w:rPr>
                <w:t xml:space="preserve">The SAGE Handbook of Domestic Violence. </w:t>
              </w:r>
              <w:r>
                <w:rPr>
                  <w:noProof/>
                  <w:lang w:val="en-US"/>
                </w:rPr>
                <w:t>s.l.:SAGE Publications ltd..</w:t>
              </w:r>
            </w:p>
            <w:p w14:paraId="700F4A29" w14:textId="77777777" w:rsidR="00E03520" w:rsidRDefault="00E03520" w:rsidP="00E03520">
              <w:pPr>
                <w:pStyle w:val="Bibliography"/>
                <w:rPr>
                  <w:noProof/>
                  <w:lang w:val="en-US"/>
                </w:rPr>
              </w:pPr>
              <w:r>
                <w:rPr>
                  <w:noProof/>
                  <w:lang w:val="en-US"/>
                </w:rPr>
                <w:t xml:space="preserve">Smith, A., Heyes, K. &amp; Bradbury, A., 2018. The effectiveness of probation supervision towards reducing reoffending: A Rapid Evidence Assessment. </w:t>
              </w:r>
              <w:r>
                <w:rPr>
                  <w:i/>
                  <w:iCs/>
                  <w:noProof/>
                  <w:lang w:val="en-US"/>
                </w:rPr>
                <w:t xml:space="preserve">Probation Journal, </w:t>
              </w:r>
              <w:r>
                <w:rPr>
                  <w:noProof/>
                  <w:lang w:val="en-US"/>
                </w:rPr>
                <w:t>65(4).</w:t>
              </w:r>
            </w:p>
            <w:p w14:paraId="159CFC76" w14:textId="77777777" w:rsidR="00E03520" w:rsidRDefault="00E03520" w:rsidP="00E03520">
              <w:pPr>
                <w:pStyle w:val="Bibliography"/>
                <w:rPr>
                  <w:noProof/>
                  <w:lang w:val="en-US"/>
                </w:rPr>
              </w:pPr>
              <w:r>
                <w:rPr>
                  <w:noProof/>
                  <w:lang w:val="en-US"/>
                </w:rPr>
                <w:t xml:space="preserve">Spicer, J., Moyle, L. &amp; Coomber, R., 2019. The variable and evolving nature of ‘cuckooing’ as a form of criminal exploitation in street level drug markets. </w:t>
              </w:r>
              <w:r>
                <w:rPr>
                  <w:i/>
                  <w:iCs/>
                  <w:noProof/>
                  <w:lang w:val="en-US"/>
                </w:rPr>
                <w:t xml:space="preserve">Trends in Organized Crime, </w:t>
              </w:r>
              <w:r>
                <w:rPr>
                  <w:noProof/>
                  <w:lang w:val="en-US"/>
                </w:rPr>
                <w:t>Volume 23, pp. 301-323.</w:t>
              </w:r>
            </w:p>
            <w:p w14:paraId="428DEE31" w14:textId="77777777" w:rsidR="00E03520" w:rsidRDefault="00E03520" w:rsidP="00E03520">
              <w:pPr>
                <w:pStyle w:val="Bibliography"/>
                <w:rPr>
                  <w:noProof/>
                  <w:lang w:val="en-US"/>
                </w:rPr>
              </w:pPr>
              <w:r>
                <w:rPr>
                  <w:noProof/>
                  <w:lang w:val="en-US"/>
                </w:rPr>
                <w:t xml:space="preserve">Stephens, M. &amp; Fowler, G., 2004. A case study of a public sector partnership between a borough council and the police in the UK. </w:t>
              </w:r>
              <w:r>
                <w:rPr>
                  <w:i/>
                  <w:iCs/>
                  <w:noProof/>
                  <w:lang w:val="en-US"/>
                </w:rPr>
                <w:t xml:space="preserve">Public Management Review, </w:t>
              </w:r>
              <w:r>
                <w:rPr>
                  <w:noProof/>
                  <w:lang w:val="en-US"/>
                </w:rPr>
                <w:t>6(1), pp. 113-130.</w:t>
              </w:r>
            </w:p>
            <w:p w14:paraId="59F7B7E6" w14:textId="77777777" w:rsidR="00E03520" w:rsidRDefault="00E03520" w:rsidP="00E03520">
              <w:pPr>
                <w:pStyle w:val="Bibliography"/>
                <w:rPr>
                  <w:noProof/>
                  <w:lang w:val="en-US"/>
                </w:rPr>
              </w:pPr>
              <w:r>
                <w:rPr>
                  <w:noProof/>
                  <w:lang w:val="en-US"/>
                </w:rPr>
                <w:t xml:space="preserve">Thompson, N., 2019. ‘It’s a No-Win Scenario, either the Police or the Gang Will Get You’: Young People and Organised Crime – Vulnerable or Criminal?. </w:t>
              </w:r>
              <w:r>
                <w:rPr>
                  <w:i/>
                  <w:iCs/>
                  <w:noProof/>
                  <w:lang w:val="en-US"/>
                </w:rPr>
                <w:t xml:space="preserve">Youth Justice, </w:t>
              </w:r>
              <w:r>
                <w:rPr>
                  <w:noProof/>
                  <w:lang w:val="en-US"/>
                </w:rPr>
                <w:t>19(2).</w:t>
              </w:r>
            </w:p>
            <w:p w14:paraId="0F56D431" w14:textId="77777777" w:rsidR="00E03520" w:rsidRDefault="00E03520" w:rsidP="00E03520">
              <w:pPr>
                <w:pStyle w:val="Bibliography"/>
                <w:rPr>
                  <w:noProof/>
                  <w:lang w:val="en-US"/>
                </w:rPr>
              </w:pPr>
              <w:r>
                <w:rPr>
                  <w:noProof/>
                  <w:lang w:val="en-US"/>
                </w:rPr>
                <w:t xml:space="preserve">Torrible, C., 2021. Police complaints and discipline: integrity, lesson learning, independence and accountability: some implications of the reforms under the Policing and Crime Act 2017. </w:t>
              </w:r>
              <w:r>
                <w:rPr>
                  <w:i/>
                  <w:iCs/>
                  <w:noProof/>
                  <w:lang w:val="en-US"/>
                </w:rPr>
                <w:t xml:space="preserve">An International Journal of Research and Policy, </w:t>
              </w:r>
              <w:r>
                <w:rPr>
                  <w:noProof/>
                  <w:lang w:val="en-US"/>
                </w:rPr>
                <w:t>31(9), pp. 1117-1132.</w:t>
              </w:r>
            </w:p>
            <w:p w14:paraId="111702EB" w14:textId="77777777" w:rsidR="00E03520" w:rsidRDefault="00E03520" w:rsidP="00E03520">
              <w:pPr>
                <w:pStyle w:val="Bibliography"/>
                <w:rPr>
                  <w:noProof/>
                  <w:lang w:val="en-US"/>
                </w:rPr>
              </w:pPr>
              <w:r>
                <w:rPr>
                  <w:noProof/>
                  <w:lang w:val="en-US"/>
                </w:rPr>
                <w:t xml:space="preserve">UK Parliament Committees, 28. </w:t>
              </w:r>
              <w:r>
                <w:rPr>
                  <w:i/>
                  <w:iCs/>
                  <w:noProof/>
                  <w:lang w:val="en-US"/>
                </w:rPr>
                <w:t xml:space="preserve">Draft Domestic Abuse Bill. </w:t>
              </w:r>
              <w:r>
                <w:rPr>
                  <w:noProof/>
                  <w:lang w:val="en-US"/>
                </w:rPr>
                <w:t xml:space="preserve">[Online] </w:t>
              </w:r>
              <w:r>
                <w:rPr>
                  <w:noProof/>
                  <w:lang w:val="en-US"/>
                </w:rPr>
                <w:br/>
                <w:t xml:space="preserve">Available at: </w:t>
              </w:r>
              <w:r>
                <w:rPr>
                  <w:noProof/>
                  <w:u w:val="single"/>
                  <w:lang w:val="en-US"/>
                </w:rPr>
                <w:t>https://committees.parliament.uk/writtenevidence/101817/pdf/</w:t>
              </w:r>
              <w:r>
                <w:rPr>
                  <w:noProof/>
                  <w:lang w:val="en-US"/>
                </w:rPr>
                <w:br/>
                <w:t>[Accessed 30 06 2024].</w:t>
              </w:r>
            </w:p>
            <w:p w14:paraId="3AD79DCE" w14:textId="77777777" w:rsidR="00E03520" w:rsidRDefault="00E03520" w:rsidP="00E03520">
              <w:pPr>
                <w:pStyle w:val="Bibliography"/>
                <w:rPr>
                  <w:noProof/>
                  <w:lang w:val="en-US"/>
                </w:rPr>
              </w:pPr>
              <w:r>
                <w:rPr>
                  <w:noProof/>
                  <w:lang w:val="en-US"/>
                </w:rPr>
                <w:t xml:space="preserve">Vanhaelemeesch, D. &amp; Beken, T. V., 2014. Between convict and ward: the experiences of people living with offenders subject to electronic monitoring. </w:t>
              </w:r>
              <w:r>
                <w:rPr>
                  <w:i/>
                  <w:iCs/>
                  <w:noProof/>
                  <w:lang w:val="en-US"/>
                </w:rPr>
                <w:t xml:space="preserve">Crime, Law and Social Change, </w:t>
              </w:r>
              <w:r>
                <w:rPr>
                  <w:noProof/>
                  <w:lang w:val="en-US"/>
                </w:rPr>
                <w:t>62(4), pp. 389-415.</w:t>
              </w:r>
            </w:p>
            <w:p w14:paraId="7CCDB6A8" w14:textId="77777777" w:rsidR="00E03520" w:rsidRDefault="00E03520" w:rsidP="00E03520">
              <w:pPr>
                <w:pStyle w:val="Bibliography"/>
                <w:rPr>
                  <w:noProof/>
                  <w:lang w:val="en-US"/>
                </w:rPr>
              </w:pPr>
              <w:r>
                <w:rPr>
                  <w:noProof/>
                  <w:lang w:val="en-US"/>
                </w:rPr>
                <w:t xml:space="preserve">Viljoen, J. L., Cochrane, D. M. &amp; Jonnson, M. R., 2018. Do risk assessment tools help manage and reduce risk of violence and reoffending? A systematic review.. </w:t>
              </w:r>
              <w:r>
                <w:rPr>
                  <w:i/>
                  <w:iCs/>
                  <w:noProof/>
                  <w:lang w:val="en-US"/>
                </w:rPr>
                <w:t xml:space="preserve">Law and Human Behavior, </w:t>
              </w:r>
              <w:r>
                <w:rPr>
                  <w:noProof/>
                  <w:lang w:val="en-US"/>
                </w:rPr>
                <w:t>42(3), pp. 181-214.</w:t>
              </w:r>
            </w:p>
            <w:p w14:paraId="7AE54E87" w14:textId="77777777" w:rsidR="00E03520" w:rsidRDefault="00E03520" w:rsidP="00E03520">
              <w:pPr>
                <w:pStyle w:val="Bibliography"/>
                <w:rPr>
                  <w:noProof/>
                  <w:lang w:val="en-US"/>
                </w:rPr>
              </w:pPr>
              <w:r>
                <w:rPr>
                  <w:noProof/>
                  <w:lang w:val="en-US"/>
                </w:rPr>
                <w:t xml:space="preserve">Williams, B., 2023. </w:t>
              </w:r>
              <w:r>
                <w:rPr>
                  <w:i/>
                  <w:iCs/>
                  <w:noProof/>
                  <w:lang w:val="en-US"/>
                </w:rPr>
                <w:t xml:space="preserve">Policing Mental Health, Vulnerability and Risk. </w:t>
              </w:r>
              <w:r>
                <w:rPr>
                  <w:noProof/>
                  <w:lang w:val="en-US"/>
                </w:rPr>
                <w:t>s.l.:Critical Publishing.</w:t>
              </w:r>
            </w:p>
            <w:p w14:paraId="4A0288DA" w14:textId="77777777" w:rsidR="00E03520" w:rsidRDefault="00E03520" w:rsidP="00E03520">
              <w:pPr>
                <w:pStyle w:val="Bibliography"/>
                <w:rPr>
                  <w:noProof/>
                  <w:lang w:val="en-US"/>
                </w:rPr>
              </w:pPr>
              <w:r>
                <w:rPr>
                  <w:noProof/>
                  <w:lang w:val="en-US"/>
                </w:rPr>
                <w:t xml:space="preserve">Williams, J. &amp; Weatherburn, D., 2022. Can Electronic Monitoring Reduce Reoffending?. </w:t>
              </w:r>
              <w:r>
                <w:rPr>
                  <w:i/>
                  <w:iCs/>
                  <w:noProof/>
                  <w:lang w:val="en-US"/>
                </w:rPr>
                <w:t xml:space="preserve">Review of Economics &amp; Statistics, </w:t>
              </w:r>
              <w:r>
                <w:rPr>
                  <w:noProof/>
                  <w:lang w:val="en-US"/>
                </w:rPr>
                <w:t>104(2), pp. 232-245.</w:t>
              </w:r>
            </w:p>
            <w:p w14:paraId="5875E334" w14:textId="1E43ED87" w:rsidR="00A42250" w:rsidRPr="00884F11" w:rsidRDefault="00A42250" w:rsidP="00E03520">
              <w:pPr>
                <w:spacing w:line="360" w:lineRule="auto"/>
                <w:rPr>
                  <w:rFonts w:ascii="Arial" w:hAnsi="Arial" w:cs="Arial"/>
                  <w:sz w:val="24"/>
                  <w:szCs w:val="24"/>
                </w:rPr>
              </w:pPr>
              <w:r w:rsidRPr="00884F11">
                <w:rPr>
                  <w:rFonts w:ascii="Arial" w:hAnsi="Arial" w:cs="Arial"/>
                  <w:b/>
                  <w:bCs/>
                  <w:noProof/>
                  <w:sz w:val="24"/>
                  <w:szCs w:val="24"/>
                </w:rPr>
                <w:fldChar w:fldCharType="end"/>
              </w:r>
            </w:p>
          </w:sdtContent>
        </w:sdt>
      </w:sdtContent>
    </w:sdt>
    <w:p w14:paraId="75F2FA2B" w14:textId="77777777" w:rsidR="00A42250" w:rsidRPr="00884F11" w:rsidRDefault="00A42250" w:rsidP="00884F11">
      <w:pPr>
        <w:spacing w:line="360" w:lineRule="auto"/>
        <w:rPr>
          <w:rFonts w:ascii="Arial" w:hAnsi="Arial" w:cs="Arial"/>
          <w:sz w:val="28"/>
          <w:szCs w:val="28"/>
        </w:rPr>
      </w:pPr>
    </w:p>
    <w:sectPr w:rsidR="00A42250" w:rsidRPr="00884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250"/>
    <w:rsid w:val="000116E5"/>
    <w:rsid w:val="00060030"/>
    <w:rsid w:val="00072C9A"/>
    <w:rsid w:val="000760B5"/>
    <w:rsid w:val="00080ED9"/>
    <w:rsid w:val="00084D9C"/>
    <w:rsid w:val="00087035"/>
    <w:rsid w:val="000C2840"/>
    <w:rsid w:val="000E32AD"/>
    <w:rsid w:val="000F2E56"/>
    <w:rsid w:val="00124A21"/>
    <w:rsid w:val="00131455"/>
    <w:rsid w:val="00137EC7"/>
    <w:rsid w:val="0014522F"/>
    <w:rsid w:val="00167E78"/>
    <w:rsid w:val="0017593B"/>
    <w:rsid w:val="0019199F"/>
    <w:rsid w:val="001A7056"/>
    <w:rsid w:val="001C349F"/>
    <w:rsid w:val="001D61DF"/>
    <w:rsid w:val="001E0DB4"/>
    <w:rsid w:val="001E3849"/>
    <w:rsid w:val="001E5F38"/>
    <w:rsid w:val="001F2D7B"/>
    <w:rsid w:val="001F513E"/>
    <w:rsid w:val="002146D9"/>
    <w:rsid w:val="0022104C"/>
    <w:rsid w:val="002254A2"/>
    <w:rsid w:val="00233166"/>
    <w:rsid w:val="002354B4"/>
    <w:rsid w:val="00236B60"/>
    <w:rsid w:val="00257989"/>
    <w:rsid w:val="00273A0E"/>
    <w:rsid w:val="00290B59"/>
    <w:rsid w:val="00291847"/>
    <w:rsid w:val="002A3ABE"/>
    <w:rsid w:val="002B04BB"/>
    <w:rsid w:val="002B7852"/>
    <w:rsid w:val="002C7D9C"/>
    <w:rsid w:val="002E02C4"/>
    <w:rsid w:val="00363FA9"/>
    <w:rsid w:val="003674A8"/>
    <w:rsid w:val="00371D56"/>
    <w:rsid w:val="00382593"/>
    <w:rsid w:val="003A268C"/>
    <w:rsid w:val="003B6288"/>
    <w:rsid w:val="003C2426"/>
    <w:rsid w:val="003F3384"/>
    <w:rsid w:val="00410C08"/>
    <w:rsid w:val="004223E2"/>
    <w:rsid w:val="004326AD"/>
    <w:rsid w:val="00432803"/>
    <w:rsid w:val="00453714"/>
    <w:rsid w:val="00467859"/>
    <w:rsid w:val="00467CF8"/>
    <w:rsid w:val="0047555D"/>
    <w:rsid w:val="00477E9D"/>
    <w:rsid w:val="00492745"/>
    <w:rsid w:val="00495B70"/>
    <w:rsid w:val="0049678B"/>
    <w:rsid w:val="004B2EE3"/>
    <w:rsid w:val="004B655F"/>
    <w:rsid w:val="004B787B"/>
    <w:rsid w:val="004D6798"/>
    <w:rsid w:val="00507C19"/>
    <w:rsid w:val="005108D5"/>
    <w:rsid w:val="00511F8B"/>
    <w:rsid w:val="0052312B"/>
    <w:rsid w:val="00527716"/>
    <w:rsid w:val="005328ED"/>
    <w:rsid w:val="00551BD5"/>
    <w:rsid w:val="0057323A"/>
    <w:rsid w:val="00577CBB"/>
    <w:rsid w:val="00594EC0"/>
    <w:rsid w:val="005B42C6"/>
    <w:rsid w:val="005D548A"/>
    <w:rsid w:val="005D7CA0"/>
    <w:rsid w:val="005E2B49"/>
    <w:rsid w:val="005F3C7C"/>
    <w:rsid w:val="00606665"/>
    <w:rsid w:val="00614651"/>
    <w:rsid w:val="006432AF"/>
    <w:rsid w:val="006521F9"/>
    <w:rsid w:val="006523F0"/>
    <w:rsid w:val="00661953"/>
    <w:rsid w:val="006733C2"/>
    <w:rsid w:val="0067601F"/>
    <w:rsid w:val="00683A2B"/>
    <w:rsid w:val="0069625B"/>
    <w:rsid w:val="006A5961"/>
    <w:rsid w:val="006B0EF1"/>
    <w:rsid w:val="006B26A3"/>
    <w:rsid w:val="006C7718"/>
    <w:rsid w:val="006D4D47"/>
    <w:rsid w:val="006D6678"/>
    <w:rsid w:val="006E2227"/>
    <w:rsid w:val="006F3962"/>
    <w:rsid w:val="00704DD0"/>
    <w:rsid w:val="00707806"/>
    <w:rsid w:val="00720802"/>
    <w:rsid w:val="00734AF3"/>
    <w:rsid w:val="0073712F"/>
    <w:rsid w:val="0076436C"/>
    <w:rsid w:val="0079389C"/>
    <w:rsid w:val="007956F8"/>
    <w:rsid w:val="007A4681"/>
    <w:rsid w:val="007A7BAF"/>
    <w:rsid w:val="007C58D8"/>
    <w:rsid w:val="007F2D84"/>
    <w:rsid w:val="008045E6"/>
    <w:rsid w:val="0081042C"/>
    <w:rsid w:val="008218E8"/>
    <w:rsid w:val="008237E4"/>
    <w:rsid w:val="00830C3D"/>
    <w:rsid w:val="00835E39"/>
    <w:rsid w:val="00841244"/>
    <w:rsid w:val="00845D67"/>
    <w:rsid w:val="0085122F"/>
    <w:rsid w:val="00856D02"/>
    <w:rsid w:val="00871E02"/>
    <w:rsid w:val="00884F11"/>
    <w:rsid w:val="0088512F"/>
    <w:rsid w:val="008A1EE2"/>
    <w:rsid w:val="008A32D5"/>
    <w:rsid w:val="008A40A8"/>
    <w:rsid w:val="008C17EE"/>
    <w:rsid w:val="008C6D55"/>
    <w:rsid w:val="00913C38"/>
    <w:rsid w:val="00923BBC"/>
    <w:rsid w:val="009473B9"/>
    <w:rsid w:val="009506FF"/>
    <w:rsid w:val="00960E99"/>
    <w:rsid w:val="00964591"/>
    <w:rsid w:val="00975097"/>
    <w:rsid w:val="009A0B48"/>
    <w:rsid w:val="009A4864"/>
    <w:rsid w:val="009B307D"/>
    <w:rsid w:val="009D477D"/>
    <w:rsid w:val="009D6A36"/>
    <w:rsid w:val="009D6BA9"/>
    <w:rsid w:val="00A15A6E"/>
    <w:rsid w:val="00A21F3A"/>
    <w:rsid w:val="00A42250"/>
    <w:rsid w:val="00A63132"/>
    <w:rsid w:val="00A64860"/>
    <w:rsid w:val="00A76433"/>
    <w:rsid w:val="00A803A6"/>
    <w:rsid w:val="00A82B40"/>
    <w:rsid w:val="00AA1E94"/>
    <w:rsid w:val="00AA5A30"/>
    <w:rsid w:val="00AE6F47"/>
    <w:rsid w:val="00B20CFB"/>
    <w:rsid w:val="00B33683"/>
    <w:rsid w:val="00B35498"/>
    <w:rsid w:val="00B405CE"/>
    <w:rsid w:val="00B475C6"/>
    <w:rsid w:val="00B47FFE"/>
    <w:rsid w:val="00B772F1"/>
    <w:rsid w:val="00B82040"/>
    <w:rsid w:val="00BA1D81"/>
    <w:rsid w:val="00BF09C1"/>
    <w:rsid w:val="00C112F9"/>
    <w:rsid w:val="00C1133C"/>
    <w:rsid w:val="00C25C86"/>
    <w:rsid w:val="00C30965"/>
    <w:rsid w:val="00C446EA"/>
    <w:rsid w:val="00C45E0A"/>
    <w:rsid w:val="00C51A44"/>
    <w:rsid w:val="00C72DE7"/>
    <w:rsid w:val="00C73E12"/>
    <w:rsid w:val="00C8003E"/>
    <w:rsid w:val="00CA6E16"/>
    <w:rsid w:val="00CD095A"/>
    <w:rsid w:val="00CD220B"/>
    <w:rsid w:val="00D03AD6"/>
    <w:rsid w:val="00D07F20"/>
    <w:rsid w:val="00D1265C"/>
    <w:rsid w:val="00D4428C"/>
    <w:rsid w:val="00D511A3"/>
    <w:rsid w:val="00D94CB2"/>
    <w:rsid w:val="00D97B22"/>
    <w:rsid w:val="00DA37A4"/>
    <w:rsid w:val="00DC12DF"/>
    <w:rsid w:val="00DC5ECE"/>
    <w:rsid w:val="00DE0CD9"/>
    <w:rsid w:val="00DF7E60"/>
    <w:rsid w:val="00E03520"/>
    <w:rsid w:val="00E16C7C"/>
    <w:rsid w:val="00E252F3"/>
    <w:rsid w:val="00E65226"/>
    <w:rsid w:val="00E841F2"/>
    <w:rsid w:val="00E87D50"/>
    <w:rsid w:val="00EC3B14"/>
    <w:rsid w:val="00EF512C"/>
    <w:rsid w:val="00F00602"/>
    <w:rsid w:val="00F11DEE"/>
    <w:rsid w:val="00F157DA"/>
    <w:rsid w:val="00F23089"/>
    <w:rsid w:val="00F4268A"/>
    <w:rsid w:val="00F514E4"/>
    <w:rsid w:val="00F5281B"/>
    <w:rsid w:val="00F55ADA"/>
    <w:rsid w:val="00F7101E"/>
    <w:rsid w:val="00F81341"/>
    <w:rsid w:val="00F961CC"/>
    <w:rsid w:val="00FB5065"/>
    <w:rsid w:val="00FE1286"/>
    <w:rsid w:val="00FE3162"/>
    <w:rsid w:val="00FF5B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6250"/>
  <w15:chartTrackingRefBased/>
  <w15:docId w15:val="{CEFAB449-668D-4306-87B0-B31661B6C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25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250"/>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221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80326">
      <w:bodyDiv w:val="1"/>
      <w:marLeft w:val="0"/>
      <w:marRight w:val="0"/>
      <w:marTop w:val="0"/>
      <w:marBottom w:val="0"/>
      <w:divBdr>
        <w:top w:val="none" w:sz="0" w:space="0" w:color="auto"/>
        <w:left w:val="none" w:sz="0" w:space="0" w:color="auto"/>
        <w:bottom w:val="none" w:sz="0" w:space="0" w:color="auto"/>
        <w:right w:val="none" w:sz="0" w:space="0" w:color="auto"/>
      </w:divBdr>
    </w:div>
    <w:div w:id="143133824">
      <w:bodyDiv w:val="1"/>
      <w:marLeft w:val="0"/>
      <w:marRight w:val="0"/>
      <w:marTop w:val="0"/>
      <w:marBottom w:val="0"/>
      <w:divBdr>
        <w:top w:val="none" w:sz="0" w:space="0" w:color="auto"/>
        <w:left w:val="none" w:sz="0" w:space="0" w:color="auto"/>
        <w:bottom w:val="none" w:sz="0" w:space="0" w:color="auto"/>
        <w:right w:val="none" w:sz="0" w:space="0" w:color="auto"/>
      </w:divBdr>
    </w:div>
    <w:div w:id="146366865">
      <w:bodyDiv w:val="1"/>
      <w:marLeft w:val="0"/>
      <w:marRight w:val="0"/>
      <w:marTop w:val="0"/>
      <w:marBottom w:val="0"/>
      <w:divBdr>
        <w:top w:val="none" w:sz="0" w:space="0" w:color="auto"/>
        <w:left w:val="none" w:sz="0" w:space="0" w:color="auto"/>
        <w:bottom w:val="none" w:sz="0" w:space="0" w:color="auto"/>
        <w:right w:val="none" w:sz="0" w:space="0" w:color="auto"/>
      </w:divBdr>
    </w:div>
    <w:div w:id="171723261">
      <w:bodyDiv w:val="1"/>
      <w:marLeft w:val="0"/>
      <w:marRight w:val="0"/>
      <w:marTop w:val="0"/>
      <w:marBottom w:val="0"/>
      <w:divBdr>
        <w:top w:val="none" w:sz="0" w:space="0" w:color="auto"/>
        <w:left w:val="none" w:sz="0" w:space="0" w:color="auto"/>
        <w:bottom w:val="none" w:sz="0" w:space="0" w:color="auto"/>
        <w:right w:val="none" w:sz="0" w:space="0" w:color="auto"/>
      </w:divBdr>
    </w:div>
    <w:div w:id="199435602">
      <w:bodyDiv w:val="1"/>
      <w:marLeft w:val="0"/>
      <w:marRight w:val="0"/>
      <w:marTop w:val="0"/>
      <w:marBottom w:val="0"/>
      <w:divBdr>
        <w:top w:val="none" w:sz="0" w:space="0" w:color="auto"/>
        <w:left w:val="none" w:sz="0" w:space="0" w:color="auto"/>
        <w:bottom w:val="none" w:sz="0" w:space="0" w:color="auto"/>
        <w:right w:val="none" w:sz="0" w:space="0" w:color="auto"/>
      </w:divBdr>
    </w:div>
    <w:div w:id="237130275">
      <w:bodyDiv w:val="1"/>
      <w:marLeft w:val="0"/>
      <w:marRight w:val="0"/>
      <w:marTop w:val="0"/>
      <w:marBottom w:val="0"/>
      <w:divBdr>
        <w:top w:val="none" w:sz="0" w:space="0" w:color="auto"/>
        <w:left w:val="none" w:sz="0" w:space="0" w:color="auto"/>
        <w:bottom w:val="none" w:sz="0" w:space="0" w:color="auto"/>
        <w:right w:val="none" w:sz="0" w:space="0" w:color="auto"/>
      </w:divBdr>
    </w:div>
    <w:div w:id="244848354">
      <w:bodyDiv w:val="1"/>
      <w:marLeft w:val="0"/>
      <w:marRight w:val="0"/>
      <w:marTop w:val="0"/>
      <w:marBottom w:val="0"/>
      <w:divBdr>
        <w:top w:val="none" w:sz="0" w:space="0" w:color="auto"/>
        <w:left w:val="none" w:sz="0" w:space="0" w:color="auto"/>
        <w:bottom w:val="none" w:sz="0" w:space="0" w:color="auto"/>
        <w:right w:val="none" w:sz="0" w:space="0" w:color="auto"/>
      </w:divBdr>
    </w:div>
    <w:div w:id="509416325">
      <w:bodyDiv w:val="1"/>
      <w:marLeft w:val="0"/>
      <w:marRight w:val="0"/>
      <w:marTop w:val="0"/>
      <w:marBottom w:val="0"/>
      <w:divBdr>
        <w:top w:val="none" w:sz="0" w:space="0" w:color="auto"/>
        <w:left w:val="none" w:sz="0" w:space="0" w:color="auto"/>
        <w:bottom w:val="none" w:sz="0" w:space="0" w:color="auto"/>
        <w:right w:val="none" w:sz="0" w:space="0" w:color="auto"/>
      </w:divBdr>
    </w:div>
    <w:div w:id="612638920">
      <w:bodyDiv w:val="1"/>
      <w:marLeft w:val="0"/>
      <w:marRight w:val="0"/>
      <w:marTop w:val="0"/>
      <w:marBottom w:val="0"/>
      <w:divBdr>
        <w:top w:val="none" w:sz="0" w:space="0" w:color="auto"/>
        <w:left w:val="none" w:sz="0" w:space="0" w:color="auto"/>
        <w:bottom w:val="none" w:sz="0" w:space="0" w:color="auto"/>
        <w:right w:val="none" w:sz="0" w:space="0" w:color="auto"/>
      </w:divBdr>
    </w:div>
    <w:div w:id="662271935">
      <w:bodyDiv w:val="1"/>
      <w:marLeft w:val="0"/>
      <w:marRight w:val="0"/>
      <w:marTop w:val="0"/>
      <w:marBottom w:val="0"/>
      <w:divBdr>
        <w:top w:val="none" w:sz="0" w:space="0" w:color="auto"/>
        <w:left w:val="none" w:sz="0" w:space="0" w:color="auto"/>
        <w:bottom w:val="none" w:sz="0" w:space="0" w:color="auto"/>
        <w:right w:val="none" w:sz="0" w:space="0" w:color="auto"/>
      </w:divBdr>
    </w:div>
    <w:div w:id="715199449">
      <w:bodyDiv w:val="1"/>
      <w:marLeft w:val="0"/>
      <w:marRight w:val="0"/>
      <w:marTop w:val="0"/>
      <w:marBottom w:val="0"/>
      <w:divBdr>
        <w:top w:val="none" w:sz="0" w:space="0" w:color="auto"/>
        <w:left w:val="none" w:sz="0" w:space="0" w:color="auto"/>
        <w:bottom w:val="none" w:sz="0" w:space="0" w:color="auto"/>
        <w:right w:val="none" w:sz="0" w:space="0" w:color="auto"/>
      </w:divBdr>
    </w:div>
    <w:div w:id="727843149">
      <w:bodyDiv w:val="1"/>
      <w:marLeft w:val="0"/>
      <w:marRight w:val="0"/>
      <w:marTop w:val="0"/>
      <w:marBottom w:val="0"/>
      <w:divBdr>
        <w:top w:val="none" w:sz="0" w:space="0" w:color="auto"/>
        <w:left w:val="none" w:sz="0" w:space="0" w:color="auto"/>
        <w:bottom w:val="none" w:sz="0" w:space="0" w:color="auto"/>
        <w:right w:val="none" w:sz="0" w:space="0" w:color="auto"/>
      </w:divBdr>
    </w:div>
    <w:div w:id="735935039">
      <w:bodyDiv w:val="1"/>
      <w:marLeft w:val="0"/>
      <w:marRight w:val="0"/>
      <w:marTop w:val="0"/>
      <w:marBottom w:val="0"/>
      <w:divBdr>
        <w:top w:val="none" w:sz="0" w:space="0" w:color="auto"/>
        <w:left w:val="none" w:sz="0" w:space="0" w:color="auto"/>
        <w:bottom w:val="none" w:sz="0" w:space="0" w:color="auto"/>
        <w:right w:val="none" w:sz="0" w:space="0" w:color="auto"/>
      </w:divBdr>
    </w:div>
    <w:div w:id="782846518">
      <w:bodyDiv w:val="1"/>
      <w:marLeft w:val="0"/>
      <w:marRight w:val="0"/>
      <w:marTop w:val="0"/>
      <w:marBottom w:val="0"/>
      <w:divBdr>
        <w:top w:val="none" w:sz="0" w:space="0" w:color="auto"/>
        <w:left w:val="none" w:sz="0" w:space="0" w:color="auto"/>
        <w:bottom w:val="none" w:sz="0" w:space="0" w:color="auto"/>
        <w:right w:val="none" w:sz="0" w:space="0" w:color="auto"/>
      </w:divBdr>
    </w:div>
    <w:div w:id="824517630">
      <w:bodyDiv w:val="1"/>
      <w:marLeft w:val="0"/>
      <w:marRight w:val="0"/>
      <w:marTop w:val="0"/>
      <w:marBottom w:val="0"/>
      <w:divBdr>
        <w:top w:val="none" w:sz="0" w:space="0" w:color="auto"/>
        <w:left w:val="none" w:sz="0" w:space="0" w:color="auto"/>
        <w:bottom w:val="none" w:sz="0" w:space="0" w:color="auto"/>
        <w:right w:val="none" w:sz="0" w:space="0" w:color="auto"/>
      </w:divBdr>
    </w:div>
    <w:div w:id="948318042">
      <w:bodyDiv w:val="1"/>
      <w:marLeft w:val="0"/>
      <w:marRight w:val="0"/>
      <w:marTop w:val="0"/>
      <w:marBottom w:val="0"/>
      <w:divBdr>
        <w:top w:val="none" w:sz="0" w:space="0" w:color="auto"/>
        <w:left w:val="none" w:sz="0" w:space="0" w:color="auto"/>
        <w:bottom w:val="none" w:sz="0" w:space="0" w:color="auto"/>
        <w:right w:val="none" w:sz="0" w:space="0" w:color="auto"/>
      </w:divBdr>
    </w:div>
    <w:div w:id="972173276">
      <w:bodyDiv w:val="1"/>
      <w:marLeft w:val="0"/>
      <w:marRight w:val="0"/>
      <w:marTop w:val="0"/>
      <w:marBottom w:val="0"/>
      <w:divBdr>
        <w:top w:val="none" w:sz="0" w:space="0" w:color="auto"/>
        <w:left w:val="none" w:sz="0" w:space="0" w:color="auto"/>
        <w:bottom w:val="none" w:sz="0" w:space="0" w:color="auto"/>
        <w:right w:val="none" w:sz="0" w:space="0" w:color="auto"/>
      </w:divBdr>
    </w:div>
    <w:div w:id="1060981585">
      <w:bodyDiv w:val="1"/>
      <w:marLeft w:val="0"/>
      <w:marRight w:val="0"/>
      <w:marTop w:val="0"/>
      <w:marBottom w:val="0"/>
      <w:divBdr>
        <w:top w:val="none" w:sz="0" w:space="0" w:color="auto"/>
        <w:left w:val="none" w:sz="0" w:space="0" w:color="auto"/>
        <w:bottom w:val="none" w:sz="0" w:space="0" w:color="auto"/>
        <w:right w:val="none" w:sz="0" w:space="0" w:color="auto"/>
      </w:divBdr>
    </w:div>
    <w:div w:id="1078284129">
      <w:bodyDiv w:val="1"/>
      <w:marLeft w:val="0"/>
      <w:marRight w:val="0"/>
      <w:marTop w:val="0"/>
      <w:marBottom w:val="0"/>
      <w:divBdr>
        <w:top w:val="none" w:sz="0" w:space="0" w:color="auto"/>
        <w:left w:val="none" w:sz="0" w:space="0" w:color="auto"/>
        <w:bottom w:val="none" w:sz="0" w:space="0" w:color="auto"/>
        <w:right w:val="none" w:sz="0" w:space="0" w:color="auto"/>
      </w:divBdr>
    </w:div>
    <w:div w:id="1142575655">
      <w:bodyDiv w:val="1"/>
      <w:marLeft w:val="0"/>
      <w:marRight w:val="0"/>
      <w:marTop w:val="0"/>
      <w:marBottom w:val="0"/>
      <w:divBdr>
        <w:top w:val="none" w:sz="0" w:space="0" w:color="auto"/>
        <w:left w:val="none" w:sz="0" w:space="0" w:color="auto"/>
        <w:bottom w:val="none" w:sz="0" w:space="0" w:color="auto"/>
        <w:right w:val="none" w:sz="0" w:space="0" w:color="auto"/>
      </w:divBdr>
    </w:div>
    <w:div w:id="1179463509">
      <w:bodyDiv w:val="1"/>
      <w:marLeft w:val="0"/>
      <w:marRight w:val="0"/>
      <w:marTop w:val="0"/>
      <w:marBottom w:val="0"/>
      <w:divBdr>
        <w:top w:val="none" w:sz="0" w:space="0" w:color="auto"/>
        <w:left w:val="none" w:sz="0" w:space="0" w:color="auto"/>
        <w:bottom w:val="none" w:sz="0" w:space="0" w:color="auto"/>
        <w:right w:val="none" w:sz="0" w:space="0" w:color="auto"/>
      </w:divBdr>
    </w:div>
    <w:div w:id="1196849408">
      <w:bodyDiv w:val="1"/>
      <w:marLeft w:val="0"/>
      <w:marRight w:val="0"/>
      <w:marTop w:val="0"/>
      <w:marBottom w:val="0"/>
      <w:divBdr>
        <w:top w:val="none" w:sz="0" w:space="0" w:color="auto"/>
        <w:left w:val="none" w:sz="0" w:space="0" w:color="auto"/>
        <w:bottom w:val="none" w:sz="0" w:space="0" w:color="auto"/>
        <w:right w:val="none" w:sz="0" w:space="0" w:color="auto"/>
      </w:divBdr>
    </w:div>
    <w:div w:id="1226329876">
      <w:bodyDiv w:val="1"/>
      <w:marLeft w:val="0"/>
      <w:marRight w:val="0"/>
      <w:marTop w:val="0"/>
      <w:marBottom w:val="0"/>
      <w:divBdr>
        <w:top w:val="none" w:sz="0" w:space="0" w:color="auto"/>
        <w:left w:val="none" w:sz="0" w:space="0" w:color="auto"/>
        <w:bottom w:val="none" w:sz="0" w:space="0" w:color="auto"/>
        <w:right w:val="none" w:sz="0" w:space="0" w:color="auto"/>
      </w:divBdr>
    </w:div>
    <w:div w:id="1231498696">
      <w:bodyDiv w:val="1"/>
      <w:marLeft w:val="0"/>
      <w:marRight w:val="0"/>
      <w:marTop w:val="0"/>
      <w:marBottom w:val="0"/>
      <w:divBdr>
        <w:top w:val="none" w:sz="0" w:space="0" w:color="auto"/>
        <w:left w:val="none" w:sz="0" w:space="0" w:color="auto"/>
        <w:bottom w:val="none" w:sz="0" w:space="0" w:color="auto"/>
        <w:right w:val="none" w:sz="0" w:space="0" w:color="auto"/>
      </w:divBdr>
    </w:div>
    <w:div w:id="1242914304">
      <w:bodyDiv w:val="1"/>
      <w:marLeft w:val="0"/>
      <w:marRight w:val="0"/>
      <w:marTop w:val="0"/>
      <w:marBottom w:val="0"/>
      <w:divBdr>
        <w:top w:val="none" w:sz="0" w:space="0" w:color="auto"/>
        <w:left w:val="none" w:sz="0" w:space="0" w:color="auto"/>
        <w:bottom w:val="none" w:sz="0" w:space="0" w:color="auto"/>
        <w:right w:val="none" w:sz="0" w:space="0" w:color="auto"/>
      </w:divBdr>
    </w:div>
    <w:div w:id="1272126525">
      <w:bodyDiv w:val="1"/>
      <w:marLeft w:val="0"/>
      <w:marRight w:val="0"/>
      <w:marTop w:val="0"/>
      <w:marBottom w:val="0"/>
      <w:divBdr>
        <w:top w:val="none" w:sz="0" w:space="0" w:color="auto"/>
        <w:left w:val="none" w:sz="0" w:space="0" w:color="auto"/>
        <w:bottom w:val="none" w:sz="0" w:space="0" w:color="auto"/>
        <w:right w:val="none" w:sz="0" w:space="0" w:color="auto"/>
      </w:divBdr>
    </w:div>
    <w:div w:id="1415399290">
      <w:bodyDiv w:val="1"/>
      <w:marLeft w:val="0"/>
      <w:marRight w:val="0"/>
      <w:marTop w:val="0"/>
      <w:marBottom w:val="0"/>
      <w:divBdr>
        <w:top w:val="none" w:sz="0" w:space="0" w:color="auto"/>
        <w:left w:val="none" w:sz="0" w:space="0" w:color="auto"/>
        <w:bottom w:val="none" w:sz="0" w:space="0" w:color="auto"/>
        <w:right w:val="none" w:sz="0" w:space="0" w:color="auto"/>
      </w:divBdr>
    </w:div>
    <w:div w:id="1500119716">
      <w:bodyDiv w:val="1"/>
      <w:marLeft w:val="0"/>
      <w:marRight w:val="0"/>
      <w:marTop w:val="0"/>
      <w:marBottom w:val="0"/>
      <w:divBdr>
        <w:top w:val="none" w:sz="0" w:space="0" w:color="auto"/>
        <w:left w:val="none" w:sz="0" w:space="0" w:color="auto"/>
        <w:bottom w:val="none" w:sz="0" w:space="0" w:color="auto"/>
        <w:right w:val="none" w:sz="0" w:space="0" w:color="auto"/>
      </w:divBdr>
    </w:div>
    <w:div w:id="1517576931">
      <w:bodyDiv w:val="1"/>
      <w:marLeft w:val="0"/>
      <w:marRight w:val="0"/>
      <w:marTop w:val="0"/>
      <w:marBottom w:val="0"/>
      <w:divBdr>
        <w:top w:val="none" w:sz="0" w:space="0" w:color="auto"/>
        <w:left w:val="none" w:sz="0" w:space="0" w:color="auto"/>
        <w:bottom w:val="none" w:sz="0" w:space="0" w:color="auto"/>
        <w:right w:val="none" w:sz="0" w:space="0" w:color="auto"/>
      </w:divBdr>
    </w:div>
    <w:div w:id="1532572523">
      <w:bodyDiv w:val="1"/>
      <w:marLeft w:val="0"/>
      <w:marRight w:val="0"/>
      <w:marTop w:val="0"/>
      <w:marBottom w:val="0"/>
      <w:divBdr>
        <w:top w:val="none" w:sz="0" w:space="0" w:color="auto"/>
        <w:left w:val="none" w:sz="0" w:space="0" w:color="auto"/>
        <w:bottom w:val="none" w:sz="0" w:space="0" w:color="auto"/>
        <w:right w:val="none" w:sz="0" w:space="0" w:color="auto"/>
      </w:divBdr>
    </w:div>
    <w:div w:id="1625773276">
      <w:bodyDiv w:val="1"/>
      <w:marLeft w:val="0"/>
      <w:marRight w:val="0"/>
      <w:marTop w:val="0"/>
      <w:marBottom w:val="0"/>
      <w:divBdr>
        <w:top w:val="none" w:sz="0" w:space="0" w:color="auto"/>
        <w:left w:val="none" w:sz="0" w:space="0" w:color="auto"/>
        <w:bottom w:val="none" w:sz="0" w:space="0" w:color="auto"/>
        <w:right w:val="none" w:sz="0" w:space="0" w:color="auto"/>
      </w:divBdr>
    </w:div>
    <w:div w:id="1808624633">
      <w:bodyDiv w:val="1"/>
      <w:marLeft w:val="0"/>
      <w:marRight w:val="0"/>
      <w:marTop w:val="0"/>
      <w:marBottom w:val="0"/>
      <w:divBdr>
        <w:top w:val="none" w:sz="0" w:space="0" w:color="auto"/>
        <w:left w:val="none" w:sz="0" w:space="0" w:color="auto"/>
        <w:bottom w:val="none" w:sz="0" w:space="0" w:color="auto"/>
        <w:right w:val="none" w:sz="0" w:space="0" w:color="auto"/>
      </w:divBdr>
    </w:div>
    <w:div w:id="1851291232">
      <w:bodyDiv w:val="1"/>
      <w:marLeft w:val="0"/>
      <w:marRight w:val="0"/>
      <w:marTop w:val="0"/>
      <w:marBottom w:val="0"/>
      <w:divBdr>
        <w:top w:val="none" w:sz="0" w:space="0" w:color="auto"/>
        <w:left w:val="none" w:sz="0" w:space="0" w:color="auto"/>
        <w:bottom w:val="none" w:sz="0" w:space="0" w:color="auto"/>
        <w:right w:val="none" w:sz="0" w:space="0" w:color="auto"/>
      </w:divBdr>
    </w:div>
    <w:div w:id="1862082968">
      <w:bodyDiv w:val="1"/>
      <w:marLeft w:val="0"/>
      <w:marRight w:val="0"/>
      <w:marTop w:val="0"/>
      <w:marBottom w:val="0"/>
      <w:divBdr>
        <w:top w:val="none" w:sz="0" w:space="0" w:color="auto"/>
        <w:left w:val="none" w:sz="0" w:space="0" w:color="auto"/>
        <w:bottom w:val="none" w:sz="0" w:space="0" w:color="auto"/>
        <w:right w:val="none" w:sz="0" w:space="0" w:color="auto"/>
      </w:divBdr>
    </w:div>
    <w:div w:id="1918859251">
      <w:bodyDiv w:val="1"/>
      <w:marLeft w:val="0"/>
      <w:marRight w:val="0"/>
      <w:marTop w:val="0"/>
      <w:marBottom w:val="0"/>
      <w:divBdr>
        <w:top w:val="none" w:sz="0" w:space="0" w:color="auto"/>
        <w:left w:val="none" w:sz="0" w:space="0" w:color="auto"/>
        <w:bottom w:val="none" w:sz="0" w:space="0" w:color="auto"/>
        <w:right w:val="none" w:sz="0" w:space="0" w:color="auto"/>
      </w:divBdr>
    </w:div>
    <w:div w:id="1923903395">
      <w:bodyDiv w:val="1"/>
      <w:marLeft w:val="0"/>
      <w:marRight w:val="0"/>
      <w:marTop w:val="0"/>
      <w:marBottom w:val="0"/>
      <w:divBdr>
        <w:top w:val="none" w:sz="0" w:space="0" w:color="auto"/>
        <w:left w:val="none" w:sz="0" w:space="0" w:color="auto"/>
        <w:bottom w:val="none" w:sz="0" w:space="0" w:color="auto"/>
        <w:right w:val="none" w:sz="0" w:space="0" w:color="auto"/>
      </w:divBdr>
    </w:div>
    <w:div w:id="200666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BMG18</b:Tag>
    <b:SourceType>InternetSite</b:SourceType>
    <b:Guid>{D36B7046-2DA8-4B19-BFB0-85697781E01C}</b:Guid>
    <b:Author>
      <b:Author>
        <b:Corporate>BMG Research</b:Corporate>
      </b:Author>
    </b:Author>
    <b:Title>Public Perceptions of Policing in</b:Title>
    <b:Year>2018</b:Year>
    <b:YearAccessed>2024</b:YearAccessed>
    <b:MonthAccessed>05</b:MonthAccessed>
    <b:DayAccessed>24</b:DayAccessed>
    <b:URL>https://www.bmgresearch.co.uk/wp-content/uploads/2019/01/1578-HMICFRS-Public-Perceptions-of-Policing-2018_FINAL.pdf</b:URL>
    <b:RefOrder>1</b:RefOrder>
  </b:Source>
  <b:Source>
    <b:Tag>Han23</b:Tag>
    <b:SourceType>InternetSite</b:SourceType>
    <b:Guid>{ABC93974-061F-4A10-B0A0-A3F1BE682B75}</b:Guid>
    <b:Title>Public perceptions of policing: A review of research and literature</b:Title>
    <b:Year>2023</b:Year>
    <b:YearAccessed>2024</b:YearAccessed>
    <b:MonthAccessed>05</b:MonthAccessed>
    <b:DayAccessed>24</b:DayAccessed>
    <b:URL>https://www.gov.uk/government/publications/public-perceptions-of-policing-a-review-of-research-and-literature/public-perceptions-of-policing-a-review-of-research-and-literature</b:URL>
    <b:Author>
      <b:Author>
        <b:NameList>
          <b:Person>
            <b:Last>Hanway</b:Last>
            <b:First>Pamela</b:First>
          </b:Person>
          <b:Person>
            <b:Last>Hambly</b:Last>
            <b:First>Olivia</b:First>
          </b:Person>
        </b:NameList>
      </b:Author>
    </b:Author>
    <b:RefOrder>2</b:RefOrder>
  </b:Source>
  <b:Source>
    <b:Tag>Col15</b:Tag>
    <b:SourceType>InternetSite</b:SourceType>
    <b:Guid>{F5560FCC-ACB4-452C-A192-B889943B1B41}</b:Guid>
    <b:Author>
      <b:Author>
        <b:Corporate>College of Policing</b:Corporate>
      </b:Author>
    </b:Author>
    <b:Title>Professional standards</b:Title>
    <b:Year>2015</b:Year>
    <b:YearAccessed>2024</b:YearAccessed>
    <b:MonthAccessed>05</b:MonthAccessed>
    <b:DayAccessed>24</b:DayAccessed>
    <b:URL>https://www.college.police.uk/app/professional-standards</b:URL>
    <b:RefOrder>3</b:RefOrder>
  </b:Source>
  <b:Source>
    <b:Tag>Hun24</b:Tag>
    <b:SourceType>Book</b:SourceType>
    <b:Guid>{D937289D-95C3-434F-BF86-B257840C340F}</b:Guid>
    <b:Title>The Logic of Lying Five Presumed Justifications for Police Dishonesty</b:Title>
    <b:Year>2024</b:Year>
    <b:City>New York</b:City>
    <b:Publisher>Oxford University Press</b:Publisher>
    <b:Author>
      <b:Author>
        <b:NameList>
          <b:Person>
            <b:Last>Hunt</b:Last>
            <b:Middle>William</b:Middle>
            <b:First>Luke</b:First>
          </b:Person>
        </b:NameList>
      </b:Author>
    </b:Author>
    <b:RefOrder>4</b:RefOrder>
  </b:Source>
  <b:Source>
    <b:Tag>Col24</b:Tag>
    <b:SourceType>InternetSite</b:SourceType>
    <b:Guid>{44735506-F1D7-4D1A-935B-D2694464BC5B}</b:Guid>
    <b:Author>
      <b:Author>
        <b:Corporate>College of Police</b:Corporate>
      </b:Author>
    </b:Author>
    <b:Title>Ethical Policing Principles</b:Title>
    <b:Year>2024</b:Year>
    <b:YearAccessed>2024</b:YearAccessed>
    <b:MonthAccessed>05</b:MonthAccessed>
    <b:DayAccessed>24</b:DayAccessed>
    <b:URL>https://www.college.police.uk/ethics/code-of-ethics/principles</b:URL>
    <b:RefOrder>5</b:RefOrder>
  </b:Source>
  <b:Source>
    <b:Tag>Tor21</b:Tag>
    <b:SourceType>JournalArticle</b:SourceType>
    <b:Guid>{DCADA879-2128-4D74-A02F-9B1B215A4145}</b:Guid>
    <b:Title>Police complaints and discipline: integrity, lesson learning, independence and accountability: some implications of the reforms under the Policing and Crime Act 2017</b:Title>
    <b:Year>2021</b:Year>
    <b:JournalName>An International Journal of Research and Policy</b:JournalName>
    <b:Pages>1117-1132</b:Pages>
    <b:Volume>31</b:Volume>
    <b:Issue>9</b:Issue>
    <b:Author>
      <b:Author>
        <b:NameList>
          <b:Person>
            <b:Last>Torrible</b:Last>
            <b:First>Clare</b:First>
          </b:Person>
        </b:NameList>
      </b:Author>
    </b:Author>
    <b:RefOrder>6</b:RefOrder>
  </b:Source>
  <b:Source>
    <b:Tag>Row20</b:Tag>
    <b:SourceType>Book</b:SourceType>
    <b:Guid>{708A19B5-3990-438B-9F20-0BE0820D1967}</b:Guid>
    <b:Title>Policing the police: challenges of democracy and accountability</b:Title>
    <b:Year>2020</b:Year>
    <b:City>Britsol</b:City>
    <b:Publisher>The Policy Press</b:Publisher>
    <b:Author>
      <b:Author>
        <b:NameList>
          <b:Person>
            <b:Last>Rowe</b:Last>
            <b:First>Michael</b:First>
          </b:Person>
        </b:NameList>
      </b:Author>
    </b:Author>
    <b:RefOrder>7</b:RefOrder>
  </b:Source>
  <b:Source>
    <b:Tag>Col23</b:Tag>
    <b:SourceType>DocumentFromInternetSite</b:SourceType>
    <b:Guid>{B40DFAAE-CD76-4574-AF43-CBFFBD97CD8B}</b:Guid>
    <b:Title>Guidance on outcomes</b:Title>
    <b:Year>2023</b:Year>
    <b:Author>
      <b:Author>
        <b:Corporate>College of Policing</b:Corporate>
      </b:Author>
    </b:Author>
    <b:Month>03</b:Month>
    <b:Day>10</b:Day>
    <b:YearAccessed>2024</b:YearAccessed>
    <b:MonthAccessed>05</b:MonthAccessed>
    <b:DayAccessed>24</b:DayAccessed>
    <b:URL>https://www.college.police.uk/app/professional-standards/complaints-and-misconduct</b:URL>
    <b:RefOrder>8</b:RefOrder>
  </b:Source>
  <b:Source>
    <b:Tag>Mcc21</b:Tag>
    <b:SourceType>JournalArticle</b:SourceType>
    <b:Guid>{EC42A925-6C1E-4593-9476-FABD77E0A047}</b:Guid>
    <b:Title>The role of social distance in the relationship between police-community engagement and police coercion</b:Title>
    <b:Year>2021</b:Year>
    <b:Author>
      <b:Author>
        <b:NameList>
          <b:Person>
            <b:Last>Mccarthy</b:Last>
            <b:First>Molly</b:First>
          </b:Person>
        </b:NameList>
      </b:Author>
    </b:Author>
    <b:JournalName>An International Journal of Research and Policy</b:JournalName>
    <b:Pages>434-453</b:Pages>
    <b:Volume>31</b:Volume>
    <b:Issue>4</b:Issue>
    <b:RefOrder>9</b:RefOrder>
  </b:Source>
  <b:Source>
    <b:Tag>Lev18</b:Tag>
    <b:SourceType>Book</b:SourceType>
    <b:Guid>{15B6FC95-5C3B-4690-8A87-BDA5D52DD061}</b:Guid>
    <b:Title>Societal Implications of Community-Oriented Policing and Technology</b:Title>
    <b:Year>2018</b:Year>
    <b:Publisher>Springer Cham</b:Publisher>
    <b:Edition>1</b:Edition>
    <b:Author>
      <b:Author>
        <b:NameList>
          <b:Person>
            <b:Last>Levantakis</b:Last>
            <b:First>Georgios</b:First>
          </b:Person>
          <b:Person>
            <b:Last>Haberfeld</b:Last>
            <b:Middle>R.</b:Middle>
            <b:First>M.</b:First>
          </b:Person>
        </b:NameList>
      </b:Author>
    </b:Author>
    <b:RefOrder>10</b:RefOrder>
  </b:Source>
  <b:Source>
    <b:Tag>Pol14</b:Tag>
    <b:SourceType>JournalArticle</b:SourceType>
    <b:Guid>{F89AC417-9A02-474C-9855-B2A1BA421C85}</b:Guid>
    <b:Title>Police-led partnership responses to high risk youths and their families: challenges associated with forming successful and sustainable partnerships</b:Title>
    <b:Year>2014</b:Year>
    <b:JournalName>An International Journal of Research and Policy</b:JournalName>
    <b:Pages>242-260</b:Pages>
    <b:Volume>24</b:Volume>
    <b:Issue>2</b:Issue>
    <b:Author>
      <b:Author>
        <b:NameList>
          <b:Person>
            <b:Last>Meyer</b:Last>
            <b:First>Silke</b:First>
          </b:Person>
        </b:NameList>
      </b:Author>
    </b:Author>
    <b:RefOrder>11</b:RefOrder>
  </b:Source>
  <b:Source>
    <b:Tag>Col212</b:Tag>
    <b:SourceType>InternetSite</b:SourceType>
    <b:Guid>{32CBA6BE-E9CC-42F7-9C13-0FD3E42CADE8}</b:Guid>
    <b:Title>Context and dynamics of domestic abuse</b:Title>
    <b:Year>2021</b:Year>
    <b:Author>
      <b:Author>
        <b:Corporate>College of Policing</b:Corporate>
      </b:Author>
    </b:Author>
    <b:YearAccessed>2024</b:YearAccessed>
    <b:MonthAccessed>05</b:MonthAccessed>
    <b:DayAccessed>24</b:DayAccessed>
    <b:URL>https://www.college.police.uk/app/major-investigation-and-public-protection/domestic-abuse/context-and-dynamics-domestic-abuse</b:URL>
    <b:RefOrder>12</b:RefOrder>
  </b:Source>
  <b:Source>
    <b:Tag>Ros22</b:Tag>
    <b:SourceType>JournalArticle</b:SourceType>
    <b:Guid>{B893F4C5-9E61-4B8A-87D7-C0E551023437}</b:Guid>
    <b:Title>Tracking Repeat Victimisation After Domestic Abuse Cases Are Heard With and Without Independent Domestic Violence Advisors (IDVAs) in an English Magistrate’s Court</b:Title>
    <b:Year>2022</b:Year>
    <b:JournalName>Cambridge Journal of Evidence-Based Policing</b:JournalName>
    <b:Pages>54-68</b:Pages>
    <b:Volume>6</b:Volume>
    <b:Author>
      <b:Author>
        <b:NameList>
          <b:Person>
            <b:Last>Ross</b:Last>
            <b:First>John</b:First>
          </b:Person>
          <b:Person>
            <b:Last>Sebire</b:Last>
            <b:First>Jaqueline</b:First>
          </b:Person>
          <b:Person>
            <b:Last>Strang</b:Last>
            <b:First>Heather</b:First>
          </b:Person>
        </b:NameList>
      </b:Author>
    </b:Author>
    <b:RefOrder>13</b:RefOrder>
  </b:Source>
  <b:Source>
    <b:Tag>Inn20</b:Tag>
    <b:SourceType>Book</b:SourceType>
    <b:Guid>{090025C7-24CB-47BA-80C3-DE3FBD65EE19}</b:Guid>
    <b:Title>Neighbourhood Policing : The Rise and Fall of a Policing Model</b:Title>
    <b:Year>2020</b:Year>
    <b:Publisher>Oxford University Press</b:Publisher>
    <b:Author>
      <b:Author>
        <b:NameList>
          <b:Person>
            <b:Last>Innes</b:Last>
            <b:First>Martin</b:First>
          </b:Person>
          <b:Person>
            <b:Last>Roberts</b:Last>
            <b:First>Colin</b:First>
          </b:Person>
          <b:Person>
            <b:Last>Lowe</b:Last>
            <b:First>Trudy</b:First>
          </b:Person>
          <b:Person>
            <b:Last>Innes</b:Last>
            <b:First>Helen</b:First>
          </b:Person>
        </b:NameList>
      </b:Author>
    </b:Author>
    <b:RefOrder>14</b:RefOrder>
  </b:Source>
  <b:Source>
    <b:Tag>Aca04</b:Tag>
    <b:SourceType>JournalArticle</b:SourceType>
    <b:Guid>{3271ABDE-C800-47A2-B8B9-8999C3540735}</b:Guid>
    <b:Title>A case study of a public sector partnership between a borough council and the police in the UK</b:Title>
    <b:Year>2004</b:Year>
    <b:JournalName>Public Management Review</b:JournalName>
    <b:Pages>113-130</b:Pages>
    <b:Volume>6</b:Volume>
    <b:Issue>1</b:Issue>
    <b:Author>
      <b:Author>
        <b:NameList>
          <b:Person>
            <b:Last>Stephens</b:Last>
            <b:First>Mike</b:First>
          </b:Person>
          <b:Person>
            <b:Last>Fowler</b:Last>
            <b:First>Geoff</b:First>
          </b:Person>
        </b:NameList>
      </b:Author>
    </b:Author>
    <b:RefOrder>15</b:RefOrder>
  </b:Source>
  <b:Source>
    <b:Tag>Fre16</b:Tag>
    <b:SourceType>JournalArticle</b:SourceType>
    <b:Guid>{3A71675E-D926-495F-846C-5367E0AF638B}</b:Guid>
    <b:Title>Community partnerships (UK) vs Crime Prevention Councils (GER): Differences and similarities</b:Title>
    <b:JournalName>The Police Journal: Theory, Practice and Principles</b:JournalName>
    <b:Year>2016</b:Year>
    <b:Volume>89</b:Volume>
    <b:Issue>2</b:Issue>
    <b:Author>
      <b:Author>
        <b:NameList>
          <b:Person>
            <b:Last>Frevel</b:Last>
            <b:First>Bernhard</b:First>
          </b:Person>
          <b:Person>
            <b:Last>Rogers</b:Last>
            <b:First>Colin</b:First>
          </b:Person>
        </b:NameList>
      </b:Author>
    </b:Author>
    <b:RefOrder>16</b:RefOrder>
  </b:Source>
  <b:Source>
    <b:Tag>Pyc19</b:Tag>
    <b:SourceType>Book</b:SourceType>
    <b:Guid>{95AD54ED-3E4C-4F6C-BBBC-5AD825910786}</b:Guid>
    <b:Title>Multi-Agency Working in Criminal Justice 2e: Theory, Policy and Practice</b:Title>
    <b:Year>2019</b:Year>
    <b:City>Bristol</b:City>
    <b:Publisher>Bristol University Press</b:Publisher>
    <b:Edition>2</b:Edition>
    <b:Author>
      <b:Author>
        <b:NameList>
          <b:Person>
            <b:Last>Pycroft</b:Last>
            <b:First>Aaron</b:First>
          </b:Person>
          <b:Person>
            <b:Last>Gough</b:Last>
            <b:First>Dennis</b:First>
          </b:Person>
        </b:NameList>
      </b:Author>
    </b:Author>
    <b:RefOrder>17</b:RefOrder>
  </b:Source>
  <b:Source>
    <b:Tag>Wil23</b:Tag>
    <b:SourceType>Book</b:SourceType>
    <b:Guid>{0B94BB99-6626-430C-82FE-73EDFAFBDBD9}</b:Guid>
    <b:Title>Policing Mental Health, Vulnerability and Risk</b:Title>
    <b:Year>2023</b:Year>
    <b:Publisher>Critical Publishing</b:Publisher>
    <b:Author>
      <b:Author>
        <b:NameList>
          <b:Person>
            <b:Last>Williams</b:Last>
            <b:First>Brian</b:First>
          </b:Person>
        </b:NameList>
      </b:Author>
    </b:Author>
    <b:RefOrder>18</b:RefOrder>
  </b:Source>
  <b:Source>
    <b:Tag>Tho19</b:Tag>
    <b:SourceType>JournalArticle</b:SourceType>
    <b:Guid>{81C820F2-8FEB-45DC-9905-5C1ACCEEC3DF}</b:Guid>
    <b:Title>‘It’s a No-Win Scenario, either the Police or the Gang Will Get You’: Young People and Organised Crime – Vulnerable or Criminal?</b:Title>
    <b:Year>2019</b:Year>
    <b:JournalName>Youth Justice</b:JournalName>
    <b:Volume>19</b:Volume>
    <b:Issue>2</b:Issue>
    <b:Author>
      <b:Author>
        <b:NameList>
          <b:Person>
            <b:Last>Thompson</b:Last>
            <b:First>Naomi</b:First>
          </b:Person>
        </b:NameList>
      </b:Author>
    </b:Author>
    <b:RefOrder>19</b:RefOrder>
  </b:Source>
  <b:Source>
    <b:Tag>San09</b:Tag>
    <b:SourceType>JournalArticle</b:SourceType>
    <b:Guid>{A2C399A8-3C73-4DC6-9372-AAA86D9F02DB}</b:Guid>
    <b:Title>Gang Youth as a Vulnerable Population for Nursing Intervention</b:Title>
    <b:JournalName>Public Health Nursing</b:JournalName>
    <b:Year>2009</b:Year>
    <b:Pages>346 - 352</b:Pages>
    <b:Volume>26</b:Volume>
    <b:Issue>4</b:Issue>
    <b:Author>
      <b:Author>
        <b:NameList>
          <b:Person>
            <b:Last>Sanders</b:Last>
            <b:First>Bill</b:First>
          </b:Person>
          <b:Person>
            <b:Last>Schneiderman</b:Last>
            <b:First>Janet</b:First>
          </b:Person>
          <b:Person>
            <b:Last>Loken</b:Last>
            <b:First>Alisha</b:First>
          </b:Person>
          <b:Person>
            <b:Last>Lankenau</b:Last>
            <b:First>Stephen</b:First>
          </b:Person>
          <b:Person>
            <b:Last>Bloom</b:Last>
            <b:First>Jennifer</b:First>
          </b:Person>
        </b:NameList>
      </b:Author>
    </b:Author>
    <b:RefOrder>20</b:RefOrder>
  </b:Source>
  <b:Source>
    <b:Tag>Fin19</b:Tag>
    <b:SourceType>JournalArticle</b:SourceType>
    <b:Guid>{8960169E-4C0A-4528-A163-65AF30C9F887}</b:Guid>
    <b:Title>Slash, Shoot, Kill: Gang Recruitment of Children and the Penalties Gangs Face</b:Title>
    <b:JournalName>Family Court Review</b:JournalName>
    <b:Year>2019</b:Year>
    <b:Pages>243-257</b:Pages>
    <b:Volume>57</b:Volume>
    <b:Issue>2</b:Issue>
    <b:Author>
      <b:Author>
        <b:NameList>
          <b:Person>
            <b:Last>Finelli</b:Last>
            <b:Middle>A.</b:Middle>
            <b:First>Giuseppe</b:First>
          </b:Person>
        </b:NameList>
      </b:Author>
    </b:Author>
    <b:RefOrder>21</b:RefOrder>
  </b:Source>
  <b:Source>
    <b:Tag>Bro13</b:Tag>
    <b:SourceType>JournalArticle</b:SourceType>
    <b:Guid>{06F9B321-55D5-476C-BB2D-A439806C21D4}</b:Guid>
    <b:Title>Gangs and sexual violence and exploitation</b:Title>
    <b:JournalName>Sexually Transmitted Infections</b:JournalName>
    <b:Year>2013</b:Year>
    <b:Volume>89</b:Volume>
    <b:Issue>1</b:Issue>
    <b:Author>
      <b:Author>
        <b:NameList>
          <b:Person>
            <b:Last>Brookings</b:Last>
            <b:First>Claire</b:First>
          </b:Person>
        </b:NameList>
      </b:Author>
    </b:Author>
    <b:RefOrder>22</b:RefOrder>
  </b:Source>
  <b:Source>
    <b:Tag>Hav21</b:Tag>
    <b:SourceType>JournalArticle</b:SourceType>
    <b:Guid>{05903C4A-EF4B-42AD-A706-4785E7F17DC1}</b:Guid>
    <b:Title>Street gangs and coercive control: The gendered exploitation of young women and girls in county lines</b:Title>
    <b:JournalName>Criminology &amp; Criminal Justice</b:JournalName>
    <b:Year>2021</b:Year>
    <b:Volume>23</b:Volume>
    <b:Issue>3</b:Issue>
    <b:Author>
      <b:Author>
        <b:NameList>
          <b:Person>
            <b:Last>Havard</b:Last>
            <b:Middle>Elizabeth</b:Middle>
            <b:First>Tirion</b:First>
          </b:Person>
          <b:Person>
            <b:Last>Densley</b:Last>
            <b:Middle>A.</b:Middle>
            <b:First>James</b:First>
          </b:Person>
          <b:Person>
            <b:Last>Wills</b:Last>
            <b:First>Jane</b:First>
          </b:Person>
        </b:NameList>
      </b:Author>
    </b:Author>
    <b:RefOrder>23</b:RefOrder>
  </b:Source>
  <b:Source>
    <b:Tag>Col231</b:Tag>
    <b:SourceType>InternetSite</b:SourceType>
    <b:Guid>{63F0F0F8-8498-4CE7-8F4A-6B1C37769DA8}</b:Guid>
    <b:Title>Understanding risk and vulnerability in the context of domestic abuse</b:Title>
    <b:Year>2023</b:Year>
    <b:Author>
      <b:Author>
        <b:Corporate>College of Policing</b:Corporate>
      </b:Author>
    </b:Author>
    <b:YearAccessed>2024</b:YearAccessed>
    <b:MonthAccessed>05</b:MonthAccessed>
    <b:DayAccessed>25</b:DayAccessed>
    <b:URL>https://www.college.police.uk/app/major-investigation-and-public-protection/domestic-abuse/understanding-risk-and-vulnerability-context-domestic-abuse</b:URL>
    <b:RefOrder>24</b:RefOrder>
  </b:Source>
  <b:Source>
    <b:Tag>Har201</b:Tag>
    <b:SourceType>Book</b:SourceType>
    <b:Guid>{9F4892D7-B421-4AFB-999D-F0DA11F15BEB}</b:Guid>
    <b:Title>County Lines: Exploitation and Drug Dealing amongst Urban Street Gangs</b:Title>
    <b:Year>2020</b:Year>
    <b:City>Bristol</b:City>
    <b:Publisher>Bristol University Press</b:Publisher>
    <b:Edition>1</b:Edition>
    <b:Author>
      <b:Author>
        <b:NameList>
          <b:Person>
            <b:Last>Harding</b:Last>
            <b:First>Simon</b:First>
          </b:Person>
        </b:NameList>
      </b:Author>
    </b:Author>
    <b:RefOrder>25</b:RefOrder>
  </b:Source>
  <b:Source>
    <b:Tag>Bar18</b:Tag>
    <b:SourceType>JournalArticle</b:SourceType>
    <b:Guid>{A3447183-9A2C-4C7B-8394-A9C7B9F37B44}</b:Guid>
    <b:Title>What doesn’t work to reduce reoffending? A review of reviews of ineffective interventions for adults convicted of crimes.</b:Title>
    <b:Year>2018</b:Year>
    <b:Pages>111-129</b:Pages>
    <b:Volume>23</b:Volume>
    <b:Issue>2</b:Issue>
    <b:Author>
      <b:Author>
        <b:NameList>
          <b:Person>
            <b:Last>Barnett</b:Last>
            <b:Middle>D.</b:Middle>
            <b:First>Georgia</b:First>
          </b:Person>
          <b:Person>
            <b:Last>Howard</b:Last>
            <b:Middle>Fitzalan</b:Middle>
            <b:First>Flora</b:First>
          </b:Person>
        </b:NameList>
      </b:Author>
    </b:Author>
    <b:RefOrder>26</b:RefOrder>
  </b:Source>
  <b:Source>
    <b:Tag>Vil18</b:Tag>
    <b:SourceType>JournalArticle</b:SourceType>
    <b:Guid>{CD4C6620-5E83-4989-BAF8-B91B02C52EA2}</b:Guid>
    <b:Title>Do risk assessment tools help manage and reduce risk of violence and reoffending? A systematic review.</b:Title>
    <b:JournalName>Law and Human Behavior</b:JournalName>
    <b:Year>2018</b:Year>
    <b:Pages>181-214</b:Pages>
    <b:Volume>42</b:Volume>
    <b:Issue>3</b:Issue>
    <b:Author>
      <b:Author>
        <b:NameList>
          <b:Person>
            <b:Last>Viljoen</b:Last>
            <b:Middle>L.</b:Middle>
            <b:First>Jodi</b:First>
          </b:Person>
          <b:Person>
            <b:Last>Cochrane</b:Last>
            <b:Middle>M.</b:Middle>
            <b:First>Dana</b:First>
          </b:Person>
          <b:Person>
            <b:Last>Jonnson</b:Last>
            <b:Middle>R.</b:Middle>
            <b:First>Melissa</b:First>
          </b:Person>
        </b:NameList>
      </b:Author>
    </b:Author>
    <b:RefOrder>27</b:RefOrder>
  </b:Source>
  <b:Source>
    <b:Tag>Col213</b:Tag>
    <b:SourceType>InternetSite</b:SourceType>
    <b:Guid>{191F5A93-2722-4730-9B8F-5A3433734534}</b:Guid>
    <b:Title>Introduction to vulnerability-related risk</b:Title>
    <b:Year>2021</b:Year>
    <b:Author>
      <b:Author>
        <b:Corporate>College of Policing</b:Corporate>
      </b:Author>
    </b:Author>
    <b:YearAccessed>2024</b:YearAccessed>
    <b:MonthAccessed>05</b:MonthAccessed>
    <b:DayAccessed>25</b:DayAccessed>
    <b:URL>https://www.college.police.uk/guidance/vulnerability-related-risks/introduction-vulnerability-related-risk</b:URL>
    <b:RefOrder>28</b:RefOrder>
  </b:Source>
  <b:Source>
    <b:Tag>Wil22</b:Tag>
    <b:SourceType>JournalArticle</b:SourceType>
    <b:Guid>{5F341C7E-7991-442E-868A-463A8420D985}</b:Guid>
    <b:Title>Can Electronic Monitoring Reduce Reoffending?</b:Title>
    <b:Year>2022</b:Year>
    <b:JournalName>Review of Economics &amp; Statistics</b:JournalName>
    <b:Pages>232-245</b:Pages>
    <b:Volume>104</b:Volume>
    <b:Issue>2</b:Issue>
    <b:Author>
      <b:Author>
        <b:NameList>
          <b:Person>
            <b:Last>Williams</b:Last>
            <b:First>Jenny</b:First>
          </b:Person>
          <b:Person>
            <b:Last>Weatherburn</b:Last>
            <b:First>Don</b:First>
          </b:Person>
        </b:NameList>
      </b:Author>
    </b:Author>
    <b:RefOrder>29</b:RefOrder>
  </b:Source>
  <b:Source>
    <b:Tag>Van14</b:Tag>
    <b:SourceType>JournalArticle</b:SourceType>
    <b:Guid>{70BE4A25-41CA-4339-BB34-69B366B81134}</b:Guid>
    <b:Title>Between convict and ward: the experiences of people living with offenders subject to electronic monitoring</b:Title>
    <b:JournalName>Crime, Law and Social Change</b:JournalName>
    <b:Year>2014</b:Year>
    <b:Pages>389-415</b:Pages>
    <b:Volume>62</b:Volume>
    <b:Issue>4</b:Issue>
    <b:Author>
      <b:Author>
        <b:NameList>
          <b:Person>
            <b:Last>Vanhaelemeesch</b:Last>
            <b:First>Delphine</b:First>
          </b:Person>
          <b:Person>
            <b:Last>Beken</b:Last>
            <b:Middle>Vander</b:Middle>
            <b:First>Tom</b:First>
          </b:Person>
        </b:NameList>
      </b:Author>
    </b:Author>
    <b:RefOrder>30</b:RefOrder>
  </b:Source>
  <b:Source>
    <b:Tag>Con16</b:Tag>
    <b:SourceType>JournalArticle</b:SourceType>
    <b:Guid>{C6828A58-733E-40F8-BB01-A2798C5FD9F2}</b:Guid>
    <b:Title>Forensic occupational therapy to reduce risk of reoffending: a survey of practice in the United Kingdom</b:Title>
    <b:JournalName>The journal of forensic psychiatry &amp; psychology</b:JournalName>
    <b:Year>2016</b:Year>
    <b:Pages>907-928</b:Pages>
    <b:Volume>27</b:Volume>
    <b:Issue>6</b:Issue>
    <b:Author>
      <b:Author>
        <b:NameList>
          <b:Person>
            <b:Last>Connell</b:Last>
            <b:First>Catriona</b:First>
          </b:Person>
        </b:NameList>
      </b:Author>
    </b:Author>
    <b:RefOrder>31</b:RefOrder>
  </b:Source>
  <b:Source>
    <b:Tag>Smi18</b:Tag>
    <b:SourceType>JournalArticle</b:SourceType>
    <b:Guid>{13E3ABFB-A2D7-4EAE-8C80-0329FC97A9D2}</b:Guid>
    <b:Title>The effectiveness of probation supervision towards reducing reoffending: A Rapid Evidence Assessment</b:Title>
    <b:JournalName>Probation Journal</b:JournalName>
    <b:Year>2018</b:Year>
    <b:Volume>65</b:Volume>
    <b:Issue>4</b:Issue>
    <b:Author>
      <b:Author>
        <b:NameList>
          <b:Person>
            <b:Last>Smith</b:Last>
            <b:First>Andrew</b:First>
          </b:Person>
          <b:Person>
            <b:Last>Heyes</b:Last>
            <b:First>Kim</b:First>
          </b:Person>
          <b:Person>
            <b:Last>Bradbury</b:Last>
            <b:First>Andrew</b:First>
          </b:Person>
        </b:NameList>
      </b:Author>
    </b:Author>
    <b:RefOrder>32</b:RefOrder>
  </b:Source>
  <b:Source>
    <b:Tag>Raw12</b:Tag>
    <b:SourceType>JournalArticle</b:SourceType>
    <b:Guid>{BEF0C484-5C17-4F84-B782-5BD9BC06617A}</b:Guid>
    <b:Title>Accommodation, Homelessness and Reoffending of Prisoners</b:Title>
    <b:JournalName>Probation Journal</b:JournalName>
    <b:Year>2012</b:Year>
    <b:Volume>59</b:Volume>
    <b:Issue>3</b:Issue>
    <b:Author>
      <b:Author>
        <b:NameList>
          <b:Person>
            <b:Last>Rawlinson</b:Last>
            <b:First>Laura</b:First>
          </b:Person>
        </b:NameList>
      </b:Author>
    </b:Author>
    <b:RefOrder>33</b:RefOrder>
  </b:Source>
  <b:Source>
    <b:Tag>Min13</b:Tag>
    <b:SourceType>DocumentFromInternetSite</b:SourceType>
    <b:Guid>{3CC693AD-CDE3-4389-B960-E8FC9E636BA3}</b:Guid>
    <b:Title>Transforming Rehabilitation: A Summary of Evidence on reducing reoffending.</b:Title>
    <b:Year>2013</b:Year>
    <b:YearAccessed>2024</b:YearAccessed>
    <b:MonthAccessed>05</b:MonthAccessed>
    <b:DayAccessed>25</b:DayAccessed>
    <b:URL>https://assets.publishing.service.gov.uk/media/5a7565a8e5274a1baf95e408/evidence-reduce-reoffending.pdf</b:URL>
    <b:Author>
      <b:Author>
        <b:Corporate>Minister of Justice</b:Corporate>
      </b:Author>
    </b:Author>
    <b:RefOrder>34</b:RefOrder>
  </b:Source>
  <b:Source>
    <b:Tag>Jug23</b:Tag>
    <b:SourceType>JournalArticle</b:SourceType>
    <b:Guid>{7B1C4380-2906-404A-B4A0-67AC52FFEC4F}</b:Guid>
    <b:Title>Do Sports Programs Prevent Crime and Reduce Reoffending? A Systematic Review and Meta-Analysis on the Effectiveness of Sports Programs</b:Title>
    <b:Year>2023</b:Year>
    <b:JournalName>Journal of Quantitative Criminology</b:JournalName>
    <b:Pages>333-384</b:Pages>
    <b:Volume>39</b:Volume>
    <b:Author>
      <b:Author>
        <b:NameList>
          <b:Person>
            <b:Last>Jugl</b:Last>
            <b:First>Irina</b:First>
          </b:Person>
          <b:Person>
            <b:Last>Bender</b:Last>
            <b:First>Doris</b:First>
          </b:Person>
          <b:Person>
            <b:Last>Losel</b:Last>
            <b:First>Friedrich</b:First>
          </b:Person>
        </b:NameList>
      </b:Author>
    </b:Author>
    <b:RefOrder>35</b:RefOrder>
  </b:Source>
  <b:Source>
    <b:Tag>poi23</b:Tag>
    <b:SourceType>JournalArticle</b:SourceType>
    <b:Guid>{56011451-B811-49D8-9971-2E8868D933BA}</b:Guid>
    <b:Title>Police body-worn cameras and privacy: Views and concerns of officers and citizens</b:Title>
    <b:JournalName>International Journal of Police Science &amp; Management</b:JournalName>
    <b:Year>2023</b:Year>
    <b:Volume>26</b:Volume>
    <b:Issue>2</b:Issue>
    <b:Author>
      <b:Author>
        <b:NameList>
          <b:Person>
            <b:Last>poirier</b:Last>
            <b:First>brigitte</b:First>
          </b:Person>
          <b:Person>
            <b:Last>charbonneau</b:Last>
            <b:First>etienne</b:First>
          </b:Person>
          <b:Person>
            <b:Last>bolvin</b:Last>
            <b:First>remi</b:First>
          </b:Person>
        </b:NameList>
      </b:Author>
    </b:Author>
    <b:RefOrder>36</b:RefOrder>
  </b:Source>
  <b:Source>
    <b:Tag>Bor24</b:Tag>
    <b:SourceType>JournalArticle</b:SourceType>
    <b:Guid>{C4F21E8E-875F-4BAC-9EAC-9C2701CDB16E}</b:Guid>
    <b:Title>Questioning the link between organizational justice and external procedural justice in police–citizen interactions</b:Title>
    <b:JournalName>International Journal of Police Science &amp; Management</b:JournalName>
    <b:Year>2024</b:Year>
    <b:Volume>26</b:Volume>
    <b:Issue>2</b:Issue>
    <b:Author>
      <b:Author>
        <b:NameList>
          <b:Person>
            <b:Last>Borchadt</b:Last>
            <b:Middle>J</b:Middle>
            <b:First>David</b:First>
          </b:Person>
          <b:Person>
            <b:Last>Hect</b:Last>
            <b:Middle>A</b:Middle>
            <b:First>Steven</b:First>
          </b:Person>
          <b:Person>
            <b:Last>Marcelo</b:Last>
            <b:First>Castro</b:First>
          </b:Person>
        </b:NameList>
      </b:Author>
    </b:Author>
    <b:RefOrder>37</b:RefOrder>
  </b:Source>
  <b:Source>
    <b:Tag>Moh23</b:Tag>
    <b:SourceType>JournalArticle</b:SourceType>
    <b:Guid>{6661038C-B46F-4992-AA3C-01994CBA159C}</b:Guid>
    <b:Title>Promoting trust and police legitimacy in African Australian communities: A critical reflection on community engagement strategies and practical recommendations for police</b:Title>
    <b:JournalName>International Journal of Police Science &amp; Management</b:JournalName>
    <b:Year>2023</b:Year>
    <b:Volume>25</b:Volume>
    <b:Issue>1</b:Issue>
    <b:Author>
      <b:Author>
        <b:NameList>
          <b:Person>
            <b:Last>Mohammed</b:Last>
            <b:Middle>M.</b:Middle>
            <b:First>Ali</b:First>
          </b:Person>
          <b:Person>
            <b:Last>Shepard</b:Last>
            <b:First>Stephane</b:First>
          </b:Person>
          <b:Person>
            <b:Last>Berhan</b:Last>
            <b:Middle>M.</b:Middle>
            <b:First>Ahmend</b:First>
          </b:Person>
        </b:NameList>
      </b:Author>
    </b:Author>
    <b:RefOrder>38</b:RefOrder>
  </b:Source>
  <b:Source>
    <b:Tag>Ann22</b:Tag>
    <b:SourceType>JournalArticle</b:SourceType>
    <b:Guid>{F747AACB-ABAA-4B35-B2DC-7788FF9C23CF}</b:Guid>
    <b:Title>What makes young people get involved withstreet gangs in London? A study of theperceived risk factors</b:Title>
    <b:JournalName>Journal of Community Psychology</b:JournalName>
    <b:Year>2022</b:Year>
    <b:Author>
      <b:Author>
        <b:NameList>
          <b:Person>
            <b:Last>Annan</b:Last>
            <b:Middle>Gladstone</b:Middle>
            <b:First>Louis</b:First>
          </b:Person>
          <b:Person>
            <b:Last>Gaoua</b:Last>
            <b:First>Nadia</b:First>
          </b:Person>
          <b:Person>
            <b:Last>Mileva</b:Last>
            <b:First>Katya</b:First>
          </b:Person>
          <b:Person>
            <b:Last>Borges</b:Last>
            <b:First>Mario</b:First>
          </b:Person>
        </b:NameList>
      </b:Author>
    </b:Author>
    <b:RefOrder>39</b:RefOrder>
  </b:Source>
  <b:Source>
    <b:Tag>Spi19</b:Tag>
    <b:SourceType>JournalArticle</b:SourceType>
    <b:Guid>{BAEEF595-08DD-4E55-B248-0885A458C14F}</b:Guid>
    <b:Title>The variable and evolving nature of ‘cuckooing’ as a form of criminal exploitation in street level drug markets</b:Title>
    <b:JournalName>Trends in Organized Crime</b:JournalName>
    <b:Year>2019</b:Year>
    <b:Pages>301-323</b:Pages>
    <b:Volume>23</b:Volume>
    <b:Author>
      <b:Author>
        <b:NameList>
          <b:Person>
            <b:Last>Spicer</b:Last>
            <b:First>Jack</b:First>
          </b:Person>
          <b:Person>
            <b:Last>Moyle</b:Last>
            <b:First>Leah</b:First>
          </b:Person>
          <b:Person>
            <b:Last>Coomber</b:Last>
            <b:First>Ross</b:First>
          </b:Person>
        </b:NameList>
      </b:Author>
    </b:Author>
    <b:RefOrder>40</b:RefOrder>
  </b:Source>
  <b:Source>
    <b:Tag>Sha21</b:Tag>
    <b:SourceType>Book</b:SourceType>
    <b:Guid>{A1BCAA20-32C7-4740-833E-4AE7FA76579E}</b:Guid>
    <b:Title>The SAGE Handbook of Domestic Violence</b:Title>
    <b:Year>2021</b:Year>
    <b:Publisher>SAGE Publications ltd.</b:Publisher>
    <b:Author>
      <b:Author>
        <b:NameList>
          <b:Person>
            <b:Last>Shackelford</b:Last>
            <b:Middle>K.</b:Middle>
            <b:First>Todd</b:First>
          </b:Person>
        </b:NameList>
      </b:Author>
    </b:Author>
    <b:RefOrder>41</b:RefOrder>
  </b:Source>
  <b:Source>
    <b:Tag>UKP28</b:Tag>
    <b:SourceType>DocumentFromInternetSite</b:SourceType>
    <b:Guid>{2EC56712-8EEF-454E-910E-12B0405A9082}</b:Guid>
    <b:Title>Draft Domestic Abuse Bill</b:Title>
    <b:Year>28</b:Year>
    <b:Month>12</b:Month>
    <b:Day>2022</b:Day>
    <b:YearAccessed>2024</b:YearAccessed>
    <b:MonthAccessed>06</b:MonthAccessed>
    <b:DayAccessed>30</b:DayAccessed>
    <b:URL>https://committees.parliament.uk/writtenevidence/101817/pdf/</b:URL>
    <b:Author>
      <b:Author>
        <b:Corporate>UK Parliament Committees</b:Corporate>
      </b:Author>
    </b:Author>
    <b:RefOrder>42</b:RefOrder>
  </b:Source>
  <b:Source>
    <b:Tag>Ren21</b:Tag>
    <b:SourceType>JournalArticle</b:SourceType>
    <b:Guid>{48D05644-4EC2-4A39-A03E-32B0BF9C4767}</b:Guid>
    <b:Title>Facilitators of probation-based domestic violence perpetrator programmes: ‘Who’s in the room?’</b:Title>
    <b:Year>2021</b:Year>
    <b:JournalName>Probation Journal</b:JournalName>
    <b:Volume>68</b:Volume>
    <b:Issue>3</b:Issue>
    <b:Author>
      <b:Author>
        <b:NameList>
          <b:Person>
            <b:Last>Renehan</b:Last>
            <b:First>Nicole</b:First>
          </b:Person>
        </b:NameList>
      </b:Author>
    </b:Author>
    <b:RefOrder>43</b:RefOrder>
  </b:Source>
  <b:Source>
    <b:Tag>Bru14</b:Tag>
    <b:SourceType>JournalArticle</b:SourceType>
    <b:Guid>{5ED6D091-952A-4AB2-A77F-0A84BA497152}</b:Guid>
    <b:Title>Community DSPD pilot services in South London: Rates of reconviction and impact of supported housing on reducing recidivism</b:Title>
    <b:JournalName>Criminal behaviour and mental health</b:JournalName>
    <b:Year>2014</b:Year>
    <b:Pages>129-140</b:Pages>
    <b:Volume>24</b:Volume>
    <b:Issue>2</b:Issue>
    <b:Author>
      <b:Author>
        <b:NameList>
          <b:Person>
            <b:Last>Bruce</b:Last>
            <b:First>Matt</b:First>
          </b:Person>
          <b:Person>
            <b:Last>Crowley</b:Last>
            <b:First>Sarah</b:First>
          </b:Person>
          <b:Person>
            <b:Last>Jeffcote</b:Last>
            <b:First>Nikki</b:First>
          </b:Person>
          <b:Person>
            <b:Last>Coulston</b:Last>
            <b:First>Belinda</b:First>
          </b:Person>
        </b:NameList>
      </b:Author>
    </b:Author>
    <b:RefOrder>44</b:RefOrder>
  </b:Source>
</b:Sources>
</file>

<file path=customXml/itemProps1.xml><?xml version="1.0" encoding="utf-8"?>
<ds:datastoreItem xmlns:ds="http://schemas.openxmlformats.org/officeDocument/2006/customXml" ds:itemID="{D2FA073C-D97A-4A60-B525-5B8C6D117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20</Pages>
  <Words>5199</Words>
  <Characters>29635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Holmes</dc:creator>
  <cp:keywords/>
  <dc:description/>
  <cp:lastModifiedBy>Sean Holmes</cp:lastModifiedBy>
  <cp:revision>177</cp:revision>
  <dcterms:created xsi:type="dcterms:W3CDTF">2024-05-24T16:46:00Z</dcterms:created>
  <dcterms:modified xsi:type="dcterms:W3CDTF">2024-07-01T16:14:00Z</dcterms:modified>
</cp:coreProperties>
</file>