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C44A6" w14:textId="4CAD11E5" w:rsidR="006F7D48" w:rsidRDefault="006F7D48">
      <w:pPr>
        <w:pStyle w:val="Title"/>
        <w:spacing w:after="80"/>
        <w:jc w:val="center"/>
        <w:rPr>
          <w:rFonts w:ascii="Arial" w:eastAsia="Arial" w:hAnsi="Arial" w:cs="Arial"/>
          <w:b/>
          <w:bCs/>
          <w:color w:val="27231F"/>
          <w:sz w:val="32"/>
          <w:szCs w:val="32"/>
        </w:rPr>
      </w:pPr>
      <w:r>
        <w:rPr>
          <w:noProof/>
        </w:rPr>
        <w:drawing>
          <wp:anchor distT="0" distB="0" distL="114300" distR="114300" simplePos="0" relativeHeight="251659264" behindDoc="0" locked="0" layoutInCell="1" allowOverlap="1" wp14:anchorId="182D8C82" wp14:editId="641A6196">
            <wp:simplePos x="0" y="0"/>
            <wp:positionH relativeFrom="column">
              <wp:posOffset>-704335</wp:posOffset>
            </wp:positionH>
            <wp:positionV relativeFrom="paragraph">
              <wp:posOffset>-791193</wp:posOffset>
            </wp:positionV>
            <wp:extent cx="7497711" cy="10680192"/>
            <wp:effectExtent l="0" t="0" r="0" b="635"/>
            <wp:wrapNone/>
            <wp:docPr id="344839145" name="Picture 2">
              <a:extLst xmlns:a="http://schemas.openxmlformats.org/drawingml/2006/main">
                <a:ext uri="{FF2B5EF4-FFF2-40B4-BE49-F238E27FC236}">
                  <a16:creationId xmlns:a16="http://schemas.microsoft.com/office/drawing/2014/main" id="{44CC9DDB-1B51-4240-80A2-FD35175926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39145" name="Picture 344839145"/>
                    <pic:cNvPicPr/>
                  </pic:nvPicPr>
                  <pic:blipFill>
                    <a:blip r:embed="rId7">
                      <a:extLst>
                        <a:ext uri="{28A0092B-C50C-407E-A947-70E740481C1C}">
                          <a14:useLocalDpi xmlns:a14="http://schemas.microsoft.com/office/drawing/2010/main" val="0"/>
                        </a:ext>
                      </a:extLst>
                    </a:blip>
                    <a:stretch>
                      <a:fillRect/>
                    </a:stretch>
                  </pic:blipFill>
                  <pic:spPr>
                    <a:xfrm>
                      <a:off x="0" y="0"/>
                      <a:ext cx="7497711" cy="10680192"/>
                    </a:xfrm>
                    <a:prstGeom prst="rect">
                      <a:avLst/>
                    </a:prstGeom>
                  </pic:spPr>
                </pic:pic>
              </a:graphicData>
            </a:graphic>
            <wp14:sizeRelH relativeFrom="page">
              <wp14:pctWidth>0</wp14:pctWidth>
            </wp14:sizeRelH>
            <wp14:sizeRelV relativeFrom="page">
              <wp14:pctHeight>0</wp14:pctHeight>
            </wp14:sizeRelV>
          </wp:anchor>
        </w:drawing>
      </w:r>
    </w:p>
    <w:p w14:paraId="1949D2A8" w14:textId="39D21CF1" w:rsidR="006F7D48" w:rsidRDefault="006F7D48">
      <w:pPr>
        <w:rPr>
          <w:rFonts w:ascii="Arial" w:eastAsia="Arial" w:hAnsi="Arial" w:cs="Arial"/>
          <w:b/>
          <w:bCs/>
          <w:color w:val="27231F"/>
          <w:sz w:val="32"/>
          <w:szCs w:val="32"/>
        </w:rPr>
      </w:pPr>
      <w:r>
        <w:rPr>
          <w:rFonts w:ascii="Arial" w:eastAsia="Arial" w:hAnsi="Arial" w:cs="Arial"/>
          <w:b/>
          <w:bCs/>
          <w:color w:val="27231F"/>
          <w:sz w:val="32"/>
          <w:szCs w:val="32"/>
        </w:rPr>
        <w:br w:type="page"/>
      </w:r>
    </w:p>
    <w:p w14:paraId="2AFFB2CA" w14:textId="77777777" w:rsidR="006F7D48" w:rsidRDefault="006F7D48" w:rsidP="006F7D48">
      <w:pPr>
        <w:pStyle w:val="Title"/>
        <w:spacing w:after="80"/>
        <w:jc w:val="center"/>
        <w:rPr>
          <w:rFonts w:ascii="Arial" w:eastAsia="Arial" w:hAnsi="Arial" w:cs="Arial"/>
          <w:b/>
          <w:bCs/>
          <w:color w:val="27231F"/>
          <w:sz w:val="32"/>
          <w:szCs w:val="32"/>
        </w:rPr>
      </w:pPr>
    </w:p>
    <w:p w14:paraId="3A0D4E45" w14:textId="270EDE57" w:rsidR="006F7D48" w:rsidRPr="0020049C" w:rsidRDefault="006F7D48" w:rsidP="006F7D48">
      <w:pPr>
        <w:rPr>
          <w:rStyle w:val="agcmg"/>
          <w:b/>
          <w:bCs/>
          <w:sz w:val="32"/>
          <w:szCs w:val="32"/>
          <w:u w:val="single"/>
        </w:rPr>
      </w:pPr>
      <w:r w:rsidRPr="00E243A8">
        <w:rPr>
          <w:b/>
          <w:bCs/>
          <w:sz w:val="32"/>
          <w:szCs w:val="32"/>
          <w:u w:val="single"/>
        </w:rPr>
        <w:t>AI Acknowledgement</w:t>
      </w:r>
    </w:p>
    <w:p w14:paraId="2B8082A3" w14:textId="77777777" w:rsidR="006F7D48" w:rsidRPr="00B74525" w:rsidRDefault="006F7D48" w:rsidP="006F7D48">
      <w:pPr>
        <w:pStyle w:val="cvgsua"/>
        <w:spacing w:line="600" w:lineRule="auto"/>
        <w:jc w:val="both"/>
        <w:rPr>
          <w:rFonts w:asciiTheme="minorHAnsi" w:hAnsiTheme="minorHAnsi"/>
        </w:rPr>
      </w:pPr>
      <w:r w:rsidRPr="00B74525">
        <w:rPr>
          <w:rStyle w:val="agcmg"/>
          <w:rFonts w:asciiTheme="minorHAnsi" w:hAnsiTheme="minorHAnsi"/>
        </w:rPr>
        <w:t>I acknowledge the use of Grammarly (</w:t>
      </w:r>
      <w:hyperlink r:id="rId8" w:history="1">
        <w:r w:rsidRPr="005E6D93">
          <w:rPr>
            <w:rStyle w:val="Hyperlink"/>
            <w:rFonts w:asciiTheme="minorHAnsi" w:hAnsiTheme="minorHAnsi"/>
          </w:rPr>
          <w:t>https://app.grammarly.com</w:t>
        </w:r>
      </w:hyperlink>
      <w:r>
        <w:rPr>
          <w:rStyle w:val="agcmg"/>
          <w:rFonts w:asciiTheme="minorHAnsi" w:hAnsiTheme="minorHAnsi"/>
        </w:rPr>
        <w:t xml:space="preserve"> </w:t>
      </w:r>
      <w:r w:rsidRPr="00B74525">
        <w:rPr>
          <w:rStyle w:val="agcmg"/>
          <w:rFonts w:asciiTheme="minorHAnsi" w:hAnsiTheme="minorHAnsi"/>
        </w:rPr>
        <w:t xml:space="preserve">) on 27 September 2026 to check my grammar, spelling and punctuation. I used the prompt: </w:t>
      </w:r>
      <w:r>
        <w:rPr>
          <w:rStyle w:val="agcmg"/>
          <w:rFonts w:asciiTheme="minorHAnsi" w:hAnsiTheme="minorHAnsi"/>
        </w:rPr>
        <w:t xml:space="preserve"> </w:t>
      </w:r>
    </w:p>
    <w:p w14:paraId="7C206B52" w14:textId="77777777" w:rsidR="006F7D48" w:rsidRPr="00B74525" w:rsidRDefault="006F7D48" w:rsidP="006F7D48">
      <w:pPr>
        <w:pStyle w:val="cvgsua"/>
        <w:spacing w:line="600" w:lineRule="auto"/>
        <w:jc w:val="both"/>
        <w:rPr>
          <w:rFonts w:asciiTheme="minorHAnsi" w:hAnsiTheme="minorHAnsi"/>
        </w:rPr>
      </w:pPr>
      <w:r w:rsidRPr="00B74525">
        <w:rPr>
          <w:rStyle w:val="agcmg"/>
          <w:rFonts w:asciiTheme="minorHAnsi" w:hAnsiTheme="minorHAnsi"/>
        </w:rPr>
        <w:t>1. Check the readability of my work</w:t>
      </w:r>
    </w:p>
    <w:p w14:paraId="02C22D44" w14:textId="77777777" w:rsidR="006F7D48" w:rsidRPr="00B74525" w:rsidRDefault="006F7D48" w:rsidP="006F7D48">
      <w:pPr>
        <w:pStyle w:val="cvgsua"/>
        <w:spacing w:line="600" w:lineRule="auto"/>
        <w:jc w:val="both"/>
        <w:rPr>
          <w:rFonts w:asciiTheme="minorHAnsi" w:hAnsiTheme="minorHAnsi"/>
        </w:rPr>
      </w:pPr>
      <w:r w:rsidRPr="00B74525">
        <w:rPr>
          <w:rStyle w:val="agcmg"/>
          <w:rFonts w:asciiTheme="minorHAnsi" w:hAnsiTheme="minorHAnsi"/>
        </w:rPr>
        <w:t xml:space="preserve">I confirm that I have not presented any AI-generated text as my own work. </w:t>
      </w:r>
    </w:p>
    <w:p w14:paraId="6E4F4292" w14:textId="77777777" w:rsidR="006F7D48" w:rsidRPr="00B74525" w:rsidRDefault="006F7D48" w:rsidP="006F7D48">
      <w:pPr>
        <w:pStyle w:val="cvgsua"/>
        <w:spacing w:line="600" w:lineRule="auto"/>
        <w:jc w:val="both"/>
        <w:rPr>
          <w:rFonts w:asciiTheme="minorHAnsi" w:hAnsiTheme="minorHAnsi"/>
        </w:rPr>
      </w:pPr>
      <w:r w:rsidRPr="00B74525">
        <w:rPr>
          <w:rStyle w:val="agcmg"/>
          <w:rFonts w:asciiTheme="minorHAnsi" w:hAnsiTheme="minorHAnsi"/>
        </w:rPr>
        <w:t xml:space="preserve">I confirm that I have copies of my drafts, notes, and other resources I used before and after the use of AI tools, which I may be asked to provide in evidence. </w:t>
      </w:r>
    </w:p>
    <w:p w14:paraId="332553D1" w14:textId="71B9D612" w:rsidR="006F7D48" w:rsidRDefault="006F7D48">
      <w:pPr>
        <w:rPr>
          <w:rFonts w:ascii="Arial" w:eastAsia="Arial" w:hAnsi="Arial" w:cs="Arial"/>
          <w:b/>
          <w:bCs/>
          <w:color w:val="27231F"/>
          <w:sz w:val="32"/>
          <w:szCs w:val="32"/>
        </w:rPr>
      </w:pPr>
    </w:p>
    <w:p w14:paraId="10F4F5A9" w14:textId="77777777" w:rsidR="006F7D48" w:rsidRDefault="006F7D48">
      <w:pPr>
        <w:rPr>
          <w:rFonts w:ascii="Arial" w:eastAsia="Arial" w:hAnsi="Arial" w:cs="Arial"/>
          <w:b/>
          <w:bCs/>
          <w:color w:val="27231F"/>
          <w:sz w:val="32"/>
          <w:szCs w:val="32"/>
        </w:rPr>
      </w:pPr>
    </w:p>
    <w:p w14:paraId="10BBD754" w14:textId="77777777" w:rsidR="006F7D48" w:rsidRDefault="006F7D48">
      <w:pPr>
        <w:rPr>
          <w:rFonts w:ascii="Arial" w:eastAsia="Arial" w:hAnsi="Arial" w:cs="Arial"/>
          <w:b/>
          <w:bCs/>
          <w:color w:val="27231F"/>
          <w:sz w:val="32"/>
          <w:szCs w:val="32"/>
        </w:rPr>
      </w:pPr>
    </w:p>
    <w:p w14:paraId="6D5412AE" w14:textId="77777777" w:rsidR="006F7D48" w:rsidRDefault="006F7D48">
      <w:pPr>
        <w:rPr>
          <w:rFonts w:ascii="Arial" w:eastAsia="Arial" w:hAnsi="Arial" w:cs="Arial"/>
          <w:b/>
          <w:bCs/>
          <w:color w:val="27231F"/>
          <w:sz w:val="32"/>
          <w:szCs w:val="32"/>
        </w:rPr>
      </w:pPr>
    </w:p>
    <w:p w14:paraId="1BD2C88E" w14:textId="77777777" w:rsidR="006F7D48" w:rsidRDefault="006F7D48">
      <w:pPr>
        <w:rPr>
          <w:rFonts w:ascii="Arial" w:eastAsia="Arial" w:hAnsi="Arial" w:cs="Arial"/>
          <w:b/>
          <w:bCs/>
          <w:color w:val="27231F"/>
          <w:sz w:val="32"/>
          <w:szCs w:val="32"/>
        </w:rPr>
      </w:pPr>
    </w:p>
    <w:p w14:paraId="304C08ED" w14:textId="77777777" w:rsidR="006F7D48" w:rsidRDefault="006F7D48">
      <w:pPr>
        <w:rPr>
          <w:rFonts w:ascii="Arial" w:eastAsia="Arial" w:hAnsi="Arial" w:cs="Arial"/>
          <w:b/>
          <w:bCs/>
          <w:color w:val="27231F"/>
          <w:sz w:val="32"/>
          <w:szCs w:val="32"/>
        </w:rPr>
      </w:pPr>
    </w:p>
    <w:p w14:paraId="2B8A7205" w14:textId="77777777" w:rsidR="006F7D48" w:rsidRDefault="006F7D48">
      <w:pPr>
        <w:rPr>
          <w:rFonts w:ascii="Arial" w:eastAsia="Arial" w:hAnsi="Arial" w:cs="Arial"/>
          <w:b/>
          <w:bCs/>
          <w:color w:val="27231F"/>
          <w:sz w:val="32"/>
          <w:szCs w:val="32"/>
        </w:rPr>
      </w:pPr>
    </w:p>
    <w:p w14:paraId="652632AC" w14:textId="77777777" w:rsidR="006F7D48" w:rsidRDefault="006F7D48">
      <w:pPr>
        <w:rPr>
          <w:rFonts w:ascii="Arial" w:eastAsia="Arial" w:hAnsi="Arial" w:cs="Arial"/>
          <w:b/>
          <w:bCs/>
          <w:color w:val="27231F"/>
          <w:sz w:val="32"/>
          <w:szCs w:val="32"/>
        </w:rPr>
      </w:pPr>
    </w:p>
    <w:p w14:paraId="20136077" w14:textId="77777777" w:rsidR="006F7D48" w:rsidRDefault="006F7D48">
      <w:pPr>
        <w:rPr>
          <w:rFonts w:ascii="Arial" w:eastAsia="Arial" w:hAnsi="Arial" w:cs="Arial"/>
          <w:b/>
          <w:bCs/>
          <w:color w:val="27231F"/>
          <w:sz w:val="32"/>
          <w:szCs w:val="32"/>
        </w:rPr>
      </w:pPr>
    </w:p>
    <w:p w14:paraId="1BA52C7F" w14:textId="77777777" w:rsidR="006F7D48" w:rsidRDefault="006F7D48">
      <w:pPr>
        <w:rPr>
          <w:rFonts w:ascii="Arial" w:eastAsia="Arial" w:hAnsi="Arial" w:cs="Arial"/>
          <w:b/>
          <w:bCs/>
          <w:color w:val="27231F"/>
          <w:sz w:val="32"/>
          <w:szCs w:val="32"/>
        </w:rPr>
      </w:pPr>
    </w:p>
    <w:p w14:paraId="2703036A" w14:textId="77777777" w:rsidR="006F7D48" w:rsidRDefault="006F7D48">
      <w:pPr>
        <w:rPr>
          <w:rFonts w:ascii="Arial" w:eastAsia="Arial" w:hAnsi="Arial" w:cs="Arial"/>
          <w:b/>
          <w:bCs/>
          <w:color w:val="27231F"/>
          <w:sz w:val="32"/>
          <w:szCs w:val="32"/>
        </w:rPr>
      </w:pPr>
    </w:p>
    <w:p w14:paraId="4CE1F337" w14:textId="77777777" w:rsidR="006F7D48" w:rsidRDefault="006F7D48">
      <w:pPr>
        <w:rPr>
          <w:rFonts w:ascii="Arial" w:eastAsia="Arial" w:hAnsi="Arial" w:cs="Arial"/>
          <w:b/>
          <w:bCs/>
          <w:color w:val="27231F"/>
          <w:sz w:val="32"/>
          <w:szCs w:val="32"/>
        </w:rPr>
      </w:pPr>
    </w:p>
    <w:p w14:paraId="0E702B91" w14:textId="77777777" w:rsidR="006F7D48" w:rsidRDefault="006F7D48">
      <w:pPr>
        <w:rPr>
          <w:rFonts w:ascii="Arial" w:eastAsia="Arial" w:hAnsi="Arial" w:cs="Arial"/>
          <w:b/>
          <w:bCs/>
          <w:color w:val="27231F"/>
          <w:sz w:val="32"/>
          <w:szCs w:val="32"/>
        </w:rPr>
      </w:pPr>
    </w:p>
    <w:p w14:paraId="4FA7CC98" w14:textId="77777777" w:rsidR="006F7D48" w:rsidRDefault="006F7D48">
      <w:pPr>
        <w:rPr>
          <w:rFonts w:ascii="Arial" w:eastAsia="Arial" w:hAnsi="Arial" w:cs="Arial"/>
          <w:b/>
          <w:bCs/>
          <w:color w:val="27231F"/>
          <w:sz w:val="32"/>
          <w:szCs w:val="32"/>
        </w:rPr>
      </w:pPr>
    </w:p>
    <w:p w14:paraId="6432E69F" w14:textId="77777777" w:rsidR="006F7D48" w:rsidRDefault="006F7D48">
      <w:pPr>
        <w:rPr>
          <w:rFonts w:ascii="Arial" w:eastAsia="Arial" w:hAnsi="Arial" w:cs="Arial"/>
          <w:b/>
          <w:bCs/>
          <w:color w:val="27231F"/>
          <w:sz w:val="32"/>
          <w:szCs w:val="32"/>
        </w:rPr>
      </w:pPr>
    </w:p>
    <w:p w14:paraId="470B2506" w14:textId="77777777" w:rsidR="006F7D48" w:rsidRDefault="006F7D48">
      <w:pPr>
        <w:rPr>
          <w:rFonts w:ascii="Arial" w:eastAsia="Arial" w:hAnsi="Arial" w:cs="Arial"/>
          <w:b/>
          <w:bCs/>
          <w:color w:val="27231F"/>
          <w:sz w:val="32"/>
          <w:szCs w:val="32"/>
        </w:rPr>
      </w:pPr>
    </w:p>
    <w:p w14:paraId="193E003B" w14:textId="77777777" w:rsidR="006F7D48" w:rsidRDefault="006F7D48">
      <w:pPr>
        <w:rPr>
          <w:rFonts w:ascii="Arial" w:eastAsia="Arial" w:hAnsi="Arial" w:cs="Arial"/>
          <w:b/>
          <w:bCs/>
          <w:color w:val="27231F"/>
          <w:sz w:val="32"/>
          <w:szCs w:val="32"/>
        </w:rPr>
      </w:pPr>
    </w:p>
    <w:p w14:paraId="3B526825" w14:textId="77777777" w:rsidR="006F7D48" w:rsidRDefault="006F7D48">
      <w:pPr>
        <w:rPr>
          <w:rFonts w:ascii="Arial" w:eastAsia="Arial" w:hAnsi="Arial" w:cs="Arial"/>
          <w:b/>
          <w:bCs/>
          <w:color w:val="27231F"/>
          <w:sz w:val="32"/>
          <w:szCs w:val="32"/>
        </w:rPr>
      </w:pPr>
    </w:p>
    <w:p w14:paraId="2F202ABE" w14:textId="77777777" w:rsidR="006F7D48" w:rsidRDefault="006F7D48">
      <w:pPr>
        <w:rPr>
          <w:rFonts w:ascii="Arial" w:eastAsia="Arial" w:hAnsi="Arial" w:cs="Arial"/>
          <w:b/>
          <w:bCs/>
          <w:color w:val="27231F"/>
          <w:sz w:val="32"/>
          <w:szCs w:val="32"/>
        </w:rPr>
      </w:pPr>
    </w:p>
    <w:p w14:paraId="2E60CDD3" w14:textId="77777777" w:rsidR="006F7D48" w:rsidRDefault="006F7D48">
      <w:pPr>
        <w:rPr>
          <w:rFonts w:ascii="Arial" w:eastAsia="Arial" w:hAnsi="Arial" w:cs="Arial"/>
          <w:b/>
          <w:bCs/>
          <w:color w:val="27231F"/>
          <w:sz w:val="32"/>
          <w:szCs w:val="32"/>
        </w:rPr>
      </w:pPr>
    </w:p>
    <w:p w14:paraId="626A7DA8" w14:textId="2E7AAC00" w:rsidR="009825C2" w:rsidRPr="006F7D48" w:rsidRDefault="00B67B73" w:rsidP="006F7D48">
      <w:pPr>
        <w:pStyle w:val="Title"/>
        <w:spacing w:after="80"/>
        <w:jc w:val="center"/>
        <w:rPr>
          <w:rFonts w:ascii="Arial" w:eastAsia="Arial" w:hAnsi="Arial" w:cs="Arial"/>
          <w:b/>
          <w:bCs/>
          <w:color w:val="27231F"/>
          <w:sz w:val="32"/>
          <w:szCs w:val="32"/>
        </w:rPr>
      </w:pPr>
      <w:r>
        <w:rPr>
          <w:rFonts w:ascii="Arial" w:eastAsia="Arial" w:hAnsi="Arial" w:cs="Arial"/>
          <w:b/>
          <w:bCs/>
          <w:color w:val="27231F"/>
          <w:sz w:val="32"/>
          <w:szCs w:val="32"/>
        </w:rPr>
        <w:lastRenderedPageBreak/>
        <w:t>ECAD6050 Part B</w:t>
      </w:r>
    </w:p>
    <w:p w14:paraId="2A638CB8" w14:textId="77777777" w:rsidR="009825C2" w:rsidRDefault="00B67B73">
      <w:pPr>
        <w:spacing w:after="320"/>
        <w:jc w:val="center"/>
      </w:pPr>
      <w:r>
        <w:rPr>
          <w:rFonts w:ascii="Arial" w:eastAsia="Arial" w:hAnsi="Arial" w:cs="Arial"/>
          <w:color w:val="6E6759"/>
          <w:sz w:val="24"/>
          <w:szCs w:val="24"/>
        </w:rPr>
        <w:t>O</w:t>
      </w:r>
      <w:r>
        <w:rPr>
          <w:rFonts w:ascii="Arial" w:eastAsia="Arial" w:hAnsi="Arial" w:cs="Arial"/>
          <w:color w:val="6E6759"/>
          <w:sz w:val="24"/>
          <w:szCs w:val="24"/>
        </w:rPr>
        <w:t>bservation and analysis of a critical incident: strategies to support engagement</w:t>
      </w:r>
    </w:p>
    <w:p w14:paraId="4064B7A7" w14:textId="3056BCBD" w:rsidR="00355E50" w:rsidRDefault="00355E50">
      <w:pPr>
        <w:pStyle w:val="Heading1"/>
        <w:spacing w:before="320" w:after="140"/>
        <w:rPr>
          <w:rFonts w:ascii="Arial" w:eastAsia="Arial" w:hAnsi="Arial" w:cs="Arial"/>
          <w:b/>
          <w:bCs/>
          <w:color w:val="27231F"/>
          <w:sz w:val="28"/>
          <w:szCs w:val="28"/>
        </w:rPr>
      </w:pPr>
      <w:r>
        <w:rPr>
          <w:rFonts w:ascii="Arial" w:eastAsia="Arial" w:hAnsi="Arial" w:cs="Arial"/>
          <w:b/>
          <w:bCs/>
          <w:color w:val="27231F"/>
          <w:sz w:val="28"/>
          <w:szCs w:val="28"/>
        </w:rPr>
        <w:t>Word counts : 1432</w:t>
      </w:r>
    </w:p>
    <w:p w14:paraId="0BF7E8E4" w14:textId="77777777" w:rsidR="00355E50" w:rsidRDefault="00355E50">
      <w:pPr>
        <w:pStyle w:val="Heading1"/>
        <w:spacing w:before="320" w:after="140"/>
        <w:rPr>
          <w:rFonts w:ascii="Arial" w:eastAsia="Arial" w:hAnsi="Arial" w:cs="Arial"/>
          <w:b/>
          <w:bCs/>
          <w:color w:val="27231F"/>
          <w:sz w:val="28"/>
          <w:szCs w:val="28"/>
        </w:rPr>
      </w:pPr>
    </w:p>
    <w:p w14:paraId="752582D0" w14:textId="77777777" w:rsidR="00355E50" w:rsidRDefault="00355E50">
      <w:pPr>
        <w:pStyle w:val="Heading1"/>
        <w:spacing w:before="320" w:after="140"/>
        <w:rPr>
          <w:rFonts w:ascii="Arial" w:eastAsia="Arial" w:hAnsi="Arial" w:cs="Arial"/>
          <w:b/>
          <w:bCs/>
          <w:color w:val="27231F"/>
          <w:sz w:val="28"/>
          <w:szCs w:val="28"/>
        </w:rPr>
      </w:pPr>
    </w:p>
    <w:p w14:paraId="481A3DE5" w14:textId="40AE2DF2" w:rsidR="009825C2" w:rsidRDefault="00B67B73">
      <w:pPr>
        <w:pStyle w:val="Heading1"/>
        <w:spacing w:before="320" w:after="140"/>
      </w:pPr>
      <w:r>
        <w:rPr>
          <w:rFonts w:ascii="Arial" w:eastAsia="Arial" w:hAnsi="Arial" w:cs="Arial"/>
          <w:b/>
          <w:bCs/>
          <w:color w:val="27231F"/>
          <w:sz w:val="28"/>
          <w:szCs w:val="28"/>
        </w:rPr>
        <w:t>Introduction</w:t>
      </w:r>
    </w:p>
    <w:p w14:paraId="31C545DF" w14:textId="77777777" w:rsidR="009825C2" w:rsidRDefault="00B67B73">
      <w:pPr>
        <w:spacing w:after="200" w:line="360" w:lineRule="auto"/>
        <w:jc w:val="both"/>
      </w:pPr>
      <w:r>
        <w:rPr>
          <w:rFonts w:ascii="Arial" w:eastAsia="Arial" w:hAnsi="Arial" w:cs="Arial"/>
          <w:color w:val="27231F"/>
          <w:sz w:val="24"/>
          <w:szCs w:val="24"/>
        </w:rPr>
        <w:t>This assignment reflects on a critical incident involving a Year 7 pupil in a maths lesson. The lesson took place before lunch in a mixed-ability comprehensive school. The pupil became distracted by a calculator and stopped engaging with the task.</w:t>
      </w:r>
    </w:p>
    <w:p w14:paraId="78164105" w14:textId="77777777" w:rsidR="009825C2" w:rsidRDefault="00B67B73">
      <w:pPr>
        <w:spacing w:after="200" w:line="360" w:lineRule="auto"/>
        <w:jc w:val="both"/>
      </w:pPr>
      <w:r>
        <w:rPr>
          <w:rFonts w:ascii="Arial" w:eastAsia="Arial" w:hAnsi="Arial" w:cs="Arial"/>
          <w:color w:val="27231F"/>
          <w:sz w:val="24"/>
          <w:szCs w:val="24"/>
        </w:rPr>
        <w:t>Tripp's (2012) reflective methodology is used to understand what happened and to consider how the teacher could support the pupil. This involves observing the situation, analysing possible reasons for the behaviour, planning strategies and evaluating their effectiveness. This process can help teachers understand pupils' needs and improve their teaching practice.</w:t>
      </w:r>
    </w:p>
    <w:p w14:paraId="08C941D3" w14:textId="77777777" w:rsidR="009825C2" w:rsidRDefault="00B67B73">
      <w:pPr>
        <w:spacing w:after="200" w:line="360" w:lineRule="auto"/>
        <w:jc w:val="both"/>
      </w:pPr>
      <w:r>
        <w:rPr>
          <w:rFonts w:ascii="Arial" w:eastAsia="Arial" w:hAnsi="Arial" w:cs="Arial"/>
          <w:color w:val="27231F"/>
          <w:sz w:val="24"/>
          <w:szCs w:val="24"/>
        </w:rPr>
        <w:t xml:space="preserve">The reflection focuses on two strategies: breaking tasks into smaller steps and giving clear </w:t>
      </w:r>
      <w:proofErr w:type="gramStart"/>
      <w:r>
        <w:rPr>
          <w:rFonts w:ascii="Arial" w:eastAsia="Arial" w:hAnsi="Arial" w:cs="Arial"/>
          <w:color w:val="27231F"/>
          <w:sz w:val="24"/>
          <w:szCs w:val="24"/>
        </w:rPr>
        <w:t>instructions, and</w:t>
      </w:r>
      <w:proofErr w:type="gramEnd"/>
      <w:r>
        <w:rPr>
          <w:rFonts w:ascii="Arial" w:eastAsia="Arial" w:hAnsi="Arial" w:cs="Arial"/>
          <w:color w:val="27231F"/>
          <w:sz w:val="24"/>
          <w:szCs w:val="24"/>
        </w:rPr>
        <w:t xml:space="preserve"> using regular teacher check-ins and positive reinforcement. The research behind each strategy is considered, alongside its benefits and limitations, and how the teacher could evaluate whether it works.</w:t>
      </w:r>
    </w:p>
    <w:p w14:paraId="2BEEE96F" w14:textId="77777777" w:rsidR="009825C2" w:rsidRDefault="00B67B73">
      <w:pPr>
        <w:pStyle w:val="Heading1"/>
        <w:spacing w:before="320" w:after="140"/>
      </w:pPr>
      <w:r>
        <w:rPr>
          <w:rFonts w:ascii="Arial" w:eastAsia="Arial" w:hAnsi="Arial" w:cs="Arial"/>
          <w:b/>
          <w:bCs/>
          <w:color w:val="27231F"/>
          <w:sz w:val="28"/>
          <w:szCs w:val="28"/>
        </w:rPr>
        <w:t>Strategy 1: Chunking Tasks and Providing Clear Instructions</w:t>
      </w:r>
    </w:p>
    <w:p w14:paraId="077E207E" w14:textId="77777777" w:rsidR="009825C2" w:rsidRDefault="00B67B73">
      <w:pPr>
        <w:spacing w:after="200" w:line="360" w:lineRule="auto"/>
        <w:jc w:val="both"/>
      </w:pPr>
      <w:r>
        <w:rPr>
          <w:rFonts w:ascii="Arial" w:eastAsia="Arial" w:hAnsi="Arial" w:cs="Arial"/>
          <w:color w:val="27231F"/>
          <w:sz w:val="24"/>
          <w:szCs w:val="24"/>
        </w:rPr>
        <w:t>The first strategy is to break tasks into smaller, manageable steps. This is known as chunking. It can help pupils understand what they need to do without feeling overwhelmed. Clear instructions can also help pupils feel more confident because they know what is expected of them.</w:t>
      </w:r>
    </w:p>
    <w:p w14:paraId="0CB13B19" w14:textId="77777777" w:rsidR="009825C2" w:rsidRDefault="00B67B73">
      <w:pPr>
        <w:spacing w:after="200" w:line="360" w:lineRule="auto"/>
        <w:jc w:val="both"/>
      </w:pPr>
      <w:r>
        <w:rPr>
          <w:rFonts w:ascii="Arial" w:eastAsia="Arial" w:hAnsi="Arial" w:cs="Arial"/>
          <w:color w:val="27231F"/>
          <w:sz w:val="24"/>
          <w:szCs w:val="24"/>
        </w:rPr>
        <w:t>In the Year 7 maths lesson, the teacher could write the steps of a maths problem on the board or provide a written guide. Instead of giving several instructions at once, the teacher could explain one step at a time. They could demonstrate an example and check the pupil's understanding before moving on. Asking questions and giving the pupil time to respond could help identify areas where further support is needed.</w:t>
      </w:r>
    </w:p>
    <w:p w14:paraId="0634DFD7" w14:textId="1827CA8F" w:rsidR="009825C2" w:rsidRPr="00882CDE" w:rsidRDefault="00B67B73">
      <w:pPr>
        <w:spacing w:after="200" w:line="360" w:lineRule="auto"/>
        <w:jc w:val="both"/>
        <w:rPr>
          <w:rFonts w:ascii="Arial" w:eastAsia="Arial" w:hAnsi="Arial" w:cs="Arial"/>
          <w:color w:val="27231F"/>
          <w:sz w:val="24"/>
          <w:szCs w:val="24"/>
        </w:rPr>
      </w:pPr>
      <w:r>
        <w:rPr>
          <w:rFonts w:ascii="Arial" w:eastAsia="Arial" w:hAnsi="Arial" w:cs="Arial"/>
          <w:color w:val="27231F"/>
          <w:sz w:val="24"/>
          <w:szCs w:val="24"/>
        </w:rPr>
        <w:lastRenderedPageBreak/>
        <w:t xml:space="preserve">This strategy links to </w:t>
      </w:r>
      <w:proofErr w:type="spellStart"/>
      <w:r>
        <w:rPr>
          <w:rFonts w:ascii="Arial" w:eastAsia="Arial" w:hAnsi="Arial" w:cs="Arial"/>
          <w:color w:val="27231F"/>
          <w:sz w:val="24"/>
          <w:szCs w:val="24"/>
        </w:rPr>
        <w:t>Sweller's</w:t>
      </w:r>
      <w:proofErr w:type="spellEnd"/>
      <w:r>
        <w:rPr>
          <w:rFonts w:ascii="Arial" w:eastAsia="Arial" w:hAnsi="Arial" w:cs="Arial"/>
          <w:color w:val="27231F"/>
          <w:sz w:val="24"/>
          <w:szCs w:val="24"/>
        </w:rPr>
        <w:t xml:space="preserve"> (1988) Cognitive Load Theory. This theory explains that working memory has limits, meaning pupils may struggle when they have too much information to process at once</w:t>
      </w:r>
      <w:r w:rsidR="00882CDE">
        <w:rPr>
          <w:rFonts w:ascii="Arial" w:eastAsia="Arial" w:hAnsi="Arial" w:cs="Arial"/>
          <w:color w:val="27231F"/>
          <w:sz w:val="24"/>
          <w:szCs w:val="24"/>
        </w:rPr>
        <w:t>.</w:t>
      </w:r>
      <w:r w:rsidR="00882CDE" w:rsidRPr="00882CDE">
        <w:t xml:space="preserve"> </w:t>
      </w:r>
      <w:r w:rsidR="00882CDE" w:rsidRPr="00882CDE">
        <w:rPr>
          <w:rFonts w:ascii="Arial" w:eastAsia="Arial" w:hAnsi="Arial" w:cs="Arial"/>
          <w:color w:val="27231F"/>
          <w:sz w:val="24"/>
          <w:szCs w:val="24"/>
        </w:rPr>
        <w:t>The pupil may have struggled with the task</w:t>
      </w:r>
      <w:r w:rsidR="00882CDE">
        <w:rPr>
          <w:rFonts w:ascii="Arial" w:eastAsia="Arial" w:hAnsi="Arial" w:cs="Arial"/>
          <w:color w:val="27231F"/>
          <w:sz w:val="24"/>
          <w:szCs w:val="24"/>
        </w:rPr>
        <w:t xml:space="preserve"> at hand,</w:t>
      </w:r>
      <w:r w:rsidR="00882CDE" w:rsidRPr="00882CDE">
        <w:rPr>
          <w:rFonts w:ascii="Arial" w:eastAsia="Arial" w:hAnsi="Arial" w:cs="Arial"/>
          <w:color w:val="27231F"/>
          <w:sz w:val="24"/>
          <w:szCs w:val="24"/>
        </w:rPr>
        <w:t xml:space="preserve"> so breaking it into smaller steps could help them </w:t>
      </w:r>
      <w:r w:rsidR="00882CDE">
        <w:rPr>
          <w:rFonts w:ascii="Arial" w:eastAsia="Arial" w:hAnsi="Arial" w:cs="Arial"/>
          <w:color w:val="27231F"/>
          <w:sz w:val="24"/>
          <w:szCs w:val="24"/>
        </w:rPr>
        <w:t>comprehend</w:t>
      </w:r>
      <w:r w:rsidR="00882CDE" w:rsidRPr="00882CDE">
        <w:rPr>
          <w:rFonts w:ascii="Arial" w:eastAsia="Arial" w:hAnsi="Arial" w:cs="Arial"/>
          <w:color w:val="27231F"/>
          <w:sz w:val="24"/>
          <w:szCs w:val="24"/>
        </w:rPr>
        <w:t xml:space="preserve"> and stay focused.</w:t>
      </w:r>
    </w:p>
    <w:p w14:paraId="357BDF99" w14:textId="77777777" w:rsidR="009825C2" w:rsidRDefault="00B67B73">
      <w:pPr>
        <w:spacing w:after="200" w:line="360" w:lineRule="auto"/>
        <w:jc w:val="both"/>
      </w:pPr>
      <w:r>
        <w:rPr>
          <w:rFonts w:ascii="Arial" w:eastAsia="Arial" w:hAnsi="Arial" w:cs="Arial"/>
          <w:color w:val="27231F"/>
          <w:sz w:val="24"/>
          <w:szCs w:val="24"/>
        </w:rPr>
        <w:t>However, playing with the calculator does not prove that the pupil was struggling. The pupil may have been bored, distracted or experiencing another difficulty. Further observation would be needed to understand the reason for the behaviour. This is important because teachers should not make assumptions about a pupil without considering other possible explanations.</w:t>
      </w:r>
    </w:p>
    <w:p w14:paraId="6C3DB5AA" w14:textId="77777777" w:rsidR="009825C2" w:rsidRDefault="00B67B73">
      <w:pPr>
        <w:spacing w:after="200" w:line="360" w:lineRule="auto"/>
        <w:jc w:val="both"/>
      </w:pPr>
      <w:proofErr w:type="spellStart"/>
      <w:r>
        <w:rPr>
          <w:rFonts w:ascii="Arial" w:eastAsia="Arial" w:hAnsi="Arial" w:cs="Arial"/>
          <w:color w:val="27231F"/>
          <w:sz w:val="24"/>
          <w:szCs w:val="24"/>
        </w:rPr>
        <w:t>Rosenshine</w:t>
      </w:r>
      <w:proofErr w:type="spellEnd"/>
      <w:r>
        <w:rPr>
          <w:rFonts w:ascii="Arial" w:eastAsia="Arial" w:hAnsi="Arial" w:cs="Arial"/>
          <w:color w:val="27231F"/>
          <w:sz w:val="24"/>
          <w:szCs w:val="24"/>
        </w:rPr>
        <w:t xml:space="preserve"> (2012) also supports this strategy. Teachers are advised to present new information in small steps, demonstrate examples and check pupils' understanding. In this situation, the teacher could model how to solve the first part of a maths problem before asking the pupil to try the next part independently. This would give the pupil an example to follow and allow the teacher to identify misunderstandings before they become a bigger problem.</w:t>
      </w:r>
    </w:p>
    <w:p w14:paraId="166F26BB" w14:textId="77777777" w:rsidR="009825C2" w:rsidRDefault="00B67B73">
      <w:pPr>
        <w:spacing w:after="200" w:line="360" w:lineRule="auto"/>
        <w:jc w:val="both"/>
      </w:pPr>
      <w:r>
        <w:rPr>
          <w:rFonts w:ascii="Arial" w:eastAsia="Arial" w:hAnsi="Arial" w:cs="Arial"/>
          <w:color w:val="27231F"/>
          <w:sz w:val="24"/>
          <w:szCs w:val="24"/>
        </w:rPr>
        <w:t xml:space="preserve">Henderson et al. (2017) highlight the importance of understanding pupils' existing mathematical knowledge when planning teaching. The teacher should therefore check what the pupil already understands rather than </w:t>
      </w:r>
      <w:proofErr w:type="gramStart"/>
      <w:r>
        <w:rPr>
          <w:rFonts w:ascii="Arial" w:eastAsia="Arial" w:hAnsi="Arial" w:cs="Arial"/>
          <w:color w:val="27231F"/>
          <w:sz w:val="24"/>
          <w:szCs w:val="24"/>
        </w:rPr>
        <w:t>assuming that</w:t>
      </w:r>
      <w:proofErr w:type="gramEnd"/>
      <w:r>
        <w:rPr>
          <w:rFonts w:ascii="Arial" w:eastAsia="Arial" w:hAnsi="Arial" w:cs="Arial"/>
          <w:color w:val="27231F"/>
          <w:sz w:val="24"/>
          <w:szCs w:val="24"/>
        </w:rPr>
        <w:t xml:space="preserve"> clearer instructions will solve the problem. For example, the pupil may understand the instructions but struggle with the maths itself. Identifying this would help the teacher provide more appropriate support.</w:t>
      </w:r>
    </w:p>
    <w:p w14:paraId="412DA408" w14:textId="77777777" w:rsidR="009825C2" w:rsidRDefault="00B67B73">
      <w:pPr>
        <w:spacing w:after="200" w:line="360" w:lineRule="auto"/>
        <w:jc w:val="both"/>
      </w:pPr>
      <w:r>
        <w:rPr>
          <w:rFonts w:ascii="Arial" w:eastAsia="Arial" w:hAnsi="Arial" w:cs="Arial"/>
          <w:color w:val="27231F"/>
          <w:sz w:val="24"/>
          <w:szCs w:val="24"/>
        </w:rPr>
        <w:t>One limitation of chunking is that a pupil might copy other pupils' work without fully understanding it. The teacher would need to ask questions and check the pupil's progress rather than relying only on completed answers. This can be difficult when managing an entire class with diverse learning needs and limited lesson time. Another limitation is that chunking may not help if the pupil is disengaged for reasons unrelated to the task.</w:t>
      </w:r>
    </w:p>
    <w:p w14:paraId="0EFAA76B" w14:textId="77777777" w:rsidR="009825C2" w:rsidRDefault="00B67B73">
      <w:pPr>
        <w:spacing w:after="200" w:line="360" w:lineRule="auto"/>
        <w:jc w:val="both"/>
      </w:pPr>
      <w:r>
        <w:rPr>
          <w:rFonts w:ascii="Arial" w:eastAsia="Arial" w:hAnsi="Arial" w:cs="Arial"/>
          <w:color w:val="27231F"/>
          <w:sz w:val="24"/>
          <w:szCs w:val="24"/>
        </w:rPr>
        <w:t>To evaluate this strategy, the teacher could observe whether the pupil starts the task, follows the steps and completes more work independently. They could also ask the pupil to explain what they are doing to check their understanding. If the pupil continues playing with the calculator, the teacher should review the strategy and consider other possible reasons for the behaviour. This follows Tripp's (2012) reflective methodology, in which the teacher evaluates what happened and adapts their practice as need</w:t>
      </w:r>
      <w:r>
        <w:rPr>
          <w:rFonts w:ascii="Arial" w:eastAsia="Arial" w:hAnsi="Arial" w:cs="Arial"/>
          <w:color w:val="27231F"/>
          <w:sz w:val="24"/>
          <w:szCs w:val="24"/>
        </w:rPr>
        <w:t>ed.</w:t>
      </w:r>
    </w:p>
    <w:p w14:paraId="40F5658C" w14:textId="77777777" w:rsidR="009825C2" w:rsidRDefault="00B67B73">
      <w:pPr>
        <w:pStyle w:val="Heading1"/>
        <w:spacing w:before="320" w:after="140"/>
      </w:pPr>
      <w:r>
        <w:rPr>
          <w:rFonts w:ascii="Arial" w:eastAsia="Arial" w:hAnsi="Arial" w:cs="Arial"/>
          <w:b/>
          <w:bCs/>
          <w:color w:val="27231F"/>
          <w:sz w:val="28"/>
          <w:szCs w:val="28"/>
        </w:rPr>
        <w:lastRenderedPageBreak/>
        <w:t>Strategy 2: Regular Teacher Check-ins and Positive Reinforcement</w:t>
      </w:r>
    </w:p>
    <w:p w14:paraId="2145961C" w14:textId="77777777" w:rsidR="009825C2" w:rsidRDefault="00B67B73">
      <w:pPr>
        <w:spacing w:after="200" w:line="360" w:lineRule="auto"/>
        <w:jc w:val="both"/>
      </w:pPr>
      <w:r>
        <w:rPr>
          <w:rFonts w:ascii="Arial" w:eastAsia="Arial" w:hAnsi="Arial" w:cs="Arial"/>
          <w:color w:val="27231F"/>
          <w:sz w:val="24"/>
          <w:szCs w:val="24"/>
        </w:rPr>
        <w:t>The second strategy is to check the pupil's progress regularly and praise their effort. This can help the teacher identify difficulties early and encourage the pupil to stay involved in learning. It also gives the pupil opportunities to ask for help before becoming frustrated or losing interest.</w:t>
      </w:r>
    </w:p>
    <w:p w14:paraId="059C7961" w14:textId="77777777" w:rsidR="009825C2" w:rsidRDefault="00B67B73">
      <w:pPr>
        <w:spacing w:after="200" w:line="360" w:lineRule="auto"/>
        <w:jc w:val="both"/>
      </w:pPr>
      <w:r>
        <w:rPr>
          <w:rFonts w:ascii="Arial" w:eastAsia="Arial" w:hAnsi="Arial" w:cs="Arial"/>
          <w:color w:val="27231F"/>
          <w:sz w:val="24"/>
          <w:szCs w:val="24"/>
        </w:rPr>
        <w:t xml:space="preserve">In the maths lesson, the teacher could use mini-whiteboards, ABCD cards, or short questions to check the whole class's understanding. The teacher could also use the “I do, </w:t>
      </w:r>
      <w:proofErr w:type="gramStart"/>
      <w:r>
        <w:rPr>
          <w:rFonts w:ascii="Arial" w:eastAsia="Arial" w:hAnsi="Arial" w:cs="Arial"/>
          <w:color w:val="27231F"/>
          <w:sz w:val="24"/>
          <w:szCs w:val="24"/>
        </w:rPr>
        <w:t>We</w:t>
      </w:r>
      <w:proofErr w:type="gramEnd"/>
      <w:r>
        <w:rPr>
          <w:rFonts w:ascii="Arial" w:eastAsia="Arial" w:hAnsi="Arial" w:cs="Arial"/>
          <w:color w:val="27231F"/>
          <w:sz w:val="24"/>
          <w:szCs w:val="24"/>
        </w:rPr>
        <w:t xml:space="preserve"> do, </w:t>
      </w:r>
      <w:proofErr w:type="gramStart"/>
      <w:r>
        <w:rPr>
          <w:rFonts w:ascii="Arial" w:eastAsia="Arial" w:hAnsi="Arial" w:cs="Arial"/>
          <w:color w:val="27231F"/>
          <w:sz w:val="24"/>
          <w:szCs w:val="24"/>
        </w:rPr>
        <w:t>You</w:t>
      </w:r>
      <w:proofErr w:type="gramEnd"/>
      <w:r>
        <w:rPr>
          <w:rFonts w:ascii="Arial" w:eastAsia="Arial" w:hAnsi="Arial" w:cs="Arial"/>
          <w:color w:val="27231F"/>
          <w:sz w:val="24"/>
          <w:szCs w:val="24"/>
        </w:rPr>
        <w:t xml:space="preserve"> do” approach. This means the teacher demonstrates the task, completes an example with the pupils and then allows them to work independently. These activities give the pupil opportunities to participate and help the teacher identify misunderstandings.</w:t>
      </w:r>
    </w:p>
    <w:p w14:paraId="5EE94378" w14:textId="77777777" w:rsidR="009825C2" w:rsidRDefault="00B67B73">
      <w:pPr>
        <w:spacing w:after="200" w:line="360" w:lineRule="auto"/>
        <w:jc w:val="both"/>
      </w:pPr>
      <w:r>
        <w:rPr>
          <w:rFonts w:ascii="Arial" w:eastAsia="Arial" w:hAnsi="Arial" w:cs="Arial"/>
          <w:color w:val="27231F"/>
          <w:sz w:val="24"/>
          <w:szCs w:val="24"/>
        </w:rPr>
        <w:t xml:space="preserve">This strategy links to Skinner's (1953) theory of operant conditioning. This suggests that behaviour can be influenced by its consequences. For example, praising the pupil for </w:t>
      </w:r>
      <w:proofErr w:type="gramStart"/>
      <w:r>
        <w:rPr>
          <w:rFonts w:ascii="Arial" w:eastAsia="Arial" w:hAnsi="Arial" w:cs="Arial"/>
          <w:color w:val="27231F"/>
          <w:sz w:val="24"/>
          <w:szCs w:val="24"/>
        </w:rPr>
        <w:t>making an effort</w:t>
      </w:r>
      <w:proofErr w:type="gramEnd"/>
      <w:r>
        <w:rPr>
          <w:rFonts w:ascii="Arial" w:eastAsia="Arial" w:hAnsi="Arial" w:cs="Arial"/>
          <w:color w:val="27231F"/>
          <w:sz w:val="24"/>
          <w:szCs w:val="24"/>
        </w:rPr>
        <w:t xml:space="preserve"> or completing a step independently may encourage them to continue working. Positive reinforcement should focus on specific actions, such as attempting a difficult question or asking for help, rather than only praising correct answers.</w:t>
      </w:r>
    </w:p>
    <w:p w14:paraId="35CE4C81" w14:textId="77777777" w:rsidR="009825C2" w:rsidRDefault="00B67B73">
      <w:pPr>
        <w:spacing w:after="200" w:line="360" w:lineRule="auto"/>
        <w:jc w:val="both"/>
      </w:pPr>
      <w:r>
        <w:rPr>
          <w:rFonts w:ascii="Arial" w:eastAsia="Arial" w:hAnsi="Arial" w:cs="Arial"/>
          <w:color w:val="27231F"/>
          <w:sz w:val="24"/>
          <w:szCs w:val="24"/>
        </w:rPr>
        <w:t>This may help the pupil feel more confident and encourage them to persevere when the work becomes difficult. It could also help the teacher build a positive relationship with the pupil, making it easier for the pupil to ask for support. However, praise alone may not solve the problem if the pupil does not understand the work or has another reason for disengaging. The teacher needs to identify the pupil's needs and provide suitable support.</w:t>
      </w:r>
    </w:p>
    <w:p w14:paraId="4659B8A5" w14:textId="77777777" w:rsidR="009825C2" w:rsidRDefault="00B67B73">
      <w:pPr>
        <w:spacing w:after="200" w:line="360" w:lineRule="auto"/>
        <w:jc w:val="both"/>
      </w:pPr>
      <w:r>
        <w:rPr>
          <w:rFonts w:ascii="Arial" w:eastAsia="Arial" w:hAnsi="Arial" w:cs="Arial"/>
          <w:color w:val="27231F"/>
          <w:sz w:val="24"/>
          <w:szCs w:val="24"/>
        </w:rPr>
        <w:t>Ferlazzo (2023) discusses how regular teacher check-ins can help pupils reflect on their learning and identify difficulties. In this situation, the teacher could briefly ask the pupil whether they understand the task and what help they need. This could allow the teacher to explain a difficult step before the pupil loses interest. It may also show the pupil that the teacher is available to help them.</w:t>
      </w:r>
    </w:p>
    <w:p w14:paraId="7B0D6C3A" w14:textId="77777777" w:rsidR="009825C2" w:rsidRDefault="00B67B73">
      <w:pPr>
        <w:spacing w:after="200" w:line="360" w:lineRule="auto"/>
        <w:jc w:val="both"/>
      </w:pPr>
      <w:r>
        <w:rPr>
          <w:rFonts w:ascii="Arial" w:eastAsia="Arial" w:hAnsi="Arial" w:cs="Arial"/>
          <w:color w:val="27231F"/>
          <w:sz w:val="24"/>
          <w:szCs w:val="24"/>
        </w:rPr>
        <w:t>Simonsen et al. (2008) discuss evidence-based classroom management practices, including strategies that encourage appropriate behaviour and support learning. Combining check-ins with positive reinforcement could help the teacher monitor progress while encouraging the pupil to keep trying. For example, the teacher could check the pupil's work after the first question and give specific feedback before they continue with the next question.</w:t>
      </w:r>
    </w:p>
    <w:p w14:paraId="4CFDE88D" w14:textId="77777777" w:rsidR="009825C2" w:rsidRDefault="00B67B73">
      <w:pPr>
        <w:spacing w:after="200" w:line="360" w:lineRule="auto"/>
        <w:jc w:val="both"/>
      </w:pPr>
      <w:r>
        <w:rPr>
          <w:rFonts w:ascii="Arial" w:eastAsia="Arial" w:hAnsi="Arial" w:cs="Arial"/>
          <w:color w:val="27231F"/>
          <w:sz w:val="24"/>
          <w:szCs w:val="24"/>
        </w:rPr>
        <w:lastRenderedPageBreak/>
        <w:t>However, this strategy may not work equally well for every pupil. Some pupils may find frequent attention uncomfortable, while others may need more detailed explanations or different forms of support. Regular check-ins can also be difficult to manage when a teacher is supporting a whole class. Therefore, the teacher should consider the pupil's individual needs and use the strategy in a way that is supportive rather than distracting.</w:t>
      </w:r>
    </w:p>
    <w:p w14:paraId="43CF5040" w14:textId="77777777" w:rsidR="009825C2" w:rsidRDefault="00B67B73">
      <w:pPr>
        <w:spacing w:after="200" w:line="360" w:lineRule="auto"/>
        <w:jc w:val="both"/>
      </w:pPr>
      <w:r>
        <w:rPr>
          <w:rFonts w:ascii="Arial" w:eastAsia="Arial" w:hAnsi="Arial" w:cs="Arial"/>
          <w:color w:val="27231F"/>
          <w:sz w:val="24"/>
          <w:szCs w:val="24"/>
        </w:rPr>
        <w:t>To evaluate this strategy, the teacher could observe whether the pupil attempts more questions, stays focused and asks for help when needed. The teacher could also ask the pupil to rate their confidence on a scale of 1 to 5 and explain which parts of the task they found difficult. This would give the teacher more information about the pupil's experience. If there is little improvement, the teacher should review the approach and consider other support.</w:t>
      </w:r>
    </w:p>
    <w:p w14:paraId="034677BA" w14:textId="77777777" w:rsidR="009825C2" w:rsidRDefault="00B67B73">
      <w:pPr>
        <w:spacing w:after="200" w:line="360" w:lineRule="auto"/>
        <w:jc w:val="both"/>
      </w:pPr>
      <w:r>
        <w:rPr>
          <w:rFonts w:ascii="Arial" w:eastAsia="Arial" w:hAnsi="Arial" w:cs="Arial"/>
          <w:color w:val="27231F"/>
          <w:sz w:val="24"/>
          <w:szCs w:val="24"/>
        </w:rPr>
        <w:t>This links to Tripp's (2012) reflective methodology because the teacher observes the pupil, considers possible reasons for the behaviour, tries a strategy and evaluates the results. Reflection allows the teacher to make changes rather than continue with an approach that may not be effective.</w:t>
      </w:r>
    </w:p>
    <w:p w14:paraId="416BD131" w14:textId="77777777" w:rsidR="009825C2" w:rsidRDefault="00B67B73">
      <w:pPr>
        <w:pStyle w:val="Heading1"/>
        <w:spacing w:before="320" w:after="140"/>
      </w:pPr>
      <w:r>
        <w:rPr>
          <w:rFonts w:ascii="Arial" w:eastAsia="Arial" w:hAnsi="Arial" w:cs="Arial"/>
          <w:b/>
          <w:bCs/>
          <w:color w:val="27231F"/>
          <w:sz w:val="28"/>
          <w:szCs w:val="28"/>
        </w:rPr>
        <w:t>Conclusion</w:t>
      </w:r>
    </w:p>
    <w:p w14:paraId="60452E9A" w14:textId="77777777" w:rsidR="009825C2" w:rsidRDefault="00B67B73">
      <w:pPr>
        <w:spacing w:after="200" w:line="360" w:lineRule="auto"/>
        <w:jc w:val="both"/>
      </w:pPr>
      <w:r>
        <w:rPr>
          <w:rFonts w:ascii="Arial" w:eastAsia="Arial" w:hAnsi="Arial" w:cs="Arial"/>
          <w:color w:val="27231F"/>
          <w:sz w:val="24"/>
          <w:szCs w:val="24"/>
        </w:rPr>
        <w:t>This critical incident shows the importance of giving clear instructions, checking understanding and adapting teaching to meet pupils' needs. Breaking tasks into smaller steps may help the pupil understand the work, while regular check-ins and positive reinforcement may encourage them to stay engaged. Using both strategies together could provide clear guidance while giving the pupil regular opportunities to receive help and feedback.</w:t>
      </w:r>
    </w:p>
    <w:p w14:paraId="5919A6B5" w14:textId="77777777" w:rsidR="009825C2" w:rsidRDefault="00B67B73">
      <w:pPr>
        <w:spacing w:after="200" w:line="360" w:lineRule="auto"/>
        <w:jc w:val="both"/>
      </w:pPr>
      <w:r>
        <w:rPr>
          <w:rFonts w:ascii="Arial" w:eastAsia="Arial" w:hAnsi="Arial" w:cs="Arial"/>
          <w:color w:val="27231F"/>
          <w:sz w:val="24"/>
          <w:szCs w:val="24"/>
        </w:rPr>
        <w:t>However, neither strategy is guaranteed to work. The teacher must consider other possible reasons for the behaviour and evaluate whether the interventions are effective. Pupils may experience difficulties outside the classroom, and factors such as class size and limited support can affect the help a teacher can provide.</w:t>
      </w:r>
    </w:p>
    <w:p w14:paraId="481D42A6" w14:textId="77777777" w:rsidR="009825C2" w:rsidRDefault="00B67B73">
      <w:pPr>
        <w:spacing w:after="200" w:line="360" w:lineRule="auto"/>
        <w:jc w:val="both"/>
      </w:pPr>
      <w:r>
        <w:rPr>
          <w:rFonts w:ascii="Arial" w:eastAsia="Arial" w:hAnsi="Arial" w:cs="Arial"/>
          <w:color w:val="27231F"/>
          <w:sz w:val="24"/>
          <w:szCs w:val="24"/>
        </w:rPr>
        <w:t>When supporting pupils with additional learning needs (ALN), teachers should consider their individual strengths and needs, including Individual Development Plans (IDPs) where applicable. This can help teachers choose suitable strategies and work with other staff when necessary.</w:t>
      </w:r>
    </w:p>
    <w:p w14:paraId="2592AC6E" w14:textId="77777777" w:rsidR="009825C2" w:rsidRDefault="00B67B73">
      <w:pPr>
        <w:spacing w:after="200" w:line="360" w:lineRule="auto"/>
        <w:jc w:val="both"/>
      </w:pPr>
      <w:r>
        <w:rPr>
          <w:rFonts w:ascii="Arial" w:eastAsia="Arial" w:hAnsi="Arial" w:cs="Arial"/>
          <w:color w:val="27231F"/>
          <w:sz w:val="24"/>
          <w:szCs w:val="24"/>
        </w:rPr>
        <w:lastRenderedPageBreak/>
        <w:t>Overall, Tripp's (2012) reflective methodology shows why teachers should reflect on behaviour before deciding how to respond. For a future teacher, patience, flexibility and a willingness to review practice are essential. By evaluating strategies and adapting practice, the student teacher can work towards helping all pupils feel supported and make progress.</w:t>
      </w:r>
    </w:p>
    <w:p w14:paraId="248136E4" w14:textId="77777777" w:rsidR="006F7D48" w:rsidRDefault="006F7D48">
      <w:pPr>
        <w:pStyle w:val="Heading1"/>
        <w:spacing w:before="320" w:after="140"/>
        <w:rPr>
          <w:rFonts w:ascii="Arial" w:eastAsia="Arial" w:hAnsi="Arial" w:cs="Arial"/>
          <w:b/>
          <w:bCs/>
          <w:color w:val="27231F"/>
          <w:sz w:val="28"/>
          <w:szCs w:val="28"/>
        </w:rPr>
      </w:pPr>
    </w:p>
    <w:p w14:paraId="48FA0748" w14:textId="77777777" w:rsidR="006F7D48" w:rsidRDefault="006F7D48">
      <w:pPr>
        <w:pStyle w:val="Heading1"/>
        <w:spacing w:before="320" w:after="140"/>
        <w:rPr>
          <w:rFonts w:ascii="Arial" w:eastAsia="Arial" w:hAnsi="Arial" w:cs="Arial"/>
          <w:b/>
          <w:bCs/>
          <w:color w:val="27231F"/>
          <w:sz w:val="28"/>
          <w:szCs w:val="28"/>
        </w:rPr>
      </w:pPr>
    </w:p>
    <w:p w14:paraId="13C5E3AC" w14:textId="77777777" w:rsidR="006F7D48" w:rsidRDefault="006F7D48">
      <w:pPr>
        <w:pStyle w:val="Heading1"/>
        <w:spacing w:before="320" w:after="140"/>
        <w:rPr>
          <w:rFonts w:ascii="Arial" w:eastAsia="Arial" w:hAnsi="Arial" w:cs="Arial"/>
          <w:b/>
          <w:bCs/>
          <w:color w:val="27231F"/>
          <w:sz w:val="28"/>
          <w:szCs w:val="28"/>
        </w:rPr>
      </w:pPr>
    </w:p>
    <w:p w14:paraId="2948E85A" w14:textId="77777777" w:rsidR="006F7D48" w:rsidRDefault="006F7D48">
      <w:pPr>
        <w:pStyle w:val="Heading1"/>
        <w:spacing w:before="320" w:after="140"/>
        <w:rPr>
          <w:rFonts w:ascii="Arial" w:eastAsia="Arial" w:hAnsi="Arial" w:cs="Arial"/>
          <w:b/>
          <w:bCs/>
          <w:color w:val="27231F"/>
          <w:sz w:val="28"/>
          <w:szCs w:val="28"/>
        </w:rPr>
      </w:pPr>
    </w:p>
    <w:p w14:paraId="306491CF" w14:textId="77777777" w:rsidR="006F7D48" w:rsidRDefault="006F7D48">
      <w:pPr>
        <w:pStyle w:val="Heading1"/>
        <w:spacing w:before="320" w:after="140"/>
        <w:rPr>
          <w:rFonts w:ascii="Arial" w:eastAsia="Arial" w:hAnsi="Arial" w:cs="Arial"/>
          <w:b/>
          <w:bCs/>
          <w:color w:val="27231F"/>
          <w:sz w:val="28"/>
          <w:szCs w:val="28"/>
        </w:rPr>
      </w:pPr>
    </w:p>
    <w:p w14:paraId="65BFDF7B" w14:textId="77777777" w:rsidR="006F7D48" w:rsidRDefault="006F7D48">
      <w:pPr>
        <w:pStyle w:val="Heading1"/>
        <w:spacing w:before="320" w:after="140"/>
        <w:rPr>
          <w:rFonts w:ascii="Arial" w:eastAsia="Arial" w:hAnsi="Arial" w:cs="Arial"/>
          <w:b/>
          <w:bCs/>
          <w:color w:val="27231F"/>
          <w:sz w:val="28"/>
          <w:szCs w:val="28"/>
        </w:rPr>
      </w:pPr>
    </w:p>
    <w:p w14:paraId="0A4E3920" w14:textId="77777777" w:rsidR="006F7D48" w:rsidRDefault="006F7D48">
      <w:pPr>
        <w:pStyle w:val="Heading1"/>
        <w:spacing w:before="320" w:after="140"/>
        <w:rPr>
          <w:rFonts w:ascii="Arial" w:eastAsia="Arial" w:hAnsi="Arial" w:cs="Arial"/>
          <w:b/>
          <w:bCs/>
          <w:color w:val="27231F"/>
          <w:sz w:val="28"/>
          <w:szCs w:val="28"/>
        </w:rPr>
      </w:pPr>
    </w:p>
    <w:p w14:paraId="69358A90" w14:textId="77777777" w:rsidR="006F7D48" w:rsidRDefault="006F7D48">
      <w:pPr>
        <w:pStyle w:val="Heading1"/>
        <w:spacing w:before="320" w:after="140"/>
        <w:rPr>
          <w:rFonts w:ascii="Arial" w:eastAsia="Arial" w:hAnsi="Arial" w:cs="Arial"/>
          <w:b/>
          <w:bCs/>
          <w:color w:val="27231F"/>
          <w:sz w:val="28"/>
          <w:szCs w:val="28"/>
        </w:rPr>
      </w:pPr>
    </w:p>
    <w:p w14:paraId="2C32AA10" w14:textId="77777777" w:rsidR="006F7D48" w:rsidRDefault="006F7D48">
      <w:pPr>
        <w:pStyle w:val="Heading1"/>
        <w:spacing w:before="320" w:after="140"/>
        <w:rPr>
          <w:rFonts w:ascii="Arial" w:eastAsia="Arial" w:hAnsi="Arial" w:cs="Arial"/>
          <w:b/>
          <w:bCs/>
          <w:color w:val="27231F"/>
          <w:sz w:val="28"/>
          <w:szCs w:val="28"/>
        </w:rPr>
      </w:pPr>
    </w:p>
    <w:p w14:paraId="23A6BD1A" w14:textId="77777777" w:rsidR="006F7D48" w:rsidRDefault="006F7D48">
      <w:pPr>
        <w:pStyle w:val="Heading1"/>
        <w:spacing w:before="320" w:after="140"/>
        <w:rPr>
          <w:rFonts w:ascii="Arial" w:eastAsia="Arial" w:hAnsi="Arial" w:cs="Arial"/>
          <w:b/>
          <w:bCs/>
          <w:color w:val="27231F"/>
          <w:sz w:val="28"/>
          <w:szCs w:val="28"/>
        </w:rPr>
      </w:pPr>
    </w:p>
    <w:p w14:paraId="03B8EFB3" w14:textId="77777777" w:rsidR="006F7D48" w:rsidRDefault="006F7D48">
      <w:pPr>
        <w:pStyle w:val="Heading1"/>
        <w:spacing w:before="320" w:after="140"/>
        <w:rPr>
          <w:rFonts w:ascii="Arial" w:eastAsia="Arial" w:hAnsi="Arial" w:cs="Arial"/>
          <w:b/>
          <w:bCs/>
          <w:color w:val="27231F"/>
          <w:sz w:val="28"/>
          <w:szCs w:val="28"/>
        </w:rPr>
      </w:pPr>
    </w:p>
    <w:p w14:paraId="1CD5723A" w14:textId="77777777" w:rsidR="006F7D48" w:rsidRDefault="006F7D48">
      <w:pPr>
        <w:pStyle w:val="Heading1"/>
        <w:spacing w:before="320" w:after="140"/>
        <w:rPr>
          <w:rFonts w:ascii="Arial" w:eastAsia="Arial" w:hAnsi="Arial" w:cs="Arial"/>
          <w:b/>
          <w:bCs/>
          <w:color w:val="27231F"/>
          <w:sz w:val="28"/>
          <w:szCs w:val="28"/>
        </w:rPr>
      </w:pPr>
    </w:p>
    <w:p w14:paraId="66F551B8" w14:textId="77777777" w:rsidR="006F7D48" w:rsidRDefault="006F7D48">
      <w:pPr>
        <w:pStyle w:val="Heading1"/>
        <w:spacing w:before="320" w:after="140"/>
        <w:rPr>
          <w:rFonts w:ascii="Arial" w:eastAsia="Arial" w:hAnsi="Arial" w:cs="Arial"/>
          <w:b/>
          <w:bCs/>
          <w:color w:val="27231F"/>
          <w:sz w:val="28"/>
          <w:szCs w:val="28"/>
        </w:rPr>
      </w:pPr>
    </w:p>
    <w:p w14:paraId="5B6A5EB1" w14:textId="77777777" w:rsidR="006F7D48" w:rsidRDefault="006F7D48">
      <w:pPr>
        <w:pStyle w:val="Heading1"/>
        <w:spacing w:before="320" w:after="140"/>
        <w:rPr>
          <w:rFonts w:ascii="Arial" w:eastAsia="Arial" w:hAnsi="Arial" w:cs="Arial"/>
          <w:b/>
          <w:bCs/>
          <w:color w:val="27231F"/>
          <w:sz w:val="28"/>
          <w:szCs w:val="28"/>
        </w:rPr>
      </w:pPr>
    </w:p>
    <w:p w14:paraId="448EF674" w14:textId="77777777" w:rsidR="006F7D48" w:rsidRDefault="006F7D48">
      <w:pPr>
        <w:pStyle w:val="Heading1"/>
        <w:spacing w:before="320" w:after="140"/>
        <w:rPr>
          <w:rFonts w:ascii="Arial" w:eastAsia="Arial" w:hAnsi="Arial" w:cs="Arial"/>
          <w:b/>
          <w:bCs/>
          <w:color w:val="27231F"/>
          <w:sz w:val="28"/>
          <w:szCs w:val="28"/>
        </w:rPr>
      </w:pPr>
    </w:p>
    <w:p w14:paraId="591B22E4" w14:textId="77777777" w:rsidR="006F7D48" w:rsidRDefault="006F7D48">
      <w:pPr>
        <w:pStyle w:val="Heading1"/>
        <w:spacing w:before="320" w:after="140"/>
        <w:rPr>
          <w:rFonts w:ascii="Arial" w:eastAsia="Arial" w:hAnsi="Arial" w:cs="Arial"/>
          <w:b/>
          <w:bCs/>
          <w:color w:val="27231F"/>
          <w:sz w:val="28"/>
          <w:szCs w:val="28"/>
        </w:rPr>
      </w:pPr>
    </w:p>
    <w:p w14:paraId="56A724D6" w14:textId="77777777" w:rsidR="006F7D48" w:rsidRDefault="006F7D48">
      <w:pPr>
        <w:pStyle w:val="Heading1"/>
        <w:spacing w:before="320" w:after="140"/>
        <w:rPr>
          <w:rFonts w:ascii="Arial" w:eastAsia="Arial" w:hAnsi="Arial" w:cs="Arial"/>
          <w:b/>
          <w:bCs/>
          <w:color w:val="27231F"/>
          <w:sz w:val="28"/>
          <w:szCs w:val="28"/>
        </w:rPr>
      </w:pPr>
    </w:p>
    <w:p w14:paraId="73F7284B" w14:textId="77777777" w:rsidR="006F7D48" w:rsidRDefault="006F7D48">
      <w:pPr>
        <w:pStyle w:val="Heading1"/>
        <w:spacing w:before="320" w:after="140"/>
        <w:rPr>
          <w:rFonts w:ascii="Arial" w:eastAsia="Arial" w:hAnsi="Arial" w:cs="Arial"/>
          <w:b/>
          <w:bCs/>
          <w:color w:val="27231F"/>
          <w:sz w:val="28"/>
          <w:szCs w:val="28"/>
        </w:rPr>
      </w:pPr>
    </w:p>
    <w:p w14:paraId="65496FB8" w14:textId="77777777" w:rsidR="006F7D48" w:rsidRDefault="006F7D48">
      <w:pPr>
        <w:pStyle w:val="Heading1"/>
        <w:spacing w:before="320" w:after="140"/>
        <w:rPr>
          <w:rFonts w:ascii="Arial" w:eastAsia="Arial" w:hAnsi="Arial" w:cs="Arial"/>
          <w:b/>
          <w:bCs/>
          <w:color w:val="27231F"/>
          <w:sz w:val="28"/>
          <w:szCs w:val="28"/>
        </w:rPr>
      </w:pPr>
    </w:p>
    <w:p w14:paraId="06EDAE70" w14:textId="4D4FE2E6" w:rsidR="009825C2" w:rsidRDefault="00B67B73">
      <w:pPr>
        <w:pStyle w:val="Heading1"/>
        <w:spacing w:before="320" w:after="140"/>
      </w:pPr>
      <w:r>
        <w:rPr>
          <w:rFonts w:ascii="Arial" w:eastAsia="Arial" w:hAnsi="Arial" w:cs="Arial"/>
          <w:b/>
          <w:bCs/>
          <w:color w:val="27231F"/>
          <w:sz w:val="28"/>
          <w:szCs w:val="28"/>
        </w:rPr>
        <w:lastRenderedPageBreak/>
        <w:t>References</w:t>
      </w:r>
    </w:p>
    <w:p w14:paraId="6749B42F" w14:textId="77777777" w:rsidR="009825C2" w:rsidRDefault="00B67B73">
      <w:pPr>
        <w:spacing w:after="160" w:line="340" w:lineRule="auto"/>
        <w:ind w:left="480" w:hanging="480"/>
      </w:pPr>
      <w:r>
        <w:rPr>
          <w:rFonts w:ascii="Arial" w:eastAsia="Arial" w:hAnsi="Arial" w:cs="Arial"/>
          <w:color w:val="27231F"/>
          <w:sz w:val="24"/>
          <w:szCs w:val="24"/>
        </w:rPr>
        <w:t xml:space="preserve">Ferlazzo, L. (2023) 'Quick, regular check-ins promote student learning', </w:t>
      </w:r>
      <w:r>
        <w:rPr>
          <w:rFonts w:ascii="Arial" w:eastAsia="Arial" w:hAnsi="Arial" w:cs="Arial"/>
          <w:i/>
          <w:iCs/>
          <w:color w:val="27231F"/>
          <w:sz w:val="24"/>
          <w:szCs w:val="24"/>
        </w:rPr>
        <w:t>Education Week</w:t>
      </w:r>
      <w:r>
        <w:rPr>
          <w:rFonts w:ascii="Arial" w:eastAsia="Arial" w:hAnsi="Arial" w:cs="Arial"/>
          <w:color w:val="27231F"/>
          <w:sz w:val="24"/>
          <w:szCs w:val="24"/>
        </w:rPr>
        <w:t>, 26 October. Available at: https://www.edweek.org/teaching-learning/opinion-quick-regular-check-ins-promote-student-learning/2023/10 (Accessed: 12 October 2026).</w:t>
      </w:r>
    </w:p>
    <w:p w14:paraId="11926371" w14:textId="77777777" w:rsidR="009825C2" w:rsidRDefault="00B67B73">
      <w:pPr>
        <w:spacing w:after="160" w:line="340" w:lineRule="auto"/>
        <w:ind w:left="480" w:hanging="480"/>
      </w:pPr>
      <w:r>
        <w:rPr>
          <w:rFonts w:ascii="Arial" w:eastAsia="Arial" w:hAnsi="Arial" w:cs="Arial"/>
          <w:color w:val="27231F"/>
          <w:sz w:val="24"/>
          <w:szCs w:val="24"/>
        </w:rPr>
        <w:t xml:space="preserve">Henderson, P., Hodgen, J., Foster, C. and </w:t>
      </w:r>
      <w:proofErr w:type="spellStart"/>
      <w:r>
        <w:rPr>
          <w:rFonts w:ascii="Arial" w:eastAsia="Arial" w:hAnsi="Arial" w:cs="Arial"/>
          <w:color w:val="27231F"/>
          <w:sz w:val="24"/>
          <w:szCs w:val="24"/>
        </w:rPr>
        <w:t>Küchemann</w:t>
      </w:r>
      <w:proofErr w:type="spellEnd"/>
      <w:r>
        <w:rPr>
          <w:rFonts w:ascii="Arial" w:eastAsia="Arial" w:hAnsi="Arial" w:cs="Arial"/>
          <w:color w:val="27231F"/>
          <w:sz w:val="24"/>
          <w:szCs w:val="24"/>
        </w:rPr>
        <w:t xml:space="preserve">, D. (2017) </w:t>
      </w:r>
      <w:r>
        <w:rPr>
          <w:rFonts w:ascii="Arial" w:eastAsia="Arial" w:hAnsi="Arial" w:cs="Arial"/>
          <w:i/>
          <w:iCs/>
          <w:color w:val="27231F"/>
          <w:sz w:val="24"/>
          <w:szCs w:val="24"/>
        </w:rPr>
        <w:t>Improving Mathematics in Key Stages 2 and 3</w:t>
      </w:r>
      <w:r>
        <w:rPr>
          <w:rFonts w:ascii="Arial" w:eastAsia="Arial" w:hAnsi="Arial" w:cs="Arial"/>
          <w:color w:val="27231F"/>
          <w:sz w:val="24"/>
          <w:szCs w:val="24"/>
        </w:rPr>
        <w:t>. London: Education Endowment Foundation. Available at: https://educationendowmentfoundation.org.uk/education-evidence/guidance-reports/maths-ks-2-3 (Accessed: 12 October 2026).</w:t>
      </w:r>
    </w:p>
    <w:p w14:paraId="37FD9CE6" w14:textId="77777777" w:rsidR="009825C2" w:rsidRDefault="00B67B73">
      <w:pPr>
        <w:spacing w:after="160" w:line="340" w:lineRule="auto"/>
        <w:ind w:left="480" w:hanging="480"/>
      </w:pPr>
      <w:proofErr w:type="spellStart"/>
      <w:r>
        <w:rPr>
          <w:rFonts w:ascii="Arial" w:eastAsia="Arial" w:hAnsi="Arial" w:cs="Arial"/>
          <w:color w:val="27231F"/>
          <w:sz w:val="24"/>
          <w:szCs w:val="24"/>
        </w:rPr>
        <w:t>Rosenshine</w:t>
      </w:r>
      <w:proofErr w:type="spellEnd"/>
      <w:r>
        <w:rPr>
          <w:rFonts w:ascii="Arial" w:eastAsia="Arial" w:hAnsi="Arial" w:cs="Arial"/>
          <w:color w:val="27231F"/>
          <w:sz w:val="24"/>
          <w:szCs w:val="24"/>
        </w:rPr>
        <w:t xml:space="preserve">, B. (2012) 'Principles of instruction: research-based strategies that all teachers should know', </w:t>
      </w:r>
      <w:r>
        <w:rPr>
          <w:rFonts w:ascii="Arial" w:eastAsia="Arial" w:hAnsi="Arial" w:cs="Arial"/>
          <w:i/>
          <w:iCs/>
          <w:color w:val="27231F"/>
          <w:sz w:val="24"/>
          <w:szCs w:val="24"/>
        </w:rPr>
        <w:t>American Educator</w:t>
      </w:r>
      <w:r>
        <w:rPr>
          <w:rFonts w:ascii="Arial" w:eastAsia="Arial" w:hAnsi="Arial" w:cs="Arial"/>
          <w:color w:val="27231F"/>
          <w:sz w:val="24"/>
          <w:szCs w:val="24"/>
        </w:rPr>
        <w:t>, 36(1), pp. 12–19, 39.</w:t>
      </w:r>
    </w:p>
    <w:p w14:paraId="1778FBE6" w14:textId="77777777" w:rsidR="009825C2" w:rsidRDefault="00B67B73">
      <w:pPr>
        <w:spacing w:after="160" w:line="340" w:lineRule="auto"/>
        <w:ind w:left="480" w:hanging="480"/>
      </w:pPr>
      <w:r>
        <w:rPr>
          <w:rFonts w:ascii="Arial" w:eastAsia="Arial" w:hAnsi="Arial" w:cs="Arial"/>
          <w:color w:val="27231F"/>
          <w:sz w:val="24"/>
          <w:szCs w:val="24"/>
        </w:rPr>
        <w:t xml:space="preserve">Simonsen, B., Fairbanks, S., Briesch, A., Myers, D. and Sugai, G. (2008) 'Evidence-based practices in classroom management: considerations for research to practice', </w:t>
      </w:r>
      <w:r>
        <w:rPr>
          <w:rFonts w:ascii="Arial" w:eastAsia="Arial" w:hAnsi="Arial" w:cs="Arial"/>
          <w:i/>
          <w:iCs/>
          <w:color w:val="27231F"/>
          <w:sz w:val="24"/>
          <w:szCs w:val="24"/>
        </w:rPr>
        <w:t>Education and Treatment of Children</w:t>
      </w:r>
      <w:r>
        <w:rPr>
          <w:rFonts w:ascii="Arial" w:eastAsia="Arial" w:hAnsi="Arial" w:cs="Arial"/>
          <w:color w:val="27231F"/>
          <w:sz w:val="24"/>
          <w:szCs w:val="24"/>
        </w:rPr>
        <w:t>, 31(3), pp. 351–380.</w:t>
      </w:r>
    </w:p>
    <w:p w14:paraId="17645FF4" w14:textId="77777777" w:rsidR="009825C2" w:rsidRDefault="00B67B73">
      <w:pPr>
        <w:spacing w:after="160" w:line="340" w:lineRule="auto"/>
        <w:ind w:left="480" w:hanging="480"/>
      </w:pPr>
      <w:r>
        <w:rPr>
          <w:rFonts w:ascii="Arial" w:eastAsia="Arial" w:hAnsi="Arial" w:cs="Arial"/>
          <w:color w:val="27231F"/>
          <w:sz w:val="24"/>
          <w:szCs w:val="24"/>
        </w:rPr>
        <w:t xml:space="preserve">Skinner, B.F. (1953) </w:t>
      </w:r>
      <w:r>
        <w:rPr>
          <w:rFonts w:ascii="Arial" w:eastAsia="Arial" w:hAnsi="Arial" w:cs="Arial"/>
          <w:i/>
          <w:iCs/>
          <w:color w:val="27231F"/>
          <w:sz w:val="24"/>
          <w:szCs w:val="24"/>
        </w:rPr>
        <w:t xml:space="preserve">Science and Human </w:t>
      </w:r>
      <w:proofErr w:type="spellStart"/>
      <w:r>
        <w:rPr>
          <w:rFonts w:ascii="Arial" w:eastAsia="Arial" w:hAnsi="Arial" w:cs="Arial"/>
          <w:i/>
          <w:iCs/>
          <w:color w:val="27231F"/>
          <w:sz w:val="24"/>
          <w:szCs w:val="24"/>
        </w:rPr>
        <w:t>Behavior</w:t>
      </w:r>
      <w:proofErr w:type="spellEnd"/>
      <w:r>
        <w:rPr>
          <w:rFonts w:ascii="Arial" w:eastAsia="Arial" w:hAnsi="Arial" w:cs="Arial"/>
          <w:color w:val="27231F"/>
          <w:sz w:val="24"/>
          <w:szCs w:val="24"/>
        </w:rPr>
        <w:t>. New York: Macmillan.</w:t>
      </w:r>
    </w:p>
    <w:p w14:paraId="00C1CC5E" w14:textId="77777777" w:rsidR="009825C2" w:rsidRDefault="00B67B73">
      <w:pPr>
        <w:spacing w:after="160" w:line="340" w:lineRule="auto"/>
        <w:ind w:left="480" w:hanging="480"/>
      </w:pPr>
      <w:r>
        <w:rPr>
          <w:rFonts w:ascii="Arial" w:eastAsia="Arial" w:hAnsi="Arial" w:cs="Arial"/>
          <w:color w:val="27231F"/>
          <w:sz w:val="24"/>
          <w:szCs w:val="24"/>
        </w:rPr>
        <w:t xml:space="preserve">Sweller, J. (1988) 'Cognitive load during problem solving: effects on learning', </w:t>
      </w:r>
      <w:r>
        <w:rPr>
          <w:rFonts w:ascii="Arial" w:eastAsia="Arial" w:hAnsi="Arial" w:cs="Arial"/>
          <w:i/>
          <w:iCs/>
          <w:color w:val="27231F"/>
          <w:sz w:val="24"/>
          <w:szCs w:val="24"/>
        </w:rPr>
        <w:t>Cognitive Science</w:t>
      </w:r>
      <w:r>
        <w:rPr>
          <w:rFonts w:ascii="Arial" w:eastAsia="Arial" w:hAnsi="Arial" w:cs="Arial"/>
          <w:color w:val="27231F"/>
          <w:sz w:val="24"/>
          <w:szCs w:val="24"/>
        </w:rPr>
        <w:t>, 12(2), pp. 257–285.</w:t>
      </w:r>
    </w:p>
    <w:p w14:paraId="25C9D285" w14:textId="77777777" w:rsidR="009825C2" w:rsidRDefault="00B67B73">
      <w:pPr>
        <w:spacing w:after="160" w:line="340" w:lineRule="auto"/>
        <w:ind w:left="480" w:hanging="480"/>
      </w:pPr>
      <w:r>
        <w:rPr>
          <w:rFonts w:ascii="Arial" w:eastAsia="Arial" w:hAnsi="Arial" w:cs="Arial"/>
          <w:color w:val="27231F"/>
          <w:sz w:val="24"/>
          <w:szCs w:val="24"/>
        </w:rPr>
        <w:t xml:space="preserve">Tripp, D. (2012) </w:t>
      </w:r>
      <w:r>
        <w:rPr>
          <w:rFonts w:ascii="Arial" w:eastAsia="Arial" w:hAnsi="Arial" w:cs="Arial"/>
          <w:i/>
          <w:iCs/>
          <w:color w:val="27231F"/>
          <w:sz w:val="24"/>
          <w:szCs w:val="24"/>
        </w:rPr>
        <w:t>Critical Incidents in Teaching: Developing Professional Judgement</w:t>
      </w:r>
      <w:r>
        <w:rPr>
          <w:rFonts w:ascii="Arial" w:eastAsia="Arial" w:hAnsi="Arial" w:cs="Arial"/>
          <w:color w:val="27231F"/>
          <w:sz w:val="24"/>
          <w:szCs w:val="24"/>
        </w:rPr>
        <w:t xml:space="preserve">. Classic </w:t>
      </w:r>
      <w:proofErr w:type="spellStart"/>
      <w:r>
        <w:rPr>
          <w:rFonts w:ascii="Arial" w:eastAsia="Arial" w:hAnsi="Arial" w:cs="Arial"/>
          <w:color w:val="27231F"/>
          <w:sz w:val="24"/>
          <w:szCs w:val="24"/>
        </w:rPr>
        <w:t>edn</w:t>
      </w:r>
      <w:proofErr w:type="spellEnd"/>
      <w:r>
        <w:rPr>
          <w:rFonts w:ascii="Arial" w:eastAsia="Arial" w:hAnsi="Arial" w:cs="Arial"/>
          <w:color w:val="27231F"/>
          <w:sz w:val="24"/>
          <w:szCs w:val="24"/>
        </w:rPr>
        <w:t>. Abingdon: Routledge.</w:t>
      </w:r>
    </w:p>
    <w:sectPr w:rsidR="009825C2">
      <w:headerReference w:type="default" r:id="rId9"/>
      <w:footerReference w:type="default" r:id="rId10"/>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CBEFA" w14:textId="77777777" w:rsidR="00B67B73" w:rsidRDefault="00B67B73">
      <w:r>
        <w:separator/>
      </w:r>
    </w:p>
  </w:endnote>
  <w:endnote w:type="continuationSeparator" w:id="0">
    <w:p w14:paraId="14B7DA46" w14:textId="77777777" w:rsidR="00B67B73" w:rsidRDefault="00B67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09347" w14:textId="77777777" w:rsidR="009825C2" w:rsidRDefault="00B67B73">
    <w:pPr>
      <w:spacing w:after="200" w:line="360" w:lineRule="auto"/>
      <w:jc w:val="center"/>
    </w:pPr>
    <w:r>
      <w:rPr>
        <w:rFonts w:ascii="Arial" w:eastAsia="Arial" w:hAnsi="Arial" w:cs="Arial"/>
        <w:color w:val="6E6759"/>
      </w:rPr>
      <w:fldChar w:fldCharType="begin"/>
    </w:r>
    <w:r>
      <w:rPr>
        <w:rFonts w:ascii="Arial" w:eastAsia="Arial" w:hAnsi="Arial" w:cs="Arial"/>
        <w:color w:val="6E6759"/>
      </w:rPr>
      <w:instrText>PAGE</w:instrText>
    </w:r>
    <w:r>
      <w:rPr>
        <w:rFonts w:ascii="Arial" w:eastAsia="Arial" w:hAnsi="Arial" w:cs="Arial"/>
        <w:color w:val="6E6759"/>
      </w:rPr>
      <w:fldChar w:fldCharType="separate"/>
    </w:r>
    <w:r w:rsidR="00355E50">
      <w:rPr>
        <w:rFonts w:ascii="Arial" w:eastAsia="Arial" w:hAnsi="Arial" w:cs="Arial"/>
        <w:noProof/>
        <w:color w:val="6E6759"/>
      </w:rPr>
      <w:t>1</w:t>
    </w:r>
    <w:r>
      <w:rPr>
        <w:rFonts w:ascii="Arial" w:eastAsia="Arial" w:hAnsi="Arial" w:cs="Arial"/>
        <w:color w:val="6E6759"/>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A75AA" w14:textId="77777777" w:rsidR="00B67B73" w:rsidRDefault="00B67B73">
      <w:r>
        <w:separator/>
      </w:r>
    </w:p>
  </w:footnote>
  <w:footnote w:type="continuationSeparator" w:id="0">
    <w:p w14:paraId="7FEE61E2" w14:textId="77777777" w:rsidR="00B67B73" w:rsidRDefault="00B67B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7F5166" w14:textId="77777777" w:rsidR="009825C2" w:rsidRDefault="00B67B73">
    <w:pPr>
      <w:spacing w:after="200" w:line="360" w:lineRule="auto"/>
      <w:jc w:val="center"/>
    </w:pPr>
    <w:r>
      <w:rPr>
        <w:rFonts w:ascii="Arial" w:eastAsia="Arial" w:hAnsi="Arial" w:cs="Arial"/>
        <w:b/>
        <w:bCs/>
        <w:color w:val="6E6759"/>
      </w:rPr>
      <w:t>ECAD6050 Part 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15777"/>
    <w:multiLevelType w:val="hybridMultilevel"/>
    <w:tmpl w:val="8C46DEE4"/>
    <w:lvl w:ilvl="0" w:tplc="5DB4453C">
      <w:start w:val="1"/>
      <w:numFmt w:val="bullet"/>
      <w:lvlText w:val="●"/>
      <w:lvlJc w:val="left"/>
      <w:pPr>
        <w:ind w:left="720" w:hanging="360"/>
      </w:pPr>
    </w:lvl>
    <w:lvl w:ilvl="1" w:tplc="8884D0AA">
      <w:start w:val="1"/>
      <w:numFmt w:val="bullet"/>
      <w:lvlText w:val="○"/>
      <w:lvlJc w:val="left"/>
      <w:pPr>
        <w:ind w:left="1440" w:hanging="360"/>
      </w:pPr>
    </w:lvl>
    <w:lvl w:ilvl="2" w:tplc="9440F3B8">
      <w:start w:val="1"/>
      <w:numFmt w:val="bullet"/>
      <w:lvlText w:val="■"/>
      <w:lvlJc w:val="left"/>
      <w:pPr>
        <w:ind w:left="2160" w:hanging="360"/>
      </w:pPr>
    </w:lvl>
    <w:lvl w:ilvl="3" w:tplc="757C7800">
      <w:start w:val="1"/>
      <w:numFmt w:val="bullet"/>
      <w:lvlText w:val="●"/>
      <w:lvlJc w:val="left"/>
      <w:pPr>
        <w:ind w:left="2880" w:hanging="360"/>
      </w:pPr>
    </w:lvl>
    <w:lvl w:ilvl="4" w:tplc="06E4A7C0">
      <w:start w:val="1"/>
      <w:numFmt w:val="bullet"/>
      <w:lvlText w:val="○"/>
      <w:lvlJc w:val="left"/>
      <w:pPr>
        <w:ind w:left="3600" w:hanging="360"/>
      </w:pPr>
    </w:lvl>
    <w:lvl w:ilvl="5" w:tplc="13C00388">
      <w:start w:val="1"/>
      <w:numFmt w:val="bullet"/>
      <w:lvlText w:val="■"/>
      <w:lvlJc w:val="left"/>
      <w:pPr>
        <w:ind w:left="4320" w:hanging="360"/>
      </w:pPr>
    </w:lvl>
    <w:lvl w:ilvl="6" w:tplc="DCD6925E">
      <w:start w:val="1"/>
      <w:numFmt w:val="bullet"/>
      <w:lvlText w:val="●"/>
      <w:lvlJc w:val="left"/>
      <w:pPr>
        <w:ind w:left="5040" w:hanging="360"/>
      </w:pPr>
    </w:lvl>
    <w:lvl w:ilvl="7" w:tplc="C630D19A">
      <w:start w:val="1"/>
      <w:numFmt w:val="bullet"/>
      <w:lvlText w:val="●"/>
      <w:lvlJc w:val="left"/>
      <w:pPr>
        <w:ind w:left="5760" w:hanging="360"/>
      </w:pPr>
    </w:lvl>
    <w:lvl w:ilvl="8" w:tplc="97CA9078">
      <w:start w:val="1"/>
      <w:numFmt w:val="bullet"/>
      <w:lvlText w:val="●"/>
      <w:lvlJc w:val="left"/>
      <w:pPr>
        <w:ind w:left="6480" w:hanging="360"/>
      </w:pPr>
    </w:lvl>
  </w:abstractNum>
  <w:num w:numId="1" w16cid:durableId="1051970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5C2"/>
    <w:rsid w:val="002E5A9A"/>
    <w:rsid w:val="00355E50"/>
    <w:rsid w:val="0058769D"/>
    <w:rsid w:val="006F7D48"/>
    <w:rsid w:val="00882CDE"/>
    <w:rsid w:val="009825C2"/>
    <w:rsid w:val="00B2304F"/>
    <w:rsid w:val="00B67B73"/>
    <w:rsid w:val="00C76992"/>
    <w:rsid w:val="00D06BA8"/>
    <w:rsid w:val="00E05F05"/>
    <w:rsid w:val="00EF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2728A6"/>
  <w15:docId w15:val="{A2FA6FE0-907D-CE43-BFEA-6317BC756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customStyle="1" w:styleId="cvgsua">
    <w:name w:val="cvgsua"/>
    <w:basedOn w:val="Normal"/>
    <w:rsid w:val="006F7D48"/>
    <w:pPr>
      <w:spacing w:before="100" w:beforeAutospacing="1" w:after="100" w:afterAutospacing="1"/>
    </w:pPr>
    <w:rPr>
      <w:sz w:val="24"/>
      <w:szCs w:val="24"/>
    </w:rPr>
  </w:style>
  <w:style w:type="character" w:customStyle="1" w:styleId="agcmg">
    <w:name w:val="a_gcmg"/>
    <w:basedOn w:val="DefaultParagraphFont"/>
    <w:rsid w:val="006F7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pp.grammarly.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1621</Words>
  <Characters>9597</Characters>
  <Application>Microsoft Office Word</Application>
  <DocSecurity>0</DocSecurity>
  <Lines>266</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Anna Jones (2317365)</cp:lastModifiedBy>
  <cp:revision>2</cp:revision>
  <dcterms:created xsi:type="dcterms:W3CDTF">2026-10-16T15:04:00Z</dcterms:created>
  <dcterms:modified xsi:type="dcterms:W3CDTF">2026-10-16T15:04:00Z</dcterms:modified>
</cp:coreProperties>
</file>