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AC992" w14:textId="77777777" w:rsidR="00672333" w:rsidRDefault="001116F4">
      <w:pPr>
        <w:spacing w:after="400"/>
        <w:jc w:val="center"/>
      </w:pPr>
      <w:r>
        <w:rPr>
          <w:b/>
          <w:color w:val="1F4E79"/>
          <w:sz w:val="32"/>
        </w:rPr>
        <w:t>University of Wales Trinity Saint David</w:t>
      </w:r>
    </w:p>
    <w:p w14:paraId="4923D23D" w14:textId="77777777" w:rsidR="00672333" w:rsidRDefault="00672333"/>
    <w:p w14:paraId="7E453830" w14:textId="77777777" w:rsidR="00672333" w:rsidRDefault="00672333"/>
    <w:p w14:paraId="408974F6" w14:textId="77777777" w:rsidR="00672333" w:rsidRDefault="001116F4">
      <w:pPr>
        <w:jc w:val="center"/>
      </w:pPr>
      <w:r>
        <w:rPr>
          <w:b/>
          <w:color w:val="1F4E79"/>
          <w:sz w:val="44"/>
        </w:rPr>
        <w:t>TYPE 2 DIABETES</w:t>
      </w:r>
    </w:p>
    <w:p w14:paraId="7458CE04" w14:textId="77777777" w:rsidR="00672333" w:rsidRDefault="001116F4">
      <w:pPr>
        <w:jc w:val="center"/>
      </w:pPr>
      <w:r>
        <w:rPr>
          <w:b/>
          <w:sz w:val="34"/>
        </w:rPr>
        <w:t>Blood Glucose Regulation, Cellular Metabolism and Patient Self-Management</w:t>
      </w:r>
    </w:p>
    <w:p w14:paraId="0DE468B1" w14:textId="77777777" w:rsidR="00672333" w:rsidRDefault="00672333"/>
    <w:p w14:paraId="0E90FDBC" w14:textId="77777777" w:rsidR="00672333" w:rsidRDefault="00672333"/>
    <w:p w14:paraId="6B62C7F2" w14:textId="77777777" w:rsidR="00672333" w:rsidRDefault="00672333"/>
    <w:tbl>
      <w:tblPr>
        <w:tblStyle w:val="TableGrid"/>
        <w:tblW w:w="0" w:type="auto"/>
        <w:jc w:val="center"/>
        <w:tblLayout w:type="fixed"/>
        <w:tblLook w:val="04A0" w:firstRow="1" w:lastRow="0" w:firstColumn="1" w:lastColumn="0" w:noHBand="0" w:noVBand="1"/>
      </w:tblPr>
      <w:tblGrid>
        <w:gridCol w:w="4824"/>
        <w:gridCol w:w="4824"/>
      </w:tblGrid>
      <w:tr w:rsidR="00672333" w14:paraId="3AE3451C" w14:textId="77777777">
        <w:trPr>
          <w:jc w:val="center"/>
        </w:trPr>
        <w:tc>
          <w:tcPr>
            <w:tcW w:w="4824" w:type="dxa"/>
            <w:shd w:val="clear" w:color="auto" w:fill="D9EAF7"/>
            <w:tcMar>
              <w:top w:w="90" w:type="dxa"/>
              <w:left w:w="100" w:type="dxa"/>
              <w:bottom w:w="90" w:type="dxa"/>
              <w:right w:w="100" w:type="dxa"/>
            </w:tcMar>
            <w:vAlign w:val="center"/>
          </w:tcPr>
          <w:p w14:paraId="479D8706" w14:textId="77777777" w:rsidR="00672333" w:rsidRDefault="001116F4">
            <w:r>
              <w:rPr>
                <w:b/>
                <w:sz w:val="21"/>
              </w:rPr>
              <w:t>Student name</w:t>
            </w:r>
          </w:p>
        </w:tc>
        <w:tc>
          <w:tcPr>
            <w:tcW w:w="4824" w:type="dxa"/>
            <w:tcMar>
              <w:top w:w="90" w:type="dxa"/>
              <w:left w:w="100" w:type="dxa"/>
              <w:bottom w:w="90" w:type="dxa"/>
              <w:right w:w="100" w:type="dxa"/>
            </w:tcMar>
            <w:vAlign w:val="center"/>
          </w:tcPr>
          <w:p w14:paraId="0151D19E" w14:textId="77777777" w:rsidR="00672333" w:rsidRDefault="001116F4">
            <w:r>
              <w:rPr>
                <w:sz w:val="21"/>
              </w:rPr>
              <w:t>HELEN MAY ESCOTO FRIAL</w:t>
            </w:r>
          </w:p>
        </w:tc>
      </w:tr>
      <w:tr w:rsidR="00672333" w14:paraId="40EBE577" w14:textId="77777777">
        <w:trPr>
          <w:jc w:val="center"/>
        </w:trPr>
        <w:tc>
          <w:tcPr>
            <w:tcW w:w="4824" w:type="dxa"/>
            <w:shd w:val="clear" w:color="auto" w:fill="D9EAF7"/>
            <w:tcMar>
              <w:top w:w="90" w:type="dxa"/>
              <w:left w:w="100" w:type="dxa"/>
              <w:bottom w:w="90" w:type="dxa"/>
              <w:right w:w="100" w:type="dxa"/>
            </w:tcMar>
            <w:vAlign w:val="center"/>
          </w:tcPr>
          <w:p w14:paraId="3BDF0B2E" w14:textId="77777777" w:rsidR="00672333" w:rsidRDefault="001116F4">
            <w:r>
              <w:rPr>
                <w:b/>
                <w:sz w:val="21"/>
              </w:rPr>
              <w:t>Student ID</w:t>
            </w:r>
          </w:p>
        </w:tc>
        <w:tc>
          <w:tcPr>
            <w:tcW w:w="4824" w:type="dxa"/>
            <w:tcMar>
              <w:top w:w="90" w:type="dxa"/>
              <w:left w:w="100" w:type="dxa"/>
              <w:bottom w:w="90" w:type="dxa"/>
              <w:right w:w="100" w:type="dxa"/>
            </w:tcMar>
            <w:vAlign w:val="center"/>
          </w:tcPr>
          <w:p w14:paraId="76BCB801" w14:textId="77777777" w:rsidR="00672333" w:rsidRDefault="001116F4">
            <w:r>
              <w:rPr>
                <w:sz w:val="21"/>
              </w:rPr>
              <w:t>2430209</w:t>
            </w:r>
          </w:p>
        </w:tc>
      </w:tr>
      <w:tr w:rsidR="00672333" w14:paraId="46508881" w14:textId="77777777">
        <w:trPr>
          <w:jc w:val="center"/>
        </w:trPr>
        <w:tc>
          <w:tcPr>
            <w:tcW w:w="4824" w:type="dxa"/>
            <w:shd w:val="clear" w:color="auto" w:fill="D9EAF7"/>
            <w:tcMar>
              <w:top w:w="90" w:type="dxa"/>
              <w:left w:w="100" w:type="dxa"/>
              <w:bottom w:w="90" w:type="dxa"/>
              <w:right w:w="100" w:type="dxa"/>
            </w:tcMar>
            <w:vAlign w:val="center"/>
          </w:tcPr>
          <w:p w14:paraId="34CEDDAC" w14:textId="77777777" w:rsidR="00672333" w:rsidRDefault="001116F4">
            <w:r>
              <w:rPr>
                <w:b/>
                <w:sz w:val="21"/>
              </w:rPr>
              <w:t>Programme</w:t>
            </w:r>
          </w:p>
        </w:tc>
        <w:tc>
          <w:tcPr>
            <w:tcW w:w="4824" w:type="dxa"/>
            <w:tcMar>
              <w:top w:w="90" w:type="dxa"/>
              <w:left w:w="100" w:type="dxa"/>
              <w:bottom w:w="90" w:type="dxa"/>
              <w:right w:w="100" w:type="dxa"/>
            </w:tcMar>
            <w:vAlign w:val="center"/>
          </w:tcPr>
          <w:p w14:paraId="7F1AE859" w14:textId="77777777" w:rsidR="00672333" w:rsidRDefault="001116F4">
            <w:r>
              <w:rPr>
                <w:sz w:val="21"/>
              </w:rPr>
              <w:t>BSc Health and Social Care</w:t>
            </w:r>
          </w:p>
        </w:tc>
      </w:tr>
      <w:tr w:rsidR="00672333" w14:paraId="6D28AA8D" w14:textId="77777777">
        <w:trPr>
          <w:jc w:val="center"/>
        </w:trPr>
        <w:tc>
          <w:tcPr>
            <w:tcW w:w="4824" w:type="dxa"/>
            <w:shd w:val="clear" w:color="auto" w:fill="D9EAF7"/>
            <w:tcMar>
              <w:top w:w="90" w:type="dxa"/>
              <w:left w:w="100" w:type="dxa"/>
              <w:bottom w:w="90" w:type="dxa"/>
              <w:right w:w="100" w:type="dxa"/>
            </w:tcMar>
            <w:vAlign w:val="center"/>
          </w:tcPr>
          <w:p w14:paraId="1A91A58A" w14:textId="77777777" w:rsidR="00672333" w:rsidRDefault="001116F4">
            <w:r>
              <w:rPr>
                <w:b/>
                <w:sz w:val="21"/>
              </w:rPr>
              <w:t>Module</w:t>
            </w:r>
          </w:p>
        </w:tc>
        <w:tc>
          <w:tcPr>
            <w:tcW w:w="4824" w:type="dxa"/>
            <w:tcMar>
              <w:top w:w="90" w:type="dxa"/>
              <w:left w:w="100" w:type="dxa"/>
              <w:bottom w:w="90" w:type="dxa"/>
              <w:right w:w="100" w:type="dxa"/>
            </w:tcMar>
            <w:vAlign w:val="center"/>
          </w:tcPr>
          <w:p w14:paraId="60886F74" w14:textId="77777777" w:rsidR="00672333" w:rsidRDefault="001116F4">
            <w:r>
              <w:rPr>
                <w:sz w:val="21"/>
              </w:rPr>
              <w:t>Introduction to Physiology</w:t>
            </w:r>
          </w:p>
        </w:tc>
      </w:tr>
      <w:tr w:rsidR="00672333" w14:paraId="02406920" w14:textId="77777777">
        <w:trPr>
          <w:jc w:val="center"/>
        </w:trPr>
        <w:tc>
          <w:tcPr>
            <w:tcW w:w="4824" w:type="dxa"/>
            <w:shd w:val="clear" w:color="auto" w:fill="D9EAF7"/>
            <w:tcMar>
              <w:top w:w="90" w:type="dxa"/>
              <w:left w:w="100" w:type="dxa"/>
              <w:bottom w:w="90" w:type="dxa"/>
              <w:right w:w="100" w:type="dxa"/>
            </w:tcMar>
            <w:vAlign w:val="center"/>
          </w:tcPr>
          <w:p w14:paraId="4C23D543" w14:textId="77777777" w:rsidR="00672333" w:rsidRDefault="001116F4">
            <w:r>
              <w:rPr>
                <w:b/>
                <w:sz w:val="21"/>
              </w:rPr>
              <w:t>Module code</w:t>
            </w:r>
          </w:p>
        </w:tc>
        <w:tc>
          <w:tcPr>
            <w:tcW w:w="4824" w:type="dxa"/>
            <w:tcMar>
              <w:top w:w="90" w:type="dxa"/>
              <w:left w:w="100" w:type="dxa"/>
              <w:bottom w:w="90" w:type="dxa"/>
              <w:right w:w="100" w:type="dxa"/>
            </w:tcMar>
            <w:vAlign w:val="center"/>
          </w:tcPr>
          <w:p w14:paraId="15B956B7" w14:textId="77777777" w:rsidR="00672333" w:rsidRDefault="001116F4">
            <w:r>
              <w:rPr>
                <w:sz w:val="21"/>
              </w:rPr>
              <w:t>BMHP5023</w:t>
            </w:r>
          </w:p>
        </w:tc>
      </w:tr>
      <w:tr w:rsidR="00672333" w14:paraId="03303E88" w14:textId="77777777">
        <w:trPr>
          <w:jc w:val="center"/>
        </w:trPr>
        <w:tc>
          <w:tcPr>
            <w:tcW w:w="4824" w:type="dxa"/>
            <w:shd w:val="clear" w:color="auto" w:fill="D9EAF7"/>
            <w:tcMar>
              <w:top w:w="90" w:type="dxa"/>
              <w:left w:w="100" w:type="dxa"/>
              <w:bottom w:w="90" w:type="dxa"/>
              <w:right w:w="100" w:type="dxa"/>
            </w:tcMar>
            <w:vAlign w:val="center"/>
          </w:tcPr>
          <w:p w14:paraId="7C0D9E67" w14:textId="77777777" w:rsidR="00672333" w:rsidRDefault="001116F4">
            <w:r>
              <w:rPr>
                <w:b/>
                <w:sz w:val="21"/>
              </w:rPr>
              <w:t>Assessment</w:t>
            </w:r>
          </w:p>
        </w:tc>
        <w:tc>
          <w:tcPr>
            <w:tcW w:w="4824" w:type="dxa"/>
            <w:tcMar>
              <w:top w:w="90" w:type="dxa"/>
              <w:left w:w="100" w:type="dxa"/>
              <w:bottom w:w="90" w:type="dxa"/>
              <w:right w:w="100" w:type="dxa"/>
            </w:tcMar>
            <w:vAlign w:val="center"/>
          </w:tcPr>
          <w:p w14:paraId="3182D4F3" w14:textId="77777777" w:rsidR="00672333" w:rsidRDefault="001116F4">
            <w:r>
              <w:rPr>
                <w:sz w:val="21"/>
              </w:rPr>
              <w:t>Component 1: Written Assignment (Case Study Report)</w:t>
            </w:r>
          </w:p>
        </w:tc>
      </w:tr>
      <w:tr w:rsidR="00672333" w14:paraId="5108113C" w14:textId="77777777">
        <w:trPr>
          <w:jc w:val="center"/>
        </w:trPr>
        <w:tc>
          <w:tcPr>
            <w:tcW w:w="4824" w:type="dxa"/>
            <w:shd w:val="clear" w:color="auto" w:fill="D9EAF7"/>
            <w:tcMar>
              <w:top w:w="90" w:type="dxa"/>
              <w:left w:w="100" w:type="dxa"/>
              <w:bottom w:w="90" w:type="dxa"/>
              <w:right w:w="100" w:type="dxa"/>
            </w:tcMar>
            <w:vAlign w:val="center"/>
          </w:tcPr>
          <w:p w14:paraId="6CDB891F" w14:textId="77777777" w:rsidR="00672333" w:rsidRDefault="001116F4">
            <w:r>
              <w:rPr>
                <w:b/>
                <w:sz w:val="21"/>
              </w:rPr>
              <w:t>Submission date</w:t>
            </w:r>
          </w:p>
        </w:tc>
        <w:tc>
          <w:tcPr>
            <w:tcW w:w="4824" w:type="dxa"/>
            <w:tcMar>
              <w:top w:w="90" w:type="dxa"/>
              <w:left w:w="100" w:type="dxa"/>
              <w:bottom w:w="90" w:type="dxa"/>
              <w:right w:w="100" w:type="dxa"/>
            </w:tcMar>
            <w:vAlign w:val="center"/>
          </w:tcPr>
          <w:p w14:paraId="3D28606D" w14:textId="77777777" w:rsidR="00672333" w:rsidRDefault="001116F4">
            <w:r>
              <w:rPr>
                <w:sz w:val="21"/>
              </w:rPr>
              <w:t>1 August 2026</w:t>
            </w:r>
          </w:p>
        </w:tc>
      </w:tr>
    </w:tbl>
    <w:p w14:paraId="3D8A0A42" w14:textId="77777777" w:rsidR="00672333" w:rsidRDefault="001116F4">
      <w:r>
        <w:br w:type="page"/>
      </w:r>
    </w:p>
    <w:p w14:paraId="73B8492F" w14:textId="77777777" w:rsidR="00672333" w:rsidRDefault="001116F4">
      <w:pPr>
        <w:pStyle w:val="Title"/>
      </w:pPr>
      <w:r>
        <w:lastRenderedPageBreak/>
        <w:t>Contents</w:t>
      </w:r>
    </w:p>
    <w:p w14:paraId="7FDC8DA7" w14:textId="77777777" w:rsidR="00672333" w:rsidRDefault="001116F4">
      <w:pPr>
        <w:tabs>
          <w:tab w:val="left" w:pos="8640"/>
        </w:tabs>
        <w:spacing w:after="160"/>
      </w:pPr>
      <w:r>
        <w:rPr>
          <w:b/>
          <w:color w:val="1F4E79"/>
        </w:rPr>
        <w:t>1. Introduction</w:t>
      </w:r>
      <w:r>
        <w:tab/>
        <w:t>3</w:t>
      </w:r>
    </w:p>
    <w:p w14:paraId="4B3329FE" w14:textId="77777777" w:rsidR="00672333" w:rsidRDefault="001116F4">
      <w:pPr>
        <w:tabs>
          <w:tab w:val="left" w:pos="8640"/>
        </w:tabs>
        <w:spacing w:after="160"/>
      </w:pPr>
      <w:r>
        <w:rPr>
          <w:b/>
          <w:color w:val="1F4E79"/>
        </w:rPr>
        <w:t>2. Blood Sugar Regulation</w:t>
      </w:r>
      <w:r>
        <w:tab/>
        <w:t>3</w:t>
      </w:r>
    </w:p>
    <w:p w14:paraId="04DEC587" w14:textId="77777777" w:rsidR="00672333" w:rsidRDefault="001116F4">
      <w:pPr>
        <w:tabs>
          <w:tab w:val="left" w:pos="8640"/>
        </w:tabs>
        <w:spacing w:after="160"/>
      </w:pPr>
      <w:r>
        <w:rPr>
          <w:b/>
          <w:color w:val="1F4E79"/>
        </w:rPr>
        <w:t>3. Oxygen and Glucose in Cellular Metabolism</w:t>
      </w:r>
      <w:r>
        <w:tab/>
        <w:t>5</w:t>
      </w:r>
    </w:p>
    <w:p w14:paraId="714C6DC2" w14:textId="77777777" w:rsidR="00672333" w:rsidRDefault="001116F4">
      <w:pPr>
        <w:tabs>
          <w:tab w:val="left" w:pos="8640"/>
        </w:tabs>
        <w:spacing w:after="160"/>
      </w:pPr>
      <w:r>
        <w:rPr>
          <w:b/>
          <w:color w:val="1F4E79"/>
        </w:rPr>
        <w:t>4. Recording and Tracking Blood Sugar Levels</w:t>
      </w:r>
      <w:r>
        <w:tab/>
        <w:t>5</w:t>
      </w:r>
    </w:p>
    <w:p w14:paraId="1C1BA1A4" w14:textId="77777777" w:rsidR="00672333" w:rsidRDefault="001116F4">
      <w:pPr>
        <w:tabs>
          <w:tab w:val="left" w:pos="8640"/>
        </w:tabs>
        <w:spacing w:after="160"/>
      </w:pPr>
      <w:r>
        <w:rPr>
          <w:b/>
          <w:color w:val="1F4E79"/>
        </w:rPr>
        <w:t>5. Evidence-Based Lifestyle Recommendations</w:t>
      </w:r>
      <w:r>
        <w:tab/>
        <w:t>6</w:t>
      </w:r>
    </w:p>
    <w:p w14:paraId="6B14D549" w14:textId="77777777" w:rsidR="00672333" w:rsidRDefault="001116F4">
      <w:pPr>
        <w:tabs>
          <w:tab w:val="left" w:pos="8640"/>
        </w:tabs>
        <w:spacing w:after="160"/>
      </w:pPr>
      <w:r>
        <w:rPr>
          <w:b/>
          <w:color w:val="1F4E79"/>
        </w:rPr>
        <w:t>6. Conclusion</w:t>
      </w:r>
      <w:r>
        <w:tab/>
        <w:t>8</w:t>
      </w:r>
    </w:p>
    <w:p w14:paraId="19474104" w14:textId="77777777" w:rsidR="00672333" w:rsidRDefault="001116F4">
      <w:pPr>
        <w:tabs>
          <w:tab w:val="left" w:pos="8640"/>
        </w:tabs>
        <w:spacing w:after="160"/>
      </w:pPr>
      <w:r>
        <w:rPr>
          <w:b/>
          <w:color w:val="1F4E79"/>
        </w:rPr>
        <w:t>References</w:t>
      </w:r>
      <w:r>
        <w:tab/>
        <w:t>9</w:t>
      </w:r>
    </w:p>
    <w:p w14:paraId="5D95F4B8" w14:textId="77777777" w:rsidR="00672333" w:rsidRDefault="001116F4">
      <w:r>
        <w:br w:type="page"/>
      </w:r>
    </w:p>
    <w:p w14:paraId="5CDA0E82" w14:textId="77777777" w:rsidR="00672333" w:rsidRDefault="001116F4">
      <w:pPr>
        <w:pStyle w:val="Heading1"/>
      </w:pPr>
      <w:r>
        <w:lastRenderedPageBreak/>
        <w:t>1. Introduction</w:t>
      </w:r>
    </w:p>
    <w:p w14:paraId="346B7EFF" w14:textId="77777777" w:rsidR="00672333" w:rsidRDefault="001116F4">
      <w:pPr>
        <w:pStyle w:val="BodyText"/>
        <w:jc w:val="both"/>
      </w:pPr>
      <w:r>
        <w:t>This case study is written from the viewpoint of a practice nurse who supports patients in a general practice. More people attending the surgery are being diagnosed with diabetes, yet some have limited knowledge of the condition. They may not understand why their blood glucose changes, what their results mean, or how daily habits influence their health. Poor understanding can make treatment harder to follow and may delay recognition of symptoms that require action. The purpose of this report is therefore to</w:t>
      </w:r>
      <w:r>
        <w:t xml:space="preserve"> give an accessible explanation that could support a nurse-led education discussion.</w:t>
      </w:r>
    </w:p>
    <w:p w14:paraId="1AF3DA73" w14:textId="77777777" w:rsidR="00672333" w:rsidRDefault="001116F4">
      <w:pPr>
        <w:pStyle w:val="BodyText"/>
        <w:jc w:val="both"/>
      </w:pPr>
      <w:r>
        <w:t xml:space="preserve">Diabetes mellitus develops when glucose remains in the bloodstream at an abnormally high level. Insulin normally helps glucose leave the blood and enter body cells, where it can contribute to energy production. In Type 1 diabetes, the immune system damages the pancreatic cells that make insulin. Daily insulin replacement is therefore necessary (NHS, 2024). Type 2 diabetes is different. The body's tissues respond less effectively to insulin and, as the condition progresses, the pancreas may also become less </w:t>
      </w:r>
      <w:r>
        <w:t>able to produce enough of it (NHS, 2025). This report mainly considers Type 2 diabetes because education, monitoring, lifestyle support and medication are often coordinated through primary care.</w:t>
      </w:r>
    </w:p>
    <w:p w14:paraId="18103124" w14:textId="77777777" w:rsidR="00672333" w:rsidRDefault="001116F4">
      <w:pPr>
        <w:pStyle w:val="BodyText"/>
        <w:jc w:val="both"/>
      </w:pPr>
      <w:r>
        <w:t>The likelihood of Type 2 diabetes is affected by several factors, including excess body weight, a larger waist measurement, limited physical activity, age, raised blood pressure and family history. Diabetes UK also identifies a higher risk among people from South Asian, Black African, African-Caribbean and Chinese backgrounds (Diabetes UK, n.d.). Education should not be used to blame a patient. Its role is to help the person understand their results, take part in decisions and agree changes that are realist</w:t>
      </w:r>
      <w:r>
        <w:t>ic for their circumstances.</w:t>
      </w:r>
    </w:p>
    <w:tbl>
      <w:tblPr>
        <w:tblStyle w:val="TableGrid"/>
        <w:tblW w:w="0" w:type="auto"/>
        <w:jc w:val="center"/>
        <w:tblLook w:val="04A0" w:firstRow="1" w:lastRow="0" w:firstColumn="1" w:lastColumn="0" w:noHBand="0" w:noVBand="1"/>
      </w:tblPr>
      <w:tblGrid>
        <w:gridCol w:w="2408"/>
        <w:gridCol w:w="2410"/>
        <w:gridCol w:w="2410"/>
        <w:gridCol w:w="2410"/>
      </w:tblGrid>
      <w:tr w:rsidR="00672333" w14:paraId="0C93E259" w14:textId="77777777">
        <w:trPr>
          <w:cantSplit/>
          <w:jc w:val="center"/>
        </w:trPr>
        <w:tc>
          <w:tcPr>
            <w:tcW w:w="2412" w:type="dxa"/>
            <w:shd w:val="clear" w:color="auto" w:fill="5B9BD5"/>
            <w:tcMar>
              <w:top w:w="90" w:type="dxa"/>
              <w:left w:w="80" w:type="dxa"/>
              <w:bottom w:w="90" w:type="dxa"/>
              <w:right w:w="80" w:type="dxa"/>
            </w:tcMar>
            <w:vAlign w:val="center"/>
          </w:tcPr>
          <w:p w14:paraId="4039F0DE" w14:textId="77777777" w:rsidR="00672333" w:rsidRDefault="001116F4">
            <w:pPr>
              <w:jc w:val="center"/>
            </w:pPr>
            <w:r>
              <w:rPr>
                <w:b/>
                <w:color w:val="FFFFFF"/>
                <w:sz w:val="17"/>
              </w:rPr>
              <w:t>Insulin and glucose</w:t>
            </w:r>
          </w:p>
        </w:tc>
        <w:tc>
          <w:tcPr>
            <w:tcW w:w="2412" w:type="dxa"/>
            <w:shd w:val="clear" w:color="auto" w:fill="5B9BD5"/>
            <w:tcMar>
              <w:top w:w="90" w:type="dxa"/>
              <w:left w:w="80" w:type="dxa"/>
              <w:bottom w:w="90" w:type="dxa"/>
              <w:right w:w="80" w:type="dxa"/>
            </w:tcMar>
            <w:vAlign w:val="center"/>
          </w:tcPr>
          <w:p w14:paraId="09DA56BC" w14:textId="77777777" w:rsidR="00672333" w:rsidRDefault="001116F4">
            <w:pPr>
              <w:jc w:val="center"/>
            </w:pPr>
            <w:r>
              <w:rPr>
                <w:b/>
                <w:color w:val="FFFFFF"/>
                <w:sz w:val="17"/>
              </w:rPr>
              <w:t>Type 1 diabetes</w:t>
            </w:r>
          </w:p>
        </w:tc>
        <w:tc>
          <w:tcPr>
            <w:tcW w:w="2412" w:type="dxa"/>
            <w:shd w:val="clear" w:color="auto" w:fill="5B9BD5"/>
            <w:tcMar>
              <w:top w:w="90" w:type="dxa"/>
              <w:left w:w="80" w:type="dxa"/>
              <w:bottom w:w="90" w:type="dxa"/>
              <w:right w:w="80" w:type="dxa"/>
            </w:tcMar>
            <w:vAlign w:val="center"/>
          </w:tcPr>
          <w:p w14:paraId="183E14DC" w14:textId="77777777" w:rsidR="00672333" w:rsidRDefault="001116F4">
            <w:pPr>
              <w:jc w:val="center"/>
            </w:pPr>
            <w:r>
              <w:rPr>
                <w:b/>
                <w:color w:val="FFFFFF"/>
                <w:sz w:val="17"/>
              </w:rPr>
              <w:t>Type 2 diabetes</w:t>
            </w:r>
          </w:p>
        </w:tc>
        <w:tc>
          <w:tcPr>
            <w:tcW w:w="2412" w:type="dxa"/>
            <w:shd w:val="clear" w:color="auto" w:fill="5B9BD5"/>
            <w:tcMar>
              <w:top w:w="90" w:type="dxa"/>
              <w:left w:w="80" w:type="dxa"/>
              <w:bottom w:w="90" w:type="dxa"/>
              <w:right w:w="80" w:type="dxa"/>
            </w:tcMar>
            <w:vAlign w:val="center"/>
          </w:tcPr>
          <w:p w14:paraId="20B2F5FE" w14:textId="77777777" w:rsidR="00672333" w:rsidRDefault="001116F4">
            <w:pPr>
              <w:jc w:val="center"/>
            </w:pPr>
            <w:r>
              <w:rPr>
                <w:b/>
                <w:color w:val="FFFFFF"/>
                <w:sz w:val="17"/>
              </w:rPr>
              <w:t>Patient education</w:t>
            </w:r>
          </w:p>
        </w:tc>
      </w:tr>
      <w:tr w:rsidR="00672333" w14:paraId="36EF64A9" w14:textId="77777777">
        <w:trPr>
          <w:cantSplit/>
          <w:jc w:val="center"/>
        </w:trPr>
        <w:tc>
          <w:tcPr>
            <w:tcW w:w="2412" w:type="dxa"/>
            <w:shd w:val="clear" w:color="auto" w:fill="EAF2F8"/>
            <w:tcMar>
              <w:top w:w="90" w:type="dxa"/>
              <w:left w:w="80" w:type="dxa"/>
              <w:bottom w:w="90" w:type="dxa"/>
              <w:right w:w="80" w:type="dxa"/>
            </w:tcMar>
            <w:vAlign w:val="center"/>
          </w:tcPr>
          <w:p w14:paraId="205F3857" w14:textId="77777777" w:rsidR="00672333" w:rsidRDefault="001116F4">
            <w:pPr>
              <w:jc w:val="center"/>
            </w:pPr>
            <w:r>
              <w:rPr>
                <w:sz w:val="17"/>
              </w:rPr>
              <w:t>Insulin helps glucose move from the blood into body cells so it can be used or stored.</w:t>
            </w:r>
          </w:p>
        </w:tc>
        <w:tc>
          <w:tcPr>
            <w:tcW w:w="2412" w:type="dxa"/>
            <w:shd w:val="clear" w:color="auto" w:fill="EAF2F8"/>
            <w:tcMar>
              <w:top w:w="90" w:type="dxa"/>
              <w:left w:w="80" w:type="dxa"/>
              <w:bottom w:w="90" w:type="dxa"/>
              <w:right w:w="80" w:type="dxa"/>
            </w:tcMar>
            <w:vAlign w:val="center"/>
          </w:tcPr>
          <w:p w14:paraId="00012A71" w14:textId="77777777" w:rsidR="00672333" w:rsidRDefault="001116F4">
            <w:pPr>
              <w:jc w:val="center"/>
            </w:pPr>
            <w:r>
              <w:rPr>
                <w:sz w:val="17"/>
              </w:rPr>
              <w:t>The immune system damages insulin-producing cells. Insulin replacement is required.</w:t>
            </w:r>
          </w:p>
        </w:tc>
        <w:tc>
          <w:tcPr>
            <w:tcW w:w="2412" w:type="dxa"/>
            <w:shd w:val="clear" w:color="auto" w:fill="EAF2F8"/>
            <w:tcMar>
              <w:top w:w="90" w:type="dxa"/>
              <w:left w:w="80" w:type="dxa"/>
              <w:bottom w:w="90" w:type="dxa"/>
              <w:right w:w="80" w:type="dxa"/>
            </w:tcMar>
            <w:vAlign w:val="center"/>
          </w:tcPr>
          <w:p w14:paraId="47C5D371" w14:textId="77777777" w:rsidR="00672333" w:rsidRDefault="001116F4">
            <w:pPr>
              <w:jc w:val="center"/>
            </w:pPr>
            <w:r>
              <w:rPr>
                <w:sz w:val="17"/>
              </w:rPr>
              <w:t>Tissues become less responsive to insulin and insulin production may fall over time.</w:t>
            </w:r>
          </w:p>
        </w:tc>
        <w:tc>
          <w:tcPr>
            <w:tcW w:w="2412" w:type="dxa"/>
            <w:shd w:val="clear" w:color="auto" w:fill="EAF2F8"/>
            <w:tcMar>
              <w:top w:w="90" w:type="dxa"/>
              <w:left w:w="80" w:type="dxa"/>
              <w:bottom w:w="90" w:type="dxa"/>
              <w:right w:w="80" w:type="dxa"/>
            </w:tcMar>
            <w:vAlign w:val="center"/>
          </w:tcPr>
          <w:p w14:paraId="0B4D7E35" w14:textId="77777777" w:rsidR="00672333" w:rsidRDefault="001116F4">
            <w:pPr>
              <w:jc w:val="center"/>
            </w:pPr>
            <w:r>
              <w:rPr>
                <w:sz w:val="17"/>
              </w:rPr>
              <w:t>Explain results, recognise warning signs, agree realistic goals and support shared decisions.</w:t>
            </w:r>
          </w:p>
        </w:tc>
      </w:tr>
    </w:tbl>
    <w:p w14:paraId="18F58415" w14:textId="77777777" w:rsidR="00672333" w:rsidRDefault="001116F4">
      <w:pPr>
        <w:pStyle w:val="Caption"/>
        <w:spacing w:before="80"/>
      </w:pPr>
      <w:r>
        <w:t>Figure 1. Overview of diabetes and the purpose of patient education (based on NHS, 2024; NHS, 2025; Diabetes UK, n.d.).</w:t>
      </w:r>
    </w:p>
    <w:p w14:paraId="1DD8E78F" w14:textId="77777777" w:rsidR="00672333" w:rsidRDefault="001116F4">
      <w:pPr>
        <w:pStyle w:val="Heading1"/>
      </w:pPr>
      <w:r>
        <w:t>2. Blood Sugar Regulation</w:t>
      </w:r>
    </w:p>
    <w:p w14:paraId="253808D5" w14:textId="77777777" w:rsidR="00672333" w:rsidRDefault="001116F4">
      <w:pPr>
        <w:pStyle w:val="BodyText"/>
        <w:jc w:val="both"/>
      </w:pPr>
      <w:r>
        <w:t xml:space="preserve">Homeostasis refers to the body's ability to keep internal conditions within workable limits. Blood glucose must be controlled because the brain and other tissues rely on a continuing supply of glucose. For the purposes of this case study, the assessment brief gives an approximate fasting range of 4-6 mmol/L. A level above the desired range is described as hyperglycaemia. It can be associated with thirst, frequent urination, tiredness and blurred vision, while persistent high glucose can harm blood vessels, </w:t>
      </w:r>
      <w:r>
        <w:t xml:space="preserve">nerves and organs. Hypoglycaemia occurs when glucose falls too low. </w:t>
      </w:r>
      <w:r>
        <w:lastRenderedPageBreak/>
        <w:t>Possible signs include sweating, trembling, hunger and confusion, and severe episodes may result in unconsciousness. Negative feedback reduces these changes and moves the level back towards the usual range.</w:t>
      </w:r>
    </w:p>
    <w:tbl>
      <w:tblPr>
        <w:tblStyle w:val="TableGrid"/>
        <w:tblW w:w="0" w:type="auto"/>
        <w:jc w:val="center"/>
        <w:tblLook w:val="04A0" w:firstRow="1" w:lastRow="0" w:firstColumn="1" w:lastColumn="0" w:noHBand="0" w:noVBand="1"/>
      </w:tblPr>
      <w:tblGrid>
        <w:gridCol w:w="3213"/>
        <w:gridCol w:w="3212"/>
        <w:gridCol w:w="3213"/>
      </w:tblGrid>
      <w:tr w:rsidR="00672333" w14:paraId="4E10CCD8" w14:textId="77777777">
        <w:trPr>
          <w:cantSplit/>
          <w:jc w:val="center"/>
        </w:trPr>
        <w:tc>
          <w:tcPr>
            <w:tcW w:w="3216" w:type="dxa"/>
            <w:shd w:val="clear" w:color="auto" w:fill="F4CCCC"/>
            <w:tcMar>
              <w:top w:w="90" w:type="dxa"/>
              <w:left w:w="100" w:type="dxa"/>
              <w:bottom w:w="90" w:type="dxa"/>
              <w:right w:w="100" w:type="dxa"/>
            </w:tcMar>
            <w:vAlign w:val="center"/>
          </w:tcPr>
          <w:p w14:paraId="71B78979" w14:textId="77777777" w:rsidR="00672333" w:rsidRDefault="001116F4">
            <w:pPr>
              <w:jc w:val="center"/>
            </w:pPr>
            <w:r>
              <w:rPr>
                <w:b/>
                <w:sz w:val="17"/>
              </w:rPr>
              <w:t>Below 4 mmol/L</w:t>
            </w:r>
          </w:p>
        </w:tc>
        <w:tc>
          <w:tcPr>
            <w:tcW w:w="3216" w:type="dxa"/>
            <w:shd w:val="clear" w:color="auto" w:fill="D9EAD3"/>
            <w:tcMar>
              <w:top w:w="90" w:type="dxa"/>
              <w:left w:w="100" w:type="dxa"/>
              <w:bottom w:w="90" w:type="dxa"/>
              <w:right w:w="100" w:type="dxa"/>
            </w:tcMar>
            <w:vAlign w:val="center"/>
          </w:tcPr>
          <w:p w14:paraId="2921ECB5" w14:textId="77777777" w:rsidR="00672333" w:rsidRDefault="001116F4">
            <w:pPr>
              <w:jc w:val="center"/>
            </w:pPr>
            <w:r>
              <w:rPr>
                <w:b/>
                <w:sz w:val="17"/>
              </w:rPr>
              <w:t>Approx. 4-6 mmol/L</w:t>
            </w:r>
          </w:p>
        </w:tc>
        <w:tc>
          <w:tcPr>
            <w:tcW w:w="3216" w:type="dxa"/>
            <w:shd w:val="clear" w:color="auto" w:fill="F4CCCC"/>
            <w:tcMar>
              <w:top w:w="90" w:type="dxa"/>
              <w:left w:w="100" w:type="dxa"/>
              <w:bottom w:w="90" w:type="dxa"/>
              <w:right w:w="100" w:type="dxa"/>
            </w:tcMar>
            <w:vAlign w:val="center"/>
          </w:tcPr>
          <w:p w14:paraId="15829813" w14:textId="77777777" w:rsidR="00672333" w:rsidRDefault="001116F4">
            <w:pPr>
              <w:jc w:val="center"/>
            </w:pPr>
            <w:r>
              <w:rPr>
                <w:b/>
                <w:sz w:val="17"/>
              </w:rPr>
              <w:t>Above 6 mmol/L</w:t>
            </w:r>
          </w:p>
        </w:tc>
      </w:tr>
      <w:tr w:rsidR="00672333" w14:paraId="5CA6B996" w14:textId="77777777">
        <w:trPr>
          <w:cantSplit/>
          <w:jc w:val="center"/>
        </w:trPr>
        <w:tc>
          <w:tcPr>
            <w:tcW w:w="3216" w:type="dxa"/>
            <w:shd w:val="clear" w:color="auto" w:fill="FAFAFA"/>
            <w:tcMar>
              <w:top w:w="90" w:type="dxa"/>
              <w:left w:w="100" w:type="dxa"/>
              <w:bottom w:w="90" w:type="dxa"/>
              <w:right w:w="100" w:type="dxa"/>
            </w:tcMar>
            <w:vAlign w:val="center"/>
          </w:tcPr>
          <w:p w14:paraId="758F604B" w14:textId="77777777" w:rsidR="00672333" w:rsidRDefault="001116F4">
            <w:pPr>
              <w:jc w:val="center"/>
            </w:pPr>
            <w:r>
              <w:rPr>
                <w:sz w:val="17"/>
              </w:rPr>
              <w:t>Too low (hypoglycaemia): sweating, shaking, hunger or confusion.</w:t>
            </w:r>
          </w:p>
        </w:tc>
        <w:tc>
          <w:tcPr>
            <w:tcW w:w="3216" w:type="dxa"/>
            <w:shd w:val="clear" w:color="auto" w:fill="FAFAFA"/>
            <w:tcMar>
              <w:top w:w="90" w:type="dxa"/>
              <w:left w:w="100" w:type="dxa"/>
              <w:bottom w:w="90" w:type="dxa"/>
              <w:right w:w="100" w:type="dxa"/>
            </w:tcMar>
            <w:vAlign w:val="center"/>
          </w:tcPr>
          <w:p w14:paraId="186E17AF" w14:textId="77777777" w:rsidR="00672333" w:rsidRDefault="001116F4">
            <w:pPr>
              <w:jc w:val="center"/>
            </w:pPr>
            <w:r>
              <w:rPr>
                <w:sz w:val="17"/>
              </w:rPr>
              <w:t>Target range used in this report: cells receive a steady glucose supply.</w:t>
            </w:r>
          </w:p>
        </w:tc>
        <w:tc>
          <w:tcPr>
            <w:tcW w:w="3216" w:type="dxa"/>
            <w:shd w:val="clear" w:color="auto" w:fill="FAFAFA"/>
            <w:tcMar>
              <w:top w:w="90" w:type="dxa"/>
              <w:left w:w="100" w:type="dxa"/>
              <w:bottom w:w="90" w:type="dxa"/>
              <w:right w:w="100" w:type="dxa"/>
            </w:tcMar>
            <w:vAlign w:val="center"/>
          </w:tcPr>
          <w:p w14:paraId="528F4068" w14:textId="77777777" w:rsidR="00672333" w:rsidRDefault="001116F4">
            <w:pPr>
              <w:jc w:val="center"/>
            </w:pPr>
            <w:r>
              <w:rPr>
                <w:sz w:val="17"/>
              </w:rPr>
              <w:t>Too high (hyperglycaemia): thirst, frequent urination, tiredness or blurred vision.</w:t>
            </w:r>
          </w:p>
        </w:tc>
      </w:tr>
    </w:tbl>
    <w:p w14:paraId="032A873D" w14:textId="77777777" w:rsidR="00672333" w:rsidRDefault="001116F4">
      <w:pPr>
        <w:pStyle w:val="Caption"/>
        <w:spacing w:before="80"/>
      </w:pPr>
      <w:r>
        <w:t>Figure 2. Simplified blood-glucose range used in this case study.</w:t>
      </w:r>
    </w:p>
    <w:p w14:paraId="1192D72D" w14:textId="77777777" w:rsidR="00672333" w:rsidRDefault="001116F4">
      <w:pPr>
        <w:pStyle w:val="BodyText"/>
        <w:jc w:val="both"/>
      </w:pPr>
      <w:r>
        <w:t>The pancreas is positioned behind the stomach. It contains endocrine clusters called the islets of Langerhans. Beta cells in the islets secrete insulin, whereas alpha cells release glucagon (Betts et al., 2022). Following a meal that contains carbohydrate, digestion increases the amount of glucose entering the blood. Pancreatic beta cells detect this rise and respond by releasing insulin. The hormone attaches to receptors on target cells and promotes glucose uptake, especially in skeletal muscle and adipose</w:t>
      </w:r>
      <w:r>
        <w:t xml:space="preserve"> tissue. One part of this response is the movement of GLUT4 transport proteins towards the cell surface, allowing glucose to pass into the cell.</w:t>
      </w:r>
    </w:p>
    <w:p w14:paraId="49558CAD" w14:textId="77777777" w:rsidR="00672333" w:rsidRDefault="001116F4">
      <w:pPr>
        <w:pStyle w:val="BodyText"/>
        <w:jc w:val="both"/>
      </w:pPr>
      <w:r>
        <w:t>Insulin also favours glycogenesis. During this process, glucose is converted into glycogen and stored, mainly in the liver and skeletal muscles. At the same time, the liver is encouraged to release less glucose. These actions gradually lower the blood concentration. As the original increase is corrected, insulin secretion also reduces. This is a negative-feedback response because the body's action works against the initial change.</w:t>
      </w:r>
    </w:p>
    <w:p w14:paraId="7202A395" w14:textId="77777777" w:rsidR="00672333" w:rsidRDefault="001116F4">
      <w:pPr>
        <w:pStyle w:val="BodyText"/>
        <w:jc w:val="both"/>
      </w:pPr>
      <w:r>
        <w:t>A different response is needed between meals, during fasting or during lengthy exercise. Cells continue to use glucose, so the circulating level may begin to fall. Alpha cells then release glucagon. Its principal target is the liver, where it promotes glycogenolysis, meaning that stored glycogen is broken down. Glucose is released from the liver into the blood and the level rises again. When glycogen stores are limited, glucagon also supports the formation of new glucose. Once the low level has been correct</w:t>
      </w:r>
      <w:r>
        <w:t>ed, glucagon release decreases.</w:t>
      </w:r>
    </w:p>
    <w:tbl>
      <w:tblPr>
        <w:tblStyle w:val="TableGrid"/>
        <w:tblW w:w="0" w:type="auto"/>
        <w:jc w:val="center"/>
        <w:tblLook w:val="04A0" w:firstRow="1" w:lastRow="0" w:firstColumn="1" w:lastColumn="0" w:noHBand="0" w:noVBand="1"/>
      </w:tblPr>
      <w:tblGrid>
        <w:gridCol w:w="1927"/>
        <w:gridCol w:w="1927"/>
        <w:gridCol w:w="1928"/>
        <w:gridCol w:w="1928"/>
        <w:gridCol w:w="1928"/>
      </w:tblGrid>
      <w:tr w:rsidR="00672333" w14:paraId="489F2FC0" w14:textId="77777777">
        <w:trPr>
          <w:cantSplit/>
          <w:jc w:val="center"/>
        </w:trPr>
        <w:tc>
          <w:tcPr>
            <w:tcW w:w="9650" w:type="dxa"/>
            <w:gridSpan w:val="5"/>
            <w:shd w:val="clear" w:color="auto" w:fill="4472C4"/>
            <w:tcMar>
              <w:top w:w="80" w:type="dxa"/>
              <w:left w:w="55" w:type="dxa"/>
              <w:bottom w:w="80" w:type="dxa"/>
              <w:right w:w="55" w:type="dxa"/>
            </w:tcMar>
            <w:vAlign w:val="center"/>
          </w:tcPr>
          <w:p w14:paraId="6A4A8A0E" w14:textId="77777777" w:rsidR="00672333" w:rsidRDefault="001116F4">
            <w:pPr>
              <w:jc w:val="center"/>
            </w:pPr>
            <w:r>
              <w:rPr>
                <w:b/>
                <w:color w:val="FFFFFF"/>
                <w:sz w:val="18"/>
              </w:rPr>
              <w:t>Negative-feedback control of blood glucose</w:t>
            </w:r>
          </w:p>
        </w:tc>
      </w:tr>
      <w:tr w:rsidR="00672333" w14:paraId="5E82719D" w14:textId="77777777">
        <w:trPr>
          <w:cantSplit/>
          <w:jc w:val="center"/>
        </w:trPr>
        <w:tc>
          <w:tcPr>
            <w:tcW w:w="1930" w:type="dxa"/>
            <w:shd w:val="clear" w:color="auto" w:fill="E2F0D9"/>
            <w:tcMar>
              <w:top w:w="80" w:type="dxa"/>
              <w:left w:w="55" w:type="dxa"/>
              <w:bottom w:w="80" w:type="dxa"/>
              <w:right w:w="55" w:type="dxa"/>
            </w:tcMar>
            <w:vAlign w:val="center"/>
          </w:tcPr>
          <w:p w14:paraId="1DF7AB79" w14:textId="77777777" w:rsidR="00672333" w:rsidRDefault="001116F4">
            <w:pPr>
              <w:jc w:val="center"/>
            </w:pPr>
            <w:r>
              <w:rPr>
                <w:sz w:val="15"/>
              </w:rPr>
              <w:t>Glucose rises after a meal</w:t>
            </w:r>
          </w:p>
        </w:tc>
        <w:tc>
          <w:tcPr>
            <w:tcW w:w="1930" w:type="dxa"/>
            <w:shd w:val="clear" w:color="auto" w:fill="E2F0D9"/>
            <w:tcMar>
              <w:top w:w="80" w:type="dxa"/>
              <w:left w:w="55" w:type="dxa"/>
              <w:bottom w:w="80" w:type="dxa"/>
              <w:right w:w="55" w:type="dxa"/>
            </w:tcMar>
            <w:vAlign w:val="center"/>
          </w:tcPr>
          <w:p w14:paraId="417A08D0" w14:textId="77777777" w:rsidR="00672333" w:rsidRDefault="001116F4">
            <w:pPr>
              <w:jc w:val="center"/>
            </w:pPr>
            <w:r>
              <w:rPr>
                <w:sz w:val="15"/>
              </w:rPr>
              <w:t>Beta cells detect the rise</w:t>
            </w:r>
          </w:p>
        </w:tc>
        <w:tc>
          <w:tcPr>
            <w:tcW w:w="1930" w:type="dxa"/>
            <w:shd w:val="clear" w:color="auto" w:fill="E2F0D9"/>
            <w:tcMar>
              <w:top w:w="80" w:type="dxa"/>
              <w:left w:w="55" w:type="dxa"/>
              <w:bottom w:w="80" w:type="dxa"/>
              <w:right w:w="55" w:type="dxa"/>
            </w:tcMar>
            <w:vAlign w:val="center"/>
          </w:tcPr>
          <w:p w14:paraId="01B0F4D3" w14:textId="77777777" w:rsidR="00672333" w:rsidRDefault="001116F4">
            <w:pPr>
              <w:jc w:val="center"/>
            </w:pPr>
            <w:r>
              <w:rPr>
                <w:sz w:val="15"/>
              </w:rPr>
              <w:t>Insulin is released</w:t>
            </w:r>
          </w:p>
        </w:tc>
        <w:tc>
          <w:tcPr>
            <w:tcW w:w="1930" w:type="dxa"/>
            <w:shd w:val="clear" w:color="auto" w:fill="E2F0D9"/>
            <w:tcMar>
              <w:top w:w="80" w:type="dxa"/>
              <w:left w:w="55" w:type="dxa"/>
              <w:bottom w:w="80" w:type="dxa"/>
              <w:right w:w="55" w:type="dxa"/>
            </w:tcMar>
            <w:vAlign w:val="center"/>
          </w:tcPr>
          <w:p w14:paraId="7CACED48" w14:textId="77777777" w:rsidR="00672333" w:rsidRDefault="001116F4">
            <w:pPr>
              <w:jc w:val="center"/>
            </w:pPr>
            <w:r>
              <w:rPr>
                <w:sz w:val="15"/>
              </w:rPr>
              <w:t>Uptake and glycogen storage increase</w:t>
            </w:r>
          </w:p>
        </w:tc>
        <w:tc>
          <w:tcPr>
            <w:tcW w:w="1930" w:type="dxa"/>
            <w:shd w:val="clear" w:color="auto" w:fill="E2F0D9"/>
            <w:tcMar>
              <w:top w:w="80" w:type="dxa"/>
              <w:left w:w="55" w:type="dxa"/>
              <w:bottom w:w="80" w:type="dxa"/>
              <w:right w:w="55" w:type="dxa"/>
            </w:tcMar>
            <w:vAlign w:val="center"/>
          </w:tcPr>
          <w:p w14:paraId="1117F0ED" w14:textId="77777777" w:rsidR="00672333" w:rsidRDefault="001116F4">
            <w:pPr>
              <w:jc w:val="center"/>
            </w:pPr>
            <w:r>
              <w:rPr>
                <w:sz w:val="15"/>
              </w:rPr>
              <w:t>Glucose falls; insulin release reduces</w:t>
            </w:r>
          </w:p>
        </w:tc>
      </w:tr>
      <w:tr w:rsidR="00672333" w14:paraId="3AF22A4D" w14:textId="77777777">
        <w:trPr>
          <w:cantSplit/>
          <w:jc w:val="center"/>
        </w:trPr>
        <w:tc>
          <w:tcPr>
            <w:tcW w:w="1930" w:type="dxa"/>
            <w:shd w:val="clear" w:color="auto" w:fill="DDEBF7"/>
            <w:tcMar>
              <w:top w:w="80" w:type="dxa"/>
              <w:left w:w="55" w:type="dxa"/>
              <w:bottom w:w="80" w:type="dxa"/>
              <w:right w:w="55" w:type="dxa"/>
            </w:tcMar>
            <w:vAlign w:val="center"/>
          </w:tcPr>
          <w:p w14:paraId="4D4D72BE" w14:textId="77777777" w:rsidR="00672333" w:rsidRDefault="001116F4">
            <w:pPr>
              <w:jc w:val="center"/>
            </w:pPr>
            <w:r>
              <w:rPr>
                <w:sz w:val="15"/>
              </w:rPr>
              <w:t>Glucose falls during fasting</w:t>
            </w:r>
          </w:p>
        </w:tc>
        <w:tc>
          <w:tcPr>
            <w:tcW w:w="1930" w:type="dxa"/>
            <w:shd w:val="clear" w:color="auto" w:fill="DDEBF7"/>
            <w:tcMar>
              <w:top w:w="80" w:type="dxa"/>
              <w:left w:w="55" w:type="dxa"/>
              <w:bottom w:w="80" w:type="dxa"/>
              <w:right w:w="55" w:type="dxa"/>
            </w:tcMar>
            <w:vAlign w:val="center"/>
          </w:tcPr>
          <w:p w14:paraId="2F37D3A4" w14:textId="77777777" w:rsidR="00672333" w:rsidRDefault="001116F4">
            <w:pPr>
              <w:jc w:val="center"/>
            </w:pPr>
            <w:r>
              <w:rPr>
                <w:sz w:val="15"/>
              </w:rPr>
              <w:t>Alpha cells detect the fall</w:t>
            </w:r>
          </w:p>
        </w:tc>
        <w:tc>
          <w:tcPr>
            <w:tcW w:w="1930" w:type="dxa"/>
            <w:shd w:val="clear" w:color="auto" w:fill="DDEBF7"/>
            <w:tcMar>
              <w:top w:w="80" w:type="dxa"/>
              <w:left w:w="55" w:type="dxa"/>
              <w:bottom w:w="80" w:type="dxa"/>
              <w:right w:w="55" w:type="dxa"/>
            </w:tcMar>
            <w:vAlign w:val="center"/>
          </w:tcPr>
          <w:p w14:paraId="0BBF14A5" w14:textId="77777777" w:rsidR="00672333" w:rsidRDefault="001116F4">
            <w:pPr>
              <w:jc w:val="center"/>
            </w:pPr>
            <w:r>
              <w:rPr>
                <w:sz w:val="15"/>
              </w:rPr>
              <w:t>Glucagon is released</w:t>
            </w:r>
          </w:p>
        </w:tc>
        <w:tc>
          <w:tcPr>
            <w:tcW w:w="1930" w:type="dxa"/>
            <w:shd w:val="clear" w:color="auto" w:fill="DDEBF7"/>
            <w:tcMar>
              <w:top w:w="80" w:type="dxa"/>
              <w:left w:w="55" w:type="dxa"/>
              <w:bottom w:w="80" w:type="dxa"/>
              <w:right w:w="55" w:type="dxa"/>
            </w:tcMar>
            <w:vAlign w:val="center"/>
          </w:tcPr>
          <w:p w14:paraId="3C87BE28" w14:textId="77777777" w:rsidR="00672333" w:rsidRDefault="001116F4">
            <w:pPr>
              <w:jc w:val="center"/>
            </w:pPr>
            <w:r>
              <w:rPr>
                <w:sz w:val="15"/>
              </w:rPr>
              <w:t>Liver breaks down glycogen</w:t>
            </w:r>
          </w:p>
        </w:tc>
        <w:tc>
          <w:tcPr>
            <w:tcW w:w="1930" w:type="dxa"/>
            <w:shd w:val="clear" w:color="auto" w:fill="DDEBF7"/>
            <w:tcMar>
              <w:top w:w="80" w:type="dxa"/>
              <w:left w:w="55" w:type="dxa"/>
              <w:bottom w:w="80" w:type="dxa"/>
              <w:right w:w="55" w:type="dxa"/>
            </w:tcMar>
            <w:vAlign w:val="center"/>
          </w:tcPr>
          <w:p w14:paraId="3E96D18F" w14:textId="77777777" w:rsidR="00672333" w:rsidRDefault="001116F4">
            <w:pPr>
              <w:jc w:val="center"/>
            </w:pPr>
            <w:r>
              <w:rPr>
                <w:sz w:val="15"/>
              </w:rPr>
              <w:t>Glucose rises; glucagon release reduces</w:t>
            </w:r>
          </w:p>
        </w:tc>
      </w:tr>
    </w:tbl>
    <w:p w14:paraId="774D8D28" w14:textId="77777777" w:rsidR="00672333" w:rsidRDefault="001116F4">
      <w:pPr>
        <w:pStyle w:val="Caption"/>
        <w:spacing w:before="80"/>
      </w:pPr>
      <w:r>
        <w:t>Figure 3. The opposing actions of insulin and glucagon in negative feedback (based on Betts et al., 2022).</w:t>
      </w:r>
    </w:p>
    <w:p w14:paraId="752D38C8" w14:textId="77777777" w:rsidR="00672333" w:rsidRDefault="001116F4">
      <w:pPr>
        <w:pStyle w:val="BodyText"/>
        <w:jc w:val="both"/>
      </w:pPr>
      <w:r>
        <w:t xml:space="preserve">In Type 2 diabetes, this control system becomes less effective. Muscle, liver and fat cells do not react to insulin as strongly as they should. Glucose therefore enters these tissues less easily and more of it remains in the circulation. At first, the pancreas may compensate by secreting additional insulin. Continued demand can place pressure on the beta cells, and their function may decline </w:t>
      </w:r>
      <w:r>
        <w:lastRenderedPageBreak/>
        <w:t>over time. This explains why management is wider than simply avoiding sugar. It aims to improve insulin sensitivity, lower excess glucose and reduce the risk of damage to organs.</w:t>
      </w:r>
    </w:p>
    <w:p w14:paraId="62E8373B" w14:textId="77777777" w:rsidR="00672333" w:rsidRDefault="001116F4">
      <w:pPr>
        <w:pStyle w:val="Heading1"/>
      </w:pPr>
      <w:r>
        <w:t>3. Oxygen and Glucose in Cellular Metabolism</w:t>
      </w:r>
    </w:p>
    <w:p w14:paraId="019BC5E7" w14:textId="77777777" w:rsidR="00672333" w:rsidRDefault="001116F4">
      <w:pPr>
        <w:pStyle w:val="BodyText"/>
        <w:jc w:val="both"/>
      </w:pPr>
      <w:r>
        <w:t>Glucose is also important because cells use it during respiration. Cellular respiration releases usable energy from nutrients. In aerobic conditions, glucose reacts with oxygen and produces carbon dioxide, water and energy. Much of that energy is captured in adenosine triphosphate, usually shortened to ATP. Cells use ATP for activities such as muscle contraction, active transport, nerve signalling, tissue growth, repair and temperature control (Betts et al., 2022).</w:t>
      </w:r>
    </w:p>
    <w:p w14:paraId="5003DEDF" w14:textId="77777777" w:rsidR="00672333" w:rsidRDefault="001116F4">
      <w:pPr>
        <w:pStyle w:val="BodyText"/>
        <w:jc w:val="both"/>
      </w:pPr>
      <w:r>
        <w:t xml:space="preserve">Aerobic respiration takes place through a sequence of connected stages. Glycolysis occurs in the cytoplasm, where one glucose molecule is divided into two pyruvate molecules. This stage provides a net yield of two ATP and produces reduced electron carriers. When oxygen is available, pyruvate moves into a mitochondrion. The link reaction prepares it for entry into the Krebs cycle, which occurs in the mitochondrial matrix. Carbon dioxide is released, a small amount of ATP is formed, and the carriers NADH and </w:t>
      </w:r>
      <w:r>
        <w:t>FADH2 receive high-energy electrons.</w:t>
      </w:r>
    </w:p>
    <w:p w14:paraId="3F89F471" w14:textId="77777777" w:rsidR="00672333" w:rsidRDefault="001116F4">
      <w:pPr>
        <w:pStyle w:val="BodyText"/>
        <w:jc w:val="both"/>
      </w:pPr>
      <w:r>
        <w:t>Most ATP is then generated through oxidative phosphorylation at the inner mitochondrial membrane. Folds called cristae provide a wide surface for the electron transport chain and ATP synthase. Electron transfer creates a proton gradient. As protons pass through ATP synthase, ATP is produced. Oxygen is essential at the end of the chain because it accepts electrons and combines with hydrogen to form water. A human cell may obtain roughly 30-32 ATP from one glucose molecule.</w:t>
      </w:r>
    </w:p>
    <w:p w14:paraId="2A7379C7" w14:textId="77777777" w:rsidR="00672333" w:rsidRDefault="001116F4">
      <w:pPr>
        <w:pStyle w:val="BodyText"/>
        <w:jc w:val="both"/>
      </w:pPr>
      <w:r>
        <w:t>When oxygen is insufficient, glycolysis can continue briefly if pyruvate is changed into lactate. Only two ATP are obtained, so this route is much less efficient. Lactate may accumulate during intense exercise or poor tissue oxygen delivery. Diabetes-related vascular damage can affect circulation, which makes oxygen delivery clinically relevant. Diabetic ketoacidosis should not be confused with lactate production. It results from severe insulin deficiency, increased fat breakdown and the accumulation of aci</w:t>
      </w:r>
      <w:r>
        <w:t>dic ketones, and it requires urgent treatment.</w:t>
      </w:r>
    </w:p>
    <w:tbl>
      <w:tblPr>
        <w:tblStyle w:val="TableGrid"/>
        <w:tblW w:w="0" w:type="auto"/>
        <w:jc w:val="center"/>
        <w:tblLook w:val="04A0" w:firstRow="1" w:lastRow="0" w:firstColumn="1" w:lastColumn="0" w:noHBand="0" w:noVBand="1"/>
      </w:tblPr>
      <w:tblGrid>
        <w:gridCol w:w="2409"/>
        <w:gridCol w:w="2410"/>
        <w:gridCol w:w="2409"/>
        <w:gridCol w:w="2410"/>
      </w:tblGrid>
      <w:tr w:rsidR="00672333" w14:paraId="79DC2810" w14:textId="77777777">
        <w:trPr>
          <w:cantSplit/>
          <w:jc w:val="center"/>
        </w:trPr>
        <w:tc>
          <w:tcPr>
            <w:tcW w:w="2412" w:type="dxa"/>
            <w:shd w:val="clear" w:color="auto" w:fill="5B9BD5"/>
            <w:tcMar>
              <w:top w:w="80" w:type="dxa"/>
              <w:left w:w="60" w:type="dxa"/>
              <w:bottom w:w="80" w:type="dxa"/>
              <w:right w:w="60" w:type="dxa"/>
            </w:tcMar>
            <w:vAlign w:val="center"/>
          </w:tcPr>
          <w:p w14:paraId="2B13A242" w14:textId="77777777" w:rsidR="00672333" w:rsidRDefault="001116F4">
            <w:pPr>
              <w:jc w:val="center"/>
            </w:pPr>
            <w:r>
              <w:rPr>
                <w:b/>
                <w:color w:val="FFFFFF"/>
                <w:sz w:val="16"/>
              </w:rPr>
              <w:t>Glycolysis</w:t>
            </w:r>
          </w:p>
        </w:tc>
        <w:tc>
          <w:tcPr>
            <w:tcW w:w="2412" w:type="dxa"/>
            <w:shd w:val="clear" w:color="auto" w:fill="5B9BD5"/>
            <w:tcMar>
              <w:top w:w="80" w:type="dxa"/>
              <w:left w:w="60" w:type="dxa"/>
              <w:bottom w:w="80" w:type="dxa"/>
              <w:right w:w="60" w:type="dxa"/>
            </w:tcMar>
            <w:vAlign w:val="center"/>
          </w:tcPr>
          <w:p w14:paraId="2B448516" w14:textId="77777777" w:rsidR="00672333" w:rsidRDefault="001116F4">
            <w:pPr>
              <w:jc w:val="center"/>
            </w:pPr>
            <w:r>
              <w:rPr>
                <w:b/>
                <w:color w:val="FFFFFF"/>
                <w:sz w:val="16"/>
              </w:rPr>
              <w:t>Link reaction</w:t>
            </w:r>
          </w:p>
        </w:tc>
        <w:tc>
          <w:tcPr>
            <w:tcW w:w="2412" w:type="dxa"/>
            <w:shd w:val="clear" w:color="auto" w:fill="5B9BD5"/>
            <w:tcMar>
              <w:top w:w="80" w:type="dxa"/>
              <w:left w:w="60" w:type="dxa"/>
              <w:bottom w:w="80" w:type="dxa"/>
              <w:right w:w="60" w:type="dxa"/>
            </w:tcMar>
            <w:vAlign w:val="center"/>
          </w:tcPr>
          <w:p w14:paraId="7EB25EED" w14:textId="77777777" w:rsidR="00672333" w:rsidRDefault="001116F4">
            <w:pPr>
              <w:jc w:val="center"/>
            </w:pPr>
            <w:r>
              <w:rPr>
                <w:b/>
                <w:color w:val="FFFFFF"/>
                <w:sz w:val="16"/>
              </w:rPr>
              <w:t>Krebs cycle</w:t>
            </w:r>
          </w:p>
        </w:tc>
        <w:tc>
          <w:tcPr>
            <w:tcW w:w="2412" w:type="dxa"/>
            <w:shd w:val="clear" w:color="auto" w:fill="5B9BD5"/>
            <w:tcMar>
              <w:top w:w="80" w:type="dxa"/>
              <w:left w:w="60" w:type="dxa"/>
              <w:bottom w:w="80" w:type="dxa"/>
              <w:right w:w="60" w:type="dxa"/>
            </w:tcMar>
            <w:vAlign w:val="center"/>
          </w:tcPr>
          <w:p w14:paraId="1BF0A44F" w14:textId="77777777" w:rsidR="00672333" w:rsidRDefault="001116F4">
            <w:pPr>
              <w:jc w:val="center"/>
            </w:pPr>
            <w:r>
              <w:rPr>
                <w:b/>
                <w:color w:val="FFFFFF"/>
                <w:sz w:val="16"/>
              </w:rPr>
              <w:t>Oxidative phosphorylation</w:t>
            </w:r>
          </w:p>
        </w:tc>
      </w:tr>
      <w:tr w:rsidR="00672333" w14:paraId="189D7051" w14:textId="77777777">
        <w:trPr>
          <w:cantSplit/>
          <w:jc w:val="center"/>
        </w:trPr>
        <w:tc>
          <w:tcPr>
            <w:tcW w:w="2412" w:type="dxa"/>
            <w:shd w:val="clear" w:color="auto" w:fill="EAF2F8"/>
            <w:tcMar>
              <w:top w:w="80" w:type="dxa"/>
              <w:left w:w="60" w:type="dxa"/>
              <w:bottom w:w="80" w:type="dxa"/>
              <w:right w:w="60" w:type="dxa"/>
            </w:tcMar>
            <w:vAlign w:val="center"/>
          </w:tcPr>
          <w:p w14:paraId="0DF9E4F4" w14:textId="77777777" w:rsidR="00672333" w:rsidRDefault="001116F4">
            <w:pPr>
              <w:jc w:val="center"/>
            </w:pPr>
            <w:r>
              <w:rPr>
                <w:sz w:val="16"/>
              </w:rPr>
              <w:t>Cytoplasm; glucose becomes two pyruvate; net two ATP.</w:t>
            </w:r>
          </w:p>
        </w:tc>
        <w:tc>
          <w:tcPr>
            <w:tcW w:w="2412" w:type="dxa"/>
            <w:shd w:val="clear" w:color="auto" w:fill="EAF2F8"/>
            <w:tcMar>
              <w:top w:w="80" w:type="dxa"/>
              <w:left w:w="60" w:type="dxa"/>
              <w:bottom w:w="80" w:type="dxa"/>
              <w:right w:w="60" w:type="dxa"/>
            </w:tcMar>
            <w:vAlign w:val="center"/>
          </w:tcPr>
          <w:p w14:paraId="46D110C6" w14:textId="77777777" w:rsidR="00672333" w:rsidRDefault="001116F4">
            <w:pPr>
              <w:jc w:val="center"/>
            </w:pPr>
            <w:r>
              <w:rPr>
                <w:sz w:val="16"/>
              </w:rPr>
              <w:t>Mitochondrial preparation of pyruvate for the Krebs cycle.</w:t>
            </w:r>
          </w:p>
        </w:tc>
        <w:tc>
          <w:tcPr>
            <w:tcW w:w="2412" w:type="dxa"/>
            <w:shd w:val="clear" w:color="auto" w:fill="EAF2F8"/>
            <w:tcMar>
              <w:top w:w="80" w:type="dxa"/>
              <w:left w:w="60" w:type="dxa"/>
              <w:bottom w:w="80" w:type="dxa"/>
              <w:right w:w="60" w:type="dxa"/>
            </w:tcMar>
            <w:vAlign w:val="center"/>
          </w:tcPr>
          <w:p w14:paraId="5D7D553E" w14:textId="77777777" w:rsidR="00672333" w:rsidRDefault="001116F4">
            <w:pPr>
              <w:jc w:val="center"/>
            </w:pPr>
            <w:r>
              <w:rPr>
                <w:sz w:val="16"/>
              </w:rPr>
              <w:t>Matrix; carbon dioxide, a small amount of ATP and reduced carriers.</w:t>
            </w:r>
          </w:p>
        </w:tc>
        <w:tc>
          <w:tcPr>
            <w:tcW w:w="2412" w:type="dxa"/>
            <w:shd w:val="clear" w:color="auto" w:fill="EAF2F8"/>
            <w:tcMar>
              <w:top w:w="80" w:type="dxa"/>
              <w:left w:w="60" w:type="dxa"/>
              <w:bottom w:w="80" w:type="dxa"/>
              <w:right w:w="60" w:type="dxa"/>
            </w:tcMar>
            <w:vAlign w:val="center"/>
          </w:tcPr>
          <w:p w14:paraId="2C3C1925" w14:textId="77777777" w:rsidR="00672333" w:rsidRDefault="001116F4">
            <w:pPr>
              <w:jc w:val="center"/>
            </w:pPr>
            <w:r>
              <w:rPr>
                <w:sz w:val="16"/>
              </w:rPr>
              <w:t>Inner membrane; electron transport, proton gradient and most ATP production.</w:t>
            </w:r>
          </w:p>
        </w:tc>
      </w:tr>
    </w:tbl>
    <w:p w14:paraId="6AEA9F07" w14:textId="77777777" w:rsidR="00672333" w:rsidRDefault="001116F4">
      <w:pPr>
        <w:pStyle w:val="Caption"/>
        <w:spacing w:before="80"/>
      </w:pPr>
      <w:r>
        <w:t>Figure 4. Main stages of aerobic cellular respiration (based on Betts et al., 2022).</w:t>
      </w:r>
    </w:p>
    <w:p w14:paraId="45E3B3F2" w14:textId="77777777" w:rsidR="00672333" w:rsidRDefault="001116F4">
      <w:pPr>
        <w:pStyle w:val="Heading1"/>
      </w:pPr>
      <w:r>
        <w:t>4. Recording and Tracking Blood Sugar Levels</w:t>
      </w:r>
    </w:p>
    <w:p w14:paraId="4B7B340A" w14:textId="77777777" w:rsidR="00672333" w:rsidRDefault="001116F4">
      <w:pPr>
        <w:pStyle w:val="BodyText"/>
        <w:jc w:val="both"/>
      </w:pPr>
      <w:r>
        <w:t xml:space="preserve">Blood-glucose records help a person connect their results with meals, activity, illness and medication. A single result shows what is happening at one moment, while a series of results can </w:t>
      </w:r>
      <w:r>
        <w:lastRenderedPageBreak/>
        <w:t>reveal a pattern. The Centers for Disease Control and Prevention states that monitoring can help patients work towards glucose targets and can provide the healthcare team with evidence for care-planning decisions (CDC, 2024).</w:t>
      </w:r>
    </w:p>
    <w:p w14:paraId="50883767" w14:textId="77777777" w:rsidR="00672333" w:rsidRDefault="001116F4">
      <w:pPr>
        <w:pStyle w:val="BodyText"/>
        <w:jc w:val="both"/>
      </w:pPr>
      <w:r>
        <w:t>A finger-prick test uses a lancet to produce a small drop of blood. The sample is applied to a test strip and the meter gives a glucose reading. Depending on the person's care plan, testing may be useful around meals, during illness, when symptoms are present or after a medicine linked to hypoglycaemia has been altered. The result is more useful when the patient also records relevant details, such as food intake, exercise or symptoms.</w:t>
      </w:r>
    </w:p>
    <w:p w14:paraId="14C2471B" w14:textId="77777777" w:rsidR="00672333" w:rsidRDefault="001116F4">
      <w:pPr>
        <w:pStyle w:val="BodyText"/>
        <w:jc w:val="both"/>
      </w:pPr>
      <w:r>
        <w:t>HbA1c provides a different type of information. It estimates average exposure to glucose over the previous two to three months. NICE recommends repeated HbA1c measurement, with the timing adjusted according to the stability of treatment and previous results (NICE, 2015). It supports assessment of longer-term control and helps the clinician and patient agree an individual target. However, it cannot show short daily rises or falls, so it should be interpreted alongside other information.</w:t>
      </w:r>
    </w:p>
    <w:p w14:paraId="7C2EA4BB" w14:textId="77777777" w:rsidR="00672333" w:rsidRDefault="001116F4">
      <w:pPr>
        <w:pStyle w:val="BodyText"/>
        <w:jc w:val="both"/>
      </w:pPr>
      <w:r>
        <w:t>A continuous glucose monitor estimates glucose in the fluid between cells through a sensor placed under the skin. Readings are produced frequently and shown as a trend. Some systems also provide alerts when glucose is changing quickly (National Institute of Diabetes and Digestive and Kidney Diseases, n.d.). The three approaches therefore answer different questions: a meter gives a current reading, HbA1c indicates longer-term exposure, and continuous monitoring displays direction and variation.</w:t>
      </w:r>
    </w:p>
    <w:tbl>
      <w:tblPr>
        <w:tblStyle w:val="TableGrid"/>
        <w:tblW w:w="0" w:type="auto"/>
        <w:jc w:val="center"/>
        <w:tblLook w:val="04A0" w:firstRow="1" w:lastRow="0" w:firstColumn="1" w:lastColumn="0" w:noHBand="0" w:noVBand="1"/>
      </w:tblPr>
      <w:tblGrid>
        <w:gridCol w:w="3212"/>
        <w:gridCol w:w="3213"/>
        <w:gridCol w:w="3213"/>
      </w:tblGrid>
      <w:tr w:rsidR="00672333" w14:paraId="13A5F672" w14:textId="77777777">
        <w:trPr>
          <w:cantSplit/>
          <w:jc w:val="center"/>
        </w:trPr>
        <w:tc>
          <w:tcPr>
            <w:tcW w:w="3216" w:type="dxa"/>
            <w:shd w:val="clear" w:color="auto" w:fill="70AD47"/>
            <w:tcMar>
              <w:top w:w="90" w:type="dxa"/>
              <w:left w:w="100" w:type="dxa"/>
              <w:bottom w:w="90" w:type="dxa"/>
              <w:right w:w="100" w:type="dxa"/>
            </w:tcMar>
            <w:vAlign w:val="center"/>
          </w:tcPr>
          <w:p w14:paraId="2472968B" w14:textId="77777777" w:rsidR="00672333" w:rsidRDefault="001116F4">
            <w:pPr>
              <w:jc w:val="center"/>
            </w:pPr>
            <w:r>
              <w:rPr>
                <w:b/>
                <w:color w:val="FFFFFF"/>
                <w:sz w:val="17"/>
              </w:rPr>
              <w:t>Finger-prick meter</w:t>
            </w:r>
          </w:p>
        </w:tc>
        <w:tc>
          <w:tcPr>
            <w:tcW w:w="3216" w:type="dxa"/>
            <w:shd w:val="clear" w:color="auto" w:fill="70AD47"/>
            <w:tcMar>
              <w:top w:w="90" w:type="dxa"/>
              <w:left w:w="100" w:type="dxa"/>
              <w:bottom w:w="90" w:type="dxa"/>
              <w:right w:w="100" w:type="dxa"/>
            </w:tcMar>
            <w:vAlign w:val="center"/>
          </w:tcPr>
          <w:p w14:paraId="5B0608AB" w14:textId="77777777" w:rsidR="00672333" w:rsidRDefault="001116F4">
            <w:pPr>
              <w:jc w:val="center"/>
            </w:pPr>
            <w:r>
              <w:rPr>
                <w:b/>
                <w:color w:val="FFFFFF"/>
                <w:sz w:val="17"/>
              </w:rPr>
              <w:t>HbA1c test</w:t>
            </w:r>
          </w:p>
        </w:tc>
        <w:tc>
          <w:tcPr>
            <w:tcW w:w="3216" w:type="dxa"/>
            <w:shd w:val="clear" w:color="auto" w:fill="70AD47"/>
            <w:tcMar>
              <w:top w:w="90" w:type="dxa"/>
              <w:left w:w="100" w:type="dxa"/>
              <w:bottom w:w="90" w:type="dxa"/>
              <w:right w:w="100" w:type="dxa"/>
            </w:tcMar>
            <w:vAlign w:val="center"/>
          </w:tcPr>
          <w:p w14:paraId="11876E7A" w14:textId="77777777" w:rsidR="00672333" w:rsidRDefault="001116F4">
            <w:pPr>
              <w:jc w:val="center"/>
            </w:pPr>
            <w:r>
              <w:rPr>
                <w:b/>
                <w:color w:val="FFFFFF"/>
                <w:sz w:val="17"/>
              </w:rPr>
              <w:t>Continuous glucose monitor</w:t>
            </w:r>
          </w:p>
        </w:tc>
      </w:tr>
      <w:tr w:rsidR="00672333" w14:paraId="498BF31F" w14:textId="77777777">
        <w:trPr>
          <w:cantSplit/>
          <w:jc w:val="center"/>
        </w:trPr>
        <w:tc>
          <w:tcPr>
            <w:tcW w:w="3216" w:type="dxa"/>
            <w:shd w:val="clear" w:color="auto" w:fill="E2F0D9"/>
            <w:tcMar>
              <w:top w:w="90" w:type="dxa"/>
              <w:left w:w="100" w:type="dxa"/>
              <w:bottom w:w="90" w:type="dxa"/>
              <w:right w:w="100" w:type="dxa"/>
            </w:tcMar>
            <w:vAlign w:val="center"/>
          </w:tcPr>
          <w:p w14:paraId="60EC28C3" w14:textId="77777777" w:rsidR="00672333" w:rsidRDefault="001116F4">
            <w:pPr>
              <w:jc w:val="center"/>
            </w:pPr>
            <w:r>
              <w:rPr>
                <w:sz w:val="17"/>
              </w:rPr>
              <w:t>A blood-drop result at a particular time. Useful for checking responses to meals, symptoms or medication.</w:t>
            </w:r>
          </w:p>
        </w:tc>
        <w:tc>
          <w:tcPr>
            <w:tcW w:w="3216" w:type="dxa"/>
            <w:shd w:val="clear" w:color="auto" w:fill="E2F0D9"/>
            <w:tcMar>
              <w:top w:w="90" w:type="dxa"/>
              <w:left w:w="100" w:type="dxa"/>
              <w:bottom w:w="90" w:type="dxa"/>
              <w:right w:w="100" w:type="dxa"/>
            </w:tcMar>
            <w:vAlign w:val="center"/>
          </w:tcPr>
          <w:p w14:paraId="5EE4A744" w14:textId="77777777" w:rsidR="00672333" w:rsidRDefault="001116F4">
            <w:pPr>
              <w:jc w:val="center"/>
            </w:pPr>
            <w:r>
              <w:rPr>
                <w:sz w:val="17"/>
              </w:rPr>
              <w:t>A blood test estimating average glucose exposure over roughly two to three months. Useful for long-term review.</w:t>
            </w:r>
          </w:p>
        </w:tc>
        <w:tc>
          <w:tcPr>
            <w:tcW w:w="3216" w:type="dxa"/>
            <w:shd w:val="clear" w:color="auto" w:fill="E2F0D9"/>
            <w:tcMar>
              <w:top w:w="90" w:type="dxa"/>
              <w:left w:w="100" w:type="dxa"/>
              <w:bottom w:w="90" w:type="dxa"/>
              <w:right w:w="100" w:type="dxa"/>
            </w:tcMar>
            <w:vAlign w:val="center"/>
          </w:tcPr>
          <w:p w14:paraId="04F1C129" w14:textId="77777777" w:rsidR="00672333" w:rsidRDefault="001116F4">
            <w:pPr>
              <w:jc w:val="center"/>
            </w:pPr>
            <w:r>
              <w:rPr>
                <w:sz w:val="17"/>
              </w:rPr>
              <w:t>A sensor that estimates glucose frequently and displays trends, rises, falls and alerts.</w:t>
            </w:r>
          </w:p>
        </w:tc>
      </w:tr>
    </w:tbl>
    <w:p w14:paraId="18FAD311" w14:textId="77777777" w:rsidR="00672333" w:rsidRDefault="001116F4">
      <w:pPr>
        <w:pStyle w:val="Caption"/>
        <w:spacing w:before="80"/>
      </w:pPr>
      <w:r>
        <w:t>Figure 5. Comparison of three approaches to glucose monitoring (based on CDC, 2024; NICE, 2015; National Institute of Diabetes and Digestive and Kidney Diseases, n.d.).</w:t>
      </w:r>
    </w:p>
    <w:p w14:paraId="697FEEBE" w14:textId="77777777" w:rsidR="00672333" w:rsidRDefault="001116F4">
      <w:pPr>
        <w:pStyle w:val="BodyText"/>
        <w:jc w:val="both"/>
      </w:pPr>
      <w:r>
        <w:t>Consistent recording can highlight repeated hyperglycaemia, possible hypoglycaemia and changes connected with a routine. This allows medication and care plans to be reviewed using evidence rather than assumptions. During a consultation, the practice nurse can help the patient interpret a pattern and choose a manageable response. This approach supports empowerment because the patient can see how actions and health results are linked.</w:t>
      </w:r>
    </w:p>
    <w:p w14:paraId="6BF6D85F" w14:textId="77777777" w:rsidR="00672333" w:rsidRDefault="001116F4">
      <w:pPr>
        <w:pStyle w:val="Heading1"/>
      </w:pPr>
      <w:r>
        <w:t>5. Evidence-Based Lifestyle Recommendations</w:t>
      </w:r>
    </w:p>
    <w:p w14:paraId="77D79D2F" w14:textId="77777777" w:rsidR="00672333" w:rsidRDefault="001116F4">
      <w:pPr>
        <w:pStyle w:val="BodyText"/>
        <w:jc w:val="both"/>
      </w:pPr>
      <w:r>
        <w:t xml:space="preserve">Lifestyle recommendations need to be adapted to the individual rather than delivered as rigid instructions. Culture, income, other health conditions, confidence and readiness to change may all affect what is practical. The American Diabetes Association includes diabetes self-management </w:t>
      </w:r>
      <w:r>
        <w:lastRenderedPageBreak/>
        <w:t>education, nutritious eating, physical activity, glucose monitoring and shared goal setting within effective diabetes care (American Diabetes Association, 2026).</w:t>
      </w:r>
    </w:p>
    <w:p w14:paraId="25B60AD6" w14:textId="77777777" w:rsidR="00672333" w:rsidRDefault="001116F4">
      <w:pPr>
        <w:pStyle w:val="BodyText"/>
        <w:jc w:val="both"/>
      </w:pPr>
      <w:r>
        <w:t>Food choices influence glucose after meals and can also affect body weight over time. A balanced plan can include more high-fibre carbohydrate sources, such as wholegrains, beans, lentils and vegetables, while reducing sugary drinks, refined carbohydrates and products containing large quantities of added sugar. Lower-glycaemic-index foods may lead to a slower rise in glucose, although the amount eaten still matters. A Mediterranean-style pattern based on vegetables, pulses, wholegrains, fish, nuts and unsat</w:t>
      </w:r>
      <w:r>
        <w:t>urated fats may support both glucose control and cardiovascular health. Patients should not be told that every carbohydrate is harmful. The focus should be on food quality, portions and the balance of the overall meal.</w:t>
      </w:r>
    </w:p>
    <w:p w14:paraId="53CA89D5" w14:textId="77777777" w:rsidR="00672333" w:rsidRDefault="001116F4">
      <w:pPr>
        <w:pStyle w:val="BodyText"/>
        <w:jc w:val="both"/>
      </w:pPr>
      <w:r>
        <w:t>For a patient who is living with overweight or obesity, supported weight loss may improve insulin sensitivity. The DiRECT study showed that an intensive weight-management programme delivered in primary care enabled some participants with Type 2 diabetes to enter remission, particularly when substantial weight loss was maintained (Lean et al., 2018). Remission is not the same as a permanent cure, and ongoing review remains necessary. A nurse should use a non-judgemental approach and agree achievable starting</w:t>
      </w:r>
      <w:r>
        <w:t xml:space="preserve"> points, such as replacing sugary drinks or paying closer attention to portions.</w:t>
      </w:r>
    </w:p>
    <w:p w14:paraId="1C16A545" w14:textId="77777777" w:rsidR="00672333" w:rsidRDefault="001116F4">
      <w:pPr>
        <w:pStyle w:val="BodyText"/>
        <w:jc w:val="both"/>
      </w:pPr>
      <w:r>
        <w:t>Physical activity increases the use of glucose by skeletal muscle and can improve the body's response to insulin. Aerobic options include walking at a brisk pace, cycling and swimming. Resistance activities can involve free weights, resistance bands or bodyweight movements. The American Diabetes Association recommends a combination of aerobic and resistance activity, adapted for the person's fitness, complications and medicines (American Diabetes Association, 2026). A commonly used goal for adults is at lea</w:t>
      </w:r>
      <w:r>
        <w:t>st 150 minutes of moderate activity across the week, together with muscle-strengthening work. Someone who is inactive may need to begin with short sessions and build gradually. Patients taking insulin or medicines that can cause hypoglycaemia may also require advice about monitoring and carrying a quick source of carbohydrate.</w:t>
      </w:r>
    </w:p>
    <w:p w14:paraId="2BCF0955" w14:textId="77777777" w:rsidR="00672333" w:rsidRDefault="001116F4">
      <w:pPr>
        <w:pStyle w:val="BodyText"/>
        <w:jc w:val="both"/>
      </w:pPr>
      <w:r>
        <w:t>Smoking adds to cardiovascular and circulatory risk. This is important because diabetes already increases the chance of heart disease, stroke, kidney problems and delayed wound healing. The practice nurse should ask about smoking without judgement, explain the health benefits of stopping and offer appropriate support. The World Health Organization recommends behavioural support combined with suitable medicines, including nicotine replacement or prescribed cessation treatment, for adults who wish to stop (Wo</w:t>
      </w:r>
      <w:r>
        <w:t>rld Health Organization, 2024). A setback should be treated as information about triggers rather than as a reason to withdraw support.</w:t>
      </w:r>
    </w:p>
    <w:p w14:paraId="40A5BD5F" w14:textId="77777777" w:rsidR="00672333" w:rsidRDefault="001116F4">
      <w:pPr>
        <w:pStyle w:val="BodyText"/>
        <w:jc w:val="both"/>
      </w:pPr>
      <w:r>
        <w:lastRenderedPageBreak/>
        <w:t>The final care plan should translate advice into actions that can be reviewed. For example, a patient could agree to record glucose as advised, swap sugary drinks, take a walk after selected evening meals and contact a stop-smoking service. At later appointments, the nurse and patient can assess what worked and change the plan where necessary. This keeps decisions shared and connects lifestyle support with measurable outcomes.</w:t>
      </w:r>
    </w:p>
    <w:p w14:paraId="315EC7E5" w14:textId="77777777" w:rsidR="00672333" w:rsidRDefault="001116F4">
      <w:pPr>
        <w:pStyle w:val="Heading1"/>
      </w:pPr>
      <w:r>
        <w:t>6. Conclusion</w:t>
      </w:r>
    </w:p>
    <w:p w14:paraId="1C2762A0" w14:textId="77777777" w:rsidR="00672333" w:rsidRDefault="001116F4">
      <w:pPr>
        <w:pStyle w:val="BodyText"/>
        <w:jc w:val="both"/>
      </w:pPr>
      <w:r>
        <w:t>Blood-glucose regulation depends on a negative-feedback relationship between insulin and glucagon. After food intake, insulin increases cellular glucose uptake, supports glycogen storage and limits glucose output from the liver. During fasting, glucagon raises the circulating level by encouraging the liver to break down glycogen and release glucose. In Type 2 diabetes, insulin resistance and declining beta-cell function weaken this regulation, so glucose may remain above the desired range. Glucose and oxyge</w:t>
      </w:r>
      <w:r>
        <w:t>n are also central to aerobic respiration, which provides ATP for normal cellular activity.</w:t>
      </w:r>
    </w:p>
    <w:p w14:paraId="2DFF6413" w14:textId="77777777" w:rsidR="00672333" w:rsidRDefault="001116F4">
      <w:pPr>
        <w:pStyle w:val="BodyText"/>
        <w:jc w:val="both"/>
      </w:pPr>
      <w:r>
        <w:t>Monitoring turns this physiology into information that can be used in everyday care. Finger-prick tests show the level at a specific time, HbA1c reflects longer-term exposure and continuous monitors show patterns and direction. When results are recorded and discussed, the patient and practice nurse can identify concerns, review treatment and make safer decisions.</w:t>
      </w:r>
    </w:p>
    <w:p w14:paraId="39AEFF79" w14:textId="77777777" w:rsidR="00672333" w:rsidRDefault="001116F4">
      <w:pPr>
        <w:pStyle w:val="BodyText"/>
        <w:jc w:val="both"/>
      </w:pPr>
      <w:r>
        <w:t>Diet, movement, weight management and stopping smoking can all support health, but recommendations need to fit the person's needs and circumstances. Type 2 diabetes is managed most effectively when the patient understands the condition and remains involved in regular review. Clear education, realistic goals and continued professional support can improve confidence and may lower the risk of future complications.</w:t>
      </w:r>
    </w:p>
    <w:p w14:paraId="098BA53E" w14:textId="77777777" w:rsidR="00672333" w:rsidRDefault="001116F4">
      <w:r>
        <w:br w:type="page"/>
      </w:r>
    </w:p>
    <w:p w14:paraId="4D4EFEA9" w14:textId="77777777" w:rsidR="00672333" w:rsidRDefault="001116F4">
      <w:pPr>
        <w:pStyle w:val="Heading1"/>
      </w:pPr>
      <w:r>
        <w:lastRenderedPageBreak/>
        <w:t>References</w:t>
      </w:r>
    </w:p>
    <w:p w14:paraId="6A8C69A4" w14:textId="77777777" w:rsidR="00672333" w:rsidRDefault="001116F4">
      <w:pPr>
        <w:pStyle w:val="References"/>
        <w:spacing w:after="140"/>
        <w:ind w:left="360" w:hanging="360"/>
      </w:pPr>
      <w:r>
        <w:t>American Diabetes Association (2026) '5. Facilitating positive health behaviors and well-being to improve health outcomes: Standards of Care in Diabetes-2026', Diabetes Care, 49(Supplement 1), pp. S89-S131. doi: 10.2337/dc26-S005.</w:t>
      </w:r>
    </w:p>
    <w:p w14:paraId="27BDA706" w14:textId="77777777" w:rsidR="00672333" w:rsidRDefault="001116F4">
      <w:pPr>
        <w:pStyle w:val="References"/>
        <w:spacing w:after="140"/>
        <w:ind w:left="360" w:hanging="360"/>
      </w:pPr>
      <w:r>
        <w:t>Betts, J.G., Young, K.A., Wise, J.A., Johnson, E., Poe, B., Kruse, D.H., Korol, O., Johnson, J.E., Womble, M. and DeSaix, P. (2022) Anatomy and Physiology 2e. Houston, TX: OpenStax. Available at: https://openstax.org/books/anatomy-and-physiology-2e/pages/1-introduction (Accessed: 1 August 2026).</w:t>
      </w:r>
    </w:p>
    <w:p w14:paraId="31BD60FB" w14:textId="77777777" w:rsidR="00672333" w:rsidRDefault="001116F4">
      <w:pPr>
        <w:pStyle w:val="References"/>
        <w:spacing w:after="140"/>
        <w:ind w:left="360" w:hanging="360"/>
      </w:pPr>
      <w:r>
        <w:t>Centers for Disease Control and Prevention (CDC) (2024) Monitoring your blood sugar. Available at: https://www.cdc.gov/diabetes/diabetes-testing/monitoring-blood-sugar.html (Accessed: 1 August 2026).</w:t>
      </w:r>
    </w:p>
    <w:p w14:paraId="493E41D1" w14:textId="77777777" w:rsidR="00672333" w:rsidRDefault="001116F4">
      <w:pPr>
        <w:pStyle w:val="References"/>
        <w:spacing w:after="140"/>
        <w:ind w:left="360" w:hanging="360"/>
      </w:pPr>
      <w:r>
        <w:t>Diabetes UK (n.d.) Type 2 diabetes risk factors. Available at: https://www.diabetes.org.uk/about-diabetes/type-2-diabetes/diabetes-risk-factors (Accessed: 1 August 2026).</w:t>
      </w:r>
    </w:p>
    <w:p w14:paraId="746FD773" w14:textId="77777777" w:rsidR="00672333" w:rsidRDefault="001116F4">
      <w:pPr>
        <w:pStyle w:val="References"/>
        <w:spacing w:after="140"/>
        <w:ind w:left="360" w:hanging="360"/>
      </w:pPr>
      <w:r>
        <w:t>Lean, M.E.J., Leslie, W.S., Barnes, A.C., Brosnahan, N., Thom, G., McCombie, L., Peters, C., Zhyzhneuskaya, S., Al-Mrabeh, A., Hollingsworth, K.G., Rodrigues, A.M., Rehackova, L., Adamson, A.J., Sniehotta, F.F., Mathers, J.C., Ross, H.M., McIlvenna, Y., Stefanetti, R., Trenell, M., Welsh, P., Kean, S., Ford, I., McConnachie, A., Sattar, N. and Taylor, R. (2018) 'Primary care-led weight management for remission of Type 2 diabetes (DiRECT): an open-label, cluster-randomised trial', The Lancet, 391(10120), pp.</w:t>
      </w:r>
      <w:r>
        <w:t xml:space="preserve"> 541-551. doi: 10.1016/S0140-6736(17)33102-1.</w:t>
      </w:r>
    </w:p>
    <w:p w14:paraId="01A93F88" w14:textId="77777777" w:rsidR="00672333" w:rsidRDefault="001116F4">
      <w:pPr>
        <w:pStyle w:val="References"/>
        <w:spacing w:after="140"/>
        <w:ind w:left="360" w:hanging="360"/>
      </w:pPr>
      <w:r>
        <w:t>National Health Service (NHS) (2024) What is Type 1 diabetes? Available at: https://www.nhs.uk/conditions/type-1-diabetes/what-is-type-1-diabetes/ (Accessed: 1 August 2026).</w:t>
      </w:r>
    </w:p>
    <w:p w14:paraId="54F6F555" w14:textId="77777777" w:rsidR="00672333" w:rsidRDefault="001116F4">
      <w:pPr>
        <w:pStyle w:val="References"/>
        <w:spacing w:after="140"/>
        <w:ind w:left="360" w:hanging="360"/>
      </w:pPr>
      <w:r>
        <w:t>National Health Service (NHS) (2025) What is Type 2 diabetes? Available at: https://www.nhs.uk/conditions/type-2-diabetes/what-is-type-2-diabetes/ (Accessed: 1 August 2026).</w:t>
      </w:r>
    </w:p>
    <w:p w14:paraId="212EAF2D" w14:textId="77777777" w:rsidR="00672333" w:rsidRDefault="001116F4">
      <w:pPr>
        <w:pStyle w:val="References"/>
        <w:spacing w:after="140"/>
        <w:ind w:left="360" w:hanging="360"/>
      </w:pPr>
      <w:r>
        <w:t>National Institute for Health and Care Excellence (NICE) (2015) Type 2 diabetes in adults: management. NICE guideline NG28. Updated 18 February 2026. Available at: https://www.nice.org.uk/guidance/ng28 (Accessed: 1 August 2026).</w:t>
      </w:r>
    </w:p>
    <w:p w14:paraId="17030281" w14:textId="77777777" w:rsidR="00672333" w:rsidRDefault="001116F4">
      <w:pPr>
        <w:pStyle w:val="References"/>
        <w:spacing w:after="140"/>
        <w:ind w:left="360" w:hanging="360"/>
      </w:pPr>
      <w:r>
        <w:t>National Institute of Diabetes and Digestive and Kidney Diseases (n.d.) Continuous glucose monitoring. Available at: https://www.niddk.nih.gov/health-information/diabetes/overview/managing-diabetes/continuous-glucose-monitoring (Accessed: 1 August 2026).</w:t>
      </w:r>
    </w:p>
    <w:p w14:paraId="6983C855" w14:textId="77777777" w:rsidR="00672333" w:rsidRDefault="001116F4">
      <w:pPr>
        <w:pStyle w:val="References"/>
        <w:spacing w:after="140"/>
        <w:ind w:left="360" w:hanging="360"/>
      </w:pPr>
      <w:r>
        <w:t>World Health Organization (2024) WHO clinical treatment guideline for tobacco cessation in adults. Geneva: World Health Organization. Available at: https://www.who.int/publications/i/item/9789240096431 (Accessed: 1 August 2026).</w:t>
      </w:r>
    </w:p>
    <w:sectPr w:rsidR="00672333" w:rsidSect="001116F4">
      <w:headerReference w:type="default" r:id="rId8"/>
      <w:footerReference w:type="default" r:id="rId9"/>
      <w:pgSz w:w="12240" w:h="15840"/>
      <w:pgMar w:top="1080"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30F60" w14:textId="77777777" w:rsidR="001116F4" w:rsidRDefault="001116F4">
      <w:pPr>
        <w:spacing w:after="0" w:line="240" w:lineRule="auto"/>
      </w:pPr>
      <w:r>
        <w:separator/>
      </w:r>
    </w:p>
  </w:endnote>
  <w:endnote w:type="continuationSeparator" w:id="0">
    <w:p w14:paraId="62D4E1C3" w14:textId="77777777" w:rsidR="001116F4" w:rsidRDefault="00111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11F4B" w14:textId="77777777" w:rsidR="00672333" w:rsidRDefault="001116F4">
    <w:pPr>
      <w:pStyle w:val="Foote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C7570" w14:textId="77777777" w:rsidR="001116F4" w:rsidRDefault="001116F4">
      <w:pPr>
        <w:spacing w:after="0" w:line="240" w:lineRule="auto"/>
      </w:pPr>
      <w:r>
        <w:separator/>
      </w:r>
    </w:p>
  </w:footnote>
  <w:footnote w:type="continuationSeparator" w:id="0">
    <w:p w14:paraId="78BD261D" w14:textId="77777777" w:rsidR="001116F4" w:rsidRDefault="001116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AEA4D" w14:textId="77777777" w:rsidR="00672333" w:rsidRDefault="001116F4">
    <w:pPr>
      <w:pStyle w:val="Header"/>
      <w:jc w:val="right"/>
    </w:pPr>
    <w:r>
      <w:rPr>
        <w:color w:val="646464"/>
        <w:sz w:val="16"/>
      </w:rPr>
      <w:t>Type 2 Diabetes Case Study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18869748">
    <w:abstractNumId w:val="8"/>
  </w:num>
  <w:num w:numId="2" w16cid:durableId="948850790">
    <w:abstractNumId w:val="6"/>
  </w:num>
  <w:num w:numId="3" w16cid:durableId="1246836503">
    <w:abstractNumId w:val="5"/>
  </w:num>
  <w:num w:numId="4" w16cid:durableId="679048322">
    <w:abstractNumId w:val="4"/>
  </w:num>
  <w:num w:numId="5" w16cid:durableId="1824615762">
    <w:abstractNumId w:val="7"/>
  </w:num>
  <w:num w:numId="6" w16cid:durableId="1932396627">
    <w:abstractNumId w:val="3"/>
  </w:num>
  <w:num w:numId="7" w16cid:durableId="1893467665">
    <w:abstractNumId w:val="2"/>
  </w:num>
  <w:num w:numId="8" w16cid:durableId="1839806716">
    <w:abstractNumId w:val="1"/>
  </w:num>
  <w:num w:numId="9" w16cid:durableId="944313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16F4"/>
    <w:rsid w:val="0015074B"/>
    <w:rsid w:val="0029639D"/>
    <w:rsid w:val="00326F90"/>
    <w:rsid w:val="00427299"/>
    <w:rsid w:val="0067233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9B25E3"/>
  <w14:defaultImageDpi w14:val="300"/>
  <w15:docId w15:val="{D07CD64B-4E1D-4F41-B5EB-363D63CDC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200" w:after="16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40" w:line="360"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i/>
      <w:color w:val="3C3C3C"/>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s">
    <w:name w:val="References"/>
    <w:rPr>
      <w:rFonts w:ascii="Arial" w:eastAsia="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2963</Words>
  <Characters>16894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19818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2 Diabetes Case Study</dc:title>
  <dc:subject>Introduction to Physiology - BMHP5023</dc:subject>
  <dc:creator>Helen May Escoto Frial</dc:creator>
  <cp:keywords>Type 2 diabetes, blood glucose, homeostasis, cellular respiration, monitoring</cp:keywords>
  <dc:description>generated by python-docx</dc:description>
  <cp:lastModifiedBy>Helen May Escoto Frial (2430209)</cp:lastModifiedBy>
  <cp:revision>2</cp:revision>
  <dcterms:created xsi:type="dcterms:W3CDTF">2026-08-01T16:51:00Z</dcterms:created>
  <dcterms:modified xsi:type="dcterms:W3CDTF">2026-08-01T16:51:00Z</dcterms:modified>
  <cp:category/>
</cp:coreProperties>
</file>