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7D889217" w:rsidR="005A1BA3"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00DC08B3">
        <w:rPr>
          <w:b/>
          <w:color w:val="auto"/>
          <w:sz w:val="40"/>
        </w:rPr>
        <w:t>/DET</w:t>
      </w:r>
      <w:r w:rsidRPr="00E676F7">
        <w:rPr>
          <w:b/>
          <w:color w:val="auto"/>
          <w:sz w:val="40"/>
        </w:rPr>
        <w:t>)</w:t>
      </w:r>
    </w:p>
    <w:p w14:paraId="7B597789" w14:textId="324BB449" w:rsidR="00DC08B3" w:rsidRDefault="00DC08B3" w:rsidP="00340E9A">
      <w:pPr>
        <w:overflowPunct/>
        <w:autoSpaceDE/>
        <w:autoSpaceDN/>
        <w:adjustRightInd/>
        <w:ind w:right="237"/>
        <w:textAlignment w:val="auto"/>
        <w:rPr>
          <w:b/>
          <w:color w:val="auto"/>
          <w:sz w:val="40"/>
        </w:rPr>
      </w:pPr>
    </w:p>
    <w:p w14:paraId="1D50358E" w14:textId="6E616362" w:rsidR="00DC08B3" w:rsidRPr="00DC08B3" w:rsidRDefault="00DC08B3" w:rsidP="00340E9A">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49FA0A91" w:rsidR="7908378C" w:rsidRDefault="7908378C" w:rsidP="33572C6E">
            <w:pPr>
              <w:ind w:right="237"/>
              <w:rPr>
                <w:b/>
                <w:bCs/>
                <w:color w:val="auto"/>
                <w:sz w:val="32"/>
                <w:szCs w:val="32"/>
              </w:rPr>
            </w:pPr>
            <w:r w:rsidRPr="33572C6E">
              <w:rPr>
                <w:b/>
                <w:bCs/>
                <w:color w:val="auto"/>
                <w:sz w:val="32"/>
                <w:szCs w:val="32"/>
              </w:rPr>
              <w:t>Learner name: _</w:t>
            </w:r>
            <w:r w:rsidR="00784DB8">
              <w:rPr>
                <w:b/>
                <w:bCs/>
                <w:color w:val="auto"/>
                <w:sz w:val="32"/>
                <w:szCs w:val="32"/>
              </w:rPr>
              <w:t>Christopher Oates</w:t>
            </w:r>
            <w:r w:rsidRPr="33572C6E">
              <w:rPr>
                <w:b/>
                <w:bCs/>
                <w:color w:val="auto"/>
                <w:sz w:val="32"/>
                <w:szCs w:val="32"/>
              </w:rPr>
              <w:t>_____________________________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7E0B9B22" w:rsidR="7908378C" w:rsidRDefault="7908378C" w:rsidP="33572C6E">
            <w:pPr>
              <w:ind w:right="237"/>
              <w:rPr>
                <w:b/>
                <w:bCs/>
                <w:color w:val="auto"/>
                <w:sz w:val="32"/>
                <w:szCs w:val="32"/>
              </w:rPr>
            </w:pPr>
            <w:r w:rsidRPr="33572C6E">
              <w:rPr>
                <w:b/>
                <w:bCs/>
                <w:color w:val="auto"/>
                <w:sz w:val="32"/>
                <w:szCs w:val="32"/>
              </w:rPr>
              <w:t>_______</w:t>
            </w:r>
            <w:r w:rsidR="00784DB8">
              <w:rPr>
                <w:b/>
                <w:bCs/>
                <w:color w:val="auto"/>
                <w:sz w:val="32"/>
                <w:szCs w:val="32"/>
              </w:rPr>
              <w:t>2319922</w:t>
            </w:r>
            <w:r w:rsidRPr="33572C6E">
              <w:rPr>
                <w:b/>
                <w:bCs/>
                <w:color w:val="auto"/>
                <w:sz w:val="32"/>
                <w:szCs w:val="32"/>
              </w:rPr>
              <w:t>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502641F" w14:textId="2216AA9D" w:rsidR="00190913" w:rsidRPr="00DC08B3" w:rsidRDefault="00190913" w:rsidP="00340E9A">
      <w:pPr>
        <w:overflowPunct/>
        <w:autoSpaceDE/>
        <w:autoSpaceDN/>
        <w:adjustRightInd/>
        <w:ind w:right="237"/>
        <w:textAlignment w:val="auto"/>
        <w:rPr>
          <w:b/>
          <w:bCs/>
          <w:i/>
          <w:iCs/>
          <w:color w:val="auto"/>
          <w:sz w:val="24"/>
          <w:szCs w:val="24"/>
        </w:rPr>
      </w:pPr>
      <w:r w:rsidRPr="45B99DA0">
        <w:rPr>
          <w:b/>
          <w:bCs/>
          <w:i/>
          <w:iCs/>
          <w:color w:val="auto"/>
          <w:sz w:val="24"/>
          <w:szCs w:val="24"/>
        </w:rPr>
        <w:lastRenderedPageBreak/>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E211BF">
        <w:rPr>
          <w:b/>
          <w:bCs/>
          <w:i/>
          <w:iCs/>
          <w:color w:val="auto"/>
          <w:sz w:val="24"/>
          <w:szCs w:val="24"/>
        </w:rPr>
        <w:t>9</w:t>
      </w:r>
      <w:r w:rsidR="3DBF3393" w:rsidRPr="45B99DA0">
        <w:rPr>
          <w:b/>
          <w:bCs/>
          <w:i/>
          <w:iCs/>
          <w:color w:val="auto"/>
          <w:sz w:val="24"/>
          <w:szCs w:val="24"/>
        </w:rPr>
        <w:t xml:space="preserve">D </w:t>
      </w: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3EFE5FE8" w:rsidP="3EFE5FE8">
      <w:pPr>
        <w:jc w:val="both"/>
      </w:pPr>
      <w:hyperlink r:id="rId13">
        <w:r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1D95DB0" w:rsidR="00446F80" w:rsidRPr="00E676F7" w:rsidRDefault="00DC08B3" w:rsidP="45B99DA0">
            <w:pPr>
              <w:ind w:right="237"/>
              <w:jc w:val="both"/>
              <w:rPr>
                <w:b/>
                <w:bCs/>
                <w:color w:val="auto"/>
                <w:sz w:val="24"/>
                <w:szCs w:val="24"/>
              </w:rPr>
            </w:pPr>
            <w:r>
              <w:rPr>
                <w:b/>
                <w:bCs/>
                <w:color w:val="auto"/>
                <w:sz w:val="24"/>
                <w:szCs w:val="24"/>
              </w:rPr>
              <w:t>Task</w:t>
            </w:r>
          </w:p>
          <w:p w14:paraId="0C25BFEF" w14:textId="37D8F8CB"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32933C98" w14:textId="452719C6" w:rsidR="00AA666E" w:rsidRDefault="00AA666E" w:rsidP="00340E9A">
      <w:pPr>
        <w:ind w:right="237"/>
        <w:rPr>
          <w:sz w:val="24"/>
          <w:szCs w:val="24"/>
        </w:rPr>
      </w:pPr>
    </w:p>
    <w:p w14:paraId="08149048" w14:textId="77777777" w:rsidR="006C3F19" w:rsidRPr="00E676F7" w:rsidRDefault="006C3F19"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49A0D391"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002D25E7" w:rsidRPr="003901EE">
        <w:rPr>
          <w:b/>
          <w:bCs/>
          <w:color w:val="FF0000"/>
          <w:sz w:val="24"/>
          <w:szCs w:val="24"/>
          <w:u w:val="single"/>
        </w:rPr>
        <w:t>serious and complex investigation</w:t>
      </w:r>
      <w:r w:rsidRPr="002D25E7">
        <w:rPr>
          <w:rFonts w:eastAsia="Arial"/>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2D686BCB"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w:t>
            </w:r>
            <w:r w:rsidRPr="00211695">
              <w:rPr>
                <w:rFonts w:eastAsia="Arial"/>
                <w:color w:val="000000" w:themeColor="text1"/>
                <w:sz w:val="24"/>
                <w:szCs w:val="24"/>
                <w:highlight w:val="yellow"/>
              </w:rPr>
              <w:t>in</w:t>
            </w:r>
            <w:r w:rsidR="00211695" w:rsidRPr="00211695">
              <w:rPr>
                <w:rFonts w:eastAsia="Arial"/>
                <w:color w:val="000000" w:themeColor="text1"/>
                <w:sz w:val="24"/>
                <w:szCs w:val="24"/>
                <w:highlight w:val="yellow"/>
              </w:rPr>
              <w:t>vestigation</w:t>
            </w:r>
            <w:r w:rsidR="00211695">
              <w:rPr>
                <w:rFonts w:eastAsia="Arial"/>
                <w:color w:val="000000" w:themeColor="text1"/>
                <w:sz w:val="24"/>
                <w:szCs w:val="24"/>
              </w:rPr>
              <w:t xml:space="preserve"> </w:t>
            </w:r>
            <w:r w:rsidRPr="5CE196A1">
              <w:rPr>
                <w:rFonts w:eastAsia="Arial"/>
                <w:color w:val="000000" w:themeColor="text1"/>
                <w:sz w:val="24"/>
                <w:szCs w:val="24"/>
              </w:rPr>
              <w:t xml:space="preserve">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267561BA"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the appropriateness of different approaches (by professionals and the police) in supporting or managing vulnerable people or people at risk of harm</w:t>
            </w:r>
            <w:r w:rsidR="00211695">
              <w:rPr>
                <w:rFonts w:eastAsia="Arial"/>
                <w:color w:val="000000" w:themeColor="text1"/>
                <w:sz w:val="24"/>
                <w:szCs w:val="24"/>
                <w:lang w:val="en-US"/>
              </w:rPr>
              <w:t xml:space="preserve"> during the </w:t>
            </w:r>
            <w:r w:rsidR="00211695" w:rsidRPr="00211695">
              <w:rPr>
                <w:rFonts w:eastAsia="Arial"/>
                <w:color w:val="000000" w:themeColor="text1"/>
                <w:sz w:val="24"/>
                <w:szCs w:val="24"/>
                <w:highlight w:val="yellow"/>
                <w:lang w:val="en-US"/>
              </w:rPr>
              <w:t>investigative process</w:t>
            </w:r>
          </w:p>
          <w:p w14:paraId="24937DFC" w14:textId="77777777" w:rsidR="00E676F7" w:rsidRPr="00E676F7" w:rsidRDefault="00E676F7" w:rsidP="00E676F7">
            <w:pPr>
              <w:rPr>
                <w:rFonts w:eastAsia="Arial"/>
                <w:color w:val="000000" w:themeColor="text1"/>
                <w:sz w:val="24"/>
                <w:szCs w:val="24"/>
              </w:rPr>
            </w:pPr>
          </w:p>
          <w:p w14:paraId="4954E81D" w14:textId="382C6D35"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what work</w:t>
            </w:r>
            <w:r w:rsidR="00211695">
              <w:rPr>
                <w:rFonts w:eastAsia="Arial"/>
                <w:color w:val="000000" w:themeColor="text1"/>
                <w:sz w:val="24"/>
                <w:szCs w:val="24"/>
              </w:rPr>
              <w:t>s</w:t>
            </w:r>
            <w:r w:rsidRPr="5CE196A1">
              <w:rPr>
                <w:rFonts w:eastAsia="Arial"/>
                <w:color w:val="000000" w:themeColor="text1"/>
                <w:sz w:val="24"/>
                <w:szCs w:val="24"/>
              </w:rPr>
              <w:t xml:space="preserve"> in relation to tackling repeat victimisation and repeat offending</w:t>
            </w:r>
            <w:r w:rsidR="00211695">
              <w:rPr>
                <w:rFonts w:eastAsia="Arial"/>
                <w:color w:val="000000" w:themeColor="text1"/>
                <w:sz w:val="24"/>
                <w:szCs w:val="24"/>
              </w:rPr>
              <w:t xml:space="preserve"> during this </w:t>
            </w:r>
            <w:r w:rsidR="00211695" w:rsidRPr="00211695">
              <w:rPr>
                <w:rFonts w:eastAsia="Arial"/>
                <w:color w:val="000000" w:themeColor="text1"/>
                <w:sz w:val="24"/>
                <w:szCs w:val="24"/>
                <w:highlight w:val="yellow"/>
              </w:rPr>
              <w:t>investigation</w:t>
            </w:r>
            <w:r w:rsidRPr="5CE196A1">
              <w:rPr>
                <w:rFonts w:eastAsia="Arial"/>
                <w:color w:val="000000" w:themeColor="text1"/>
                <w:sz w:val="24"/>
                <w:szCs w:val="24"/>
              </w:rPr>
              <w:t xml:space="preserve">.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D0C8D0A" w14:textId="77777777" w:rsidR="00784DB8" w:rsidRDefault="00784DB8" w:rsidP="00784DB8">
      <w:r>
        <w:t xml:space="preserve">In this essay I will discuss an incident I have dealt with as a response police officer, firstly giving a brief description of the incident I was dealing with and then critically evaluating the approach I took. I will then discuss two different appropriate methods and how effective they are in working to prevent and resolve these types of incidents. </w:t>
      </w:r>
    </w:p>
    <w:p w14:paraId="24948444" w14:textId="77777777" w:rsidR="00784DB8" w:rsidRDefault="00784DB8" w:rsidP="00784DB8"/>
    <w:p w14:paraId="378A91FD" w14:textId="77777777" w:rsidR="00784DB8" w:rsidRDefault="00784DB8" w:rsidP="00784DB8"/>
    <w:p w14:paraId="458B91CC" w14:textId="70A2FB2B" w:rsidR="00784DB8" w:rsidRDefault="00784DB8" w:rsidP="00784DB8">
      <w:r>
        <w:t xml:space="preserve">I will be discussing the type of crime that took place along with the relevant legislation and the social context in which the incident occurred and the impact that had on how I approached the situation. </w:t>
      </w:r>
    </w:p>
    <w:p w14:paraId="16651ECC" w14:textId="77777777" w:rsidR="00784DB8" w:rsidRDefault="00784DB8" w:rsidP="00784DB8">
      <w:r>
        <w:t xml:space="preserve">The incident involved two young people at the local college. Both parties were 17 at the time of the incident. I have changed the names of the people as not to breach data protection regulations. </w:t>
      </w:r>
    </w:p>
    <w:p w14:paraId="405B29DD" w14:textId="77777777" w:rsidR="00784DB8" w:rsidRDefault="00784DB8" w:rsidP="00784DB8">
      <w:r>
        <w:t xml:space="preserve">The victim in this incident was Rebecca. Rebecca had learning difficulties and global delay which meant that while she appeared to be 17 physically, she had the cognitive function of someone of around 8 years old. Rebecca went to an additional </w:t>
      </w:r>
      <w:proofErr w:type="gramStart"/>
      <w:r>
        <w:t>needs</w:t>
      </w:r>
      <w:proofErr w:type="gramEnd"/>
      <w:r>
        <w:t xml:space="preserve"> unit at the college. </w:t>
      </w:r>
    </w:p>
    <w:p w14:paraId="19789590" w14:textId="77777777" w:rsidR="00784DB8" w:rsidRDefault="00784DB8" w:rsidP="00784DB8"/>
    <w:p w14:paraId="419CB39A" w14:textId="77777777" w:rsidR="00784DB8" w:rsidRDefault="00784DB8" w:rsidP="00784DB8"/>
    <w:p w14:paraId="0461CE24" w14:textId="420E81F7" w:rsidR="00784DB8" w:rsidRDefault="00784DB8" w:rsidP="00784DB8">
      <w:r>
        <w:t xml:space="preserve">The perpetrator in this incident was Alex. Alex was studying in A </w:t>
      </w:r>
      <w:proofErr w:type="gramStart"/>
      <w:r>
        <w:t>levels</w:t>
      </w:r>
      <w:proofErr w:type="gramEnd"/>
      <w:r>
        <w:t xml:space="preserve"> at the college. Both of the parties would see each other at lunch times and in between classes. </w:t>
      </w:r>
      <w:proofErr w:type="gramStart"/>
      <w:r>
        <w:t>However</w:t>
      </w:r>
      <w:proofErr w:type="gramEnd"/>
      <w:r>
        <w:t xml:space="preserve"> Rebecca was known by everyone of her age group from an event that happened at a festival in the summer before college started. This meant that she received a lot of attention form the young people in the college. </w:t>
      </w:r>
    </w:p>
    <w:p w14:paraId="372E002A" w14:textId="77777777" w:rsidR="00784DB8" w:rsidRDefault="00784DB8" w:rsidP="00784DB8">
      <w:r>
        <w:t xml:space="preserve">The report that was made to police was from Rebecca’s mum. Rebecca had been shown a snapchat account where Alex was asking people to take pictures of her. Rebecca then also disclosed that Alex had approached her and shouted something at her, calling her a “mong”. While it is not an offence to take photos of a person when they are in public, Alex shouting at Rebecca was a section 5 public order offence and due to Rebecca’s disability, it was also now a hate crime. </w:t>
      </w:r>
    </w:p>
    <w:p w14:paraId="7AC910DD" w14:textId="77777777" w:rsidR="00784DB8" w:rsidRDefault="00784DB8" w:rsidP="00784DB8">
      <w:r>
        <w:t>Firstly, there is the offence of section 5 public order. This offence is defined as:</w:t>
      </w:r>
    </w:p>
    <w:p w14:paraId="3178A591" w14:textId="77777777" w:rsidR="00784DB8" w:rsidRDefault="00784DB8" w:rsidP="00784DB8">
      <w:pPr>
        <w:rPr>
          <w:i/>
          <w:iCs/>
        </w:rPr>
      </w:pPr>
    </w:p>
    <w:p w14:paraId="0E98E4AD" w14:textId="3EFAAAD6" w:rsidR="00784DB8" w:rsidRDefault="00784DB8" w:rsidP="00784DB8">
      <w:pPr>
        <w:rPr>
          <w:i/>
          <w:iCs/>
        </w:rPr>
      </w:pPr>
      <w:r w:rsidRPr="00F06454">
        <w:rPr>
          <w:i/>
          <w:iCs/>
        </w:rPr>
        <w:t>An offence to use “threatening, abusive or insulting words or behaviour, or disorderly behaviour” or to display “any writing, sign or other visible representation which is threatening, abusive or insulting” within the hearing or sight of a person “likely to be caused harassment, alarm or distress thereby”</w:t>
      </w:r>
      <w:r>
        <w:rPr>
          <w:i/>
          <w:iCs/>
        </w:rPr>
        <w:t xml:space="preserve">. </w:t>
      </w:r>
    </w:p>
    <w:p w14:paraId="1A897407" w14:textId="77777777" w:rsidR="00784DB8" w:rsidRDefault="00784DB8" w:rsidP="00784DB8">
      <w:r w:rsidRPr="00F06454">
        <w:lastRenderedPageBreak/>
        <w:t>The evidence of this type of crime is difficult to establish if it is not caught on camera, the first stage of establishing evidence in this incident was to find out if there was anyone recording the incident or if there were any witnesses to the incident</w:t>
      </w:r>
      <w:r>
        <w:t xml:space="preserve"> (The Crown prosecution service, 2009)</w:t>
      </w:r>
      <w:r>
        <w:rPr>
          <w:i/>
          <w:iCs/>
        </w:rPr>
        <w:t xml:space="preserve">. </w:t>
      </w:r>
      <w:r>
        <w:t xml:space="preserve">I found out from Rebecca that her friend was with her at the time and also heard was shouted at her. </w:t>
      </w:r>
    </w:p>
    <w:p w14:paraId="2634E658" w14:textId="77777777" w:rsidR="00784DB8" w:rsidRDefault="00784DB8" w:rsidP="00784DB8">
      <w:r>
        <w:t xml:space="preserve">Rebcca did not know who the person was and only had a screenshot of the social media account of the person who had shouted the slur at her. The very first enquiry was conducting searches on police systems to establish who the perpetrator was. </w:t>
      </w:r>
    </w:p>
    <w:p w14:paraId="5675817A" w14:textId="77777777" w:rsidR="00784DB8" w:rsidRDefault="00784DB8" w:rsidP="00784DB8">
      <w:r>
        <w:t xml:space="preserve">The next enquiry in establishing evidence was to go into the college and speak to the staff there, it was important to know if there would potentially be any camera footage of the incident. </w:t>
      </w:r>
      <w:proofErr w:type="gramStart"/>
      <w:r>
        <w:t>Unfortunately</w:t>
      </w:r>
      <w:proofErr w:type="gramEnd"/>
      <w:r>
        <w:t xml:space="preserve"> there was nothing. </w:t>
      </w:r>
    </w:p>
    <w:p w14:paraId="74F51868" w14:textId="77777777" w:rsidR="00784DB8" w:rsidRDefault="00784DB8" w:rsidP="00784DB8"/>
    <w:p w14:paraId="123648B0" w14:textId="77777777" w:rsidR="00784DB8" w:rsidRDefault="00784DB8" w:rsidP="00784DB8"/>
    <w:p w14:paraId="79B64DFB" w14:textId="448A8C54" w:rsidR="00784DB8" w:rsidRDefault="00784DB8" w:rsidP="00784DB8">
      <w:r>
        <w:t xml:space="preserve">A key element to this offence was that it was a hate crime (The Crown prosecution service, 2009). The definition of a hate crime is: </w:t>
      </w:r>
    </w:p>
    <w:p w14:paraId="61DA8E4B" w14:textId="77777777" w:rsidR="00784DB8" w:rsidRDefault="00784DB8" w:rsidP="00784DB8">
      <w:pPr>
        <w:rPr>
          <w:i/>
          <w:iCs/>
        </w:rPr>
      </w:pPr>
      <w:r w:rsidRPr="00B22A1C">
        <w:rPr>
          <w:i/>
          <w:iCs/>
        </w:rPr>
        <w:t>“Any criminal offence which is perceived by the victim or any other person, to be motivated by hostility or prejudice, based on a person’s disability or perceived disability; race or perceived race; or religion or perceived religion; or sexual orientation or perceived sexual orientation or transgender identity or perceived transgender identity.</w:t>
      </w:r>
    </w:p>
    <w:p w14:paraId="1891B3AE" w14:textId="77777777" w:rsidR="00784DB8" w:rsidRDefault="00784DB8" w:rsidP="00784DB8">
      <w:r>
        <w:t xml:space="preserve">This incident was very clearly a hate crime due to the nature of what was shouted at Rebecca. “Mong” is a common derogatory term often used to be insulting towards people with learning difficulties (Orr, 2014). </w:t>
      </w:r>
    </w:p>
    <w:p w14:paraId="28A6EB49" w14:textId="77777777" w:rsidR="00784DB8" w:rsidRDefault="00784DB8" w:rsidP="00784DB8"/>
    <w:p w14:paraId="5D1332A3" w14:textId="77777777" w:rsidR="00784DB8" w:rsidRDefault="00784DB8" w:rsidP="00784DB8"/>
    <w:p w14:paraId="269D1787" w14:textId="528540C9" w:rsidR="00784DB8" w:rsidRDefault="00784DB8" w:rsidP="00784DB8">
      <w:r>
        <w:t xml:space="preserve">Now that the offence had been established and the hate crime element had been identified, it was the appropriate time to speak with the victim about their wishes. The victim was going to continue going into the environment where they had been victimised as it was where they went to college. It was important at this stage to ensure that the victim felt safe, and that appropriate action was taken to stop any further incidents (Gov.uk, 2025). </w:t>
      </w:r>
    </w:p>
    <w:p w14:paraId="5C406AAE" w14:textId="77777777" w:rsidR="00784DB8" w:rsidRDefault="00784DB8" w:rsidP="00784DB8"/>
    <w:p w14:paraId="537808E9" w14:textId="77777777" w:rsidR="00784DB8" w:rsidRDefault="00784DB8" w:rsidP="00784DB8"/>
    <w:p w14:paraId="739C5EDF" w14:textId="2E497771" w:rsidR="00784DB8" w:rsidRDefault="00784DB8" w:rsidP="00784DB8">
      <w:r>
        <w:t>The victim was spoken to in the company of her mother to ensure that she fully understood what was being explained to her (Crown prosecution service, 2009). The two options that would have been most appropriate were, words of advice or a restorative justice measure. Words of advice is the lowest form of police action which would mean that the perpetrator of the crime is spoken to and warned not to continue their actions. The incident is then recorded on police databases so it can be referred to in future, similar incidents. The second option, a restorative justice measure, is slightly stronger. A restorative justice measure is a signed document where the perpetrator acknowledges what they have done and agrees not to do it again. If the perpetrator does the same crime again in the space of 12 months, they will not be eligible for anything other than an arrest. The restorative justice measure also shows on an enhanced data and barring service check without giving the person a criminal record (The Crown prosecution service, 2023).</w:t>
      </w:r>
    </w:p>
    <w:p w14:paraId="50F08021" w14:textId="77777777" w:rsidR="00784DB8" w:rsidRDefault="00784DB8" w:rsidP="00784DB8"/>
    <w:p w14:paraId="0A0DE7E0" w14:textId="77777777" w:rsidR="00784DB8" w:rsidRDefault="00784DB8" w:rsidP="00784DB8"/>
    <w:p w14:paraId="35705A37" w14:textId="72DFAD72" w:rsidR="00784DB8" w:rsidRDefault="00784DB8" w:rsidP="00784DB8">
      <w:r>
        <w:t xml:space="preserve">After a discussion about these two options, the victim and their mother decided that they would like to pursue the restorative justice measure. This method of dealing with the incident was appropriate when considered within the context of which it happened. </w:t>
      </w:r>
    </w:p>
    <w:p w14:paraId="3241BCDC" w14:textId="77777777" w:rsidR="00784DB8" w:rsidRDefault="00784DB8" w:rsidP="00784DB8">
      <w:r>
        <w:t>The restorative justice measure is a way of trying to repair the damage done to the victim. This was particularly appropriate in this situation because the victim wanted to feel that they could attend college without being bullied again, if the perpetrator had to apologise to them and knew that they would be in more serious trouble legally if the incident occurred again then they would hopefully feel safer going back to college (</w:t>
      </w:r>
      <w:r w:rsidRPr="00723112">
        <w:t>Fulham, L. </w:t>
      </w:r>
      <w:r w:rsidRPr="00723112">
        <w:rPr>
          <w:i/>
          <w:iCs/>
        </w:rPr>
        <w:t>et al.</w:t>
      </w:r>
      <w:r w:rsidRPr="00723112">
        <w:t> (2023)</w:t>
      </w:r>
      <w:r>
        <w:t>.</w:t>
      </w:r>
    </w:p>
    <w:p w14:paraId="1EF70556" w14:textId="77777777" w:rsidR="00784DB8" w:rsidRDefault="00784DB8" w:rsidP="00784DB8"/>
    <w:p w14:paraId="39AB1209" w14:textId="77777777" w:rsidR="00784DB8" w:rsidRDefault="00784DB8" w:rsidP="00784DB8"/>
    <w:p w14:paraId="05947DAD" w14:textId="417ED480" w:rsidR="00784DB8" w:rsidRDefault="00784DB8" w:rsidP="00784DB8">
      <w:r>
        <w:t>One of the most important aspects of the restorative justice measure in this incident was that it would empower the victim by making the perpetrator apologise to them. Research has shown that when the participants of restorative justice interact with each other, repairing the damage to the aggrieved party, there is greater victim satisfaction (</w:t>
      </w:r>
      <w:proofErr w:type="spellStart"/>
      <w:r>
        <w:t>Ubreit</w:t>
      </w:r>
      <w:proofErr w:type="spellEnd"/>
      <w:r>
        <w:t xml:space="preserve">, M et al 1999). When speaking to the parent of the victim, they stated that being able to see the result that came from police action made a difference to how they felt about their child going back to college. </w:t>
      </w:r>
    </w:p>
    <w:p w14:paraId="2CA609A0" w14:textId="77777777" w:rsidR="00784DB8" w:rsidRDefault="00784DB8" w:rsidP="00784DB8"/>
    <w:p w14:paraId="3350E570" w14:textId="77777777" w:rsidR="00784DB8" w:rsidRDefault="00784DB8" w:rsidP="00784DB8"/>
    <w:p w14:paraId="78CC064E" w14:textId="5A4C11BA" w:rsidR="00784DB8" w:rsidRDefault="00784DB8" w:rsidP="00784DB8">
      <w:r>
        <w:t>After there had been an apology, the victim Rebecca was satisfied that the issue had been dealt with and was very appreciative of the action police had taken. The next step was to put support in place to ensure there was less risk of the incident happening again. This meant talking to the relevant agencies and staff at the college to make sure Rebecca had the support to feel safe when attending college (Ford, K et al, 2019).</w:t>
      </w:r>
    </w:p>
    <w:p w14:paraId="461ACD9B" w14:textId="77777777" w:rsidR="00784DB8" w:rsidRDefault="00784DB8" w:rsidP="00784DB8"/>
    <w:p w14:paraId="01FCCCDE" w14:textId="77777777" w:rsidR="00784DB8" w:rsidRDefault="00784DB8" w:rsidP="00784DB8"/>
    <w:p w14:paraId="0D4E831C" w14:textId="7FFF58C0" w:rsidR="00784DB8" w:rsidRDefault="00784DB8" w:rsidP="00784DB8">
      <w:r>
        <w:t xml:space="preserve">An important part of stopping vulnerable people being subjected to repeat victimisation is informing other services of what has happened. In this investigation I submitted a public protection notification (PPN) for the victim. A PPN is separate </w:t>
      </w:r>
      <w:proofErr w:type="spellStart"/>
      <w:r>
        <w:t>form</w:t>
      </w:r>
      <w:proofErr w:type="spellEnd"/>
      <w:r>
        <w:t xml:space="preserve"> that has been created to inform partner agencies when a vulnerable person has been involved in a police incident. For example, when a person has been the victim of domestic violence, a PPN would be submitted with the suggestion that women’s aid be informed of the incident and get in touch with the victim. Victims can choose if they want to give their consent for partner agencies to get into contact with them. There are different types of PPN which can be submitted depending on the circumstance. Each PPN has a list of questions that are designed to help the partner agencies better understand the needs of the victim and what support should be put into place (Gov.uk, 2023).</w:t>
      </w:r>
    </w:p>
    <w:p w14:paraId="18088DCF" w14:textId="77777777" w:rsidR="00784DB8" w:rsidRDefault="00784DB8" w:rsidP="00784DB8"/>
    <w:p w14:paraId="2BC35778" w14:textId="77777777" w:rsidR="00784DB8" w:rsidRDefault="00784DB8" w:rsidP="00784DB8"/>
    <w:p w14:paraId="1B35005D" w14:textId="51685CF7" w:rsidR="00784DB8" w:rsidRDefault="00784DB8" w:rsidP="00784DB8">
      <w:r>
        <w:t xml:space="preserve">PPNs can be useful in getting the right support to victims after they have been involved in a police incident. While an initial response to an incident could require police action, what police can do for victims after the incident is limited by the resources and skills of the police (Briody, L, J, 2024). PPNs are essential for police to be able to communicate what victims need after the initial police response has been carried out. In this case the police response was to issue the restorative justice measure to the perpetrator and make sure that the initial safeguarding measures were put in place. What the victim needed now was reassurance and support from other services. In this case the victim already had support and so the use of the PPN was to inform the services that were already in place. The PPN was effective in this situation and the victim was willing to answer the PPN questions in the presence of their mother. There was also a lot of time to answer the PPN questions and establish exactly what the </w:t>
      </w:r>
      <w:proofErr w:type="gramStart"/>
      <w:r>
        <w:t>victims</w:t>
      </w:r>
      <w:proofErr w:type="gramEnd"/>
      <w:r>
        <w:t xml:space="preserve"> needs were before passing the information on. This is not always the case. </w:t>
      </w:r>
    </w:p>
    <w:p w14:paraId="5B5BB22C" w14:textId="77777777" w:rsidR="00784DB8" w:rsidRDefault="00784DB8" w:rsidP="00784DB8"/>
    <w:p w14:paraId="0300D141" w14:textId="77777777" w:rsidR="00784DB8" w:rsidRDefault="00784DB8" w:rsidP="00784DB8"/>
    <w:p w14:paraId="67CF1946" w14:textId="00C0E43E" w:rsidR="00784DB8" w:rsidRDefault="00784DB8" w:rsidP="00784DB8">
      <w:r>
        <w:t xml:space="preserve">PPNs are submitted for all vulnerable people. They are often submitted hours after the initial incident takes place. While is important to provide support to victims as early as possible, there is a downside to this. There are instances when police are only aware that people are vulnerable after an incident happens. For example, in cases of domestic abuse the police are called after an altercation has happened. The perpetrator is then arrested or removed from the location of the victim and the initial safeguarding of separating the parties is put in place. There is then more emphasis on putting longer lasting safeguarding measures in place and ensuring that the victim has the correct support. </w:t>
      </w:r>
    </w:p>
    <w:p w14:paraId="0F0983B9" w14:textId="77777777" w:rsidR="00784DB8" w:rsidRDefault="00784DB8" w:rsidP="00784DB8">
      <w:r>
        <w:t>This is the stage where a PPN would be considered and the PPN questions would be asked. The issue with asking the PPN questions at this stage is that the victim could be in shock or injured and not able to accurately represent what they need. They may also be reluctant to engage with police or might not even want the police there at all if the report was made by a third party. This can mean that the quality of the information being passed on is worse and can lead to the victim remaining vulnerable due to not having the appropriate support in place. The questions themselves can also be upsetting to the victim and some of them might relate to past experiences and are very specific (</w:t>
      </w:r>
      <w:r w:rsidRPr="003C3D44">
        <w:t>Saxton, M.D. </w:t>
      </w:r>
      <w:r w:rsidRPr="003C3D44">
        <w:rPr>
          <w:i/>
          <w:iCs/>
        </w:rPr>
        <w:t>et al.</w:t>
      </w:r>
      <w:r w:rsidRPr="003C3D44">
        <w:t> (2020)</w:t>
      </w:r>
      <w:r>
        <w:t>.</w:t>
      </w:r>
    </w:p>
    <w:p w14:paraId="1C629310" w14:textId="77777777" w:rsidR="00784DB8" w:rsidRDefault="00784DB8" w:rsidP="00784DB8"/>
    <w:p w14:paraId="6DFC3D19" w14:textId="77777777" w:rsidR="00784DB8" w:rsidRDefault="00784DB8" w:rsidP="00784DB8"/>
    <w:p w14:paraId="7B0F1C42" w14:textId="0CB09978" w:rsidR="00784DB8" w:rsidRDefault="00784DB8" w:rsidP="00784DB8">
      <w:r>
        <w:t>Not having the appropriate support in place after an incident can lead to repeat victimisation (</w:t>
      </w:r>
      <w:r w:rsidRPr="00347610">
        <w:t>Heap, V. (2020)</w:t>
      </w:r>
      <w:r>
        <w:t xml:space="preserve">. A model that presents a potential solution to repeat victimisation is the problem triangle. In the problem triangle there are three elements. Each element is evaluated to understand why the problem has occurred. The first element is the perpetrator, in this case it is Alex. The motivation for them committing the offence is to be considered. The next element is the victim, what is considered in terms of the victim is a guardian, is there anything that can make them less likely to be victimised. This could be the deterrence of having a punishment in place or security cameras. The last element is the location. Considerations are made to ensure the location is a harder place to commit the offence, this might be having a security guard or manager in place at the location (College of policing, 2022). </w:t>
      </w:r>
    </w:p>
    <w:p w14:paraId="0DBBF7D5" w14:textId="77777777" w:rsidR="00784DB8" w:rsidRDefault="00784DB8" w:rsidP="00784DB8">
      <w:r>
        <w:lastRenderedPageBreak/>
        <w:t xml:space="preserve">In this investigation each side of the problem triangle was addressed. The perpetrator was given a restorative justice measure and had to apologise to the victim. By signing the restorative justice measure they were given a greater deterrent as they were now not eligible for anything other than an arrest if the offence happened again. The victim was supported by making sure that the college staff were aware that she had been the victim of an incident. This provided her with extra support in college as the staff were now aware that she needed further safeguarding, providing her with an appropriate guardian. Lastly there was the location. The location was made safer by altering the timetable the victim was on. This meant that she would go to lunch and breaks at a different time to the perpetrator, meaning the offence would be less likely to occur in the same location (Tura, F et al, 2022). </w:t>
      </w:r>
    </w:p>
    <w:p w14:paraId="7F1F508F" w14:textId="77777777" w:rsidR="00784DB8" w:rsidRDefault="00784DB8" w:rsidP="00784DB8"/>
    <w:p w14:paraId="6F628844" w14:textId="77777777" w:rsidR="00784DB8" w:rsidRDefault="00784DB8" w:rsidP="00784DB8">
      <w:r>
        <w:t>Word count – 2070</w:t>
      </w:r>
    </w:p>
    <w:p w14:paraId="06491356" w14:textId="3815DDF0" w:rsidR="00A221AB" w:rsidRDefault="00A221AB" w:rsidP="00211695">
      <w:pPr>
        <w:overflowPunct/>
        <w:autoSpaceDE/>
        <w:autoSpaceDN/>
        <w:adjustRightInd/>
        <w:textAlignment w:val="auto"/>
        <w:rPr>
          <w:b/>
          <w:bCs/>
          <w:sz w:val="24"/>
          <w:szCs w:val="24"/>
        </w:rPr>
      </w:pPr>
    </w:p>
    <w:p w14:paraId="39F004BF" w14:textId="47F2F4F1" w:rsidR="00211695" w:rsidRDefault="00211695" w:rsidP="00211695">
      <w:pPr>
        <w:overflowPunct/>
        <w:autoSpaceDE/>
        <w:autoSpaceDN/>
        <w:adjustRightInd/>
        <w:textAlignment w:val="auto"/>
        <w:rPr>
          <w:b/>
          <w:bCs/>
          <w:sz w:val="24"/>
          <w:szCs w:val="24"/>
        </w:rPr>
      </w:pPr>
    </w:p>
    <w:p w14:paraId="4EABAE6C" w14:textId="2B4F3C27" w:rsidR="00211695" w:rsidRDefault="00211695" w:rsidP="00211695">
      <w:pPr>
        <w:overflowPunct/>
        <w:autoSpaceDE/>
        <w:autoSpaceDN/>
        <w:adjustRightInd/>
        <w:textAlignment w:val="auto"/>
        <w:rPr>
          <w:b/>
          <w:bCs/>
          <w:sz w:val="24"/>
          <w:szCs w:val="24"/>
        </w:rPr>
      </w:pPr>
    </w:p>
    <w:p w14:paraId="19C3729F" w14:textId="7A10F80D" w:rsidR="00211695" w:rsidRDefault="00211695" w:rsidP="00211695">
      <w:pPr>
        <w:overflowPunct/>
        <w:autoSpaceDE/>
        <w:autoSpaceDN/>
        <w:adjustRightInd/>
        <w:textAlignment w:val="auto"/>
        <w:rPr>
          <w:b/>
          <w:bCs/>
          <w:sz w:val="24"/>
          <w:szCs w:val="24"/>
        </w:rPr>
      </w:pPr>
    </w:p>
    <w:p w14:paraId="7809170F" w14:textId="0FC6A2E6" w:rsidR="00211695" w:rsidRDefault="00211695" w:rsidP="00211695">
      <w:pPr>
        <w:overflowPunct/>
        <w:autoSpaceDE/>
        <w:autoSpaceDN/>
        <w:adjustRightInd/>
        <w:textAlignment w:val="auto"/>
        <w:rPr>
          <w:b/>
          <w:bCs/>
          <w:sz w:val="24"/>
          <w:szCs w:val="24"/>
        </w:rPr>
      </w:pPr>
    </w:p>
    <w:p w14:paraId="5263FC30" w14:textId="60CEA4D6" w:rsidR="00211695" w:rsidRDefault="00211695" w:rsidP="00211695">
      <w:pPr>
        <w:overflowPunct/>
        <w:autoSpaceDE/>
        <w:autoSpaceDN/>
        <w:adjustRightInd/>
        <w:textAlignment w:val="auto"/>
        <w:rPr>
          <w:b/>
          <w:bCs/>
          <w:sz w:val="24"/>
          <w:szCs w:val="24"/>
        </w:rPr>
      </w:pPr>
    </w:p>
    <w:p w14:paraId="7296990E" w14:textId="167A9CD5" w:rsidR="00211695" w:rsidRDefault="00211695" w:rsidP="00211695">
      <w:pPr>
        <w:overflowPunct/>
        <w:autoSpaceDE/>
        <w:autoSpaceDN/>
        <w:adjustRightInd/>
        <w:textAlignment w:val="auto"/>
        <w:rPr>
          <w:b/>
          <w:bCs/>
          <w:sz w:val="24"/>
          <w:szCs w:val="24"/>
        </w:rPr>
      </w:pPr>
    </w:p>
    <w:p w14:paraId="78DF5CD6" w14:textId="2BF96632" w:rsidR="00211695" w:rsidRDefault="00211695" w:rsidP="00211695">
      <w:pPr>
        <w:overflowPunct/>
        <w:autoSpaceDE/>
        <w:autoSpaceDN/>
        <w:adjustRightInd/>
        <w:textAlignment w:val="auto"/>
        <w:rPr>
          <w:b/>
          <w:bCs/>
          <w:sz w:val="24"/>
          <w:szCs w:val="24"/>
        </w:rPr>
      </w:pPr>
    </w:p>
    <w:p w14:paraId="19D247BC" w14:textId="3316BA49" w:rsidR="00211695" w:rsidRDefault="00211695" w:rsidP="00211695">
      <w:pPr>
        <w:overflowPunct/>
        <w:autoSpaceDE/>
        <w:autoSpaceDN/>
        <w:adjustRightInd/>
        <w:textAlignment w:val="auto"/>
        <w:rPr>
          <w:b/>
          <w:bCs/>
          <w:sz w:val="24"/>
          <w:szCs w:val="24"/>
        </w:rPr>
      </w:pPr>
    </w:p>
    <w:p w14:paraId="09F544D6" w14:textId="215E6FB4" w:rsidR="00211695" w:rsidRDefault="00211695" w:rsidP="00211695">
      <w:pPr>
        <w:overflowPunct/>
        <w:autoSpaceDE/>
        <w:autoSpaceDN/>
        <w:adjustRightInd/>
        <w:textAlignment w:val="auto"/>
        <w:rPr>
          <w:b/>
          <w:bCs/>
          <w:sz w:val="24"/>
          <w:szCs w:val="24"/>
        </w:rPr>
      </w:pPr>
    </w:p>
    <w:p w14:paraId="3EF01B71" w14:textId="1C5989BB" w:rsidR="00211695" w:rsidRDefault="00211695" w:rsidP="00211695">
      <w:pPr>
        <w:overflowPunct/>
        <w:autoSpaceDE/>
        <w:autoSpaceDN/>
        <w:adjustRightInd/>
        <w:textAlignment w:val="auto"/>
        <w:rPr>
          <w:b/>
          <w:bCs/>
          <w:sz w:val="24"/>
          <w:szCs w:val="24"/>
        </w:rPr>
      </w:pPr>
    </w:p>
    <w:p w14:paraId="32058FF2" w14:textId="1A6FF58F" w:rsidR="00211695" w:rsidRDefault="00211695" w:rsidP="00211695">
      <w:pPr>
        <w:overflowPunct/>
        <w:autoSpaceDE/>
        <w:autoSpaceDN/>
        <w:adjustRightInd/>
        <w:textAlignment w:val="auto"/>
        <w:rPr>
          <w:b/>
          <w:bCs/>
          <w:sz w:val="24"/>
          <w:szCs w:val="24"/>
        </w:rPr>
      </w:pPr>
    </w:p>
    <w:p w14:paraId="542C1CBB" w14:textId="3B570B19" w:rsidR="00211695" w:rsidRDefault="00211695" w:rsidP="00211695">
      <w:pPr>
        <w:overflowPunct/>
        <w:autoSpaceDE/>
        <w:autoSpaceDN/>
        <w:adjustRightInd/>
        <w:textAlignment w:val="auto"/>
        <w:rPr>
          <w:b/>
          <w:bCs/>
          <w:sz w:val="24"/>
          <w:szCs w:val="24"/>
        </w:rPr>
      </w:pPr>
    </w:p>
    <w:p w14:paraId="15519DC5" w14:textId="771E4051" w:rsidR="00211695" w:rsidRDefault="00211695" w:rsidP="00211695">
      <w:pPr>
        <w:overflowPunct/>
        <w:autoSpaceDE/>
        <w:autoSpaceDN/>
        <w:adjustRightInd/>
        <w:textAlignment w:val="auto"/>
        <w:rPr>
          <w:b/>
          <w:bCs/>
          <w:sz w:val="24"/>
          <w:szCs w:val="24"/>
        </w:rPr>
      </w:pPr>
    </w:p>
    <w:p w14:paraId="5E9654A4" w14:textId="483A031A" w:rsidR="00211695" w:rsidRDefault="00211695" w:rsidP="00211695">
      <w:pPr>
        <w:overflowPunct/>
        <w:autoSpaceDE/>
        <w:autoSpaceDN/>
        <w:adjustRightInd/>
        <w:textAlignment w:val="auto"/>
        <w:rPr>
          <w:b/>
          <w:bCs/>
          <w:sz w:val="24"/>
          <w:szCs w:val="24"/>
        </w:rPr>
      </w:pPr>
    </w:p>
    <w:p w14:paraId="7495C905" w14:textId="314DB715" w:rsidR="00211695" w:rsidRDefault="00211695" w:rsidP="00211695">
      <w:pPr>
        <w:overflowPunct/>
        <w:autoSpaceDE/>
        <w:autoSpaceDN/>
        <w:adjustRightInd/>
        <w:textAlignment w:val="auto"/>
        <w:rPr>
          <w:b/>
          <w:bCs/>
          <w:sz w:val="24"/>
          <w:szCs w:val="24"/>
        </w:rPr>
      </w:pPr>
    </w:p>
    <w:p w14:paraId="0D757A9F" w14:textId="6EEDDF01" w:rsidR="00211695" w:rsidRDefault="00211695" w:rsidP="00211695">
      <w:pPr>
        <w:overflowPunct/>
        <w:autoSpaceDE/>
        <w:autoSpaceDN/>
        <w:adjustRightInd/>
        <w:textAlignment w:val="auto"/>
        <w:rPr>
          <w:b/>
          <w:bCs/>
          <w:sz w:val="24"/>
          <w:szCs w:val="24"/>
        </w:rPr>
      </w:pPr>
    </w:p>
    <w:p w14:paraId="369120E0" w14:textId="78A7006C" w:rsidR="00211695" w:rsidRDefault="00211695" w:rsidP="00211695">
      <w:pPr>
        <w:overflowPunct/>
        <w:autoSpaceDE/>
        <w:autoSpaceDN/>
        <w:adjustRightInd/>
        <w:textAlignment w:val="auto"/>
        <w:rPr>
          <w:b/>
          <w:bCs/>
          <w:sz w:val="24"/>
          <w:szCs w:val="24"/>
        </w:rPr>
      </w:pPr>
    </w:p>
    <w:p w14:paraId="39C82147" w14:textId="4DB165F4" w:rsidR="00211695" w:rsidRDefault="00211695" w:rsidP="00211695">
      <w:pPr>
        <w:overflowPunct/>
        <w:autoSpaceDE/>
        <w:autoSpaceDN/>
        <w:adjustRightInd/>
        <w:textAlignment w:val="auto"/>
        <w:rPr>
          <w:b/>
          <w:bCs/>
          <w:sz w:val="24"/>
          <w:szCs w:val="24"/>
        </w:rPr>
      </w:pPr>
    </w:p>
    <w:p w14:paraId="29A10E38" w14:textId="77777777" w:rsidR="00211695" w:rsidRPr="00211695" w:rsidRDefault="00211695" w:rsidP="00211695">
      <w:pPr>
        <w:overflowPunct/>
        <w:autoSpaceDE/>
        <w:autoSpaceDN/>
        <w:adjustRightInd/>
        <w:textAlignment w:val="auto"/>
        <w:rPr>
          <w:b/>
          <w:bCs/>
          <w:sz w:val="24"/>
          <w:szCs w:val="24"/>
        </w:rPr>
      </w:pP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386B9E52" w14:textId="71D07E3F" w:rsidR="02D63252" w:rsidRDefault="02D63252" w:rsidP="5CE196A1">
      <w:pPr>
        <w:ind w:right="237"/>
        <w:jc w:val="both"/>
        <w:rPr>
          <w:b/>
          <w:bCs/>
          <w:color w:val="000000" w:themeColor="text1"/>
          <w:sz w:val="24"/>
          <w:szCs w:val="24"/>
        </w:rPr>
      </w:pPr>
    </w:p>
    <w:p w14:paraId="58751063" w14:textId="56C51CE5" w:rsidR="13AD8C62" w:rsidRDefault="13AD8C62" w:rsidP="00211695">
      <w:pPr>
        <w:ind w:right="237"/>
        <w:jc w:val="center"/>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62F25455" w:rsidR="0FF883D4" w:rsidRDefault="0FF883D4" w:rsidP="0FF883D4">
      <w:pPr>
        <w:ind w:right="237"/>
        <w:jc w:val="both"/>
        <w:rPr>
          <w:rFonts w:eastAsia="Arial"/>
          <w:color w:val="000000" w:themeColor="text1"/>
          <w:sz w:val="24"/>
          <w:szCs w:val="24"/>
          <w:u w:val="single"/>
        </w:rPr>
      </w:pPr>
    </w:p>
    <w:p w14:paraId="059A243D" w14:textId="77777777" w:rsidR="00211695" w:rsidRDefault="00211695"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08F405AF"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proofErr w:type="gramStart"/>
      <w:r w:rsidRPr="0FF883D4">
        <w:rPr>
          <w:rFonts w:eastAsia="Arial"/>
          <w:color w:val="000000" w:themeColor="text1"/>
          <w:sz w:val="24"/>
          <w:szCs w:val="24"/>
        </w:rPr>
        <w:t>an</w:t>
      </w:r>
      <w:proofErr w:type="gramEnd"/>
      <w:r w:rsidR="00756425">
        <w:rPr>
          <w:rFonts w:eastAsia="Arial"/>
          <w:color w:val="000000" w:themeColor="text1"/>
          <w:sz w:val="24"/>
          <w:szCs w:val="24"/>
        </w:rPr>
        <w:t xml:space="preserve"> </w:t>
      </w:r>
      <w:r w:rsidR="002D25E7" w:rsidRPr="003901EE">
        <w:rPr>
          <w:b/>
          <w:bCs/>
          <w:color w:val="FF0000"/>
          <w:sz w:val="24"/>
          <w:szCs w:val="24"/>
          <w:u w:val="single"/>
        </w:rPr>
        <w:t xml:space="preserve">serious and complex investigation </w:t>
      </w:r>
      <w:r w:rsidRPr="0FF883D4">
        <w:rPr>
          <w:rFonts w:eastAsia="Arial"/>
          <w:color w:val="000000" w:themeColor="text1"/>
          <w:sz w:val="24"/>
          <w:szCs w:val="24"/>
        </w:rPr>
        <w:t>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Evaluate the support you have provided to victims, witnesses, and offenders (where appropriate) during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76B6FAAC" w14:textId="10D53C5C" w:rsidR="0FF883D4" w:rsidRDefault="13AD8C62" w:rsidP="009370AE">
      <w:pPr>
        <w:ind w:right="237"/>
        <w:jc w:val="both"/>
        <w:rPr>
          <w:b/>
          <w:bCs/>
          <w:color w:val="000000" w:themeColor="text1"/>
          <w:sz w:val="28"/>
          <w:szCs w:val="28"/>
        </w:rPr>
      </w:pPr>
      <w:r w:rsidRPr="0FF883D4">
        <w:rPr>
          <w:b/>
          <w:bCs/>
          <w:color w:val="000000" w:themeColor="text1"/>
          <w:sz w:val="28"/>
          <w:szCs w:val="28"/>
        </w:rPr>
        <w:t xml:space="preserve">Answer: </w:t>
      </w:r>
    </w:p>
    <w:p w14:paraId="0CFA5BAE" w14:textId="77777777" w:rsidR="00784DB8" w:rsidRDefault="00784DB8" w:rsidP="009370AE">
      <w:pPr>
        <w:ind w:right="237"/>
        <w:jc w:val="both"/>
        <w:rPr>
          <w:b/>
          <w:bCs/>
          <w:color w:val="000000" w:themeColor="text1"/>
          <w:sz w:val="28"/>
          <w:szCs w:val="28"/>
        </w:rPr>
      </w:pPr>
    </w:p>
    <w:p w14:paraId="665C4A18" w14:textId="77777777" w:rsidR="00784DB8" w:rsidRDefault="00784DB8" w:rsidP="00784DB8">
      <w:r>
        <w:t xml:space="preserve">This essay will discuss an incident where a young male is alleged to have raped a girl after an A-level results party. In the essay I will critically evaluate the investigation and the role I played in it as a response officer, this includes conducting actions in the early stages of the investigation to preserve and gather the best evidence possible. </w:t>
      </w:r>
    </w:p>
    <w:p w14:paraId="374E85EA" w14:textId="77777777" w:rsidR="00784DB8" w:rsidRDefault="00784DB8" w:rsidP="00784DB8"/>
    <w:p w14:paraId="3934197A" w14:textId="77777777" w:rsidR="00784DB8" w:rsidRDefault="00784DB8" w:rsidP="00784DB8"/>
    <w:p w14:paraId="7D9362F1" w14:textId="5A7442D0" w:rsidR="00784DB8" w:rsidRDefault="00784DB8" w:rsidP="00784DB8">
      <w:r>
        <w:t xml:space="preserve">This essay will also evaluate the current options available to support victims, witnesses and perpetrators and how I have used other services to deliver support to them. Finally, I will talk about how I managed dealing the situation personally, explaining my feelings about what I had to do in my role. </w:t>
      </w:r>
    </w:p>
    <w:p w14:paraId="418EC59C" w14:textId="77777777" w:rsidR="00784DB8" w:rsidRDefault="00784DB8" w:rsidP="00784DB8"/>
    <w:p w14:paraId="35B0F845" w14:textId="77777777" w:rsidR="00784DB8" w:rsidRDefault="00784DB8" w:rsidP="00784DB8"/>
    <w:p w14:paraId="1A47AACB" w14:textId="1D3FDA93" w:rsidR="00784DB8" w:rsidRDefault="00784DB8" w:rsidP="00784DB8">
      <w:r>
        <w:t xml:space="preserve">I will start by briefly explaining the circumstances of the investigation I was involved in. I was working as a response police officer. I had been instructed to conduct the arrest of a 17-year-old male who had been accused of rape. The male had been to an A-level results party and had stayed the night in the </w:t>
      </w:r>
      <w:proofErr w:type="gramStart"/>
      <w:r>
        <w:t>victims</w:t>
      </w:r>
      <w:proofErr w:type="gramEnd"/>
      <w:r>
        <w:t xml:space="preserve"> house after it. Once this incident had been reported the role of the police was to investigate the matter and gather evidence to prove or negate if the crime had occurred. Evidence must be gathered whilst adhering to the laws and regulations that govern complex investigations (Rumney, et al, 2023). </w:t>
      </w:r>
    </w:p>
    <w:p w14:paraId="1BC811B3" w14:textId="77777777" w:rsidR="00784DB8" w:rsidRDefault="00784DB8" w:rsidP="00784DB8"/>
    <w:p w14:paraId="0A8F0734" w14:textId="77777777" w:rsidR="00784DB8" w:rsidRDefault="00784DB8" w:rsidP="00784DB8"/>
    <w:p w14:paraId="4A6FEF4F" w14:textId="655BB72C" w:rsidR="00784DB8" w:rsidRDefault="00784DB8" w:rsidP="00784DB8">
      <w:r>
        <w:t xml:space="preserve">The main pieces of legislation that governs police investigations are the police and criminal evidence act 1984 (PACE) and the Regulation of Investigatory Powers act 2000 (RIPA). These laws are in place to ensure the police act fairly and investigations are regulated. They are particularly important in complex investigations. The laws </w:t>
      </w:r>
      <w:proofErr w:type="gramStart"/>
      <w:r>
        <w:t>protects</w:t>
      </w:r>
      <w:proofErr w:type="gramEnd"/>
      <w:r>
        <w:t xml:space="preserve"> the rights of the accused, which is extremely relevant in investigations regarding crimes of a sexual nature as the methods used to investigate them are often intrusive (Gov.uk, 2023).</w:t>
      </w:r>
    </w:p>
    <w:p w14:paraId="1622DF0F" w14:textId="77777777" w:rsidR="00784DB8" w:rsidRDefault="00784DB8" w:rsidP="00784DB8"/>
    <w:p w14:paraId="2954ADD9" w14:textId="77777777" w:rsidR="00784DB8" w:rsidRDefault="00784DB8" w:rsidP="00784DB8"/>
    <w:p w14:paraId="433C8111" w14:textId="52D3FB18" w:rsidR="00784DB8" w:rsidRDefault="00784DB8" w:rsidP="00784DB8">
      <w:r>
        <w:t xml:space="preserve">There are two main types of evidence gathered in this type of investigation, firstly there is forensic evidence. This evidence is vital to support the prosecution of offenders. Forensic evidence is typically gathered at the scene of the crime (CPS, 2023).  </w:t>
      </w:r>
    </w:p>
    <w:p w14:paraId="3E5ACF38" w14:textId="77777777" w:rsidR="00784DB8" w:rsidRDefault="00784DB8" w:rsidP="00784DB8"/>
    <w:p w14:paraId="0BD6B5F6" w14:textId="77777777" w:rsidR="00784DB8" w:rsidRDefault="00784DB8" w:rsidP="00784DB8"/>
    <w:p w14:paraId="03303B14" w14:textId="3CCC7CA6" w:rsidR="00784DB8" w:rsidRDefault="00784DB8" w:rsidP="00784DB8">
      <w:r>
        <w:t xml:space="preserve">Other evidence gathered in this investigation was concerning the online activity before and after the alleged event. In complex investigations the use of technology is now increasingly a significant aspect. Being able to see the online activity of victims and suspects particularly on social media or via messaging apps can give an insight into the actions and intentions of both parties (Daley, E 2021). </w:t>
      </w:r>
    </w:p>
    <w:p w14:paraId="6C570FD5" w14:textId="77777777" w:rsidR="00784DB8" w:rsidRDefault="00784DB8" w:rsidP="00784DB8">
      <w:r>
        <w:t xml:space="preserve">My involvement was to conduct the arrest and gather evidence that could potentially be vital in the investigation. In rape investigations gathering and securing evidence as early as possible is vital. In </w:t>
      </w:r>
      <w:r>
        <w:lastRenderedPageBreak/>
        <w:t xml:space="preserve">policing these are known as golden hour enquires (Rose, A, 2021). The act of gathering evidence that is potentially forensic can be extremely sensitive for the victim and any potential witnesses. The process of gathering forensic evidence from the victim is carried out by a medical professional (The Crown Prosecution service, 2021). </w:t>
      </w:r>
    </w:p>
    <w:p w14:paraId="34F1188B" w14:textId="77777777" w:rsidR="00784DB8" w:rsidRDefault="00784DB8" w:rsidP="00784DB8"/>
    <w:p w14:paraId="6BCF3E33" w14:textId="77777777" w:rsidR="00784DB8" w:rsidRDefault="00784DB8" w:rsidP="00784DB8"/>
    <w:p w14:paraId="6307469B" w14:textId="20475687" w:rsidR="00784DB8" w:rsidRDefault="00784DB8" w:rsidP="00784DB8">
      <w:r>
        <w:t xml:space="preserve">Other evidence that can be forensically valuable can be gathered by police. An example of this type of evidence can be seen in this incident. I did not gather this personally as I had been assigned to arrest the suspect and my attending of the scene of the crime would have meant there was cross contamination which could have undermined the investigation. </w:t>
      </w:r>
    </w:p>
    <w:p w14:paraId="688150A5" w14:textId="77777777" w:rsidR="00784DB8" w:rsidRDefault="00784DB8" w:rsidP="00784DB8"/>
    <w:p w14:paraId="43548925" w14:textId="77777777" w:rsidR="00784DB8" w:rsidRDefault="00784DB8" w:rsidP="00784DB8"/>
    <w:p w14:paraId="292C8C31" w14:textId="43FFB1CB" w:rsidR="00784DB8" w:rsidRDefault="00784DB8" w:rsidP="00784DB8">
      <w:r>
        <w:t xml:space="preserve">Bedding and underwear were gathered from the scene of the crime and sent for forensic examination. In doing this my colleagues had to attend at the victims address and speak to the victim’s family about what had happened. They also had to explain why the items were being seized. </w:t>
      </w:r>
    </w:p>
    <w:p w14:paraId="28B6446D" w14:textId="77777777" w:rsidR="00784DB8" w:rsidRDefault="00784DB8" w:rsidP="00784DB8"/>
    <w:p w14:paraId="09F054AB" w14:textId="77777777" w:rsidR="00784DB8" w:rsidRDefault="00784DB8" w:rsidP="00784DB8"/>
    <w:p w14:paraId="2D0AEC26" w14:textId="736BCEFA" w:rsidR="00784DB8" w:rsidRDefault="00784DB8" w:rsidP="00784DB8">
      <w:r>
        <w:t xml:space="preserve">My part in gathering forensic evidence was to take swabs from the hands of the suspect. I also had to be present during the taking of mouth and penial swabs as these were done in a custody suite. In regard to taking swabs of intimate areas, these are done behind a curtain in the medical room of the custody suite, giving the suspect the right to privacy to the greatest extent possible in the circumstances. </w:t>
      </w:r>
    </w:p>
    <w:p w14:paraId="17123810" w14:textId="77777777" w:rsidR="00784DB8" w:rsidRDefault="00784DB8" w:rsidP="00784DB8"/>
    <w:p w14:paraId="30FD7184" w14:textId="77777777" w:rsidR="00784DB8" w:rsidRDefault="00784DB8" w:rsidP="00784DB8">
      <w:r>
        <w:t>Treating the people involved in the investigation well is vital in securing the best evidence and most fair outcome. The evidence and testimony provided by victims is essential in being able to fully investigate crimes. A witnesses account of the incident is particularly vital in crimes of a sexual nature. Police are trained to speak to victims of these types of crimes with sensitivity and to try and understand the trauma associated with sexual violence. It is important that the victim feels safe to express how the incident happened and how it affected them. The victim in these types of investigation has to feel heard and believed in order to give the best evidence in the first instance (</w:t>
      </w:r>
      <w:proofErr w:type="spellStart"/>
      <w:proofErr w:type="gramStart"/>
      <w:r>
        <w:t>McQueen,K</w:t>
      </w:r>
      <w:proofErr w:type="spellEnd"/>
      <w:proofErr w:type="gramEnd"/>
      <w:r>
        <w:t xml:space="preserve">, et al 2021). </w:t>
      </w:r>
    </w:p>
    <w:p w14:paraId="05F8952C" w14:textId="77777777" w:rsidR="00784DB8" w:rsidRDefault="00784DB8" w:rsidP="00784DB8"/>
    <w:p w14:paraId="11E9854E" w14:textId="77777777" w:rsidR="00784DB8" w:rsidRDefault="00784DB8" w:rsidP="00784DB8"/>
    <w:p w14:paraId="2C7F5FA6" w14:textId="63ECE3BC" w:rsidR="00784DB8" w:rsidRDefault="00784DB8" w:rsidP="00784DB8">
      <w:r>
        <w:t>These are the fast time actions that are crucial in investigating a sexual offence. Getting a first account from a victim as early as possible often means that the account will be more accurate as the specific details of the incident will be clear in the victim’s mind (</w:t>
      </w:r>
      <w:proofErr w:type="spellStart"/>
      <w:r>
        <w:t>Gekoski</w:t>
      </w:r>
      <w:proofErr w:type="spellEnd"/>
      <w:r>
        <w:t xml:space="preserve">, A, et al, 2023). Obtaining an account early also ensures that any lines of enquiry disclosed by the victim can be followed up, achieving the best possible level of evidence. Evidence in this type of incident becomes less valuable over time as getting a trace of DNA becomes harder. There is also the issue of witnesses not being able to remember the incident clearly as time goes on (McCartney, et al, 2023). An example of this can be seen in the incident I dealt with. The victim was spoken to the day after she alleged rape and disclosed details of the incident that allowed items of evidential value to be located. This meant that police were able to seize the bedding and underwear from her room only hours after the incident, ensuring the best evidence was preserved. </w:t>
      </w:r>
    </w:p>
    <w:p w14:paraId="47A2BA70" w14:textId="77777777" w:rsidR="00784DB8" w:rsidRDefault="00784DB8" w:rsidP="00784DB8"/>
    <w:p w14:paraId="01A8407F" w14:textId="77777777" w:rsidR="00784DB8" w:rsidRDefault="00784DB8" w:rsidP="00784DB8"/>
    <w:p w14:paraId="2D8532A8" w14:textId="48D72B63" w:rsidR="00784DB8" w:rsidRDefault="00784DB8" w:rsidP="00784DB8">
      <w:r>
        <w:t>In the incident in question, I mainly dealt with the suspect. The fast-track actions that I carried out myself was to arrest the suspect to be taken to interview and obtain forensic evidence by means of swabs. During the arrest of the suspect, I seized his mobile phone. The information on the mobile phone was important as it could have contained data showing messages sent between the victim and suspect or online activity relating to the offence (Gov.uk, 2023).</w:t>
      </w:r>
    </w:p>
    <w:p w14:paraId="7051817F" w14:textId="77777777" w:rsidR="00784DB8" w:rsidRDefault="00784DB8" w:rsidP="00784DB8"/>
    <w:p w14:paraId="52EA13A9" w14:textId="77777777" w:rsidR="00784DB8" w:rsidRDefault="00784DB8" w:rsidP="00784DB8"/>
    <w:p w14:paraId="69F51837" w14:textId="01E1EA67" w:rsidR="00784DB8" w:rsidRDefault="00784DB8" w:rsidP="00784DB8">
      <w:r>
        <w:t>Mobile devices are often seized as part of complex investigations. The act of seizing mobile phones is dictated by PACE. For police to be able to seize a personal item form a suspect they must reasonably believe that the item will contain evidence relevant to that investigation or that the item has been used to commit an offence. In this investigation the suspect handed me their phone. I placed it into an evidence bag and took it to a storage facility. The phone was then sent to be examined by a digital media expert (Horsman, G, et al, 2024)</w:t>
      </w:r>
    </w:p>
    <w:p w14:paraId="7AAEF73A" w14:textId="77777777" w:rsidR="00784DB8" w:rsidRDefault="00784DB8" w:rsidP="00784DB8">
      <w:r>
        <w:lastRenderedPageBreak/>
        <w:t>There are ethical concerns regarding the examination of a private mobile device. Any examination of this nature must not breach article 8 of the European Human rights act which allows for citizens to have a right to a private life. The balance between being able to effectively protect the public by conducting investigations and being too intrusive into personal lives is a common topic in debates regarding modern policing. Some would argue that police being able to seize phones and examine them is an overreach of the authority of the state. Critics of modern policing methods have also pointed out how having the power to conduct these types of enquires could lead to misuse of data (</w:t>
      </w:r>
      <w:proofErr w:type="spellStart"/>
      <w:r>
        <w:t>Piskopani</w:t>
      </w:r>
      <w:proofErr w:type="spellEnd"/>
      <w:r>
        <w:t xml:space="preserve">, et al 2024). </w:t>
      </w:r>
    </w:p>
    <w:p w14:paraId="398089D3" w14:textId="77777777" w:rsidR="00784DB8" w:rsidRDefault="00784DB8" w:rsidP="00784DB8"/>
    <w:p w14:paraId="5769CDF6" w14:textId="77777777" w:rsidR="00784DB8" w:rsidRDefault="00784DB8" w:rsidP="00784DB8"/>
    <w:p w14:paraId="254F78F0" w14:textId="133445E3" w:rsidR="00784DB8" w:rsidRDefault="00784DB8" w:rsidP="00784DB8">
      <w:r>
        <w:t>Taking forensic samples is a key part of preparation for an investigative interview for a crime of this nature. The suspect could deny being in the location or give a contradictory account of the incident compared to the victim. Having forensic samples provides definite proof of the suspects locations at the crime scene. DNA analysis greatly improves the polices ability to solve crimes of this nature (</w:t>
      </w:r>
      <w:r w:rsidRPr="00CB726A">
        <w:t>Padmanabhan</w:t>
      </w:r>
      <w:r>
        <w:t xml:space="preserve">, et al, 2023). DNA analysis is the process of gathering samples of salvia, blood or skin cells from a crime scene and in some cases, a victim. These samples are then compared against samples taken from the suspect. </w:t>
      </w:r>
    </w:p>
    <w:p w14:paraId="0E79F5C6" w14:textId="77777777" w:rsidR="00784DB8" w:rsidRDefault="00784DB8" w:rsidP="00784DB8"/>
    <w:p w14:paraId="7842B02C" w14:textId="77777777" w:rsidR="00784DB8" w:rsidRDefault="00784DB8" w:rsidP="00784DB8"/>
    <w:p w14:paraId="74DF553E" w14:textId="77D66DE4" w:rsidR="00784DB8" w:rsidRDefault="00784DB8" w:rsidP="00784DB8">
      <w:r>
        <w:t xml:space="preserve">In 1995 the National DNA database was established. This was significant for the justice system to be able to use forensic science in investigations. The data base allowed for storage and comparison of DNA samples. This database has been vital in rape cases since its inception. If a match is found using the database it can greatly increase the strength of prosecution cases (National DNA database strategy board, 2017). </w:t>
      </w:r>
    </w:p>
    <w:p w14:paraId="501481F2" w14:textId="77777777" w:rsidR="00784DB8" w:rsidRDefault="00784DB8" w:rsidP="00784DB8"/>
    <w:p w14:paraId="0915AABF" w14:textId="77777777" w:rsidR="00784DB8" w:rsidRDefault="00784DB8" w:rsidP="00784DB8"/>
    <w:p w14:paraId="36D6255C" w14:textId="3DC9FDAD" w:rsidR="00784DB8" w:rsidRDefault="00784DB8" w:rsidP="00784DB8">
      <w:r>
        <w:t>However, there are challenges in using DNA in these types of cases. There is always going to be human error which can lead to the contamination of samples, there is potential for wrongful convictions and there are still questions over the storing of DNA samples and the ethical concerns regarding them being kept on record by police. DNA evidence also requires expert witnesses which can make the use of the analysis more complex and slow down investigations. When cases involving DNA evidence go to court, expert testimony is required to help juries understand its significance due to its complexity. Even with its challenges, DNA evidence has become an essential part of investigations in the UK. Its use offers a scientific basis for the justice system to work from (</w:t>
      </w:r>
      <w:proofErr w:type="spellStart"/>
      <w:r>
        <w:t>Amankwaa</w:t>
      </w:r>
      <w:proofErr w:type="spellEnd"/>
      <w:r>
        <w:t>, et al 2022).</w:t>
      </w:r>
    </w:p>
    <w:p w14:paraId="5063FB62" w14:textId="77777777" w:rsidR="00784DB8" w:rsidRDefault="00784DB8" w:rsidP="00784DB8"/>
    <w:p w14:paraId="10B92148" w14:textId="77777777" w:rsidR="00784DB8" w:rsidRDefault="00784DB8" w:rsidP="00784DB8"/>
    <w:p w14:paraId="26AFCAF3" w14:textId="1F440D26" w:rsidR="00784DB8" w:rsidRDefault="00784DB8" w:rsidP="00784DB8">
      <w:r>
        <w:t xml:space="preserve">Whilst gathering evidence it was important to consider that the person being arrested had only been accused at this stage in the investigation. Being arrested for a sexual offence is itself extremely traumatic, especially for someone who is only 17 years old. It was important to consider the duty of care I had for him whilst still carrying out the necessary investigative procedures. In a complex investigation it is important to consider the needs of suspects to ensure that their legal rights are upheld (Dixson et al, 1990). This is where I have had to reflect on the investigation. In arresting a suspect for an offence as heinous as rape I found it was difficult not to feel emotion during the procedure. On one hand there was the victim, and their experience needed to be respected with appropriate action being taken to deliver justice. On the other hand, was the suspect who was only arrested on suspicion of rape and could themselves be a completely innocent person going through a traumatic experience. The complexity in these cases is sometimes caused by the uncertainty regarding how the events actually transpired. </w:t>
      </w:r>
    </w:p>
    <w:p w14:paraId="410998C8" w14:textId="77777777" w:rsidR="00784DB8" w:rsidRDefault="00784DB8" w:rsidP="00784DB8"/>
    <w:p w14:paraId="5CCBDB25" w14:textId="77777777" w:rsidR="00273FF0" w:rsidRDefault="00273FF0" w:rsidP="00784DB8"/>
    <w:p w14:paraId="2836F598" w14:textId="0E1F2B46" w:rsidR="00784DB8" w:rsidRDefault="00784DB8" w:rsidP="00784DB8">
      <w:r>
        <w:t>In order to understand the processes and my feelings throughout the investigation I am now going to use the Gibbs reflective model to look back at each stage of the investigation (Gibbs reflective cycle, 2014).</w:t>
      </w:r>
    </w:p>
    <w:p w14:paraId="6DB31DA1" w14:textId="77777777" w:rsidR="00273FF0" w:rsidRDefault="00273FF0" w:rsidP="00784DB8"/>
    <w:p w14:paraId="769D949A" w14:textId="77777777" w:rsidR="00273FF0" w:rsidRDefault="00273FF0" w:rsidP="00784DB8"/>
    <w:p w14:paraId="5F787FE4" w14:textId="0B84898D" w:rsidR="00784DB8" w:rsidRDefault="00784DB8" w:rsidP="00784DB8">
      <w:r>
        <w:t xml:space="preserve">The first stage is description, in this stage I familiarised myself with the report that was made by the victim and gathered the evidence that was required to be obtained from the suspect. In this stage it was important to arrest the suspect as early as possible to preserve evidence and to also be meticulous whilst obtaining forensic evidence from him. </w:t>
      </w:r>
    </w:p>
    <w:p w14:paraId="2CCF2618" w14:textId="77777777" w:rsidR="00784DB8" w:rsidRDefault="00784DB8" w:rsidP="00784DB8">
      <w:r>
        <w:lastRenderedPageBreak/>
        <w:t xml:space="preserve">Next is the feelings stage. While I was carrying out my role in this investigation, I had ambivalent emotions about what I was doing. Being able to have a role in bringing an offender of a horrific crime to justice was fulfilling, however there was no way of knowing the complete truth of the events that </w:t>
      </w:r>
      <w:proofErr w:type="spellStart"/>
      <w:r>
        <w:t>lead</w:t>
      </w:r>
      <w:proofErr w:type="spellEnd"/>
      <w:r>
        <w:t xml:space="preserve"> to his arrest. Having this in mind was important and I felt that I did treat the suspect with necessary dignity and respect. </w:t>
      </w:r>
    </w:p>
    <w:p w14:paraId="32E44101" w14:textId="77777777" w:rsidR="00273FF0" w:rsidRDefault="00273FF0" w:rsidP="00784DB8"/>
    <w:p w14:paraId="51896D86" w14:textId="77777777" w:rsidR="00273FF0" w:rsidRDefault="00273FF0" w:rsidP="00784DB8"/>
    <w:p w14:paraId="21F53F83" w14:textId="799E860C" w:rsidR="00784DB8" w:rsidRDefault="00784DB8" w:rsidP="00784DB8">
      <w:r>
        <w:t xml:space="preserve">After that comes the analysis stage. In this stage I am looking back at the investigative methods used. It is difficult for me to include this stage in my reflection as I am not able to examine DNA or digital media myself. I do however understand the necessity to conduct these enquires while acknowledging that they are intrusive and have a huge potential to be abused. </w:t>
      </w:r>
    </w:p>
    <w:p w14:paraId="27D8FED5" w14:textId="77777777" w:rsidR="00273FF0" w:rsidRDefault="00273FF0" w:rsidP="00784DB8"/>
    <w:p w14:paraId="1DDB3C43" w14:textId="77777777" w:rsidR="00273FF0" w:rsidRDefault="00273FF0" w:rsidP="00784DB8"/>
    <w:p w14:paraId="5892416E" w14:textId="4AB50706" w:rsidR="00784DB8" w:rsidRDefault="00784DB8" w:rsidP="00784DB8">
      <w:r>
        <w:t xml:space="preserve">Penultimately there is the conclusion stage. I would conclude by explaining what I learnt from my experience in this investigation. I saw </w:t>
      </w:r>
      <w:proofErr w:type="spellStart"/>
      <w:r>
        <w:t>first hand</w:t>
      </w:r>
      <w:proofErr w:type="spellEnd"/>
      <w:r>
        <w:t xml:space="preserve"> how important it is to conduct investigations promptly. Making an arrest in situations where there is a timescale in which evidence can be lost is one of the most important fast time actions.</w:t>
      </w:r>
    </w:p>
    <w:p w14:paraId="62F0A856" w14:textId="77777777" w:rsidR="00273FF0" w:rsidRDefault="00273FF0" w:rsidP="00784DB8"/>
    <w:p w14:paraId="7CE5D516" w14:textId="77777777" w:rsidR="00273FF0" w:rsidRDefault="00273FF0" w:rsidP="00784DB8"/>
    <w:p w14:paraId="7DE505AE" w14:textId="4576E2C1" w:rsidR="00784DB8" w:rsidRDefault="00784DB8" w:rsidP="00784DB8">
      <w:r>
        <w:t xml:space="preserve">The final stage is the action plan stage. In this stage I will discuss what I am planning to do to become a more effective investigator in the future. I believe that I need to gain more experience and become more confident in the obtaining of forensic evidence. I have begun to do this by seeking advice from more experienced officers and completing working attachments in departments that specialise in this. I will continue to do this moving forward and reflect back on the new experiences I gain. </w:t>
      </w:r>
    </w:p>
    <w:p w14:paraId="5617D38E" w14:textId="77777777" w:rsidR="00784DB8" w:rsidRDefault="00784DB8" w:rsidP="00784DB8"/>
    <w:p w14:paraId="6B1BC56D" w14:textId="68DAD947" w:rsidR="00784DB8" w:rsidRDefault="00784DB8" w:rsidP="00784DB8">
      <w:r>
        <w:t>Word count – 209</w:t>
      </w:r>
      <w:r>
        <w:t>4</w:t>
      </w:r>
    </w:p>
    <w:p w14:paraId="2371D472" w14:textId="77777777" w:rsidR="00784DB8" w:rsidRDefault="00784DB8" w:rsidP="00784DB8"/>
    <w:p w14:paraId="232B2094" w14:textId="77777777" w:rsidR="00784DB8" w:rsidRDefault="00784DB8" w:rsidP="009370AE">
      <w:pPr>
        <w:ind w:right="237"/>
        <w:jc w:val="both"/>
        <w:rPr>
          <w:b/>
          <w:bCs/>
          <w:color w:val="000000" w:themeColor="text1"/>
          <w:sz w:val="28"/>
          <w:szCs w:val="28"/>
        </w:rPr>
      </w:pPr>
    </w:p>
    <w:p w14:paraId="5F79612C" w14:textId="4E91C753" w:rsidR="009370AE" w:rsidRDefault="009370AE" w:rsidP="009370AE">
      <w:pPr>
        <w:ind w:right="237"/>
        <w:jc w:val="both"/>
        <w:rPr>
          <w:b/>
          <w:bCs/>
          <w:color w:val="000000" w:themeColor="text1"/>
          <w:sz w:val="28"/>
          <w:szCs w:val="28"/>
        </w:rPr>
      </w:pPr>
    </w:p>
    <w:p w14:paraId="49989C09" w14:textId="77777777" w:rsidR="009370AE" w:rsidRPr="009370AE" w:rsidRDefault="009370AE" w:rsidP="009370AE">
      <w:pPr>
        <w:ind w:right="237"/>
        <w:jc w:val="both"/>
        <w:rPr>
          <w:b/>
          <w:bCs/>
          <w:color w:val="000000" w:themeColor="text1"/>
          <w:sz w:val="28"/>
          <w:szCs w:val="28"/>
        </w:rPr>
      </w:pPr>
    </w:p>
    <w:p w14:paraId="1ADEFAE5" w14:textId="0AE4C8E2" w:rsidR="0FF883D4" w:rsidRDefault="5CE196A1" w:rsidP="5CE196A1">
      <w:r w:rsidRPr="5CE196A1">
        <w:rPr>
          <w:rFonts w:eastAsia="Arial"/>
          <w:b/>
          <w:bCs/>
          <w:color w:val="000000" w:themeColor="text1"/>
          <w:sz w:val="24"/>
          <w:szCs w:val="24"/>
        </w:rPr>
        <w:t xml:space="preserve">Authentication signature: </w:t>
      </w:r>
      <w:r w:rsidR="00273FF0">
        <w:rPr>
          <w:rFonts w:eastAsia="Arial"/>
          <w:b/>
          <w:bCs/>
          <w:color w:val="000000" w:themeColor="text1"/>
          <w:sz w:val="24"/>
          <w:szCs w:val="24"/>
        </w:rPr>
        <w:t>Christopher. G. Oates</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3050DA81" w:rsidR="0FF883D4" w:rsidRDefault="5CE196A1" w:rsidP="5CE196A1">
      <w:r w:rsidRPr="5CE196A1">
        <w:rPr>
          <w:rFonts w:eastAsia="Arial"/>
          <w:b/>
          <w:bCs/>
          <w:color w:val="000000" w:themeColor="text1"/>
          <w:sz w:val="24"/>
          <w:szCs w:val="24"/>
        </w:rPr>
        <w:t xml:space="preserve">Signed: </w:t>
      </w:r>
      <w:proofErr w:type="spellStart"/>
      <w:r w:rsidR="00273FF0">
        <w:rPr>
          <w:rFonts w:eastAsia="Arial"/>
          <w:b/>
          <w:bCs/>
          <w:color w:val="000000" w:themeColor="text1"/>
          <w:sz w:val="24"/>
          <w:szCs w:val="24"/>
        </w:rPr>
        <w:t>C.</w:t>
      </w:r>
      <w:proofErr w:type="gramStart"/>
      <w:r w:rsidR="00273FF0">
        <w:rPr>
          <w:rFonts w:eastAsia="Arial"/>
          <w:b/>
          <w:bCs/>
          <w:color w:val="000000" w:themeColor="text1"/>
          <w:sz w:val="24"/>
          <w:szCs w:val="24"/>
        </w:rPr>
        <w:t>G.Oates</w:t>
      </w:r>
      <w:proofErr w:type="spellEnd"/>
      <w:proofErr w:type="gramEnd"/>
      <w:r w:rsidR="00273FF0">
        <w:rPr>
          <w:rFonts w:eastAsia="Arial"/>
          <w:b/>
          <w:bCs/>
          <w:color w:val="000000" w:themeColor="text1"/>
          <w:sz w:val="24"/>
          <w:szCs w:val="24"/>
        </w:rPr>
        <w:t xml:space="preserve">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642971B3" w:rsidR="0FF883D4" w:rsidRDefault="5CE196A1" w:rsidP="5CE196A1">
      <w:r w:rsidRPr="5CE196A1">
        <w:rPr>
          <w:rFonts w:eastAsia="Arial"/>
          <w:b/>
          <w:bCs/>
          <w:color w:val="000000" w:themeColor="text1"/>
          <w:sz w:val="24"/>
          <w:szCs w:val="24"/>
        </w:rPr>
        <w:t>Date:</w:t>
      </w:r>
      <w:r w:rsidR="00273FF0">
        <w:rPr>
          <w:rFonts w:eastAsia="Arial"/>
          <w:b/>
          <w:bCs/>
          <w:color w:val="000000" w:themeColor="text1"/>
          <w:sz w:val="24"/>
          <w:szCs w:val="24"/>
        </w:rPr>
        <w:t>28/04/2025</w:t>
      </w:r>
    </w:p>
    <w:p w14:paraId="482B2B3A" w14:textId="38231F04" w:rsidR="0FF883D4" w:rsidRDefault="0FF883D4" w:rsidP="5CE196A1">
      <w:pPr>
        <w:ind w:left="2880" w:right="225" w:firstLine="720"/>
        <w:rPr>
          <w:b/>
          <w:bCs/>
          <w:sz w:val="24"/>
          <w:szCs w:val="24"/>
          <w:lang w:eastAsia="zh-TW"/>
        </w:rPr>
        <w:sectPr w:rsidR="0FF883D4"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68B18456" w14:textId="77777777" w:rsidR="00273FF0" w:rsidRDefault="00273FF0" w:rsidP="00EA28F1">
      <w:pPr>
        <w:keepNext/>
        <w:spacing w:before="240" w:after="60"/>
        <w:ind w:right="237"/>
        <w:jc w:val="both"/>
        <w:rPr>
          <w:sz w:val="24"/>
          <w:szCs w:val="24"/>
        </w:rPr>
      </w:pPr>
    </w:p>
    <w:p w14:paraId="046037E4" w14:textId="1FA1E958" w:rsidR="00273FF0" w:rsidRPr="00273FF0" w:rsidRDefault="00273FF0" w:rsidP="00EA28F1">
      <w:pPr>
        <w:keepNext/>
        <w:spacing w:before="240" w:after="60"/>
        <w:ind w:right="237"/>
        <w:jc w:val="both"/>
        <w:rPr>
          <w:b/>
          <w:bCs/>
          <w:sz w:val="24"/>
          <w:szCs w:val="24"/>
        </w:rPr>
      </w:pPr>
      <w:r w:rsidRPr="00273FF0">
        <w:rPr>
          <w:b/>
          <w:bCs/>
          <w:sz w:val="24"/>
          <w:szCs w:val="24"/>
        </w:rPr>
        <w:t xml:space="preserve">Answer 1: </w:t>
      </w:r>
    </w:p>
    <w:p w14:paraId="1198AF6F" w14:textId="77777777" w:rsidR="00273FF0" w:rsidRDefault="00273FF0" w:rsidP="00273FF0">
      <w:r w:rsidRPr="00DA5BBA">
        <w:t xml:space="preserve">Briody, L.J. (2024) </w:t>
      </w:r>
      <w:r w:rsidRPr="00DA5BBA">
        <w:rPr>
          <w:i/>
          <w:iCs/>
        </w:rPr>
        <w:t>Operationalising ‘vulnerability’: how the police are informed about, identify and respond to individuals categorised as ‘vulnerable.’</w:t>
      </w:r>
      <w:r w:rsidRPr="00DA5BBA">
        <w:t xml:space="preserve"> </w:t>
      </w:r>
      <w:hyperlink r:id="rId21" w:history="1">
        <w:r w:rsidRPr="00DA5BBA">
          <w:rPr>
            <w:rStyle w:val="Hyperlink"/>
          </w:rPr>
          <w:t>https://keele-repository.worktribe.com/output/1012506</w:t>
        </w:r>
      </w:hyperlink>
      <w:r w:rsidRPr="00DA5BBA">
        <w:t>.</w:t>
      </w:r>
    </w:p>
    <w:p w14:paraId="0C65C919" w14:textId="77777777" w:rsidR="00273FF0" w:rsidRDefault="00273FF0" w:rsidP="00273FF0">
      <w:pPr>
        <w:rPr>
          <w:i/>
          <w:iCs/>
        </w:rPr>
      </w:pPr>
    </w:p>
    <w:p w14:paraId="298EF8D6" w14:textId="45BA052F" w:rsidR="00273FF0" w:rsidRDefault="00273FF0" w:rsidP="00273FF0">
      <w:r>
        <w:rPr>
          <w:i/>
          <w:iCs/>
        </w:rPr>
        <w:t xml:space="preserve">College of policing, </w:t>
      </w:r>
      <w:r w:rsidRPr="0048061B">
        <w:rPr>
          <w:i/>
          <w:iCs/>
        </w:rPr>
        <w:t>Problem solving</w:t>
      </w:r>
      <w:r>
        <w:rPr>
          <w:i/>
          <w:iCs/>
        </w:rPr>
        <w:t xml:space="preserve"> policing</w:t>
      </w:r>
      <w:r w:rsidRPr="0048061B">
        <w:t> (2022). https://www.college.police.uk/guidance/problem-solving-policing (Accessed: April 28, 2025).</w:t>
      </w:r>
    </w:p>
    <w:p w14:paraId="3AFE079C" w14:textId="77777777" w:rsidR="00273FF0" w:rsidRDefault="00273FF0" w:rsidP="00273FF0">
      <w:pPr>
        <w:rPr>
          <w:i/>
          <w:iCs/>
        </w:rPr>
      </w:pPr>
    </w:p>
    <w:p w14:paraId="6CECF677" w14:textId="37E08293" w:rsidR="00273FF0" w:rsidRPr="00B457B7" w:rsidRDefault="00273FF0" w:rsidP="00273FF0">
      <w:r w:rsidRPr="00B457B7">
        <w:rPr>
          <w:i/>
          <w:iCs/>
        </w:rPr>
        <w:t>Code of Practice for victims of crime in England and Wales (Victims’ Code)</w:t>
      </w:r>
      <w:r w:rsidRPr="00B457B7">
        <w:t xml:space="preserve"> (2025). https://www.gov.uk/government/publications/the-code-of-practice-for-victims-of-crime/code-of-practice-for-victims-of-crime-in-england-and-wales-victims-code.</w:t>
      </w:r>
    </w:p>
    <w:p w14:paraId="6EA65732" w14:textId="77777777" w:rsidR="00273FF0" w:rsidRDefault="00273FF0" w:rsidP="00273FF0"/>
    <w:p w14:paraId="59B8336E" w14:textId="3E76CD14" w:rsidR="00273FF0" w:rsidRDefault="00273FF0" w:rsidP="00273FF0">
      <w:r w:rsidRPr="00AF1D8E">
        <w:t>Crown Prosecution Service (2009) </w:t>
      </w:r>
      <w:r w:rsidRPr="00AF1D8E">
        <w:rPr>
          <w:i/>
          <w:iCs/>
        </w:rPr>
        <w:t>Supporting victims and witnesses with a learning disability</w:t>
      </w:r>
      <w:r w:rsidRPr="00AF1D8E">
        <w:t>, </w:t>
      </w:r>
      <w:r w:rsidRPr="00AF1D8E">
        <w:rPr>
          <w:i/>
          <w:iCs/>
        </w:rPr>
        <w:t xml:space="preserve">Supporting Victims and Witnesses </w:t>
      </w:r>
      <w:proofErr w:type="gramStart"/>
      <w:r w:rsidRPr="00AF1D8E">
        <w:rPr>
          <w:i/>
          <w:iCs/>
        </w:rPr>
        <w:t>With</w:t>
      </w:r>
      <w:proofErr w:type="gramEnd"/>
      <w:r w:rsidRPr="00AF1D8E">
        <w:rPr>
          <w:i/>
          <w:iCs/>
        </w:rPr>
        <w:t xml:space="preserve"> a Learning Disability</w:t>
      </w:r>
      <w:r w:rsidRPr="00AF1D8E">
        <w:t>, p. 2. </w:t>
      </w:r>
      <w:hyperlink r:id="rId22" w:history="1">
        <w:r w:rsidRPr="008C7478">
          <w:rPr>
            <w:rStyle w:val="Hyperlink"/>
          </w:rPr>
          <w:t>https://www.cps.gov.uk/sites/default/files/documents/publications/supporting_victims_and_witnesses_with_a_learning_disability.pdf</w:t>
        </w:r>
      </w:hyperlink>
      <w:r w:rsidRPr="00AF1D8E">
        <w:t>.</w:t>
      </w:r>
    </w:p>
    <w:p w14:paraId="14E213CA" w14:textId="77777777" w:rsidR="00273FF0" w:rsidRDefault="00273FF0" w:rsidP="00273FF0"/>
    <w:p w14:paraId="0A99FB13" w14:textId="7E6C1EAF" w:rsidR="00273FF0" w:rsidRDefault="00273FF0" w:rsidP="00273FF0">
      <w:r w:rsidRPr="00974088">
        <w:t xml:space="preserve">Ford, K. </w:t>
      </w:r>
      <w:r w:rsidRPr="00974088">
        <w:rPr>
          <w:i/>
          <w:iCs/>
        </w:rPr>
        <w:t>et al.</w:t>
      </w:r>
      <w:r w:rsidRPr="00974088">
        <w:t xml:space="preserve"> (2019) 'Understanding the outcome of police safeguarding notifications to social services in South Wales,' </w:t>
      </w:r>
      <w:r w:rsidRPr="00974088">
        <w:rPr>
          <w:i/>
          <w:iCs/>
        </w:rPr>
        <w:t>The Police Journal Theory Practice and Principles</w:t>
      </w:r>
      <w:r w:rsidRPr="00974088">
        <w:t>, 93(2), pp. 87–108. https://doi.org/10.1177/0032258x19836144.</w:t>
      </w:r>
    </w:p>
    <w:p w14:paraId="594F1C7C" w14:textId="77777777" w:rsidR="00273FF0" w:rsidRDefault="00273FF0" w:rsidP="00273FF0"/>
    <w:p w14:paraId="5041C1E5" w14:textId="401DFBBB" w:rsidR="00273FF0" w:rsidRDefault="00273FF0" w:rsidP="00273FF0">
      <w:r w:rsidRPr="00BE3B3F">
        <w:t xml:space="preserve">Fulham, L. </w:t>
      </w:r>
      <w:r w:rsidRPr="00BE3B3F">
        <w:rPr>
          <w:i/>
          <w:iCs/>
        </w:rPr>
        <w:t>et al.</w:t>
      </w:r>
      <w:r w:rsidRPr="00BE3B3F">
        <w:t xml:space="preserve"> (2023) 'The effectiveness of restorative justice programs: A meta-analysis of recidivism and other relevant outcomes,' </w:t>
      </w:r>
      <w:r w:rsidRPr="00BE3B3F">
        <w:rPr>
          <w:i/>
          <w:iCs/>
        </w:rPr>
        <w:t>Criminology &amp; Criminal Justice</w:t>
      </w:r>
      <w:r w:rsidRPr="00BE3B3F">
        <w:t xml:space="preserve"> [Preprint]. </w:t>
      </w:r>
      <w:hyperlink r:id="rId23" w:history="1">
        <w:r w:rsidRPr="00BE3B3F">
          <w:rPr>
            <w:rStyle w:val="Hyperlink"/>
          </w:rPr>
          <w:t>https://doi.org/10.1177/17488958231215228</w:t>
        </w:r>
      </w:hyperlink>
      <w:r w:rsidRPr="00BE3B3F">
        <w:t>.</w:t>
      </w:r>
    </w:p>
    <w:p w14:paraId="0ADF0654" w14:textId="77777777" w:rsidR="00273FF0" w:rsidRDefault="00273FF0" w:rsidP="00273FF0"/>
    <w:p w14:paraId="05B85EAA" w14:textId="4B049BEF" w:rsidR="00273FF0" w:rsidRDefault="00273FF0" w:rsidP="00273FF0">
      <w:r w:rsidRPr="00712EA9">
        <w:t xml:space="preserve">Heap, V. (2020) 'Exploring the effects of long-term anti-social behaviour victimisation,' </w:t>
      </w:r>
      <w:r w:rsidRPr="00712EA9">
        <w:rPr>
          <w:i/>
          <w:iCs/>
        </w:rPr>
        <w:t>International Review of Victimology</w:t>
      </w:r>
      <w:r w:rsidRPr="00712EA9">
        <w:t xml:space="preserve">, 27(2), pp. 227–242. </w:t>
      </w:r>
      <w:hyperlink r:id="rId24" w:history="1">
        <w:r w:rsidRPr="00712EA9">
          <w:rPr>
            <w:rStyle w:val="Hyperlink"/>
          </w:rPr>
          <w:t>https://doi.org/10.1177/0269758020961979</w:t>
        </w:r>
      </w:hyperlink>
      <w:r w:rsidRPr="00712EA9">
        <w:t>.</w:t>
      </w:r>
    </w:p>
    <w:p w14:paraId="618AFCDF" w14:textId="77777777" w:rsidR="00273FF0" w:rsidRDefault="00273FF0" w:rsidP="00273FF0">
      <w:pPr>
        <w:rPr>
          <w:i/>
          <w:iCs/>
        </w:rPr>
      </w:pPr>
    </w:p>
    <w:p w14:paraId="0D144586" w14:textId="29028A93" w:rsidR="00273FF0" w:rsidRDefault="00273FF0" w:rsidP="00273FF0">
      <w:r w:rsidRPr="00EE59D8">
        <w:rPr>
          <w:i/>
          <w:iCs/>
        </w:rPr>
        <w:t xml:space="preserve">Homophobic, </w:t>
      </w:r>
      <w:proofErr w:type="spellStart"/>
      <w:r w:rsidRPr="00EE59D8">
        <w:rPr>
          <w:i/>
          <w:iCs/>
        </w:rPr>
        <w:t>biphobic</w:t>
      </w:r>
      <w:proofErr w:type="spellEnd"/>
      <w:r w:rsidRPr="00EE59D8">
        <w:rPr>
          <w:i/>
          <w:iCs/>
        </w:rPr>
        <w:t xml:space="preserve"> and transphobic hate crime - Prosecution Guidance | The Crown Prosecution Service</w:t>
      </w:r>
      <w:r w:rsidRPr="00EE59D8">
        <w:t xml:space="preserve"> (2025). </w:t>
      </w:r>
      <w:hyperlink r:id="rId25" w:history="1">
        <w:r w:rsidRPr="008C7478">
          <w:rPr>
            <w:rStyle w:val="Hyperlink"/>
          </w:rPr>
          <w:t>https://www.cps.gov.uk/legal-guidance/homophobic-biphobic-and-transphobic-hate-crime-prosecution-guidance</w:t>
        </w:r>
      </w:hyperlink>
      <w:r w:rsidRPr="00EE59D8">
        <w:t>.</w:t>
      </w:r>
    </w:p>
    <w:p w14:paraId="113FB5DA" w14:textId="77777777" w:rsidR="00273FF0" w:rsidRDefault="00273FF0" w:rsidP="00273FF0"/>
    <w:p w14:paraId="5DBBEE22" w14:textId="2C13DE31" w:rsidR="00273FF0" w:rsidRDefault="00273FF0" w:rsidP="00273FF0">
      <w:r w:rsidRPr="000906EA">
        <w:t>Orr, G. (2014) 'Why are the words ‘</w:t>
      </w:r>
      <w:proofErr w:type="spellStart"/>
      <w:r w:rsidRPr="000906EA">
        <w:t>mongol</w:t>
      </w:r>
      <w:proofErr w:type="spellEnd"/>
      <w:r w:rsidRPr="000906EA">
        <w:t>’, ‘mongoloid’ and ‘</w:t>
      </w:r>
      <w:proofErr w:type="spellStart"/>
      <w:r w:rsidRPr="000906EA">
        <w:t>mongy</w:t>
      </w:r>
      <w:proofErr w:type="spellEnd"/>
      <w:r w:rsidRPr="000906EA">
        <w:t xml:space="preserve">’ still bandied about as insults? | The Independent,' </w:t>
      </w:r>
      <w:r w:rsidRPr="000906EA">
        <w:rPr>
          <w:i/>
          <w:iCs/>
        </w:rPr>
        <w:t>The Independent</w:t>
      </w:r>
      <w:r w:rsidRPr="000906EA">
        <w:t xml:space="preserve">, 24 November. </w:t>
      </w:r>
      <w:hyperlink r:id="rId26" w:history="1">
        <w:r w:rsidRPr="000906EA">
          <w:rPr>
            <w:rStyle w:val="Hyperlink"/>
          </w:rPr>
          <w:t>https://www.independent.co.uk/arts-entertainment/tv/features/why-are-the-words-mongol-mongoloid-and-mongy-still-bandied-about-as-insults-9878557.html</w:t>
        </w:r>
      </w:hyperlink>
      <w:r w:rsidRPr="000906EA">
        <w:t>.</w:t>
      </w:r>
    </w:p>
    <w:p w14:paraId="0DAB80FF" w14:textId="77777777" w:rsidR="00273FF0" w:rsidRPr="00EE59D8" w:rsidRDefault="00273FF0" w:rsidP="00273FF0"/>
    <w:p w14:paraId="078066AB" w14:textId="77777777" w:rsidR="00273FF0" w:rsidRDefault="00273FF0" w:rsidP="00273FF0">
      <w:r w:rsidRPr="00013594">
        <w:t xml:space="preserve">Public protection notice (PPN) - His Majesty’s Inspectorate of Constabulary and Fire &amp; Rescue Services (2023). </w:t>
      </w:r>
      <w:hyperlink r:id="rId27" w:history="1">
        <w:r w:rsidRPr="008C7478">
          <w:rPr>
            <w:rStyle w:val="Hyperlink"/>
          </w:rPr>
          <w:t>https://hmicfrs.justiceinspectorates.gov.uk/glossary/public-protection-notice/</w:t>
        </w:r>
      </w:hyperlink>
      <w:r w:rsidRPr="00013594">
        <w:t>.</w:t>
      </w:r>
    </w:p>
    <w:p w14:paraId="547863F3" w14:textId="77777777" w:rsidR="00273FF0" w:rsidRDefault="00273FF0" w:rsidP="00273FF0"/>
    <w:p w14:paraId="63EF7227" w14:textId="54301A93" w:rsidR="00273FF0" w:rsidRDefault="00273FF0" w:rsidP="00273FF0">
      <w:r>
        <w:t xml:space="preserve">The public order act (1986). </w:t>
      </w:r>
    </w:p>
    <w:p w14:paraId="5E5AEC2B" w14:textId="77777777" w:rsidR="00273FF0" w:rsidRDefault="00273FF0" w:rsidP="00273FF0">
      <w:pPr>
        <w:rPr>
          <w:i/>
          <w:iCs/>
        </w:rPr>
      </w:pPr>
    </w:p>
    <w:p w14:paraId="73FB3FAC" w14:textId="299F465B" w:rsidR="00273FF0" w:rsidRPr="00EE59D8" w:rsidRDefault="00273FF0" w:rsidP="00273FF0">
      <w:r w:rsidRPr="00EE59D8">
        <w:rPr>
          <w:i/>
          <w:iCs/>
        </w:rPr>
        <w:t>Public Order Offences incorporating the Charging Standard | The Crown Prosecution Service</w:t>
      </w:r>
      <w:r w:rsidRPr="00EE59D8">
        <w:t xml:space="preserve"> (no date). https://www.cps.gov.uk/legal-guidance/public-order-offences-incorporating-charging-standard.</w:t>
      </w:r>
    </w:p>
    <w:p w14:paraId="08C68CD8" w14:textId="77777777" w:rsidR="00273FF0" w:rsidRDefault="00273FF0" w:rsidP="00273FF0">
      <w:r w:rsidRPr="00AF1D8E">
        <w:rPr>
          <w:i/>
          <w:iCs/>
        </w:rPr>
        <w:t>Restorative Justice | The Crown Prosecution Service</w:t>
      </w:r>
      <w:r w:rsidRPr="00AF1D8E">
        <w:t xml:space="preserve"> (2023). </w:t>
      </w:r>
      <w:hyperlink r:id="rId28" w:history="1">
        <w:r w:rsidRPr="00AF1D8E">
          <w:rPr>
            <w:rStyle w:val="Hyperlink"/>
          </w:rPr>
          <w:t>https://www.cps.gov.uk/legal-guidance/restorative-justice</w:t>
        </w:r>
      </w:hyperlink>
      <w:r w:rsidRPr="00AF1D8E">
        <w:t>.</w:t>
      </w:r>
    </w:p>
    <w:p w14:paraId="4415E88D" w14:textId="77777777" w:rsidR="00273FF0" w:rsidRDefault="00273FF0" w:rsidP="00273FF0">
      <w:r w:rsidRPr="00163F3B">
        <w:lastRenderedPageBreak/>
        <w:t xml:space="preserve">Saxton, M.D. </w:t>
      </w:r>
      <w:r w:rsidRPr="00163F3B">
        <w:rPr>
          <w:i/>
          <w:iCs/>
        </w:rPr>
        <w:t>et al.</w:t>
      </w:r>
      <w:r w:rsidRPr="00163F3B">
        <w:t xml:space="preserve"> (2020) 'Complexities of the police response to intimate partner violence: Police officers’ perspectives on the challenges of keeping families safe,' </w:t>
      </w:r>
      <w:r w:rsidRPr="00163F3B">
        <w:rPr>
          <w:i/>
          <w:iCs/>
        </w:rPr>
        <w:t>Journal of Interpersonal Violence</w:t>
      </w:r>
      <w:r w:rsidRPr="00163F3B">
        <w:t xml:space="preserve">, 37(5–6), pp. 2557–2580. </w:t>
      </w:r>
      <w:hyperlink r:id="rId29" w:history="1">
        <w:r w:rsidRPr="00163F3B">
          <w:rPr>
            <w:rStyle w:val="Hyperlink"/>
          </w:rPr>
          <w:t>https://doi.org/10.1177/0886260520934428</w:t>
        </w:r>
      </w:hyperlink>
      <w:r w:rsidRPr="00163F3B">
        <w:t>.</w:t>
      </w:r>
    </w:p>
    <w:p w14:paraId="1CE9D19A" w14:textId="77777777" w:rsidR="00273FF0" w:rsidRDefault="00273FF0" w:rsidP="00273FF0"/>
    <w:p w14:paraId="178737E6" w14:textId="61232907" w:rsidR="00273FF0" w:rsidRDefault="00273FF0" w:rsidP="00273FF0">
      <w:r w:rsidRPr="00D72BA1">
        <w:t>Tura, F., Nomikos, E. and Betts, L.R. (2022) 'Prevalence and Predictors of Poly-Victimization of Adolescents in England and Wales,' </w:t>
      </w:r>
      <w:r w:rsidRPr="00D72BA1">
        <w:rPr>
          <w:i/>
          <w:iCs/>
        </w:rPr>
        <w:t>Journal of Interpersonal Violence</w:t>
      </w:r>
      <w:r w:rsidRPr="00D72BA1">
        <w:t>, 38(5–6), pp. 4688–4713. </w:t>
      </w:r>
      <w:hyperlink r:id="rId30" w:history="1">
        <w:r w:rsidRPr="00D72BA1">
          <w:rPr>
            <w:rStyle w:val="Hyperlink"/>
          </w:rPr>
          <w:t>https://doi.org/10.1177/08862605221118967</w:t>
        </w:r>
      </w:hyperlink>
      <w:r w:rsidRPr="00D72BA1">
        <w:t>.</w:t>
      </w:r>
    </w:p>
    <w:p w14:paraId="0D7EEBBF" w14:textId="77777777" w:rsidR="00273FF0" w:rsidRDefault="00273FF0" w:rsidP="00273FF0"/>
    <w:p w14:paraId="397841C1" w14:textId="511AD58A" w:rsidR="00273FF0" w:rsidRDefault="00273FF0" w:rsidP="00273FF0">
      <w:r w:rsidRPr="00BE3B3F">
        <w:t xml:space="preserve">Umbreit, M.S., Bradshaw, W. and Coates, R.B. (1999) 'Victims of severe violence meet the offender: restorative justice through dialogue,' </w:t>
      </w:r>
      <w:r w:rsidRPr="00BE3B3F">
        <w:rPr>
          <w:i/>
          <w:iCs/>
        </w:rPr>
        <w:t>International Review of Victimology</w:t>
      </w:r>
      <w:r w:rsidRPr="00BE3B3F">
        <w:t xml:space="preserve">, 6(4), pp. 321–343. </w:t>
      </w:r>
      <w:hyperlink r:id="rId31" w:history="1">
        <w:r w:rsidRPr="00BE3B3F">
          <w:rPr>
            <w:rStyle w:val="Hyperlink"/>
          </w:rPr>
          <w:t>https://doi.org/10.1177/026975809900600405</w:t>
        </w:r>
      </w:hyperlink>
      <w:r w:rsidRPr="00BE3B3F">
        <w:t>.</w:t>
      </w:r>
    </w:p>
    <w:p w14:paraId="3F6D9B55" w14:textId="77777777" w:rsidR="00273FF0" w:rsidRDefault="00273FF0" w:rsidP="00EA28F1">
      <w:pPr>
        <w:keepNext/>
        <w:spacing w:before="240" w:after="60"/>
        <w:ind w:right="237"/>
        <w:jc w:val="both"/>
      </w:pPr>
    </w:p>
    <w:p w14:paraId="01F1C85D" w14:textId="6AECE7F7" w:rsidR="00273FF0" w:rsidRPr="00273FF0" w:rsidRDefault="00273FF0" w:rsidP="00EA28F1">
      <w:pPr>
        <w:keepNext/>
        <w:spacing w:before="240" w:after="60"/>
        <w:ind w:right="237"/>
        <w:jc w:val="both"/>
        <w:rPr>
          <w:b/>
          <w:bCs/>
        </w:rPr>
      </w:pPr>
      <w:r w:rsidRPr="00273FF0">
        <w:rPr>
          <w:b/>
          <w:bCs/>
        </w:rPr>
        <w:t xml:space="preserve">Answer 2: </w:t>
      </w:r>
    </w:p>
    <w:p w14:paraId="3F482F27" w14:textId="77777777" w:rsidR="00273FF0" w:rsidRDefault="00273FF0" w:rsidP="00EA28F1">
      <w:pPr>
        <w:keepNext/>
        <w:spacing w:before="240" w:after="60"/>
        <w:ind w:right="237"/>
        <w:jc w:val="both"/>
      </w:pPr>
    </w:p>
    <w:p w14:paraId="4B0706D7" w14:textId="77777777" w:rsidR="00273FF0" w:rsidRDefault="00273FF0" w:rsidP="00273FF0">
      <w:r>
        <w:t>Police and Criminal Evidence Act 1984 (PACE).</w:t>
      </w:r>
    </w:p>
    <w:p w14:paraId="1949F7F4" w14:textId="77777777" w:rsidR="00273FF0" w:rsidRDefault="00273FF0" w:rsidP="00273FF0"/>
    <w:p w14:paraId="679E44BD" w14:textId="3738CE2A" w:rsidR="00273FF0" w:rsidRDefault="00273FF0" w:rsidP="00273FF0">
      <w:r>
        <w:t>Regulation of Investigatory Powers Act 2000 (RIPA).</w:t>
      </w:r>
    </w:p>
    <w:p w14:paraId="41E988FB" w14:textId="77777777" w:rsidR="00273FF0" w:rsidRDefault="00273FF0" w:rsidP="00273FF0"/>
    <w:p w14:paraId="3DBFF04F" w14:textId="6008852A" w:rsidR="00273FF0" w:rsidRDefault="00273FF0" w:rsidP="00273FF0">
      <w:proofErr w:type="spellStart"/>
      <w:r w:rsidRPr="00585AFE">
        <w:t>Amankwaa</w:t>
      </w:r>
      <w:proofErr w:type="spellEnd"/>
      <w:r w:rsidRPr="00585AFE">
        <w:t xml:space="preserve">, A.O. and McCartney, C. (2021) 'The effectiveness of the current use of forensic DNA in criminal investigations in England and Wales,' Wiley Interdisciplinary Reviews Forensic Science, 3(6). </w:t>
      </w:r>
      <w:hyperlink r:id="rId32" w:history="1">
        <w:r w:rsidRPr="008C7478">
          <w:rPr>
            <w:rStyle w:val="Hyperlink"/>
          </w:rPr>
          <w:t>https://doi.org/10.1002/wfs2.1414</w:t>
        </w:r>
      </w:hyperlink>
      <w:r w:rsidRPr="00585AFE">
        <w:t>.</w:t>
      </w:r>
    </w:p>
    <w:p w14:paraId="5AD95E6E" w14:textId="77777777" w:rsidR="00273FF0" w:rsidRDefault="00273FF0" w:rsidP="00273FF0"/>
    <w:p w14:paraId="0772E4E3" w14:textId="3F3E79F4" w:rsidR="00273FF0" w:rsidRDefault="00273FF0" w:rsidP="00273FF0">
      <w:r w:rsidRPr="00585AFE">
        <w:t xml:space="preserve">Crown Prosecution Service (2021) </w:t>
      </w:r>
      <w:r w:rsidRPr="00585AFE">
        <w:rPr>
          <w:i/>
          <w:iCs/>
        </w:rPr>
        <w:t>A guide for victims of rape and serious sexual assault</w:t>
      </w:r>
      <w:r w:rsidRPr="00585AFE">
        <w:t xml:space="preserve">, </w:t>
      </w:r>
      <w:r w:rsidRPr="00585AFE">
        <w:rPr>
          <w:i/>
          <w:iCs/>
        </w:rPr>
        <w:t>Crown Prosecution Service</w:t>
      </w:r>
      <w:r w:rsidRPr="00585AFE">
        <w:t xml:space="preserve">. </w:t>
      </w:r>
      <w:hyperlink r:id="rId33" w:history="1">
        <w:r w:rsidRPr="00585AFE">
          <w:rPr>
            <w:rStyle w:val="Hyperlink"/>
          </w:rPr>
          <w:t>https://www.cps.gov.uk/sites/default/files/documents/victims_witnesses/victims-rape/A-guide-for-victims-of-rape-and-serious-sexual-assault-v3-July-22.pdf</w:t>
        </w:r>
      </w:hyperlink>
      <w:r w:rsidRPr="00585AFE">
        <w:t>.</w:t>
      </w:r>
    </w:p>
    <w:p w14:paraId="27C4AD70" w14:textId="77777777" w:rsidR="00273FF0" w:rsidRDefault="00273FF0" w:rsidP="00273FF0"/>
    <w:p w14:paraId="5DC3984D" w14:textId="087C6894" w:rsidR="00273FF0" w:rsidRDefault="00273FF0" w:rsidP="00273FF0">
      <w:r w:rsidRPr="001F7ECB">
        <w:t xml:space="preserve">Daly, E. (2021) 'Making new meanings: The </w:t>
      </w:r>
      <w:proofErr w:type="spellStart"/>
      <w:r w:rsidRPr="001F7ECB">
        <w:t>entextualisation</w:t>
      </w:r>
      <w:proofErr w:type="spellEnd"/>
      <w:r w:rsidRPr="001F7ECB">
        <w:t xml:space="preserve"> of digital communications evidence in English sexual offences trials,' </w:t>
      </w:r>
      <w:r w:rsidRPr="001F7ECB">
        <w:rPr>
          <w:i/>
          <w:iCs/>
        </w:rPr>
        <w:t>Crime Media Culture an International Journal</w:t>
      </w:r>
      <w:r w:rsidRPr="001F7ECB">
        <w:t xml:space="preserve">, 18(4), pp. 578–596. </w:t>
      </w:r>
      <w:hyperlink r:id="rId34" w:history="1">
        <w:r w:rsidRPr="001F7ECB">
          <w:rPr>
            <w:rStyle w:val="Hyperlink"/>
          </w:rPr>
          <w:t>https://doi.org/10.1177/17416590211048251</w:t>
        </w:r>
      </w:hyperlink>
      <w:r w:rsidRPr="001F7ECB">
        <w:t>.</w:t>
      </w:r>
    </w:p>
    <w:p w14:paraId="78163F04" w14:textId="77777777" w:rsidR="00273FF0" w:rsidRDefault="00273FF0" w:rsidP="00273FF0"/>
    <w:p w14:paraId="33B6B8E3" w14:textId="26B7E699" w:rsidR="00273FF0" w:rsidRDefault="00273FF0" w:rsidP="00273FF0">
      <w:r w:rsidRPr="00A03AE5">
        <w:t xml:space="preserve">Dixon, D. </w:t>
      </w:r>
      <w:r w:rsidRPr="00A03AE5">
        <w:rPr>
          <w:i/>
          <w:iCs/>
        </w:rPr>
        <w:t>et al.</w:t>
      </w:r>
      <w:r w:rsidRPr="00A03AE5">
        <w:t xml:space="preserve"> (1990) 'Safeguarding the rights of suspects in police custody,' </w:t>
      </w:r>
      <w:r w:rsidRPr="00A03AE5">
        <w:rPr>
          <w:i/>
          <w:iCs/>
        </w:rPr>
        <w:t>Policing &amp; Society</w:t>
      </w:r>
      <w:r w:rsidRPr="00A03AE5">
        <w:t>, 1(2), pp. 115–140. https://doi.org/10.1080/10439463.1990.9964609.</w:t>
      </w:r>
    </w:p>
    <w:p w14:paraId="5817DE4C" w14:textId="77777777" w:rsidR="00273FF0" w:rsidRDefault="00273FF0" w:rsidP="00273FF0"/>
    <w:p w14:paraId="03DF9A0F" w14:textId="05F661F0" w:rsidR="00273FF0" w:rsidRDefault="00273FF0" w:rsidP="00273FF0">
      <w:proofErr w:type="spellStart"/>
      <w:r w:rsidRPr="00343BF0">
        <w:t>Gekoski</w:t>
      </w:r>
      <w:proofErr w:type="spellEnd"/>
      <w:r w:rsidRPr="00343BF0">
        <w:t xml:space="preserve">, A. </w:t>
      </w:r>
      <w:r w:rsidRPr="00343BF0">
        <w:rPr>
          <w:i/>
          <w:iCs/>
        </w:rPr>
        <w:t>et al.</w:t>
      </w:r>
      <w:r w:rsidRPr="00343BF0">
        <w:t xml:space="preserve"> (2023) '‘A lot of the time it’s dealing with victims who don’t want to know, it’s all made up, or they’ve got mental health’: Rape myths in a large English police force,' </w:t>
      </w:r>
      <w:r w:rsidRPr="00343BF0">
        <w:rPr>
          <w:i/>
          <w:iCs/>
        </w:rPr>
        <w:t>International Review of Victimology</w:t>
      </w:r>
      <w:r w:rsidRPr="00343BF0">
        <w:t xml:space="preserve">, 30(1), pp. 3–24. </w:t>
      </w:r>
      <w:hyperlink r:id="rId35" w:history="1">
        <w:r w:rsidRPr="00343BF0">
          <w:rPr>
            <w:rStyle w:val="Hyperlink"/>
          </w:rPr>
          <w:t>https://doi.org/10.1177/02697580221142891</w:t>
        </w:r>
      </w:hyperlink>
      <w:r w:rsidRPr="00343BF0">
        <w:t>.</w:t>
      </w:r>
    </w:p>
    <w:p w14:paraId="1E74E809" w14:textId="77777777" w:rsidR="00273FF0" w:rsidRDefault="00273FF0" w:rsidP="00273FF0">
      <w:pPr>
        <w:rPr>
          <w:i/>
          <w:iCs/>
        </w:rPr>
      </w:pPr>
    </w:p>
    <w:p w14:paraId="3425F0C4" w14:textId="18981BF3" w:rsidR="00273FF0" w:rsidRDefault="00273FF0" w:rsidP="00273FF0">
      <w:r w:rsidRPr="00A03AE5">
        <w:rPr>
          <w:i/>
          <w:iCs/>
        </w:rPr>
        <w:t>Gibbs’ reflective Cycle</w:t>
      </w:r>
      <w:r w:rsidRPr="00A03AE5">
        <w:t xml:space="preserve"> (2024). https://reflection.ed.ac.uk/reflectors-toolkit/reflecting-on-experience/gibbs-reflective-cycle.</w:t>
      </w:r>
    </w:p>
    <w:p w14:paraId="16F71505" w14:textId="77777777" w:rsidR="00273FF0" w:rsidRDefault="00273FF0" w:rsidP="00273FF0"/>
    <w:p w14:paraId="2E925556" w14:textId="54E60267" w:rsidR="00273FF0" w:rsidRDefault="00273FF0" w:rsidP="00273FF0">
      <w:r w:rsidRPr="009E6B0B">
        <w:t xml:space="preserve">Horsman, G., Hale, R. and </w:t>
      </w:r>
      <w:proofErr w:type="spellStart"/>
      <w:r w:rsidRPr="009E6B0B">
        <w:t>Firman</w:t>
      </w:r>
      <w:proofErr w:type="spellEnd"/>
      <w:r w:rsidRPr="009E6B0B">
        <w:t xml:space="preserve">, A. (2024) 'A First Responder Guide to Handling and Seizing Mobile Phones,' </w:t>
      </w:r>
      <w:r w:rsidRPr="009E6B0B">
        <w:rPr>
          <w:i/>
          <w:iCs/>
        </w:rPr>
        <w:t>SSRN</w:t>
      </w:r>
      <w:r w:rsidRPr="009E6B0B">
        <w:t xml:space="preserve"> [Preprint]. https://doi.org/10.2139/ssrn.5007997.</w:t>
      </w:r>
    </w:p>
    <w:p w14:paraId="0A9BDDC9" w14:textId="77777777" w:rsidR="00273FF0" w:rsidRDefault="00273FF0" w:rsidP="00273FF0">
      <w:pPr>
        <w:rPr>
          <w:i/>
          <w:iCs/>
        </w:rPr>
      </w:pPr>
    </w:p>
    <w:p w14:paraId="3EE09EAE" w14:textId="1FEE0E00" w:rsidR="00273FF0" w:rsidRDefault="00273FF0" w:rsidP="00273FF0">
      <w:r w:rsidRPr="009E6B0B">
        <w:rPr>
          <w:i/>
          <w:iCs/>
        </w:rPr>
        <w:t>Investigating a rape or sexual assault (HTML version)</w:t>
      </w:r>
      <w:r w:rsidRPr="009E6B0B">
        <w:t xml:space="preserve"> (2023). https://www.gov.uk/government/publications/guides-for-victims-of-rape-and-sexual-assault/investigating-a-rape-or-sexual-assault.</w:t>
      </w:r>
    </w:p>
    <w:p w14:paraId="3217C4CF" w14:textId="77777777" w:rsidR="00273FF0" w:rsidRDefault="00273FF0" w:rsidP="00273FF0"/>
    <w:p w14:paraId="4A345C44" w14:textId="60BF9DDB" w:rsidR="00273FF0" w:rsidRDefault="00273FF0" w:rsidP="00273FF0">
      <w:r w:rsidRPr="007A265F">
        <w:t>McCartney, C. and Shorter, L. (2023) '‘You don’t know what you’ve got ‘til it’s gone’: Police retention of investigative materials,' International Journal of Police Science &amp; Management, 26(1), pp. 94–106. https://doi.org/10.1177/14613557231203493.</w:t>
      </w:r>
    </w:p>
    <w:p w14:paraId="288DBE05" w14:textId="77777777" w:rsidR="00273FF0" w:rsidRDefault="00273FF0" w:rsidP="00273FF0"/>
    <w:p w14:paraId="55C47B7D" w14:textId="54B1155F" w:rsidR="00273FF0" w:rsidRDefault="00273FF0" w:rsidP="00273FF0">
      <w:r w:rsidRPr="00C53515">
        <w:t xml:space="preserve">McQueen, K. </w:t>
      </w:r>
      <w:r w:rsidRPr="00C53515">
        <w:rPr>
          <w:i/>
          <w:iCs/>
        </w:rPr>
        <w:t>et al.</w:t>
      </w:r>
      <w:r w:rsidRPr="00C53515">
        <w:t xml:space="preserve"> (2021) 'Sexual assault: women’s voices on the health impacts of not being believed by police,' </w:t>
      </w:r>
      <w:r w:rsidRPr="00C53515">
        <w:rPr>
          <w:i/>
          <w:iCs/>
        </w:rPr>
        <w:t>BMC Women S Health</w:t>
      </w:r>
      <w:r w:rsidRPr="00C53515">
        <w:t xml:space="preserve">, 21(1). </w:t>
      </w:r>
      <w:hyperlink r:id="rId36" w:history="1">
        <w:r w:rsidRPr="00C53515">
          <w:rPr>
            <w:rStyle w:val="Hyperlink"/>
          </w:rPr>
          <w:t>https://doi.org/10.1186/s12905-021-01358-6</w:t>
        </w:r>
      </w:hyperlink>
      <w:r w:rsidRPr="00C53515">
        <w:t>.</w:t>
      </w:r>
    </w:p>
    <w:p w14:paraId="0E89B9FF" w14:textId="77777777" w:rsidR="00273FF0" w:rsidRDefault="00273FF0" w:rsidP="00273FF0">
      <w:pPr>
        <w:spacing w:after="160" w:line="259" w:lineRule="auto"/>
      </w:pPr>
    </w:p>
    <w:p w14:paraId="6DC23BA1" w14:textId="75B07BC9" w:rsidR="00273FF0" w:rsidRPr="006A2928" w:rsidRDefault="00273FF0" w:rsidP="00273FF0">
      <w:pPr>
        <w:spacing w:after="160" w:line="259" w:lineRule="auto"/>
      </w:pPr>
      <w:r w:rsidRPr="006A2928">
        <w:lastRenderedPageBreak/>
        <w:t xml:space="preserve">National DNA Database Strategy Board (2017) </w:t>
      </w:r>
      <w:r w:rsidRPr="006A2928">
        <w:rPr>
          <w:i/>
          <w:iCs/>
        </w:rPr>
        <w:t>National DNA Database Strategy Board Annual Report 2015/16</w:t>
      </w:r>
      <w:r w:rsidRPr="006A2928">
        <w:t>. https://assets.publishing.service.gov.uk/media/5a803e67ed915d74e33f94b2/58714_Un-Num_Nat_DNA_DB_Accessible.pdf.</w:t>
      </w:r>
    </w:p>
    <w:p w14:paraId="4F768BCB" w14:textId="77777777" w:rsidR="00273FF0" w:rsidRPr="00C53515" w:rsidRDefault="00273FF0" w:rsidP="00273FF0">
      <w:pPr>
        <w:spacing w:after="160" w:line="259" w:lineRule="auto"/>
      </w:pPr>
      <w:r w:rsidRPr="006A2928">
        <w:t xml:space="preserve">Padmanabhan, </w:t>
      </w:r>
      <w:proofErr w:type="spellStart"/>
      <w:r w:rsidRPr="006A2928">
        <w:t>Dr.A.S</w:t>
      </w:r>
      <w:proofErr w:type="spellEnd"/>
      <w:r w:rsidRPr="006A2928">
        <w:t xml:space="preserve">. and S, </w:t>
      </w:r>
      <w:proofErr w:type="spellStart"/>
      <w:r w:rsidRPr="006A2928">
        <w:t>Dr.S</w:t>
      </w:r>
      <w:proofErr w:type="spellEnd"/>
      <w:r w:rsidRPr="006A2928">
        <w:t xml:space="preserve">. (2023) </w:t>
      </w:r>
      <w:r w:rsidRPr="006A2928">
        <w:rPr>
          <w:i/>
          <w:iCs/>
        </w:rPr>
        <w:t>DNA evidence and criminal investigation: recent developments and legal issues</w:t>
      </w:r>
      <w:r w:rsidRPr="006A2928">
        <w:t>. https://papers.ssrn.com/sol3/papers.cfm?abstract_id=4322503.</w:t>
      </w:r>
    </w:p>
    <w:p w14:paraId="11DDD1C7" w14:textId="77777777" w:rsidR="00273FF0" w:rsidRDefault="00273FF0" w:rsidP="00273FF0">
      <w:r w:rsidRPr="00585AFE">
        <w:rPr>
          <w:i/>
          <w:iCs/>
        </w:rPr>
        <w:t>Police and Criminal Evidence Act 1984 (PACE) codes of practice</w:t>
      </w:r>
      <w:r w:rsidRPr="00585AFE">
        <w:t> (2023). </w:t>
      </w:r>
      <w:hyperlink r:id="rId37" w:history="1">
        <w:r w:rsidRPr="008C7478">
          <w:rPr>
            <w:rStyle w:val="Hyperlink"/>
          </w:rPr>
          <w:t>https://www.gov.uk/guidance/police-and-criminal-evidence-act-1984-pace-codes-of-practice</w:t>
        </w:r>
      </w:hyperlink>
    </w:p>
    <w:p w14:paraId="039B3E44" w14:textId="77777777" w:rsidR="00273FF0" w:rsidRDefault="00273FF0" w:rsidP="00273FF0"/>
    <w:p w14:paraId="05C56968" w14:textId="043F187E" w:rsidR="00273FF0" w:rsidRDefault="00273FF0" w:rsidP="00273FF0">
      <w:proofErr w:type="spellStart"/>
      <w:r w:rsidRPr="002F0FBF">
        <w:t>Piskopani</w:t>
      </w:r>
      <w:proofErr w:type="spellEnd"/>
      <w:r w:rsidRPr="002F0FBF">
        <w:t>, A.M., Webb, H., Dowthwaite, L., Hargreaves, C., Dale, N.F., Fraser, Q.S., Nikolaou, C. and McAuley, D., 2024. Trustworthy and useful tools for mobile phone extraction. In The Leading Role of Smart Ethics in the Digital World (pp. 201-212). Universidad de La Rioja.</w:t>
      </w:r>
    </w:p>
    <w:p w14:paraId="6F289DEA" w14:textId="77777777" w:rsidR="00273FF0" w:rsidRDefault="00273FF0" w:rsidP="00273FF0">
      <w:pPr>
        <w:rPr>
          <w:i/>
          <w:iCs/>
        </w:rPr>
      </w:pPr>
    </w:p>
    <w:p w14:paraId="01697168" w14:textId="1882DB6D" w:rsidR="00273FF0" w:rsidRDefault="00273FF0" w:rsidP="00273FF0">
      <w:r w:rsidRPr="00C53515">
        <w:rPr>
          <w:i/>
          <w:iCs/>
        </w:rPr>
        <w:t>Rape and Sexual Offences - Chapter 3: Case Building | The Crown Prosecution Service</w:t>
      </w:r>
      <w:r w:rsidRPr="00C53515">
        <w:t xml:space="preserve"> (2021). https://www.cps.gov.uk/legal-guidance/rape-and-sexual-offences-chapter-3-case-building.</w:t>
      </w:r>
    </w:p>
    <w:p w14:paraId="53E5232A" w14:textId="77777777" w:rsidR="00273FF0" w:rsidRDefault="00273FF0" w:rsidP="00273FF0"/>
    <w:p w14:paraId="45306637" w14:textId="359FF0C9" w:rsidR="00273FF0" w:rsidRDefault="00273FF0" w:rsidP="00273FF0">
      <w:r w:rsidRPr="001F7ECB">
        <w:t xml:space="preserve">Rose, A. (2021) 'Forensics: The Golden Hour,' in </w:t>
      </w:r>
      <w:r w:rsidRPr="001F7ECB">
        <w:rPr>
          <w:i/>
          <w:iCs/>
        </w:rPr>
        <w:t>Springer eBooks</w:t>
      </w:r>
      <w:r w:rsidRPr="001F7ECB">
        <w:t>, pp. 223–233. https://doi.org/10.1007/978-3-030-63930-3_18.</w:t>
      </w:r>
    </w:p>
    <w:p w14:paraId="6F83FD79" w14:textId="77777777" w:rsidR="00273FF0" w:rsidRDefault="00273FF0" w:rsidP="00273FF0"/>
    <w:p w14:paraId="6CCE381A" w14:textId="7A3C1F26" w:rsidR="00273FF0" w:rsidRDefault="00273FF0" w:rsidP="00273FF0">
      <w:r w:rsidRPr="00A8094D">
        <w:t xml:space="preserve">Rumney, P.N. and McPhee, D. (2023) 'Vulnerability, resilience, and rape: Uncovering the hidden work of police officers during rape investigations,' </w:t>
      </w:r>
      <w:r w:rsidRPr="00A8094D">
        <w:rPr>
          <w:i/>
          <w:iCs/>
        </w:rPr>
        <w:t>International Review of Victimology</w:t>
      </w:r>
      <w:r w:rsidRPr="00A8094D">
        <w:t xml:space="preserve">, 29(3), pp. 366–384. </w:t>
      </w:r>
      <w:hyperlink r:id="rId38" w:history="1">
        <w:r w:rsidRPr="00A8094D">
          <w:rPr>
            <w:rStyle w:val="Hyperlink"/>
          </w:rPr>
          <w:t>https://doi.org/10.1177/02697580231151974</w:t>
        </w:r>
      </w:hyperlink>
      <w:r w:rsidRPr="00A8094D">
        <w:t>.</w:t>
      </w:r>
    </w:p>
    <w:p w14:paraId="43B7A2FC" w14:textId="77777777" w:rsidR="00273FF0" w:rsidRDefault="00273FF0" w:rsidP="00EA28F1">
      <w:pPr>
        <w:keepNext/>
        <w:spacing w:before="240" w:after="60"/>
        <w:ind w:right="237"/>
        <w:jc w:val="both"/>
      </w:pPr>
    </w:p>
    <w:sectPr w:rsidR="00273FF0"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4C80F6" w14:textId="77777777" w:rsidR="00523EB8" w:rsidRDefault="00523EB8">
      <w:r>
        <w:separator/>
      </w:r>
    </w:p>
  </w:endnote>
  <w:endnote w:type="continuationSeparator" w:id="0">
    <w:p w14:paraId="0917E453" w14:textId="77777777" w:rsidR="00523EB8" w:rsidRDefault="00523E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12E32A" w14:textId="77777777" w:rsidR="002D25E7" w:rsidRDefault="002D25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EAD281" w14:textId="77777777" w:rsidR="002D25E7" w:rsidRDefault="002D25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103F98" w14:textId="77777777" w:rsidR="00523EB8" w:rsidRDefault="00523EB8">
      <w:r>
        <w:separator/>
      </w:r>
    </w:p>
  </w:footnote>
  <w:footnote w:type="continuationSeparator" w:id="0">
    <w:p w14:paraId="3038B670" w14:textId="77777777" w:rsidR="00523EB8" w:rsidRDefault="00523EB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26B49C" w14:textId="77777777" w:rsidR="002D25E7" w:rsidRDefault="002D25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95B0AF" w14:textId="77777777" w:rsidR="002D25E7" w:rsidRDefault="002D25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2DA56B" w14:textId="77777777" w:rsidR="002D25E7" w:rsidRDefault="002D25E7">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837CD4D8"/>
    <w:lvl w:ilvl="0" w:tplc="1630A4CE">
      <w:start w:val="1"/>
      <w:numFmt w:val="decimal"/>
      <w:lvlText w:val="%1."/>
      <w:lvlJc w:val="left"/>
      <w:pPr>
        <w:ind w:left="720" w:hanging="360"/>
      </w:pPr>
    </w:lvl>
    <w:lvl w:ilvl="1" w:tplc="152ECA9A">
      <w:start w:val="1"/>
      <w:numFmt w:val="lowerLetter"/>
      <w:lvlText w:val="%2."/>
      <w:lvlJc w:val="left"/>
      <w:pPr>
        <w:ind w:left="1440" w:hanging="360"/>
      </w:pPr>
    </w:lvl>
    <w:lvl w:ilvl="2" w:tplc="EE667680">
      <w:start w:val="1"/>
      <w:numFmt w:val="lowerRoman"/>
      <w:lvlText w:val="%3."/>
      <w:lvlJc w:val="right"/>
      <w:pPr>
        <w:ind w:left="2160" w:hanging="180"/>
      </w:pPr>
    </w:lvl>
    <w:lvl w:ilvl="3" w:tplc="81E2500E">
      <w:start w:val="1"/>
      <w:numFmt w:val="decimal"/>
      <w:lvlText w:val="%4."/>
      <w:lvlJc w:val="left"/>
      <w:pPr>
        <w:ind w:left="2880" w:hanging="360"/>
      </w:pPr>
    </w:lvl>
    <w:lvl w:ilvl="4" w:tplc="7F2E7434">
      <w:start w:val="1"/>
      <w:numFmt w:val="lowerLetter"/>
      <w:lvlText w:val="%5."/>
      <w:lvlJc w:val="left"/>
      <w:pPr>
        <w:ind w:left="3600" w:hanging="360"/>
      </w:pPr>
    </w:lvl>
    <w:lvl w:ilvl="5" w:tplc="59CEB08A">
      <w:start w:val="1"/>
      <w:numFmt w:val="lowerRoman"/>
      <w:lvlText w:val="%6."/>
      <w:lvlJc w:val="right"/>
      <w:pPr>
        <w:ind w:left="4320" w:hanging="180"/>
      </w:pPr>
    </w:lvl>
    <w:lvl w:ilvl="6" w:tplc="37AC5234">
      <w:start w:val="1"/>
      <w:numFmt w:val="decimal"/>
      <w:lvlText w:val="%7."/>
      <w:lvlJc w:val="left"/>
      <w:pPr>
        <w:ind w:left="5040" w:hanging="360"/>
      </w:pPr>
    </w:lvl>
    <w:lvl w:ilvl="7" w:tplc="0CA8F422">
      <w:start w:val="1"/>
      <w:numFmt w:val="lowerLetter"/>
      <w:lvlText w:val="%8."/>
      <w:lvlJc w:val="left"/>
      <w:pPr>
        <w:ind w:left="5760" w:hanging="360"/>
      </w:pPr>
    </w:lvl>
    <w:lvl w:ilvl="8" w:tplc="868072E4">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2496F49C"/>
    <w:lvl w:ilvl="0" w:tplc="CD224C08">
      <w:start w:val="1"/>
      <w:numFmt w:val="decimal"/>
      <w:lvlText w:val="%1."/>
      <w:lvlJc w:val="left"/>
      <w:pPr>
        <w:ind w:left="720" w:hanging="360"/>
      </w:pPr>
    </w:lvl>
    <w:lvl w:ilvl="1" w:tplc="1EAADA86">
      <w:start w:val="1"/>
      <w:numFmt w:val="decimal"/>
      <w:lvlText w:val="%2."/>
      <w:lvlJc w:val="left"/>
      <w:pPr>
        <w:ind w:left="1440" w:hanging="360"/>
      </w:pPr>
    </w:lvl>
    <w:lvl w:ilvl="2" w:tplc="F1BC38F8">
      <w:start w:val="1"/>
      <w:numFmt w:val="lowerRoman"/>
      <w:lvlText w:val="%3."/>
      <w:lvlJc w:val="right"/>
      <w:pPr>
        <w:ind w:left="2160" w:hanging="180"/>
      </w:pPr>
    </w:lvl>
    <w:lvl w:ilvl="3" w:tplc="12F220B0">
      <w:start w:val="1"/>
      <w:numFmt w:val="decimal"/>
      <w:lvlText w:val="%4."/>
      <w:lvlJc w:val="left"/>
      <w:pPr>
        <w:ind w:left="2880" w:hanging="360"/>
      </w:pPr>
    </w:lvl>
    <w:lvl w:ilvl="4" w:tplc="73E249F6">
      <w:start w:val="1"/>
      <w:numFmt w:val="lowerLetter"/>
      <w:lvlText w:val="%5."/>
      <w:lvlJc w:val="left"/>
      <w:pPr>
        <w:ind w:left="3600" w:hanging="360"/>
      </w:pPr>
    </w:lvl>
    <w:lvl w:ilvl="5" w:tplc="DCECCD7E">
      <w:start w:val="1"/>
      <w:numFmt w:val="lowerRoman"/>
      <w:lvlText w:val="%6."/>
      <w:lvlJc w:val="right"/>
      <w:pPr>
        <w:ind w:left="4320" w:hanging="180"/>
      </w:pPr>
    </w:lvl>
    <w:lvl w:ilvl="6" w:tplc="EC8A02A8">
      <w:start w:val="1"/>
      <w:numFmt w:val="decimal"/>
      <w:lvlText w:val="%7."/>
      <w:lvlJc w:val="left"/>
      <w:pPr>
        <w:ind w:left="5040" w:hanging="360"/>
      </w:pPr>
    </w:lvl>
    <w:lvl w:ilvl="7" w:tplc="33D2666A">
      <w:start w:val="1"/>
      <w:numFmt w:val="lowerLetter"/>
      <w:lvlText w:val="%8."/>
      <w:lvlJc w:val="left"/>
      <w:pPr>
        <w:ind w:left="5760" w:hanging="360"/>
      </w:pPr>
    </w:lvl>
    <w:lvl w:ilvl="8" w:tplc="5DD07144">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46740758">
    <w:abstractNumId w:val="47"/>
  </w:num>
  <w:num w:numId="2" w16cid:durableId="417675724">
    <w:abstractNumId w:val="10"/>
  </w:num>
  <w:num w:numId="3" w16cid:durableId="1512835332">
    <w:abstractNumId w:val="1"/>
    <w:lvlOverride w:ilvl="0">
      <w:lvl w:ilvl="0">
        <w:start w:val="1"/>
        <w:numFmt w:val="bullet"/>
        <w:lvlText w:val=""/>
        <w:lvlJc w:val="left"/>
        <w:pPr>
          <w:ind w:left="720" w:hanging="360"/>
        </w:pPr>
        <w:rPr>
          <w:rFonts w:ascii="Symbol" w:hAnsi="Symbol" w:hint="default"/>
        </w:rPr>
      </w:lvl>
    </w:lvlOverride>
  </w:num>
  <w:num w:numId="4" w16cid:durableId="38629978">
    <w:abstractNumId w:val="22"/>
  </w:num>
  <w:num w:numId="5" w16cid:durableId="292910358">
    <w:abstractNumId w:val="44"/>
  </w:num>
  <w:num w:numId="6" w16cid:durableId="1535117422">
    <w:abstractNumId w:val="46"/>
  </w:num>
  <w:num w:numId="7" w16cid:durableId="497159976">
    <w:abstractNumId w:val="34"/>
  </w:num>
  <w:num w:numId="8" w16cid:durableId="1969892037">
    <w:abstractNumId w:val="32"/>
  </w:num>
  <w:num w:numId="9" w16cid:durableId="1373725377">
    <w:abstractNumId w:val="29"/>
  </w:num>
  <w:num w:numId="10" w16cid:durableId="825324590">
    <w:abstractNumId w:val="30"/>
  </w:num>
  <w:num w:numId="11" w16cid:durableId="813445957">
    <w:abstractNumId w:val="9"/>
  </w:num>
  <w:num w:numId="12" w16cid:durableId="232394586">
    <w:abstractNumId w:val="33"/>
  </w:num>
  <w:num w:numId="13" w16cid:durableId="1039740215">
    <w:abstractNumId w:val="17"/>
  </w:num>
  <w:num w:numId="14" w16cid:durableId="1170288507">
    <w:abstractNumId w:val="16"/>
  </w:num>
  <w:num w:numId="15" w16cid:durableId="456804283">
    <w:abstractNumId w:val="26"/>
  </w:num>
  <w:num w:numId="16" w16cid:durableId="647825036">
    <w:abstractNumId w:val="7"/>
  </w:num>
  <w:num w:numId="17" w16cid:durableId="431701502">
    <w:abstractNumId w:val="25"/>
  </w:num>
  <w:num w:numId="18" w16cid:durableId="55593141">
    <w:abstractNumId w:val="15"/>
  </w:num>
  <w:num w:numId="19" w16cid:durableId="514465446">
    <w:abstractNumId w:val="13"/>
  </w:num>
  <w:num w:numId="20" w16cid:durableId="49160329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227761350">
    <w:abstractNumId w:val="23"/>
  </w:num>
  <w:num w:numId="22" w16cid:durableId="2142264046">
    <w:abstractNumId w:val="18"/>
  </w:num>
  <w:num w:numId="23" w16cid:durableId="137846151">
    <w:abstractNumId w:val="14"/>
  </w:num>
  <w:num w:numId="24" w16cid:durableId="1914271120">
    <w:abstractNumId w:val="11"/>
  </w:num>
  <w:num w:numId="25" w16cid:durableId="885063891">
    <w:abstractNumId w:val="27"/>
  </w:num>
  <w:num w:numId="26" w16cid:durableId="236403065">
    <w:abstractNumId w:val="19"/>
  </w:num>
  <w:num w:numId="27" w16cid:durableId="1573000687">
    <w:abstractNumId w:val="40"/>
  </w:num>
  <w:num w:numId="28" w16cid:durableId="66197777">
    <w:abstractNumId w:val="35"/>
  </w:num>
  <w:num w:numId="29" w16cid:durableId="1127815727">
    <w:abstractNumId w:val="39"/>
  </w:num>
  <w:num w:numId="30" w16cid:durableId="1139540040">
    <w:abstractNumId w:val="20"/>
  </w:num>
  <w:num w:numId="31" w16cid:durableId="34090301">
    <w:abstractNumId w:val="42"/>
  </w:num>
  <w:num w:numId="32" w16cid:durableId="222646112">
    <w:abstractNumId w:val="31"/>
  </w:num>
  <w:num w:numId="33" w16cid:durableId="2043940194">
    <w:abstractNumId w:val="12"/>
  </w:num>
  <w:num w:numId="34" w16cid:durableId="1879196244">
    <w:abstractNumId w:val="43"/>
  </w:num>
  <w:num w:numId="35" w16cid:durableId="682361466">
    <w:abstractNumId w:val="38"/>
  </w:num>
  <w:num w:numId="36" w16cid:durableId="1977442909">
    <w:abstractNumId w:val="4"/>
  </w:num>
  <w:num w:numId="37" w16cid:durableId="1583488633">
    <w:abstractNumId w:val="45"/>
  </w:num>
  <w:num w:numId="38" w16cid:durableId="440271129">
    <w:abstractNumId w:val="41"/>
  </w:num>
  <w:num w:numId="39" w16cid:durableId="738553744">
    <w:abstractNumId w:val="36"/>
  </w:num>
  <w:num w:numId="40" w16cid:durableId="1665820156">
    <w:abstractNumId w:val="37"/>
  </w:num>
  <w:num w:numId="41" w16cid:durableId="180051086">
    <w:abstractNumId w:val="3"/>
  </w:num>
  <w:num w:numId="42" w16cid:durableId="659695053">
    <w:abstractNumId w:val="5"/>
  </w:num>
  <w:num w:numId="43" w16cid:durableId="799807383">
    <w:abstractNumId w:val="24"/>
  </w:num>
  <w:num w:numId="44" w16cid:durableId="1438983801">
    <w:abstractNumId w:val="6"/>
  </w:num>
  <w:num w:numId="45" w16cid:durableId="3284368">
    <w:abstractNumId w:val="2"/>
  </w:num>
  <w:num w:numId="46" w16cid:durableId="397748815">
    <w:abstractNumId w:val="0"/>
  </w:num>
  <w:num w:numId="47" w16cid:durableId="220332332">
    <w:abstractNumId w:val="21"/>
  </w:num>
  <w:num w:numId="48" w16cid:durableId="504830301">
    <w:abstractNumId w:val="28"/>
  </w:num>
  <w:num w:numId="49" w16cid:durableId="54592622">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84E"/>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695"/>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3FF0"/>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5E7"/>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2C7C"/>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23EB8"/>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C3F19"/>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6425"/>
    <w:rsid w:val="0075704F"/>
    <w:rsid w:val="00763B2D"/>
    <w:rsid w:val="00772924"/>
    <w:rsid w:val="00784DB8"/>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00EC"/>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370AE"/>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02C97"/>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08B3"/>
    <w:rsid w:val="00DC4729"/>
    <w:rsid w:val="00DE556F"/>
    <w:rsid w:val="00E03B6D"/>
    <w:rsid w:val="00E0649E"/>
    <w:rsid w:val="00E17160"/>
    <w:rsid w:val="00E211BF"/>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independent.co.uk/arts-entertainment/tv/features/why-are-the-words-mongol-mongoloid-and-mongy-still-bandied-about-as-insults-9878557.html" TargetMode="External"/><Relationship Id="rId39" Type="http://schemas.openxmlformats.org/officeDocument/2006/relationships/fontTable" Target="fontTable.xml"/><Relationship Id="rId21" Type="http://schemas.openxmlformats.org/officeDocument/2006/relationships/hyperlink" Target="https://keele-repository.worktribe.com/output/1012506" TargetMode="External"/><Relationship Id="rId34" Type="http://schemas.openxmlformats.org/officeDocument/2006/relationships/hyperlink" Target="https://doi.org/10.1177/17416590211048251"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doi.org/10.1177/0886260520934428" TargetMode="External"/><Relationship Id="rId41"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177/0269758020961979" TargetMode="External"/><Relationship Id="rId32" Type="http://schemas.openxmlformats.org/officeDocument/2006/relationships/hyperlink" Target="https://doi.org/10.1002/wfs2.1414" TargetMode="External"/><Relationship Id="rId37" Type="http://schemas.openxmlformats.org/officeDocument/2006/relationships/hyperlink" Target="https://www.gov.uk/guidance/police-and-criminal-evidence-act-1984-pace-codes-of-practice" TargetMode="Externa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doi.org/10.1177/17488958231215228" TargetMode="External"/><Relationship Id="rId28" Type="http://schemas.openxmlformats.org/officeDocument/2006/relationships/hyperlink" Target="https://www.cps.gov.uk/legal-guidance/restorative-justice" TargetMode="External"/><Relationship Id="rId36" Type="http://schemas.openxmlformats.org/officeDocument/2006/relationships/hyperlink" Target="https://doi.org/10.1186/s12905-021-01358-6" TargetMode="Externa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doi.org/10.1177/026975809900600405"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cps.gov.uk/sites/default/files/documents/publications/supporting_victims_and_witnesses_with_a_learning_disability.pdf" TargetMode="External"/><Relationship Id="rId27" Type="http://schemas.openxmlformats.org/officeDocument/2006/relationships/hyperlink" Target="https://hmicfrs.justiceinspectorates.gov.uk/glossary/public-protection-notice/" TargetMode="External"/><Relationship Id="rId30" Type="http://schemas.openxmlformats.org/officeDocument/2006/relationships/hyperlink" Target="https://doi.org/10.1177/08862605221118967" TargetMode="External"/><Relationship Id="rId35" Type="http://schemas.openxmlformats.org/officeDocument/2006/relationships/hyperlink" Target="https://doi.org/10.1177/02697580221142891"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cps.gov.uk/legal-guidance/homophobic-biphobic-and-transphobic-hate-crime-prosecution-guidance" TargetMode="External"/><Relationship Id="rId33" Type="http://schemas.openxmlformats.org/officeDocument/2006/relationships/hyperlink" Target="https://www.cps.gov.uk/sites/default/files/documents/victims_witnesses/victims-rape/A-guide-for-victims-of-rape-and-serious-sexual-assault-v3-July-22.pdf" TargetMode="External"/><Relationship Id="rId38" Type="http://schemas.openxmlformats.org/officeDocument/2006/relationships/hyperlink" Target="https://doi.org/10.1177/0269758023115197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6263</Words>
  <Characters>35700</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41880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Oates,Christopher swp8795</cp:lastModifiedBy>
  <cp:revision>2</cp:revision>
  <cp:lastPrinted>2014-08-26T08:55:00Z</cp:lastPrinted>
  <dcterms:created xsi:type="dcterms:W3CDTF">2025-04-28T20:56:00Z</dcterms:created>
  <dcterms:modified xsi:type="dcterms:W3CDTF">2025-04-28T20:56:00Z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2022-12-07T13:24:29Z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4a6e23d7-9131-4902-b50f-5eff6479e690</vt:lpwstr>
  </property>
  <property fmtid="{D5CDD505-2E9C-101B-9397-08002B2CF9AE}" pid="9" name="MSIP_Label_66cf8fe5-b7b7-4df7-b38d-1c61ac2f6639_ContentBits">
    <vt:lpwstr>0</vt:lpwstr>
  </property>
</Properties>
</file>