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6D039E4D"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p>
          <w:p w14:paraId="3F9678C4" w14:textId="77777777" w:rsidR="00AF655D" w:rsidRDefault="00AF655D" w:rsidP="005D3F07">
            <w:pPr>
              <w:overflowPunct/>
              <w:autoSpaceDE/>
              <w:autoSpaceDN/>
              <w:adjustRightInd/>
              <w:ind w:right="-957"/>
              <w:textAlignment w:val="auto"/>
              <w:rPr>
                <w:rFonts w:ascii="Times New Roman" w:hAnsi="Times New Roman" w:cs="Times New Roman"/>
                <w:b/>
                <w:color w:val="auto"/>
                <w:sz w:val="48"/>
              </w:rPr>
            </w:pPr>
          </w:p>
          <w:p w14:paraId="48B72EC1" w14:textId="7A82AB92" w:rsidR="00AF655D" w:rsidRDefault="00AF655D"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Jackie Crouch</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28A0FEB"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p>
          <w:p w14:paraId="5E89C41A" w14:textId="77777777" w:rsidR="00AF655D" w:rsidRDefault="00AF655D" w:rsidP="005D3F07">
            <w:pPr>
              <w:overflowPunct/>
              <w:autoSpaceDE/>
              <w:autoSpaceDN/>
              <w:adjustRightInd/>
              <w:ind w:right="-957"/>
              <w:textAlignment w:val="auto"/>
              <w:rPr>
                <w:rFonts w:ascii="Times New Roman" w:hAnsi="Times New Roman" w:cs="Times New Roman"/>
                <w:b/>
                <w:color w:val="auto"/>
                <w:sz w:val="48"/>
              </w:rPr>
            </w:pPr>
          </w:p>
          <w:p w14:paraId="19DEAF41" w14:textId="2941E0AE" w:rsidR="00AF655D" w:rsidRDefault="00AF655D"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jackiecrch@hotmail.co.uk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47A146A" w14:textId="77777777" w:rsidR="00AF655D" w:rsidRDefault="00AF655D" w:rsidP="005D3F07">
            <w:pPr>
              <w:overflowPunct/>
              <w:autoSpaceDE/>
              <w:autoSpaceDN/>
              <w:adjustRightInd/>
              <w:ind w:right="-957"/>
              <w:textAlignment w:val="auto"/>
              <w:rPr>
                <w:rFonts w:ascii="Times New Roman" w:hAnsi="Times New Roman" w:cs="Times New Roman"/>
                <w:b/>
                <w:color w:val="auto"/>
                <w:sz w:val="48"/>
              </w:rPr>
            </w:pPr>
          </w:p>
          <w:p w14:paraId="29B120C3" w14:textId="37C75914" w:rsidR="00AF655D" w:rsidRPr="005D3F07" w:rsidRDefault="00AF655D"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2422204</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lastRenderedPageBreak/>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11F293C2"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w:t>
      </w:r>
      <w:r w:rsidR="6D1B720D" w:rsidRPr="00A5656A">
        <w:rPr>
          <w:i/>
          <w:iCs/>
          <w:sz w:val="24"/>
          <w:szCs w:val="24"/>
        </w:rPr>
        <w:t>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7E354E39" w14:textId="77777777" w:rsidR="00AF655D" w:rsidRPr="00AF655D" w:rsidRDefault="00AF655D" w:rsidP="00AF655D">
            <w:pPr>
              <w:rPr>
                <w:rFonts w:asciiTheme="minorHAnsi" w:hAnsiTheme="minorHAnsi" w:cstheme="minorHAnsi"/>
                <w:sz w:val="24"/>
                <w:szCs w:val="24"/>
              </w:rPr>
            </w:pPr>
            <w:r w:rsidRPr="00AF655D">
              <w:rPr>
                <w:rFonts w:asciiTheme="minorHAnsi" w:hAnsiTheme="minorHAnsi" w:cstheme="minorHAnsi"/>
                <w:sz w:val="24"/>
                <w:szCs w:val="24"/>
              </w:rPr>
              <w:t xml:space="preserve">Safeguarding is a fundamental practice in social work defined as “the protection of vulnerable groups from abuse and/or neglect” (Richardson, 2014, p.118). Safeguarding is a core professional duty and involves both preventing harm and responding effectively when risks are identified as well as balancing potential conflict whilst protecting the individual and respecting their autonomy (Taylor and Whittaker, 2020). Safeguarding in Social Work practice is often considered a complex and multifaceted responsibility that requires balancing legal frameworks, ethical principles, professional judgement, and collaborative working acting as an ethical and legal obligation rooted in human rights and social justice (Banks, 2012; Preston-Shoot, 2017). For Social Workers, it is valuable to suggest how Safeguarding is also relational as well as procedural and requires empathy, ethical sensitivity, and the courage to act in situations that may be highly charged (Ferguson, 2018). </w:t>
            </w:r>
          </w:p>
          <w:p w14:paraId="5E06EF98" w14:textId="77777777" w:rsidR="00AF655D" w:rsidRPr="00AF655D" w:rsidRDefault="00AF655D" w:rsidP="00AF655D">
            <w:pPr>
              <w:rPr>
                <w:rFonts w:asciiTheme="minorHAnsi" w:hAnsiTheme="minorHAnsi" w:cstheme="minorHAnsi"/>
                <w:sz w:val="24"/>
                <w:szCs w:val="24"/>
              </w:rPr>
            </w:pPr>
            <w:r w:rsidRPr="00AF655D">
              <w:rPr>
                <w:rFonts w:asciiTheme="minorHAnsi" w:hAnsiTheme="minorHAnsi" w:cstheme="minorHAnsi"/>
                <w:sz w:val="24"/>
                <w:szCs w:val="24"/>
              </w:rPr>
              <w:t xml:space="preserve">This case study is reflective of an incident taking place in a Hospice. It involved adult 1, with mental health difficulties, experiencing acute crisis following the death of his father on the in-patient unit. In the moments following their father’s death and emotional distress, they expressed a clear intent to drive their car at high speeds and crashing, presenting a high risk both to himself and other road users. On reflection of this incident, it suggested how Safeguarding principles are imposed in practice, highlighting the complexity of decision-making in a situation where there are other contributing factors to consider such as bereavement, mental health, and collaborative working (internally and externally). </w:t>
            </w:r>
          </w:p>
          <w:p w14:paraId="4B22830B" w14:textId="77777777" w:rsidR="00AF655D" w:rsidRPr="00AF655D" w:rsidRDefault="00AF655D" w:rsidP="00AF655D">
            <w:pPr>
              <w:rPr>
                <w:rFonts w:asciiTheme="minorHAnsi" w:hAnsiTheme="minorHAnsi" w:cstheme="minorHAnsi"/>
                <w:sz w:val="24"/>
                <w:szCs w:val="24"/>
              </w:rPr>
            </w:pPr>
            <w:r w:rsidRPr="00AF655D">
              <w:rPr>
                <w:rFonts w:asciiTheme="minorHAnsi" w:hAnsiTheme="minorHAnsi" w:cstheme="minorHAnsi"/>
                <w:sz w:val="24"/>
                <w:szCs w:val="24"/>
              </w:rPr>
              <w:lastRenderedPageBreak/>
              <w:t xml:space="preserve">This reflective case study will explore and analyse Safeguarding legislation, policies, strategies and procedures whilst also drawing on assessment, collaborative working and professional judgement in complex situations with use of social work theories to highlight the impact of the incident. </w:t>
            </w:r>
          </w:p>
          <w:p w14:paraId="060A1B42" w14:textId="77777777" w:rsidR="00AF655D" w:rsidRPr="00AF655D" w:rsidRDefault="00AF655D" w:rsidP="00AF655D">
            <w:pPr>
              <w:rPr>
                <w:rFonts w:asciiTheme="minorHAnsi" w:hAnsiTheme="minorHAnsi" w:cstheme="minorHAnsi"/>
                <w:sz w:val="24"/>
                <w:szCs w:val="24"/>
              </w:rPr>
            </w:pPr>
          </w:p>
          <w:p w14:paraId="4CC479C9" w14:textId="77777777" w:rsidR="00AF655D" w:rsidRPr="00AF655D" w:rsidRDefault="00AF655D" w:rsidP="00AF655D">
            <w:pPr>
              <w:rPr>
                <w:rFonts w:asciiTheme="minorHAnsi" w:hAnsiTheme="minorHAnsi" w:cstheme="minorHAnsi"/>
                <w:sz w:val="24"/>
                <w:szCs w:val="24"/>
              </w:rPr>
            </w:pPr>
            <w:r w:rsidRPr="00AF655D">
              <w:rPr>
                <w:rFonts w:asciiTheme="minorHAnsi" w:hAnsiTheme="minorHAnsi" w:cstheme="minorHAnsi"/>
                <w:sz w:val="24"/>
                <w:szCs w:val="24"/>
              </w:rPr>
              <w:t xml:space="preserve">The incident involving adult 1 took place within the controlled environment of the inpatient ward at a Hospice. Adult 1 spoke openly about his Mental Health struggles and did not want to receive support from the Mental Health Team as they had tried previously and wasn’t something that worked for them. During discussions prior to the death, adult 1 had expressed uncertainty of how he would react to the death but was confident that he had found ways in which he was currently able to cope with the anticipation of it. As argued by Stroebe and </w:t>
            </w:r>
            <w:proofErr w:type="spellStart"/>
            <w:r w:rsidRPr="00AF655D">
              <w:rPr>
                <w:rFonts w:asciiTheme="minorHAnsi" w:hAnsiTheme="minorHAnsi" w:cstheme="minorHAnsi"/>
                <w:sz w:val="24"/>
                <w:szCs w:val="24"/>
              </w:rPr>
              <w:t>Schut</w:t>
            </w:r>
            <w:proofErr w:type="spellEnd"/>
            <w:r w:rsidRPr="00AF655D">
              <w:rPr>
                <w:rFonts w:asciiTheme="minorHAnsi" w:hAnsiTheme="minorHAnsi" w:cstheme="minorHAnsi"/>
                <w:sz w:val="24"/>
                <w:szCs w:val="24"/>
              </w:rPr>
              <w:t xml:space="preserve"> (1999) in their dual process model, grief more often than not can trigger fluctuations between loss-orientated emotions and restoration – orientated coping. The death of the family member marked a significant bereavement, triggering emotional distress, and exacerbating his mental health. The family member experienced an intense emotional reaction. As highlighted by Stroebe et al (2017) previous research has suggested that bereavement has the potential to be a major risk factor for exacerbation of mental health difficulties, often linked with suicidal ideation and self-destructive behaviours. This was evident during the incident. Learning of the death, adult 1 expressed the plan to leave Hospice grounds and drive at deliberately high speeds to cause damage. Their disclosure of this intent, albeit ambiguous, suggested an imminent risk to both them and others. </w:t>
            </w:r>
          </w:p>
          <w:p w14:paraId="2880E073" w14:textId="77777777" w:rsidR="00AF655D" w:rsidRPr="00AF655D" w:rsidRDefault="00AF655D" w:rsidP="00AF655D">
            <w:pPr>
              <w:rPr>
                <w:rFonts w:asciiTheme="minorHAnsi" w:hAnsiTheme="minorHAnsi" w:cstheme="minorHAnsi"/>
                <w:sz w:val="24"/>
                <w:szCs w:val="24"/>
              </w:rPr>
            </w:pPr>
            <w:r w:rsidRPr="00AF655D">
              <w:rPr>
                <w:rFonts w:asciiTheme="minorHAnsi" w:hAnsiTheme="minorHAnsi" w:cstheme="minorHAnsi"/>
                <w:sz w:val="24"/>
                <w:szCs w:val="24"/>
              </w:rPr>
              <w:t xml:space="preserve">Quick action of staff members taking the car keys off him and providing emotional support mitigated the immediate risk. With the threat of immediate danger, emergency services were contacted. The use of Caplan’s (1964) crisis intervention Theory acted here as it highlighted the importance of rapid and focused response to reduce imminent danger and stabilise emotions. Staff were onboard to offer adult 1 emotional support, providing them with a safe space to process the information and own grief. Emergency services responded in a timely manner and due to the nature of the situation, chose not to speak directly with adult 1 fearing it may escalate any distress and instead, liaised with other staff and family members whilst other staff members were able to continue to offer emotional support to adult 1. It was concluded that immediate risk had been mitigated demonstrating a prime example of collaborative working with indication that referrals would be made to relevant services. </w:t>
            </w:r>
          </w:p>
          <w:p w14:paraId="732F59BE" w14:textId="77777777" w:rsidR="00AF655D" w:rsidRPr="00AF655D" w:rsidRDefault="00AF655D" w:rsidP="00AF655D">
            <w:pPr>
              <w:rPr>
                <w:rFonts w:asciiTheme="minorHAnsi" w:hAnsiTheme="minorHAnsi" w:cstheme="minorHAnsi"/>
                <w:sz w:val="24"/>
                <w:szCs w:val="24"/>
              </w:rPr>
            </w:pPr>
            <w:r w:rsidRPr="00AF655D">
              <w:rPr>
                <w:rFonts w:asciiTheme="minorHAnsi" w:hAnsiTheme="minorHAnsi" w:cstheme="minorHAnsi"/>
                <w:sz w:val="24"/>
                <w:szCs w:val="24"/>
              </w:rPr>
              <w:t>This incident suggests a clear example of safeguarding in a complex situation. The individual’s mental health history, compounded by bereavement, created a context of vulnerability. His suicidal ideation and intent created an acute safeguarding crisis. The involvement of the multi-disciplinary team—family, staff, and police—underscored the collaborative working of safeguarding practice.</w:t>
            </w:r>
          </w:p>
          <w:p w14:paraId="7A92B02D" w14:textId="77777777" w:rsidR="00AF655D" w:rsidRPr="00AF655D" w:rsidRDefault="00AF655D" w:rsidP="00AF655D">
            <w:pPr>
              <w:rPr>
                <w:rFonts w:asciiTheme="minorHAnsi" w:hAnsiTheme="minorHAnsi" w:cstheme="minorHAnsi"/>
                <w:sz w:val="24"/>
                <w:szCs w:val="24"/>
              </w:rPr>
            </w:pPr>
          </w:p>
          <w:p w14:paraId="687DAC9A" w14:textId="77777777" w:rsidR="00AF655D" w:rsidRPr="00AF655D" w:rsidRDefault="00AF655D" w:rsidP="00AF655D">
            <w:pPr>
              <w:rPr>
                <w:rFonts w:asciiTheme="minorHAnsi" w:hAnsiTheme="minorHAnsi" w:cstheme="minorHAnsi"/>
                <w:sz w:val="24"/>
                <w:szCs w:val="24"/>
              </w:rPr>
            </w:pPr>
            <w:r w:rsidRPr="00AF655D">
              <w:rPr>
                <w:rFonts w:asciiTheme="minorHAnsi" w:hAnsiTheme="minorHAnsi" w:cstheme="minorHAnsi"/>
                <w:sz w:val="24"/>
                <w:szCs w:val="24"/>
              </w:rPr>
              <w:t xml:space="preserve">Safeguarding practice in Wales is underpinned by strong legislative framework designed to protect individuals at risk while promoting wellbeing, dignity, and human rights. Central to this is the Social Services and Well-being (Wales) Act 2014, which provides the overarching legal framework for safeguarding both children and adults in Wales. The Act establishes a duty for local authorities and relevant partners to protect individuals who may be at risk of harm or abuse, while emphasising wellbeing, voice, and choice (Welsh Government, 2014). This is reflective of the approach to Wales Safeguarding as a preventative and strengths-based model that promotes longer-term resilience and empowerment and not just responding to immediate risk (Williams, 2020). The Social Services and Wellbeing Act defines an “adult at risk” as an individual who is experiencing or at risk of </w:t>
            </w:r>
            <w:r w:rsidRPr="00AF655D">
              <w:rPr>
                <w:rFonts w:asciiTheme="minorHAnsi" w:hAnsiTheme="minorHAnsi" w:cstheme="minorHAnsi"/>
                <w:sz w:val="24"/>
                <w:szCs w:val="24"/>
              </w:rPr>
              <w:lastRenderedPageBreak/>
              <w:t xml:space="preserve">experiencing abuse and neglect as a result of their care and support needs.  In this case, the Act is directly relevant as adult 1 clearly met the definition of an adult at risk: someone experiencing mental health difficulties, expressing intent to harm himself, and requiring protection, thus raising concern. </w:t>
            </w:r>
          </w:p>
          <w:p w14:paraId="38536C55" w14:textId="77777777" w:rsidR="00AF655D" w:rsidRPr="00AF655D" w:rsidRDefault="00AF655D" w:rsidP="00AF655D">
            <w:pPr>
              <w:rPr>
                <w:rFonts w:asciiTheme="minorHAnsi" w:hAnsiTheme="minorHAnsi" w:cstheme="minorHAnsi"/>
                <w:sz w:val="24"/>
                <w:szCs w:val="24"/>
              </w:rPr>
            </w:pPr>
            <w:r w:rsidRPr="00AF655D">
              <w:rPr>
                <w:rFonts w:asciiTheme="minorHAnsi" w:hAnsiTheme="minorHAnsi" w:cstheme="minorHAnsi"/>
                <w:sz w:val="24"/>
                <w:szCs w:val="24"/>
              </w:rPr>
              <w:t xml:space="preserve">Safeguarding in Wales also sits within a broader UK and international context. In broader UK context, safeguarding is informed by legislation such as the Care Act 2014 (England), which parallels many principles of the Welsh Act, and the Mental Health Act 1983 (as amended 2007), which provides powers for compulsory admission where individuals pose risks to themselves or others (Department of Health, 2015) even though adult 1 involved in the incident was not detained under the Mental Health Act, it raised thresholds for intervention and ethically balancing autonomy and protection. It can be suggested that across the UK there is a shared duty to protect individuals at risk of harm while respecting rights. Beyond this, Safeguarding is also shaped by the human rights framework. The European Convention on Human Rights (ECHR), incorporated into UK law through the Human Rights Act 1998, and plays great importance. Article 2 (right to life) places an obligation on the state to take the most reasonable steps to protect life, particularly where authorities know or ought to know of a real and immediate risk of suicide (Council of Europe, 1950). Collaborative working indicates that under Article 2, staff and the police’s response to the situation fulfils this duty by taking the car keys and keeping adult 1 on Hospice grounds as appropriate. </w:t>
            </w:r>
            <w:proofErr w:type="gramStart"/>
            <w:r w:rsidRPr="00AF655D">
              <w:rPr>
                <w:rFonts w:asciiTheme="minorHAnsi" w:hAnsiTheme="minorHAnsi" w:cstheme="minorHAnsi"/>
                <w:sz w:val="24"/>
                <w:szCs w:val="24"/>
              </w:rPr>
              <w:t>However</w:t>
            </w:r>
            <w:proofErr w:type="gramEnd"/>
            <w:r w:rsidRPr="00AF655D">
              <w:rPr>
                <w:rFonts w:asciiTheme="minorHAnsi" w:hAnsiTheme="minorHAnsi" w:cstheme="minorHAnsi"/>
                <w:sz w:val="24"/>
                <w:szCs w:val="24"/>
              </w:rPr>
              <w:t xml:space="preserve"> in reference to Article 8 (right to private and family life) it requires professionals to respect autonomy and dignity whilst allowing intervention where necessary to protect life and safety. It can be argued that in this instance, despite under Article 8 autonomy was restrictive, action was justified under the principle of least restrictive intervention (Banks, 2012). </w:t>
            </w:r>
          </w:p>
          <w:p w14:paraId="736FD14B" w14:textId="77777777" w:rsidR="00AF655D" w:rsidRPr="00AF655D" w:rsidRDefault="00AF655D" w:rsidP="00AF655D">
            <w:pPr>
              <w:rPr>
                <w:rFonts w:asciiTheme="minorHAnsi" w:hAnsiTheme="minorHAnsi" w:cstheme="minorHAnsi"/>
                <w:sz w:val="24"/>
                <w:szCs w:val="24"/>
              </w:rPr>
            </w:pPr>
            <w:r w:rsidRPr="00AF655D">
              <w:rPr>
                <w:rFonts w:asciiTheme="minorHAnsi" w:hAnsiTheme="minorHAnsi" w:cstheme="minorHAnsi"/>
                <w:sz w:val="24"/>
                <w:szCs w:val="24"/>
              </w:rPr>
              <w:t xml:space="preserve">The Equality Act 2010 further reinforces the duty to protect individuals with mental health conditions from discrimination, ensuring access to appropriate support and services (UK Government, 2010). Failure to provide adequate follow-up could arguably disadvantage an individual with mental health needs, raising equality concerns. From a policy perspective, the Wales Safeguarding Procedures (2019) provide national guidance on safeguarding practice. These procedures emphasise the importance of timely intervention, risk assessment, and inter-agency collaboration. They stress that safeguarding is not a one-off response but requires ongoing planning to ensure risks are mitigated and wellbeing is promoted. In the context of the case, while immediate intervention occurred, the absence of a longer-term plan could be in contrary to the principles of continuity and multi-agency collaboration highlighted in these procedures. This underlines how Safeguarding duties go beyond crisis management and include long-term commitments to equality and fairness under The Equality Act. </w:t>
            </w:r>
          </w:p>
          <w:p w14:paraId="23BD10FA" w14:textId="77777777" w:rsidR="00AF655D" w:rsidRPr="00AF655D" w:rsidRDefault="00AF655D" w:rsidP="00AF655D">
            <w:pPr>
              <w:rPr>
                <w:rFonts w:asciiTheme="minorHAnsi" w:hAnsiTheme="minorHAnsi" w:cstheme="minorHAnsi"/>
                <w:sz w:val="24"/>
                <w:szCs w:val="24"/>
              </w:rPr>
            </w:pPr>
            <w:r w:rsidRPr="00AF655D">
              <w:rPr>
                <w:rFonts w:asciiTheme="minorHAnsi" w:hAnsiTheme="minorHAnsi" w:cstheme="minorHAnsi"/>
                <w:sz w:val="24"/>
                <w:szCs w:val="24"/>
              </w:rPr>
              <w:t xml:space="preserve">Reflecting critically, the legislative and policy frameworks clearly provide both duties and constraints for Safeguarding in such cases. However, their effective implementation depends not only on collaborative communication but also on professional judgement, and the willingness of agencies to share responsibility. In this case, while police fulfilled their immediate duty to mitigate risk, their ‘indication’ of referrals being made highlighted systemic gaps between crisis response and ongoing care. This disconnect illustrates a returning challenge in Safeguarding practice: ensuring that acute crises are not treated as isolated events but as part of a continuum requiring sustained support. Preston-Shoot (2020) supports this and argues that Safeguarding failures don’t often arise from incoherent laws but because of the breakdowns in practice. This case was able to demonstrate and identify key points for professional development of how legal frameworks can create opportunities </w:t>
            </w:r>
            <w:r w:rsidRPr="00AF655D">
              <w:rPr>
                <w:rFonts w:asciiTheme="minorHAnsi" w:hAnsiTheme="minorHAnsi" w:cstheme="minorHAnsi"/>
                <w:sz w:val="24"/>
                <w:szCs w:val="24"/>
              </w:rPr>
              <w:lastRenderedPageBreak/>
              <w:t xml:space="preserve">for protection but also require professionals to advocate to ensure the frameworks are effectively implemented. </w:t>
            </w:r>
          </w:p>
          <w:p w14:paraId="2740FB7F" w14:textId="77777777" w:rsidR="00AF655D" w:rsidRPr="00AF655D" w:rsidRDefault="00AF655D" w:rsidP="00AF655D">
            <w:pPr>
              <w:rPr>
                <w:rFonts w:asciiTheme="minorHAnsi" w:hAnsiTheme="minorHAnsi" w:cstheme="minorHAnsi"/>
                <w:sz w:val="24"/>
                <w:szCs w:val="24"/>
              </w:rPr>
            </w:pPr>
          </w:p>
          <w:p w14:paraId="02FD0537" w14:textId="77777777" w:rsidR="00AF655D" w:rsidRPr="00AF655D" w:rsidRDefault="00AF655D" w:rsidP="00AF655D">
            <w:pPr>
              <w:rPr>
                <w:rFonts w:asciiTheme="minorHAnsi" w:hAnsiTheme="minorHAnsi" w:cstheme="minorHAnsi"/>
                <w:sz w:val="24"/>
                <w:szCs w:val="24"/>
              </w:rPr>
            </w:pPr>
            <w:r w:rsidRPr="00AF655D">
              <w:rPr>
                <w:rFonts w:asciiTheme="minorHAnsi" w:hAnsiTheme="minorHAnsi" w:cstheme="minorHAnsi"/>
                <w:sz w:val="24"/>
                <w:szCs w:val="24"/>
              </w:rPr>
              <w:t xml:space="preserve">Risk assessment is central to safeguarding practice, particularly in mental health crises where risks are dynamic and unpredictable. In this case, the risk presented was immediate, serious, and potentially lethal. Douglas et al (2017) emphasises this as he states how risks in contexts (such as this one) can fluctuate rapidly depending on circumstances, emotions, and external factors. For Social Workers and other team members, this </w:t>
            </w:r>
            <w:proofErr w:type="gramStart"/>
            <w:r w:rsidRPr="00AF655D">
              <w:rPr>
                <w:rFonts w:asciiTheme="minorHAnsi" w:hAnsiTheme="minorHAnsi" w:cstheme="minorHAnsi"/>
                <w:sz w:val="24"/>
                <w:szCs w:val="24"/>
              </w:rPr>
              <w:t>provide</w:t>
            </w:r>
            <w:proofErr w:type="gramEnd"/>
            <w:r w:rsidRPr="00AF655D">
              <w:rPr>
                <w:rFonts w:asciiTheme="minorHAnsi" w:hAnsiTheme="minorHAnsi" w:cstheme="minorHAnsi"/>
                <w:sz w:val="24"/>
                <w:szCs w:val="24"/>
              </w:rPr>
              <w:t xml:space="preserve"> challenges in professional judgement making in order to protect. In this case, Adult 1’s explicit disclosure to drive with the intention of crashing the car demonstrated suicidal ideation coupled with a means to act, meeting thresholds for significant Safeguarding concern. NICE guidelines (2022) suggest that suicide risk is particularly acute when an individual’s intent is clearly articulated with a specific plan and access to carry it out. This case is evident of this and in line with the All-Wales Safeguarding Procedures (2019) was described as a “red flag” situation that required urgent intervention. </w:t>
            </w:r>
          </w:p>
          <w:p w14:paraId="3FBDCCCC" w14:textId="77777777" w:rsidR="00AF655D" w:rsidRPr="00AF655D" w:rsidRDefault="00AF655D" w:rsidP="00AF655D">
            <w:pPr>
              <w:rPr>
                <w:rFonts w:asciiTheme="minorHAnsi" w:hAnsiTheme="minorHAnsi" w:cstheme="minorHAnsi"/>
                <w:sz w:val="24"/>
                <w:szCs w:val="24"/>
              </w:rPr>
            </w:pPr>
            <w:r w:rsidRPr="00AF655D">
              <w:rPr>
                <w:rFonts w:asciiTheme="minorHAnsi" w:hAnsiTheme="minorHAnsi" w:cstheme="minorHAnsi"/>
                <w:sz w:val="24"/>
                <w:szCs w:val="24"/>
              </w:rPr>
              <w:t>Social work literature distinguishes between actuarial approaches (structured, evidence-based tools for predicting risk) and clinical judgement (professional discretion based on experience and context) (Munro, 2011). In practice, safeguarding often requires an integration of both. In this case, actuarial factors included known mental health history, recent bereavement, and suicidal ideation, all of which significantly elevated risk. Clinical judgement, informed by observation of the adult 1’s emotional state and verbal expressions, confirmed the seriousness of the threat.</w:t>
            </w:r>
          </w:p>
          <w:p w14:paraId="6F668254" w14:textId="77777777" w:rsidR="00AF655D" w:rsidRPr="00AF655D" w:rsidRDefault="00AF655D" w:rsidP="00AF655D">
            <w:pPr>
              <w:rPr>
                <w:rFonts w:asciiTheme="minorHAnsi" w:hAnsiTheme="minorHAnsi" w:cstheme="minorHAnsi"/>
                <w:sz w:val="24"/>
                <w:szCs w:val="24"/>
              </w:rPr>
            </w:pPr>
            <w:r w:rsidRPr="00AF655D">
              <w:rPr>
                <w:rFonts w:asciiTheme="minorHAnsi" w:hAnsiTheme="minorHAnsi" w:cstheme="minorHAnsi"/>
                <w:sz w:val="24"/>
                <w:szCs w:val="24"/>
              </w:rPr>
              <w:t xml:space="preserve">The immediate response—removing the car keys and providing reassurance—was appropriate and proportionate in managing acute risk and reflected their professional judgement that mediated with respect for adult 1. As previously highlighted by Banks (2012), ethical decision in making within Social Work often involves using the least restrictive intervention. This lends itself to a proportionate response. Involving the police was necessary given the potential danger to the public. However, risk in mental health crises is not static; it fluctuates with circumstances and emotional state. Professional judgement in this case also involved ethical dilemmas. Safeguarding requires balancing the individual’s autonomy with the duty to protect life. Removing the car keys restricted autonomy but was justified given the imminent risk. However, longer-term decisions would have required careful consideration of the individual’s capacity, wishes, and rights, alongside safeguarding responsibilities. Ferguson (2018) highlights how “fear of getting it wrong” weighs heavily on practitioners which is why collaborative working is important. Decision to call the police in line with policy was ensured in therefore being able to manage both immediate safety and accountability with their presence providing authority. </w:t>
            </w:r>
          </w:p>
          <w:p w14:paraId="4AA2C7A7" w14:textId="77777777" w:rsidR="00AF655D" w:rsidRPr="00AF655D" w:rsidRDefault="00AF655D" w:rsidP="00AF655D">
            <w:pPr>
              <w:rPr>
                <w:rFonts w:asciiTheme="minorHAnsi" w:hAnsiTheme="minorHAnsi" w:cstheme="minorHAnsi"/>
                <w:sz w:val="24"/>
                <w:szCs w:val="24"/>
              </w:rPr>
            </w:pPr>
            <w:r w:rsidRPr="00AF655D">
              <w:rPr>
                <w:rFonts w:asciiTheme="minorHAnsi" w:hAnsiTheme="minorHAnsi" w:cstheme="minorHAnsi"/>
                <w:sz w:val="24"/>
                <w:szCs w:val="24"/>
              </w:rPr>
              <w:t xml:space="preserve">In addition to this and on reflection, the incident highlighted the emotional weight of professional judgement in crisis situations as also emphasised by Ferguson (2018). Fear of missing risk or underestimating danger is significant. The decision to call the police was made quickly, but questions remain about whether more could have been done to provide ongoing support. Schön (1983) distinguishes between “reflection-in-action” (thinking on one’s feet during practice) and “reflection-on-action” (learning from experiences afterwards). During the crisis, reflection-in-action enabled the team to de-escalate the situation and prevent harm. Afterwards, reflection-on-action raised questions about whether enough was done to secure longer-term support. As argued by Ruch (2018) social workers, in any situation, are ‘not detached technicians but embodied practitioners whose own emotions are deeply engaged in crisis situations’. Following the incident, it was helpful </w:t>
            </w:r>
            <w:r w:rsidRPr="00AF655D">
              <w:rPr>
                <w:rFonts w:asciiTheme="minorHAnsi" w:hAnsiTheme="minorHAnsi" w:cstheme="minorHAnsi"/>
                <w:sz w:val="24"/>
                <w:szCs w:val="24"/>
              </w:rPr>
              <w:lastRenderedPageBreak/>
              <w:t xml:space="preserve">to be aware of the importance of debriefing as according to </w:t>
            </w:r>
            <w:proofErr w:type="spellStart"/>
            <w:r w:rsidRPr="00AF655D">
              <w:rPr>
                <w:rFonts w:asciiTheme="minorHAnsi" w:hAnsiTheme="minorHAnsi" w:cstheme="minorHAnsi"/>
                <w:sz w:val="24"/>
                <w:szCs w:val="24"/>
              </w:rPr>
              <w:t>Beddoe</w:t>
            </w:r>
            <w:proofErr w:type="spellEnd"/>
            <w:r w:rsidRPr="00AF655D">
              <w:rPr>
                <w:rFonts w:asciiTheme="minorHAnsi" w:hAnsiTheme="minorHAnsi" w:cstheme="minorHAnsi"/>
                <w:sz w:val="24"/>
                <w:szCs w:val="24"/>
              </w:rPr>
              <w:t xml:space="preserve"> &amp; Davys (2016) are ‘essential mechanisms’ for supporting accountability and supporting staff and team wellbeing. </w:t>
            </w:r>
          </w:p>
          <w:p w14:paraId="61D2242A" w14:textId="77777777" w:rsidR="00AF655D" w:rsidRPr="00AF655D" w:rsidRDefault="00AF655D" w:rsidP="00AF655D">
            <w:pPr>
              <w:rPr>
                <w:rFonts w:asciiTheme="minorHAnsi" w:hAnsiTheme="minorHAnsi" w:cstheme="minorHAnsi"/>
                <w:sz w:val="24"/>
                <w:szCs w:val="24"/>
              </w:rPr>
            </w:pPr>
            <w:r w:rsidRPr="00AF655D">
              <w:rPr>
                <w:rFonts w:asciiTheme="minorHAnsi" w:hAnsiTheme="minorHAnsi" w:cstheme="minorHAnsi"/>
                <w:sz w:val="24"/>
                <w:szCs w:val="24"/>
              </w:rPr>
              <w:t>This case demonstrated how acute suicidal intent required swift, proportionate action guided and informed by both evidence and observation and ethics as well as highlighting the importance of reflection for professional development in future complex situations.</w:t>
            </w:r>
          </w:p>
          <w:p w14:paraId="55C23892" w14:textId="77777777" w:rsidR="00AF655D" w:rsidRPr="00AF655D" w:rsidRDefault="00AF655D" w:rsidP="00AF655D">
            <w:pPr>
              <w:rPr>
                <w:rFonts w:asciiTheme="minorHAnsi" w:hAnsiTheme="minorHAnsi" w:cstheme="minorHAnsi"/>
                <w:sz w:val="24"/>
                <w:szCs w:val="24"/>
              </w:rPr>
            </w:pPr>
          </w:p>
          <w:p w14:paraId="170126A9" w14:textId="77777777" w:rsidR="00AF655D" w:rsidRPr="00AF655D" w:rsidRDefault="00AF655D" w:rsidP="00AF655D">
            <w:pPr>
              <w:rPr>
                <w:rFonts w:asciiTheme="minorHAnsi" w:hAnsiTheme="minorHAnsi" w:cstheme="minorHAnsi"/>
                <w:sz w:val="24"/>
                <w:szCs w:val="24"/>
              </w:rPr>
            </w:pPr>
            <w:r w:rsidRPr="00AF655D">
              <w:rPr>
                <w:rFonts w:asciiTheme="minorHAnsi" w:hAnsiTheme="minorHAnsi" w:cstheme="minorHAnsi"/>
                <w:sz w:val="24"/>
                <w:szCs w:val="24"/>
              </w:rPr>
              <w:t xml:space="preserve">Safeguarding in complex situations depends on effective collaboration between agencies. The Social Services and Well-being (Wales) Act 2014 places duties on agencies, including health, police, and local authorities, to work together in safeguarding (Welsh Government, 2014). In theory, this ensures a coordinated response that support individuals yet in practice, collaboration is often hampered by differences in priorities, thresholds, and resources (Horwath &amp; Morrison, 2011). </w:t>
            </w:r>
          </w:p>
          <w:p w14:paraId="2234F145" w14:textId="77777777" w:rsidR="00AF655D" w:rsidRPr="00AF655D" w:rsidRDefault="00AF655D" w:rsidP="00AF655D">
            <w:pPr>
              <w:rPr>
                <w:rFonts w:asciiTheme="minorHAnsi" w:hAnsiTheme="minorHAnsi" w:cstheme="minorHAnsi"/>
                <w:sz w:val="24"/>
                <w:szCs w:val="24"/>
              </w:rPr>
            </w:pPr>
            <w:r w:rsidRPr="00AF655D">
              <w:rPr>
                <w:rFonts w:asciiTheme="minorHAnsi" w:hAnsiTheme="minorHAnsi" w:cstheme="minorHAnsi"/>
                <w:sz w:val="24"/>
                <w:szCs w:val="24"/>
              </w:rPr>
              <w:t>In this case, collaborative working was displayed at several levels. Hospice staff and family members acted to mitigate immediate risk by removing the keys and providing reassurance. This is described by Horwath &amp; Morrison (2011) as “frontline interface” of safeguarding illustrating how practitioners of different departments within the Hospice coordinate actions in the present. Contacting the police as well acknowledges the fact that concerns for potential public safety extended beyond the grounds of the Hospice and required additional support. Support from the police can often provide a bridge to a more formal Safeguarding process. However, while referrals were suggested, no clear follow-up plan could imply a gap. In this case, hospice staff and family members as well as police all acted proportionately to the situation but support moving forward, and ongoing risks may not have been addressed. In this case, it appears the police may have judged the risk as resolved once the keys were removed, while staff and family perceived ongoing vulnerability. This discrepancy illustrates the challenge of aligning professional perspectives.</w:t>
            </w:r>
          </w:p>
          <w:p w14:paraId="6418AFAB" w14:textId="77777777" w:rsidR="00AF655D" w:rsidRPr="00AF655D" w:rsidRDefault="00AF655D" w:rsidP="00AF655D">
            <w:pPr>
              <w:rPr>
                <w:rFonts w:asciiTheme="minorHAnsi" w:hAnsiTheme="minorHAnsi" w:cstheme="minorHAnsi"/>
                <w:sz w:val="24"/>
                <w:szCs w:val="24"/>
              </w:rPr>
            </w:pPr>
            <w:r w:rsidRPr="00AF655D">
              <w:rPr>
                <w:rFonts w:asciiTheme="minorHAnsi" w:hAnsiTheme="minorHAnsi" w:cstheme="minorHAnsi"/>
                <w:sz w:val="24"/>
                <w:szCs w:val="24"/>
              </w:rPr>
              <w:t xml:space="preserve"> This is highlighted in serious case reviews whereby Safeguarding ‘failures’ often stem not from lack of action in the moment but from inter-agency communication (Laming, 2009). The </w:t>
            </w:r>
            <w:proofErr w:type="gramStart"/>
            <w:r w:rsidRPr="00AF655D">
              <w:rPr>
                <w:rFonts w:asciiTheme="minorHAnsi" w:hAnsiTheme="minorHAnsi" w:cstheme="minorHAnsi"/>
                <w:sz w:val="24"/>
                <w:szCs w:val="24"/>
              </w:rPr>
              <w:t>All Wales</w:t>
            </w:r>
            <w:proofErr w:type="gramEnd"/>
            <w:r w:rsidRPr="00AF655D">
              <w:rPr>
                <w:rFonts w:asciiTheme="minorHAnsi" w:hAnsiTheme="minorHAnsi" w:cstheme="minorHAnsi"/>
                <w:sz w:val="24"/>
                <w:szCs w:val="24"/>
              </w:rPr>
              <w:t xml:space="preserve"> Safeguarding Procedures (2019) emphasise that Safeguarding must involve collaborative working at all times. safeguarding guidance emphasises that all agencies have a shared responsibility to ensure continuity of protection (All Wales Safeguarding Procedures, 2019).</w:t>
            </w:r>
          </w:p>
          <w:p w14:paraId="22181787" w14:textId="77777777" w:rsidR="00AF655D" w:rsidRPr="00AF655D" w:rsidRDefault="00AF655D" w:rsidP="00AF655D">
            <w:pPr>
              <w:rPr>
                <w:rFonts w:asciiTheme="minorHAnsi" w:hAnsiTheme="minorHAnsi" w:cstheme="minorHAnsi"/>
                <w:sz w:val="24"/>
                <w:szCs w:val="24"/>
              </w:rPr>
            </w:pPr>
            <w:r w:rsidRPr="00AF655D">
              <w:rPr>
                <w:rFonts w:asciiTheme="minorHAnsi" w:hAnsiTheme="minorHAnsi" w:cstheme="minorHAnsi"/>
                <w:sz w:val="24"/>
                <w:szCs w:val="24"/>
              </w:rPr>
              <w:t>Reflectively, the case emphasised the importance of advocating for multi-disciplinary follow-up in safeguarding practice. As a practitioner, there is a duty not only to respond to immediate risk but also to ensure that appropriate agencies remain engaged until longer-term safety is secured. Effective safeguarding requires persistence, assertiveness, and the ability to challenge other professionals where necessary creating a Safeguarding pathway for an individual; in this instance adult 1. However, on the flip side of this, it is important to acknowledge health services within the UK, Wales included are facing significant resource pressures thus leading to high thresholds for intervention and limited capacity for crisis follow – up (Mind, Cymru, 2020). Nonetheless, Safeguarding frameworks clearly state that resource pressures cannot justify moving forward and protecting individuals at risk (Preston – Shoot, 2020).</w:t>
            </w:r>
          </w:p>
          <w:p w14:paraId="114B58CF" w14:textId="77777777" w:rsidR="00AF655D" w:rsidRPr="00AF655D" w:rsidRDefault="00AF655D" w:rsidP="00AF655D">
            <w:pPr>
              <w:rPr>
                <w:rFonts w:asciiTheme="minorHAnsi" w:hAnsiTheme="minorHAnsi" w:cstheme="minorHAnsi"/>
                <w:sz w:val="24"/>
                <w:szCs w:val="24"/>
              </w:rPr>
            </w:pPr>
            <w:r w:rsidRPr="00AF655D">
              <w:rPr>
                <w:rFonts w:asciiTheme="minorHAnsi" w:hAnsiTheme="minorHAnsi" w:cstheme="minorHAnsi"/>
                <w:sz w:val="24"/>
                <w:szCs w:val="24"/>
              </w:rPr>
              <w:t xml:space="preserve">Overall, upon reflection, it is clear that this case highlights both strengths and limitations of Safeguarding as well as the importance of collaborative working where professionals all share accountability. </w:t>
            </w:r>
          </w:p>
          <w:p w14:paraId="129AAA9C" w14:textId="77777777" w:rsidR="00AF655D" w:rsidRPr="00AF655D" w:rsidRDefault="00AF655D" w:rsidP="00AF655D">
            <w:pPr>
              <w:rPr>
                <w:rFonts w:asciiTheme="minorHAnsi" w:hAnsiTheme="minorHAnsi" w:cstheme="minorHAnsi"/>
                <w:sz w:val="24"/>
                <w:szCs w:val="24"/>
              </w:rPr>
            </w:pPr>
          </w:p>
          <w:p w14:paraId="528FD8FE" w14:textId="77777777" w:rsidR="00AF655D" w:rsidRPr="00AF655D" w:rsidRDefault="00AF655D" w:rsidP="00AF655D">
            <w:pPr>
              <w:rPr>
                <w:rFonts w:asciiTheme="minorHAnsi" w:hAnsiTheme="minorHAnsi" w:cstheme="minorHAnsi"/>
                <w:sz w:val="24"/>
                <w:szCs w:val="24"/>
              </w:rPr>
            </w:pPr>
            <w:r w:rsidRPr="00AF655D">
              <w:rPr>
                <w:rFonts w:asciiTheme="minorHAnsi" w:hAnsiTheme="minorHAnsi" w:cstheme="minorHAnsi"/>
                <w:sz w:val="24"/>
                <w:szCs w:val="24"/>
              </w:rPr>
              <w:lastRenderedPageBreak/>
              <w:t xml:space="preserve">Social work theory provides valuable lenses in which to understand and respond to safeguarding situations. In this case, several theories are particularly relevant and were able to be drawn upon during reflection. </w:t>
            </w:r>
          </w:p>
          <w:p w14:paraId="73847C8F" w14:textId="77777777" w:rsidR="00AF655D" w:rsidRPr="00AF655D" w:rsidRDefault="00AF655D" w:rsidP="00AF655D">
            <w:pPr>
              <w:rPr>
                <w:rFonts w:asciiTheme="minorHAnsi" w:hAnsiTheme="minorHAnsi" w:cstheme="minorHAnsi"/>
                <w:sz w:val="24"/>
                <w:szCs w:val="24"/>
              </w:rPr>
            </w:pPr>
            <w:r w:rsidRPr="00AF655D">
              <w:rPr>
                <w:rFonts w:asciiTheme="minorHAnsi" w:hAnsiTheme="minorHAnsi" w:cstheme="minorHAnsi"/>
                <w:sz w:val="24"/>
                <w:szCs w:val="24"/>
              </w:rPr>
              <w:t xml:space="preserve">Crisis intervention theory (Caplan, 1964) emphasises the importance of immediate, focused responses to acute distress, aiming to restore equilibrium and prevent escalation. The staff’s actions in removing the keys and providing reassurance align with crisis intervention principles: de-escalating risk, providing emotional containment, and stabilising the situation. However, crisis theory also highlights the importance of follow-up, as unresolved crises can lead to deterioration or recurrence. The absence of ongoing support undermined the effectiveness of crisis intervention beyond mitigating immediate risk. </w:t>
            </w:r>
          </w:p>
          <w:p w14:paraId="3CAB768E" w14:textId="77777777" w:rsidR="00AF655D" w:rsidRPr="00AF655D" w:rsidRDefault="00AF655D" w:rsidP="00AF655D">
            <w:pPr>
              <w:rPr>
                <w:rFonts w:asciiTheme="minorHAnsi" w:hAnsiTheme="minorHAnsi" w:cstheme="minorHAnsi"/>
                <w:sz w:val="24"/>
                <w:szCs w:val="24"/>
              </w:rPr>
            </w:pPr>
            <w:r w:rsidRPr="00AF655D">
              <w:rPr>
                <w:rFonts w:asciiTheme="minorHAnsi" w:hAnsiTheme="minorHAnsi" w:cstheme="minorHAnsi"/>
                <w:sz w:val="24"/>
                <w:szCs w:val="24"/>
              </w:rPr>
              <w:t xml:space="preserve">Systems theory (Bronfenbrenner, 1979) encourages practitioners to view individuals within the context of their wider social, familial, and environmental systems. The bereavement disrupted the family system, increasing stress and reducing protective factors. Effective Safeguarding would have considered not only the individual’s risk but also the family’s capacity to provide support, highlighting the need for family-based interventions. </w:t>
            </w:r>
          </w:p>
          <w:p w14:paraId="18F00220" w14:textId="77777777" w:rsidR="00AF655D" w:rsidRPr="00AF655D" w:rsidRDefault="00AF655D" w:rsidP="00AF655D">
            <w:pPr>
              <w:rPr>
                <w:rFonts w:asciiTheme="minorHAnsi" w:hAnsiTheme="minorHAnsi" w:cstheme="minorHAnsi"/>
                <w:sz w:val="24"/>
                <w:szCs w:val="24"/>
              </w:rPr>
            </w:pPr>
            <w:r w:rsidRPr="00AF655D">
              <w:rPr>
                <w:rFonts w:asciiTheme="minorHAnsi" w:hAnsiTheme="minorHAnsi" w:cstheme="minorHAnsi"/>
                <w:sz w:val="24"/>
                <w:szCs w:val="24"/>
              </w:rPr>
              <w:t>Attachment and loss theory (Bowlby, 1980) provides insight into the impact of bereavement on mental health. The death of a parent can trigger intense emotional distress, particularly when mental health vulnerabilities are present. Recognising this theoretical perspective reinforces the need for grief-focused interventions alongside immediate safeguarding measures, highlighting that the individual’s behaviour was not simply a matter of choice but a response shaped by attachment dynamics and past experiences (Worden, 2009).</w:t>
            </w:r>
          </w:p>
          <w:p w14:paraId="4A8E459D" w14:textId="77777777" w:rsidR="00AF655D" w:rsidRPr="00AF655D" w:rsidRDefault="00AF655D" w:rsidP="00AF655D">
            <w:pPr>
              <w:rPr>
                <w:rFonts w:asciiTheme="minorHAnsi" w:hAnsiTheme="minorHAnsi" w:cstheme="minorHAnsi"/>
                <w:sz w:val="24"/>
                <w:szCs w:val="24"/>
              </w:rPr>
            </w:pPr>
            <w:r w:rsidRPr="00AF655D">
              <w:rPr>
                <w:rFonts w:asciiTheme="minorHAnsi" w:hAnsiTheme="minorHAnsi" w:cstheme="minorHAnsi"/>
                <w:sz w:val="24"/>
                <w:szCs w:val="24"/>
              </w:rPr>
              <w:t>Strengths-based approaches also offer an important counterbalance. While safeguarding often focuses on risks, strengths-based practice emphasises resilience, coping mechanisms, and support networks (</w:t>
            </w:r>
            <w:proofErr w:type="spellStart"/>
            <w:r w:rsidRPr="00AF655D">
              <w:rPr>
                <w:rFonts w:asciiTheme="minorHAnsi" w:hAnsiTheme="minorHAnsi" w:cstheme="minorHAnsi"/>
                <w:sz w:val="24"/>
                <w:szCs w:val="24"/>
              </w:rPr>
              <w:t>Saleebey</w:t>
            </w:r>
            <w:proofErr w:type="spellEnd"/>
            <w:r w:rsidRPr="00AF655D">
              <w:rPr>
                <w:rFonts w:asciiTheme="minorHAnsi" w:hAnsiTheme="minorHAnsi" w:cstheme="minorHAnsi"/>
                <w:sz w:val="24"/>
                <w:szCs w:val="24"/>
              </w:rPr>
              <w:t>, 2006; Ungar, 2011). In this case, while safeguarding often focuses on deficits and risks, strengths-based practice encourages the identification of existing resources and supports, such as family involvement or adaptive coping strategies, which can be leveraged to mitigate harm and promote recovery. In this case, actively involving family members in decision-making and ensuring their engagement in safeguarding responses reinforced protective factors and exemplified a practical application of strengths-based principles.</w:t>
            </w:r>
          </w:p>
          <w:p w14:paraId="4F117685" w14:textId="77777777" w:rsidR="00AF655D" w:rsidRPr="00AF655D" w:rsidRDefault="00AF655D" w:rsidP="00AF655D">
            <w:pPr>
              <w:rPr>
                <w:rFonts w:asciiTheme="minorHAnsi" w:hAnsiTheme="minorHAnsi" w:cstheme="minorHAnsi"/>
                <w:sz w:val="24"/>
                <w:szCs w:val="24"/>
              </w:rPr>
            </w:pPr>
            <w:r w:rsidRPr="00AF655D">
              <w:rPr>
                <w:rFonts w:asciiTheme="minorHAnsi" w:hAnsiTheme="minorHAnsi" w:cstheme="minorHAnsi"/>
                <w:sz w:val="24"/>
                <w:szCs w:val="24"/>
              </w:rPr>
              <w:t>Critically, these theoretical perspectives are not applied in isolation but interact with legislative, policy, and ethical frameworks to guide practice. Together, they provided a comprehensive lens for analysing the incident, demonstrating the value of integrating theory with practical decision-making. Using Social Work Theories is most effective when combined with professional judgement, multi-agency collaboration, and ethical awareness, ensuring that safeguarding practice is not only legally compliant but also empathetic and responsive to the individual’s lived experience (Payne, 2020; Harris &amp; White, 2018).</w:t>
            </w:r>
          </w:p>
          <w:p w14:paraId="6BFCA807" w14:textId="77777777" w:rsidR="00AF655D" w:rsidRPr="00AF655D" w:rsidRDefault="00AF655D" w:rsidP="00AF655D">
            <w:pPr>
              <w:rPr>
                <w:rFonts w:asciiTheme="minorHAnsi" w:hAnsiTheme="minorHAnsi" w:cstheme="minorHAnsi"/>
                <w:sz w:val="24"/>
                <w:szCs w:val="24"/>
              </w:rPr>
            </w:pPr>
          </w:p>
          <w:p w14:paraId="56C6FAF8" w14:textId="77777777" w:rsidR="00AF655D" w:rsidRPr="00AF655D" w:rsidRDefault="00AF655D" w:rsidP="00AF655D">
            <w:pPr>
              <w:rPr>
                <w:rFonts w:asciiTheme="minorHAnsi" w:hAnsiTheme="minorHAnsi" w:cstheme="minorHAnsi"/>
                <w:sz w:val="24"/>
                <w:szCs w:val="24"/>
              </w:rPr>
            </w:pPr>
            <w:r w:rsidRPr="00AF655D">
              <w:rPr>
                <w:rFonts w:asciiTheme="minorHAnsi" w:hAnsiTheme="minorHAnsi" w:cstheme="minorHAnsi"/>
                <w:sz w:val="24"/>
                <w:szCs w:val="24"/>
              </w:rPr>
              <w:t xml:space="preserve">Safeguarding in Wales is shaped by distinctive legislative, policy, and cultural dimensions. The devolved context means that practice is guided by the Social Services and Well-being (Wales) Act 2014, which differs in emphasis from legislation in England and Scotland. The Welsh framework prioritises wellbeing, prevention, and co-production, seeking to place the voice and choice of individuals at the centre of safeguarding (Welsh Government, 2014). In practice, this means interventions should not only protect but also empower individuals to shape their care. In the context of the case, this framework underscores that Safeguarding is more than immediate crisis </w:t>
            </w:r>
            <w:r w:rsidRPr="00AF655D">
              <w:rPr>
                <w:rFonts w:asciiTheme="minorHAnsi" w:hAnsiTheme="minorHAnsi" w:cstheme="minorHAnsi"/>
                <w:sz w:val="24"/>
                <w:szCs w:val="24"/>
              </w:rPr>
              <w:lastRenderedPageBreak/>
              <w:t>management. While the acute risk was successfully mitigated, a Welsh safeguarding perspective would emphasise follow-up planning, collaborative working, and active engagement with the individual to promote long-term resilience. The principles of co-production highlight the importance of involving the family in ongoing support decisions, aligning with systems theory and strengths-based practice to create protective environments (</w:t>
            </w:r>
            <w:proofErr w:type="spellStart"/>
            <w:r w:rsidRPr="00AF655D">
              <w:rPr>
                <w:rFonts w:asciiTheme="minorHAnsi" w:hAnsiTheme="minorHAnsi" w:cstheme="minorHAnsi"/>
                <w:sz w:val="24"/>
                <w:szCs w:val="24"/>
              </w:rPr>
              <w:t>Saleebey</w:t>
            </w:r>
            <w:proofErr w:type="spellEnd"/>
            <w:r w:rsidRPr="00AF655D">
              <w:rPr>
                <w:rFonts w:asciiTheme="minorHAnsi" w:hAnsiTheme="minorHAnsi" w:cstheme="minorHAnsi"/>
                <w:sz w:val="24"/>
                <w:szCs w:val="24"/>
              </w:rPr>
              <w:t>, 2006; Bronfenbrenner, 1979).</w:t>
            </w:r>
          </w:p>
          <w:p w14:paraId="2A96E1A0" w14:textId="77777777" w:rsidR="00AF655D" w:rsidRPr="00AF655D" w:rsidRDefault="00AF655D" w:rsidP="00AF655D">
            <w:pPr>
              <w:rPr>
                <w:rFonts w:asciiTheme="minorHAnsi" w:hAnsiTheme="minorHAnsi" w:cstheme="minorHAnsi"/>
                <w:sz w:val="24"/>
                <w:szCs w:val="24"/>
              </w:rPr>
            </w:pPr>
          </w:p>
          <w:p w14:paraId="795A6F51" w14:textId="77777777" w:rsidR="00AF655D" w:rsidRPr="00AF655D" w:rsidRDefault="00AF655D" w:rsidP="00AF655D">
            <w:pPr>
              <w:rPr>
                <w:rFonts w:asciiTheme="minorHAnsi" w:hAnsiTheme="minorHAnsi" w:cstheme="minorHAnsi"/>
                <w:sz w:val="24"/>
                <w:szCs w:val="24"/>
              </w:rPr>
            </w:pPr>
            <w:r w:rsidRPr="00AF655D">
              <w:rPr>
                <w:rFonts w:asciiTheme="minorHAnsi" w:hAnsiTheme="minorHAnsi" w:cstheme="minorHAnsi"/>
                <w:sz w:val="24"/>
                <w:szCs w:val="24"/>
              </w:rPr>
              <w:t>Language and culture are also significant. The Welsh Government promotes the principle of “active offer” of Welsh language services, recognising language as integral to identity and wellbeing (Welsh Government, 2015). In mental health crises, the ability to communicate in one’s preferred language may be critical to effective support. Practitioners in Wales must therefore remain sensitive to cultural and linguistic needs.</w:t>
            </w:r>
          </w:p>
          <w:p w14:paraId="1D6D7F79" w14:textId="77777777" w:rsidR="00AF655D" w:rsidRPr="00AF655D" w:rsidRDefault="00AF655D" w:rsidP="00AF655D">
            <w:pPr>
              <w:rPr>
                <w:rFonts w:asciiTheme="minorHAnsi" w:hAnsiTheme="minorHAnsi" w:cstheme="minorHAnsi"/>
                <w:sz w:val="24"/>
                <w:szCs w:val="24"/>
              </w:rPr>
            </w:pPr>
            <w:r w:rsidRPr="00AF655D">
              <w:rPr>
                <w:rFonts w:asciiTheme="minorHAnsi" w:hAnsiTheme="minorHAnsi" w:cstheme="minorHAnsi"/>
                <w:sz w:val="24"/>
                <w:szCs w:val="24"/>
              </w:rPr>
              <w:t>Geographical and resource factors further shape safeguarding in Wales. Rural areas may face limited access to crisis services, increasing reliance on police as first responders (Mind Cymru, 2020). This structural challenge may help explain the police’s role in the present case and the gaps in follow-up care. Reflectively, practitioners must advocate for equitable access to mental health services and challenge structural inequalities that impact safeguarding. Critically, the Welsh framework emphasises preventative safeguarding, ongoing risk assessment, and inter-agency collaboration. This aligns with the wider international shift towards viewing safeguarding as a holistic process that promotes not only safety but also wellbeing, resilience, and empowerment (Ungar, 2011).</w:t>
            </w:r>
          </w:p>
          <w:p w14:paraId="0CC000FA" w14:textId="77777777" w:rsidR="00AF655D" w:rsidRPr="00AF655D" w:rsidRDefault="00AF655D" w:rsidP="00AF655D">
            <w:pPr>
              <w:rPr>
                <w:rFonts w:asciiTheme="minorHAnsi" w:hAnsiTheme="minorHAnsi" w:cstheme="minorHAnsi"/>
                <w:sz w:val="24"/>
                <w:szCs w:val="24"/>
              </w:rPr>
            </w:pPr>
            <w:r w:rsidRPr="00AF655D">
              <w:rPr>
                <w:rFonts w:asciiTheme="minorHAnsi" w:hAnsiTheme="minorHAnsi" w:cstheme="minorHAnsi"/>
                <w:sz w:val="24"/>
                <w:szCs w:val="24"/>
              </w:rPr>
              <w:t>From a reflective perspective, this case highlights the importance of understanding the Welsh context. Practitioners must navigate the intersection of devolved legislation, policy priorities, cultural considerations, and systemic constraints. For instance, while the immediate safeguarding intervention adhered to both legislative and ethical standards, the absence of structured follow-up illustrates how systemic limitations—such as rural service gaps or limited multi-agency communication—can undermine the effectiveness of well-intentioned interventions (Preston-Shoot, 2020).</w:t>
            </w:r>
          </w:p>
          <w:p w14:paraId="3CF23D41" w14:textId="77777777" w:rsidR="00AF655D" w:rsidRPr="00AF655D" w:rsidRDefault="00AF655D" w:rsidP="00AF655D">
            <w:pPr>
              <w:rPr>
                <w:rFonts w:asciiTheme="minorHAnsi" w:hAnsiTheme="minorHAnsi" w:cstheme="minorHAnsi"/>
                <w:sz w:val="24"/>
                <w:szCs w:val="24"/>
              </w:rPr>
            </w:pPr>
            <w:r w:rsidRPr="00AF655D">
              <w:rPr>
                <w:rFonts w:asciiTheme="minorHAnsi" w:hAnsiTheme="minorHAnsi" w:cstheme="minorHAnsi"/>
                <w:sz w:val="24"/>
                <w:szCs w:val="24"/>
              </w:rPr>
              <w:t xml:space="preserve">Reflective practice is central to social work, enabling practitioners to learn from experience, critically evaluate their actions, and improve future responses (Schön, 1983). This case was particularly beneficial and gave an opportunity for reflection as it was a complex situation with external contributing factors such as bereavement and Mental Health. Engaging in reflection following this incident allowed for both technical and emotional impacts of Safeguarding in practice for Social Workers, highlighting the intertwining of professional judgement, ethical decision-making, and personal responses. </w:t>
            </w:r>
          </w:p>
          <w:p w14:paraId="3424B690" w14:textId="77777777" w:rsidR="00AF655D" w:rsidRPr="00AF655D" w:rsidRDefault="00AF655D" w:rsidP="00AF655D">
            <w:pPr>
              <w:rPr>
                <w:rFonts w:asciiTheme="minorHAnsi" w:hAnsiTheme="minorHAnsi" w:cstheme="minorHAnsi"/>
                <w:sz w:val="24"/>
                <w:szCs w:val="24"/>
              </w:rPr>
            </w:pPr>
            <w:r w:rsidRPr="00AF655D">
              <w:rPr>
                <w:rFonts w:asciiTheme="minorHAnsi" w:hAnsiTheme="minorHAnsi" w:cstheme="minorHAnsi"/>
                <w:sz w:val="24"/>
                <w:szCs w:val="24"/>
              </w:rPr>
              <w:t>Reflecting on personal learning, this case reinforced the importance of integrating theory, legislation, and ethical reasoning into practice. Crisis intervention principles informed immediate responses, attachment and loss theory provided insight into the individual’s behaviour, and the Welsh safeguarding framework guided legal and ethical decision-making. Reflection highlighted how these components interact in complex, real-world scenarios, demonstrating that effective safeguarding requires a combination of knowledge, skill, judgement, and emotional intelligence. In summary, reflective practice in this case facilitated learning on multiple levels: immediate decision-making, ethical reasoning, emotional awareness, and systemic advocacy.</w:t>
            </w:r>
          </w:p>
          <w:p w14:paraId="7F7C84E1" w14:textId="77777777" w:rsidR="00AF655D" w:rsidRPr="00AF655D" w:rsidRDefault="00AF655D" w:rsidP="00AF655D">
            <w:pPr>
              <w:rPr>
                <w:rFonts w:asciiTheme="minorHAnsi" w:hAnsiTheme="minorHAnsi" w:cstheme="minorHAnsi"/>
                <w:sz w:val="24"/>
                <w:szCs w:val="24"/>
              </w:rPr>
            </w:pPr>
          </w:p>
          <w:p w14:paraId="6702B262" w14:textId="77777777" w:rsidR="00AF655D" w:rsidRPr="00154268" w:rsidRDefault="00AF655D" w:rsidP="00AF655D">
            <w:pPr>
              <w:rPr>
                <w:rFonts w:asciiTheme="minorHAnsi" w:hAnsiTheme="minorHAnsi" w:cstheme="minorHAnsi"/>
                <w:sz w:val="24"/>
                <w:szCs w:val="24"/>
              </w:rPr>
            </w:pPr>
            <w:r w:rsidRPr="00AF655D">
              <w:rPr>
                <w:rFonts w:asciiTheme="minorHAnsi" w:hAnsiTheme="minorHAnsi" w:cstheme="minorHAnsi"/>
                <w:sz w:val="24"/>
                <w:szCs w:val="24"/>
              </w:rPr>
              <w:t xml:space="preserve">In conclusion, this case study demonstrates that safeguarding in social work is a dynamic, holistic, and humanistic process. It requires practitioners to integrate legislative knowledge, ethical </w:t>
            </w:r>
            <w:r w:rsidRPr="00AF655D">
              <w:rPr>
                <w:rFonts w:asciiTheme="minorHAnsi" w:hAnsiTheme="minorHAnsi" w:cstheme="minorHAnsi"/>
                <w:sz w:val="24"/>
                <w:szCs w:val="24"/>
              </w:rPr>
              <w:lastRenderedPageBreak/>
              <w:t>principles, theoretical understanding, reflective practice, and collaborative working to protect individuals, promote wellbeing, and advocate for systemic improvements. By critically analysing this incident, valuable lessons have emerged regarding immediate intervention, multi-agency collaboration, ongoing support, and the practitioner’s role in navigating complex, high-risk scenarios. These insights have profound implications for social work practice in Wales and beyond, reinforcing safeguarding as both a professional duty and a deeply human responsibility.</w:t>
            </w:r>
          </w:p>
          <w:p w14:paraId="7801F588" w14:textId="77777777" w:rsidR="00AF655D" w:rsidRDefault="00AF655D" w:rsidP="00FF7EBB">
            <w:pPr>
              <w:jc w:val="both"/>
              <w:rPr>
                <w:i/>
                <w:sz w:val="24"/>
                <w:szCs w:val="24"/>
              </w:rPr>
            </w:pPr>
          </w:p>
          <w:p w14:paraId="20370495" w14:textId="79B79501" w:rsidR="00D3203C" w:rsidRDefault="00D3203C" w:rsidP="00FF7EBB">
            <w:pPr>
              <w:jc w:val="both"/>
              <w:rPr>
                <w:i/>
                <w:sz w:val="24"/>
                <w:szCs w:val="24"/>
              </w:rPr>
            </w:pPr>
          </w:p>
          <w:p w14:paraId="12DC2F24" w14:textId="420700A9" w:rsidR="00D3203C" w:rsidRPr="00AF655D" w:rsidRDefault="00AF655D" w:rsidP="00FF7EBB">
            <w:pPr>
              <w:jc w:val="both"/>
              <w:rPr>
                <w:b/>
                <w:bCs/>
                <w:iCs/>
                <w:sz w:val="24"/>
                <w:szCs w:val="24"/>
              </w:rPr>
            </w:pPr>
            <w:r w:rsidRPr="00AF655D">
              <w:rPr>
                <w:b/>
                <w:bCs/>
                <w:iCs/>
                <w:sz w:val="24"/>
                <w:szCs w:val="24"/>
              </w:rPr>
              <w:t>Word Count: 3,610</w:t>
            </w:r>
          </w:p>
          <w:p w14:paraId="1225D23D" w14:textId="4FFF3138" w:rsidR="00D3203C" w:rsidRDefault="00D3203C" w:rsidP="00FF7EBB">
            <w:pPr>
              <w:jc w:val="both"/>
              <w:rPr>
                <w:i/>
                <w:sz w:val="24"/>
                <w:szCs w:val="24"/>
              </w:rPr>
            </w:pP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4AE672" w14:textId="77777777" w:rsidR="002E5616" w:rsidRDefault="002E5616">
      <w:r>
        <w:separator/>
      </w:r>
    </w:p>
  </w:endnote>
  <w:endnote w:type="continuationSeparator" w:id="0">
    <w:p w14:paraId="12547E09" w14:textId="77777777" w:rsidR="002E5616" w:rsidRDefault="002E561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37FE16" w14:textId="77777777" w:rsidR="002E5616" w:rsidRDefault="002E5616">
      <w:r>
        <w:separator/>
      </w:r>
    </w:p>
  </w:footnote>
  <w:footnote w:type="continuationSeparator" w:id="0">
    <w:p w14:paraId="178EC15B" w14:textId="77777777" w:rsidR="002E5616" w:rsidRDefault="002E561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2"/>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3E71"/>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5616"/>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2595C"/>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55D"/>
    <w:rsid w:val="00AF6CC6"/>
    <w:rsid w:val="00B0296A"/>
    <w:rsid w:val="00B037B0"/>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02C"/>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4044</Words>
  <Characters>23057</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27047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Microsoft Office User</cp:lastModifiedBy>
  <cp:revision>2</cp:revision>
  <cp:lastPrinted>2020-02-11T19:20:00Z</cp:lastPrinted>
  <dcterms:created xsi:type="dcterms:W3CDTF">2025-10-07T15:13:00Z</dcterms:created>
  <dcterms:modified xsi:type="dcterms:W3CDTF">2025-10-07T15:13:00Z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