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53DAF" w:rsidRDefault="00A53DAF">
      <w:pPr>
        <w:rPr>
          <w:rFonts w:ascii="Arial" w:eastAsia="Arial" w:hAnsi="Arial" w:cs="Arial"/>
          <w:sz w:val="22"/>
          <w:szCs w:val="22"/>
        </w:rPr>
      </w:pPr>
    </w:p>
    <w:p w14:paraId="00000002" w14:textId="77777777" w:rsidR="00A53DAF" w:rsidRDefault="00A53DAF">
      <w:pPr>
        <w:jc w:val="center"/>
        <w:rPr>
          <w:rFonts w:ascii="Arial" w:eastAsia="Arial" w:hAnsi="Arial" w:cs="Arial"/>
          <w:sz w:val="22"/>
          <w:szCs w:val="22"/>
        </w:rPr>
      </w:pPr>
    </w:p>
    <w:p w14:paraId="00000003" w14:textId="77777777" w:rsidR="00A53DAF" w:rsidRDefault="00A53DAF">
      <w:pPr>
        <w:jc w:val="center"/>
        <w:rPr>
          <w:rFonts w:ascii="Arial" w:eastAsia="Arial" w:hAnsi="Arial" w:cs="Arial"/>
          <w:sz w:val="22"/>
          <w:szCs w:val="22"/>
        </w:rPr>
      </w:pPr>
    </w:p>
    <w:p w14:paraId="00000004" w14:textId="77777777" w:rsidR="00A53DAF" w:rsidRDefault="00A53DAF">
      <w:pPr>
        <w:jc w:val="center"/>
        <w:rPr>
          <w:rFonts w:ascii="Arial" w:eastAsia="Arial" w:hAnsi="Arial" w:cs="Arial"/>
          <w:sz w:val="22"/>
          <w:szCs w:val="22"/>
        </w:rPr>
      </w:pPr>
    </w:p>
    <w:p w14:paraId="00000005" w14:textId="77777777" w:rsidR="00A53DAF" w:rsidRDefault="00A53DAF">
      <w:pPr>
        <w:jc w:val="center"/>
        <w:rPr>
          <w:rFonts w:ascii="Arial" w:eastAsia="Arial" w:hAnsi="Arial" w:cs="Arial"/>
          <w:sz w:val="22"/>
          <w:szCs w:val="22"/>
        </w:rPr>
      </w:pPr>
    </w:p>
    <w:p w14:paraId="00000006" w14:textId="77777777" w:rsidR="00A53DAF" w:rsidRDefault="00A53DAF">
      <w:pPr>
        <w:jc w:val="center"/>
        <w:rPr>
          <w:rFonts w:ascii="Arial" w:eastAsia="Arial" w:hAnsi="Arial" w:cs="Arial"/>
          <w:sz w:val="22"/>
          <w:szCs w:val="22"/>
        </w:rPr>
      </w:pPr>
    </w:p>
    <w:p w14:paraId="00000007" w14:textId="77777777" w:rsidR="00A53DAF" w:rsidRDefault="00A53DAF">
      <w:pPr>
        <w:jc w:val="center"/>
        <w:rPr>
          <w:rFonts w:ascii="Arial" w:eastAsia="Arial" w:hAnsi="Arial" w:cs="Arial"/>
          <w:sz w:val="22"/>
          <w:szCs w:val="22"/>
        </w:rPr>
      </w:pPr>
    </w:p>
    <w:p w14:paraId="00000008" w14:textId="77777777" w:rsidR="00A53DAF" w:rsidRDefault="00A53DAF">
      <w:pPr>
        <w:jc w:val="center"/>
        <w:rPr>
          <w:rFonts w:ascii="Arial" w:eastAsia="Arial" w:hAnsi="Arial" w:cs="Arial"/>
          <w:sz w:val="22"/>
          <w:szCs w:val="22"/>
        </w:rPr>
      </w:pPr>
    </w:p>
    <w:p w14:paraId="00000009" w14:textId="77777777" w:rsidR="00A53DAF" w:rsidRDefault="00A53DAF">
      <w:pPr>
        <w:jc w:val="center"/>
        <w:rPr>
          <w:rFonts w:ascii="Arial" w:eastAsia="Arial" w:hAnsi="Arial" w:cs="Arial"/>
          <w:sz w:val="22"/>
          <w:szCs w:val="22"/>
        </w:rPr>
      </w:pPr>
    </w:p>
    <w:p w14:paraId="0000000A" w14:textId="77777777" w:rsidR="00A53DAF" w:rsidRDefault="00A53DAF">
      <w:pPr>
        <w:jc w:val="center"/>
        <w:rPr>
          <w:rFonts w:ascii="Arial" w:eastAsia="Arial" w:hAnsi="Arial" w:cs="Arial"/>
          <w:sz w:val="22"/>
          <w:szCs w:val="22"/>
        </w:rPr>
      </w:pPr>
    </w:p>
    <w:p w14:paraId="0000000B" w14:textId="77777777" w:rsidR="00A53DAF" w:rsidRDefault="00A53DAF">
      <w:pPr>
        <w:jc w:val="center"/>
        <w:rPr>
          <w:rFonts w:ascii="Arial" w:eastAsia="Arial" w:hAnsi="Arial" w:cs="Arial"/>
          <w:sz w:val="22"/>
          <w:szCs w:val="22"/>
        </w:rPr>
      </w:pPr>
    </w:p>
    <w:p w14:paraId="0000000C" w14:textId="77777777" w:rsidR="00A53DAF" w:rsidRDefault="00A53DAF">
      <w:pPr>
        <w:jc w:val="center"/>
        <w:rPr>
          <w:rFonts w:ascii="Arial" w:eastAsia="Arial" w:hAnsi="Arial" w:cs="Arial"/>
          <w:sz w:val="32"/>
          <w:szCs w:val="32"/>
        </w:rPr>
      </w:pPr>
    </w:p>
    <w:p w14:paraId="0000000D" w14:textId="77777777" w:rsidR="00A53DAF" w:rsidRDefault="00A53DAF">
      <w:pPr>
        <w:jc w:val="center"/>
        <w:rPr>
          <w:rFonts w:ascii="Arial" w:eastAsia="Arial" w:hAnsi="Arial" w:cs="Arial"/>
          <w:sz w:val="32"/>
          <w:szCs w:val="32"/>
        </w:rPr>
      </w:pPr>
    </w:p>
    <w:p w14:paraId="0000000E" w14:textId="77777777" w:rsidR="00A53DAF" w:rsidRDefault="00A53DAF">
      <w:pPr>
        <w:jc w:val="center"/>
        <w:rPr>
          <w:rFonts w:ascii="Arial" w:eastAsia="Arial" w:hAnsi="Arial" w:cs="Arial"/>
          <w:sz w:val="32"/>
          <w:szCs w:val="32"/>
        </w:rPr>
      </w:pPr>
    </w:p>
    <w:p w14:paraId="0000000F" w14:textId="77777777" w:rsidR="00A53DAF" w:rsidRDefault="00000000">
      <w:pPr>
        <w:jc w:val="center"/>
        <w:rPr>
          <w:rFonts w:ascii="Arial" w:eastAsia="Arial" w:hAnsi="Arial" w:cs="Arial"/>
          <w:sz w:val="32"/>
          <w:szCs w:val="32"/>
        </w:rPr>
      </w:pPr>
      <w:r>
        <w:rPr>
          <w:rFonts w:ascii="Arial" w:eastAsia="Arial" w:hAnsi="Arial" w:cs="Arial"/>
          <w:sz w:val="32"/>
          <w:szCs w:val="32"/>
        </w:rPr>
        <w:t>A critical evaluation and the learning steps focusing on a case study of an individual learner, or a group of learners based on an observed critical incident</w:t>
      </w:r>
    </w:p>
    <w:p w14:paraId="00000010" w14:textId="77777777" w:rsidR="00A53DAF" w:rsidRDefault="00A53DAF">
      <w:pPr>
        <w:rPr>
          <w:rFonts w:ascii="Arial" w:eastAsia="Arial" w:hAnsi="Arial" w:cs="Arial"/>
          <w:sz w:val="32"/>
          <w:szCs w:val="32"/>
        </w:rPr>
      </w:pPr>
    </w:p>
    <w:p w14:paraId="00000011" w14:textId="77777777" w:rsidR="00A53DAF" w:rsidRDefault="00000000">
      <w:pPr>
        <w:jc w:val="center"/>
        <w:rPr>
          <w:rFonts w:ascii="Arial" w:eastAsia="Arial" w:hAnsi="Arial" w:cs="Arial"/>
          <w:sz w:val="32"/>
          <w:szCs w:val="32"/>
        </w:rPr>
      </w:pPr>
      <w:r>
        <w:rPr>
          <w:rFonts w:ascii="Arial" w:eastAsia="Arial" w:hAnsi="Arial" w:cs="Arial"/>
          <w:sz w:val="32"/>
          <w:szCs w:val="32"/>
        </w:rPr>
        <w:t>By Lauren Greenhill (2012008)</w:t>
      </w:r>
    </w:p>
    <w:p w14:paraId="00000012" w14:textId="77777777" w:rsidR="00A53DAF" w:rsidRDefault="00A53DAF">
      <w:pPr>
        <w:jc w:val="center"/>
        <w:rPr>
          <w:rFonts w:ascii="Arial" w:eastAsia="Arial" w:hAnsi="Arial" w:cs="Arial"/>
          <w:sz w:val="32"/>
          <w:szCs w:val="32"/>
        </w:rPr>
      </w:pPr>
    </w:p>
    <w:p w14:paraId="00000013" w14:textId="77777777" w:rsidR="00A53DAF" w:rsidRDefault="00000000">
      <w:pPr>
        <w:jc w:val="center"/>
        <w:rPr>
          <w:rFonts w:ascii="Arial" w:eastAsia="Arial" w:hAnsi="Arial" w:cs="Arial"/>
          <w:sz w:val="32"/>
          <w:szCs w:val="32"/>
        </w:rPr>
      </w:pPr>
      <w:r>
        <w:rPr>
          <w:rFonts w:ascii="Arial" w:eastAsia="Arial" w:hAnsi="Arial" w:cs="Arial"/>
          <w:sz w:val="32"/>
          <w:szCs w:val="32"/>
        </w:rPr>
        <w:t>PGCE: Postgraduate Certificate in Education Primary QTS</w:t>
      </w:r>
    </w:p>
    <w:p w14:paraId="00000014" w14:textId="77777777" w:rsidR="00A53DAF" w:rsidRDefault="00A53DAF">
      <w:pPr>
        <w:jc w:val="center"/>
        <w:rPr>
          <w:rFonts w:ascii="Arial" w:eastAsia="Arial" w:hAnsi="Arial" w:cs="Arial"/>
          <w:sz w:val="32"/>
          <w:szCs w:val="32"/>
        </w:rPr>
      </w:pPr>
    </w:p>
    <w:p w14:paraId="00000015" w14:textId="77777777" w:rsidR="00A53DAF" w:rsidRDefault="00000000">
      <w:pPr>
        <w:jc w:val="center"/>
        <w:rPr>
          <w:rFonts w:ascii="Arial" w:eastAsia="Arial" w:hAnsi="Arial" w:cs="Arial"/>
          <w:sz w:val="32"/>
          <w:szCs w:val="32"/>
        </w:rPr>
      </w:pPr>
      <w:r>
        <w:rPr>
          <w:rFonts w:ascii="Arial" w:eastAsia="Arial" w:hAnsi="Arial" w:cs="Arial"/>
          <w:sz w:val="32"/>
          <w:szCs w:val="32"/>
        </w:rPr>
        <w:t>October 2023</w:t>
      </w:r>
    </w:p>
    <w:p w14:paraId="00000016" w14:textId="77777777" w:rsidR="00A53DAF" w:rsidRDefault="00A53DAF">
      <w:pPr>
        <w:jc w:val="center"/>
        <w:rPr>
          <w:rFonts w:ascii="Arial" w:eastAsia="Arial" w:hAnsi="Arial" w:cs="Arial"/>
          <w:sz w:val="32"/>
          <w:szCs w:val="32"/>
        </w:rPr>
      </w:pPr>
    </w:p>
    <w:p w14:paraId="00000017" w14:textId="7B063C57" w:rsidR="00A53DAF" w:rsidRDefault="00000000">
      <w:pPr>
        <w:jc w:val="center"/>
        <w:rPr>
          <w:rFonts w:ascii="Arial" w:eastAsia="Arial" w:hAnsi="Arial" w:cs="Arial"/>
          <w:sz w:val="32"/>
          <w:szCs w:val="32"/>
        </w:rPr>
      </w:pPr>
      <w:r>
        <w:rPr>
          <w:rFonts w:ascii="Arial" w:eastAsia="Arial" w:hAnsi="Arial" w:cs="Arial"/>
          <w:sz w:val="32"/>
          <w:szCs w:val="32"/>
        </w:rPr>
        <w:t>Word count: 394</w:t>
      </w:r>
      <w:r w:rsidR="00C14D50">
        <w:rPr>
          <w:rFonts w:ascii="Arial" w:eastAsia="Arial" w:hAnsi="Arial" w:cs="Arial"/>
          <w:sz w:val="32"/>
          <w:szCs w:val="32"/>
        </w:rPr>
        <w:t>8</w:t>
      </w:r>
    </w:p>
    <w:p w14:paraId="00000018" w14:textId="77777777" w:rsidR="00A53DAF" w:rsidRDefault="00A53DAF">
      <w:pPr>
        <w:rPr>
          <w:rFonts w:ascii="Arial" w:eastAsia="Arial" w:hAnsi="Arial" w:cs="Arial"/>
          <w:sz w:val="22"/>
          <w:szCs w:val="22"/>
        </w:rPr>
      </w:pPr>
    </w:p>
    <w:p w14:paraId="00000019" w14:textId="77777777" w:rsidR="00A53DAF" w:rsidRDefault="00A53DAF">
      <w:pPr>
        <w:rPr>
          <w:rFonts w:ascii="Arial" w:eastAsia="Arial" w:hAnsi="Arial" w:cs="Arial"/>
          <w:sz w:val="22"/>
          <w:szCs w:val="22"/>
        </w:rPr>
      </w:pPr>
    </w:p>
    <w:p w14:paraId="0000001A" w14:textId="77777777" w:rsidR="00A53DAF" w:rsidRDefault="00A53DAF">
      <w:pPr>
        <w:rPr>
          <w:rFonts w:ascii="Arial" w:eastAsia="Arial" w:hAnsi="Arial" w:cs="Arial"/>
          <w:sz w:val="22"/>
          <w:szCs w:val="22"/>
        </w:rPr>
      </w:pPr>
    </w:p>
    <w:p w14:paraId="0000001B" w14:textId="77777777" w:rsidR="00A53DAF" w:rsidRDefault="00A53DAF">
      <w:pPr>
        <w:rPr>
          <w:rFonts w:ascii="Arial" w:eastAsia="Arial" w:hAnsi="Arial" w:cs="Arial"/>
          <w:sz w:val="22"/>
          <w:szCs w:val="22"/>
        </w:rPr>
      </w:pPr>
    </w:p>
    <w:p w14:paraId="0000001C" w14:textId="77777777" w:rsidR="00A53DAF" w:rsidRDefault="00A53DAF">
      <w:pPr>
        <w:rPr>
          <w:rFonts w:ascii="Arial" w:eastAsia="Arial" w:hAnsi="Arial" w:cs="Arial"/>
          <w:sz w:val="22"/>
          <w:szCs w:val="22"/>
        </w:rPr>
      </w:pPr>
    </w:p>
    <w:p w14:paraId="0000001D" w14:textId="77777777" w:rsidR="00A53DAF" w:rsidRDefault="00A53DAF">
      <w:pPr>
        <w:rPr>
          <w:rFonts w:ascii="Arial" w:eastAsia="Arial" w:hAnsi="Arial" w:cs="Arial"/>
          <w:sz w:val="22"/>
          <w:szCs w:val="22"/>
        </w:rPr>
      </w:pPr>
    </w:p>
    <w:p w14:paraId="0000001E" w14:textId="77777777" w:rsidR="00A53DAF" w:rsidRDefault="00A53DAF">
      <w:pPr>
        <w:rPr>
          <w:rFonts w:ascii="Arial" w:eastAsia="Arial" w:hAnsi="Arial" w:cs="Arial"/>
          <w:sz w:val="22"/>
          <w:szCs w:val="22"/>
        </w:rPr>
      </w:pPr>
    </w:p>
    <w:p w14:paraId="0000001F" w14:textId="77777777" w:rsidR="00A53DAF" w:rsidRDefault="00A53DAF">
      <w:pPr>
        <w:rPr>
          <w:rFonts w:ascii="Arial" w:eastAsia="Arial" w:hAnsi="Arial" w:cs="Arial"/>
          <w:sz w:val="22"/>
          <w:szCs w:val="22"/>
        </w:rPr>
      </w:pPr>
    </w:p>
    <w:p w14:paraId="00000020" w14:textId="77777777" w:rsidR="00A53DAF" w:rsidRDefault="00A53DAF">
      <w:pPr>
        <w:rPr>
          <w:rFonts w:ascii="Arial" w:eastAsia="Arial" w:hAnsi="Arial" w:cs="Arial"/>
          <w:sz w:val="22"/>
          <w:szCs w:val="22"/>
        </w:rPr>
      </w:pPr>
    </w:p>
    <w:p w14:paraId="00000021" w14:textId="77777777" w:rsidR="00A53DAF" w:rsidRDefault="00A53DAF">
      <w:pPr>
        <w:rPr>
          <w:rFonts w:ascii="Arial" w:eastAsia="Arial" w:hAnsi="Arial" w:cs="Arial"/>
          <w:sz w:val="22"/>
          <w:szCs w:val="22"/>
        </w:rPr>
      </w:pPr>
    </w:p>
    <w:p w14:paraId="00000022" w14:textId="77777777" w:rsidR="00A53DAF" w:rsidRDefault="00A53DAF">
      <w:pPr>
        <w:rPr>
          <w:rFonts w:ascii="Arial" w:eastAsia="Arial" w:hAnsi="Arial" w:cs="Arial"/>
          <w:sz w:val="22"/>
          <w:szCs w:val="22"/>
        </w:rPr>
      </w:pPr>
    </w:p>
    <w:p w14:paraId="00000023" w14:textId="77777777" w:rsidR="00A53DAF" w:rsidRDefault="00A53DAF">
      <w:pPr>
        <w:rPr>
          <w:rFonts w:ascii="Arial" w:eastAsia="Arial" w:hAnsi="Arial" w:cs="Arial"/>
          <w:sz w:val="22"/>
          <w:szCs w:val="22"/>
        </w:rPr>
      </w:pPr>
    </w:p>
    <w:p w14:paraId="00000024" w14:textId="77777777" w:rsidR="00A53DAF" w:rsidRDefault="00A53DAF">
      <w:pPr>
        <w:rPr>
          <w:rFonts w:ascii="Arial" w:eastAsia="Arial" w:hAnsi="Arial" w:cs="Arial"/>
          <w:sz w:val="22"/>
          <w:szCs w:val="22"/>
        </w:rPr>
      </w:pPr>
    </w:p>
    <w:p w14:paraId="00000025" w14:textId="77777777" w:rsidR="00A53DAF" w:rsidRDefault="00A53DAF">
      <w:pPr>
        <w:rPr>
          <w:rFonts w:ascii="Arial" w:eastAsia="Arial" w:hAnsi="Arial" w:cs="Arial"/>
          <w:sz w:val="22"/>
          <w:szCs w:val="22"/>
        </w:rPr>
      </w:pPr>
    </w:p>
    <w:p w14:paraId="00000026" w14:textId="77777777" w:rsidR="00A53DAF" w:rsidRDefault="00A53DAF">
      <w:pPr>
        <w:rPr>
          <w:rFonts w:ascii="Arial" w:eastAsia="Arial" w:hAnsi="Arial" w:cs="Arial"/>
          <w:sz w:val="22"/>
          <w:szCs w:val="22"/>
        </w:rPr>
      </w:pPr>
    </w:p>
    <w:p w14:paraId="00000027" w14:textId="77777777" w:rsidR="00A53DAF" w:rsidRDefault="00A53DAF">
      <w:pPr>
        <w:rPr>
          <w:rFonts w:ascii="Arial" w:eastAsia="Arial" w:hAnsi="Arial" w:cs="Arial"/>
          <w:sz w:val="22"/>
          <w:szCs w:val="22"/>
        </w:rPr>
      </w:pPr>
    </w:p>
    <w:p w14:paraId="00000028" w14:textId="77777777" w:rsidR="00A53DAF" w:rsidRDefault="00A53DAF">
      <w:pPr>
        <w:rPr>
          <w:rFonts w:ascii="Arial" w:eastAsia="Arial" w:hAnsi="Arial" w:cs="Arial"/>
          <w:sz w:val="22"/>
          <w:szCs w:val="22"/>
        </w:rPr>
      </w:pPr>
    </w:p>
    <w:p w14:paraId="00000029" w14:textId="77777777" w:rsidR="00A53DAF" w:rsidRDefault="00A53DAF">
      <w:pPr>
        <w:rPr>
          <w:rFonts w:ascii="Arial" w:eastAsia="Arial" w:hAnsi="Arial" w:cs="Arial"/>
          <w:sz w:val="22"/>
          <w:szCs w:val="22"/>
        </w:rPr>
      </w:pPr>
    </w:p>
    <w:p w14:paraId="0000002A" w14:textId="77777777" w:rsidR="00A53DAF" w:rsidRDefault="00A53DAF">
      <w:pPr>
        <w:rPr>
          <w:rFonts w:ascii="Arial" w:eastAsia="Arial" w:hAnsi="Arial" w:cs="Arial"/>
          <w:sz w:val="22"/>
          <w:szCs w:val="22"/>
        </w:rPr>
      </w:pPr>
    </w:p>
    <w:p w14:paraId="0000002B" w14:textId="77777777" w:rsidR="00A53DAF" w:rsidRDefault="00A53DAF">
      <w:pPr>
        <w:rPr>
          <w:rFonts w:ascii="Arial" w:eastAsia="Arial" w:hAnsi="Arial" w:cs="Arial"/>
          <w:sz w:val="22"/>
          <w:szCs w:val="22"/>
        </w:rPr>
      </w:pPr>
    </w:p>
    <w:p w14:paraId="0000002C" w14:textId="77777777" w:rsidR="00A53DAF" w:rsidRDefault="00A53DAF">
      <w:pPr>
        <w:rPr>
          <w:rFonts w:ascii="Arial" w:eastAsia="Arial" w:hAnsi="Arial" w:cs="Arial"/>
          <w:sz w:val="22"/>
          <w:szCs w:val="22"/>
        </w:rPr>
      </w:pPr>
    </w:p>
    <w:p w14:paraId="0000002D" w14:textId="77777777" w:rsidR="00A53DAF" w:rsidRDefault="00A53DAF">
      <w:pPr>
        <w:rPr>
          <w:rFonts w:ascii="Arial" w:eastAsia="Arial" w:hAnsi="Arial" w:cs="Arial"/>
          <w:sz w:val="22"/>
          <w:szCs w:val="22"/>
        </w:rPr>
      </w:pPr>
    </w:p>
    <w:p w14:paraId="0000002E" w14:textId="77777777" w:rsidR="00A53DAF" w:rsidRDefault="00A53DAF">
      <w:pPr>
        <w:rPr>
          <w:rFonts w:ascii="Arial" w:eastAsia="Arial" w:hAnsi="Arial" w:cs="Arial"/>
          <w:sz w:val="22"/>
          <w:szCs w:val="22"/>
        </w:rPr>
      </w:pPr>
    </w:p>
    <w:p w14:paraId="0000002F" w14:textId="77777777" w:rsidR="00A53DAF" w:rsidRDefault="00000000">
      <w:pPr>
        <w:rPr>
          <w:rFonts w:ascii="Arial" w:eastAsia="Arial" w:hAnsi="Arial" w:cs="Arial"/>
          <w:b/>
          <w:sz w:val="22"/>
          <w:szCs w:val="22"/>
        </w:rPr>
      </w:pPr>
      <w:r>
        <w:rPr>
          <w:rFonts w:ascii="Arial" w:eastAsia="Arial" w:hAnsi="Arial" w:cs="Arial"/>
          <w:b/>
          <w:sz w:val="22"/>
          <w:szCs w:val="22"/>
        </w:rPr>
        <w:lastRenderedPageBreak/>
        <w:t xml:space="preserve">Introduction </w:t>
      </w:r>
    </w:p>
    <w:p w14:paraId="00000030" w14:textId="77777777" w:rsidR="00A53DAF" w:rsidRDefault="00A53DAF">
      <w:pPr>
        <w:rPr>
          <w:rFonts w:ascii="Arial" w:eastAsia="Arial" w:hAnsi="Arial" w:cs="Arial"/>
          <w:sz w:val="22"/>
          <w:szCs w:val="22"/>
        </w:rPr>
      </w:pPr>
    </w:p>
    <w:p w14:paraId="00000031" w14:textId="77777777" w:rsidR="00A53DAF" w:rsidRDefault="00000000">
      <w:pPr>
        <w:rPr>
          <w:rFonts w:ascii="Arial" w:eastAsia="Arial" w:hAnsi="Arial" w:cs="Arial"/>
          <w:sz w:val="22"/>
          <w:szCs w:val="22"/>
        </w:rPr>
      </w:pPr>
      <w:r>
        <w:rPr>
          <w:rFonts w:ascii="Arial" w:eastAsia="Arial" w:hAnsi="Arial" w:cs="Arial"/>
          <w:sz w:val="22"/>
          <w:szCs w:val="22"/>
        </w:rPr>
        <w:t>The following assignment involves evaluating a critical incident witnessed in a classroom using Tripp's critical incident methodology.  According to Tripp (1993) “... a critical incident is an interpretation of the significance of an event. To take something as a critical incident is a value judgement we make, and the basis of that judgement is a significance we attach to the meaning of the incident” Tripp further describes a critical incident as not necessarily a serious or dangerous incident and could instead be interpreted as a relevant or important incident. The purpose of this was to develop my reflective practice in the classroom, and in turn, be able to improve my future practice. The methodology used originated from the understanding that incidents happen every day in the classroom, and encourages teachers to look below the surface, to look at what happened and consider, why did it happen, what does it mean, and what should be done about it, and use this for our own professional growth. In my perspective, a critical incident within the classroom context refers to an event or happening that directly impacts students' learning experiences. This incident may either enhance or disrupt the learning process in some manner. The assignment will encompass a comprehensive exploration of relevant literature on behaviour and motivation to enrich the understanding and analysis of the critical incident in question. In my perspective, a critical incident within the classroom context refers to an event or happening that directly impacts students' learning experiences. This incident may either enhance or disrupt the learning process in some manner. The assignment will encompass a comprehensive exploration of relevant literature on behaviour and motivation to enrich the understanding and analysis of the critical incident in question. (Tripp, 1993)</w:t>
      </w:r>
    </w:p>
    <w:p w14:paraId="00000032" w14:textId="77777777" w:rsidR="00A53DAF" w:rsidRDefault="00000000">
      <w:pPr>
        <w:tabs>
          <w:tab w:val="left" w:pos="948"/>
        </w:tabs>
        <w:rPr>
          <w:rFonts w:ascii="Arial" w:eastAsia="Arial" w:hAnsi="Arial" w:cs="Arial"/>
          <w:sz w:val="22"/>
          <w:szCs w:val="22"/>
        </w:rPr>
      </w:pPr>
      <w:r>
        <w:rPr>
          <w:rFonts w:ascii="Arial" w:eastAsia="Arial" w:hAnsi="Arial" w:cs="Arial"/>
          <w:sz w:val="22"/>
          <w:szCs w:val="22"/>
        </w:rPr>
        <w:tab/>
      </w:r>
    </w:p>
    <w:p w14:paraId="00000033" w14:textId="19CB163A" w:rsidR="00A53DAF" w:rsidRDefault="00000000">
      <w:pPr>
        <w:rPr>
          <w:rFonts w:ascii="Arial" w:eastAsia="Arial" w:hAnsi="Arial" w:cs="Arial"/>
          <w:sz w:val="22"/>
          <w:szCs w:val="22"/>
        </w:rPr>
      </w:pPr>
      <w:r>
        <w:rPr>
          <w:rFonts w:ascii="Arial" w:eastAsia="Arial" w:hAnsi="Arial" w:cs="Arial"/>
          <w:sz w:val="22"/>
          <w:szCs w:val="22"/>
        </w:rPr>
        <w:t xml:space="preserve">The critical incident I observed took place in a Year 4 classroom, hosting a total of 22 students.  The observed incident happened in a regular classroom in Swansea. The classroom was calm, and all the children were attentive and well-behaved, raising their hands to participate. The teacher rewarded the class with a point, showing a score of 2 – 0 on the board. Later, the teacher explained that this was a daily classroom game. If the students were engaged and ready to learn, they earned a point. If not, the teacher earned a point. At the end of each day, if the class had the most points, every student received a dojo point </w:t>
      </w:r>
      <w:r w:rsidR="00181702">
        <w:rPr>
          <w:rFonts w:ascii="Arial" w:eastAsia="Arial" w:hAnsi="Arial" w:cs="Arial"/>
          <w:sz w:val="22"/>
          <w:szCs w:val="22"/>
        </w:rPr>
        <w:t xml:space="preserve">via the digital platform ClassDojo </w:t>
      </w:r>
      <w:r>
        <w:rPr>
          <w:rFonts w:ascii="Arial" w:eastAsia="Arial" w:hAnsi="Arial" w:cs="Arial"/>
          <w:sz w:val="22"/>
          <w:szCs w:val="22"/>
        </w:rPr>
        <w:t xml:space="preserve">as a reward. </w:t>
      </w:r>
    </w:p>
    <w:p w14:paraId="00000034" w14:textId="77777777" w:rsidR="00A53DAF" w:rsidRDefault="00A53DAF">
      <w:pPr>
        <w:tabs>
          <w:tab w:val="left" w:pos="948"/>
        </w:tabs>
        <w:rPr>
          <w:rFonts w:ascii="Arial" w:eastAsia="Arial" w:hAnsi="Arial" w:cs="Arial"/>
          <w:sz w:val="22"/>
          <w:szCs w:val="22"/>
        </w:rPr>
      </w:pPr>
    </w:p>
    <w:p w14:paraId="00000035" w14:textId="77777777" w:rsidR="00A53DAF" w:rsidRDefault="00A53DAF">
      <w:pPr>
        <w:rPr>
          <w:rFonts w:ascii="Arial" w:eastAsia="Arial" w:hAnsi="Arial" w:cs="Arial"/>
          <w:sz w:val="22"/>
          <w:szCs w:val="22"/>
        </w:rPr>
      </w:pPr>
    </w:p>
    <w:p w14:paraId="00000036" w14:textId="77777777" w:rsidR="00A53DAF" w:rsidRDefault="00000000">
      <w:pPr>
        <w:rPr>
          <w:rFonts w:ascii="Arial" w:eastAsia="Arial" w:hAnsi="Arial" w:cs="Arial"/>
          <w:b/>
          <w:sz w:val="22"/>
          <w:szCs w:val="22"/>
        </w:rPr>
      </w:pPr>
      <w:r>
        <w:rPr>
          <w:rFonts w:ascii="Arial" w:eastAsia="Arial" w:hAnsi="Arial" w:cs="Arial"/>
          <w:b/>
          <w:sz w:val="22"/>
          <w:szCs w:val="22"/>
        </w:rPr>
        <w:t>Role of critical reflection</w:t>
      </w:r>
    </w:p>
    <w:p w14:paraId="00000037" w14:textId="77777777" w:rsidR="00A53DAF" w:rsidRDefault="00A53DAF">
      <w:pPr>
        <w:rPr>
          <w:rFonts w:ascii="Arial" w:eastAsia="Arial" w:hAnsi="Arial" w:cs="Arial"/>
          <w:sz w:val="22"/>
          <w:szCs w:val="22"/>
        </w:rPr>
      </w:pPr>
    </w:p>
    <w:p w14:paraId="00000038" w14:textId="77777777" w:rsidR="00A53DAF" w:rsidRDefault="00000000">
      <w:pPr>
        <w:rPr>
          <w:rFonts w:ascii="Arial" w:eastAsia="Arial" w:hAnsi="Arial" w:cs="Arial"/>
          <w:sz w:val="22"/>
          <w:szCs w:val="22"/>
        </w:rPr>
      </w:pPr>
      <w:r>
        <w:rPr>
          <w:rFonts w:ascii="Arial" w:eastAsia="Arial" w:hAnsi="Arial" w:cs="Arial"/>
          <w:sz w:val="22"/>
          <w:szCs w:val="22"/>
        </w:rPr>
        <w:t>To understand the role of Reflective practice, which is embedded in teacher professional standards, we can examine literature beginning over a century ago. Dewey, (1933) stated “active, persistent, and careful consideration of any belief or supposed form of knowledge in the light of the grounds that support it, and the further conclusions to which it tends, constitute reflective thought”. Dewey emphasised the importance of experience in learning and believed that learning should be rooted in real-life experiences. He argued that meaningful learning occurs through active engagement with experiences, reflection on those experiences, and the application of insights gained from reflection to future actions. (Dewey, 1933)</w:t>
      </w:r>
    </w:p>
    <w:p w14:paraId="00000039" w14:textId="77777777" w:rsidR="00A53DAF" w:rsidRDefault="00A53DAF">
      <w:pPr>
        <w:rPr>
          <w:rFonts w:ascii="Arial" w:eastAsia="Arial" w:hAnsi="Arial" w:cs="Arial"/>
          <w:sz w:val="22"/>
          <w:szCs w:val="22"/>
        </w:rPr>
      </w:pPr>
    </w:p>
    <w:p w14:paraId="0000003A" w14:textId="77777777" w:rsidR="00A53DAF" w:rsidRDefault="00000000">
      <w:pPr>
        <w:rPr>
          <w:rFonts w:ascii="Arial" w:eastAsia="Arial" w:hAnsi="Arial" w:cs="Arial"/>
          <w:sz w:val="22"/>
          <w:szCs w:val="22"/>
        </w:rPr>
      </w:pPr>
      <w:r>
        <w:rPr>
          <w:rFonts w:ascii="Arial" w:eastAsia="Arial" w:hAnsi="Arial" w:cs="Arial"/>
          <w:sz w:val="22"/>
          <w:szCs w:val="22"/>
        </w:rPr>
        <w:t>Schön, (1983) introduced the idea of Reflection in action and reflection on action as crucial processes for professionals to enhance their practice and improve problem-solving skills.</w:t>
      </w:r>
    </w:p>
    <w:p w14:paraId="0000003B" w14:textId="77777777" w:rsidR="00A53DAF" w:rsidRDefault="00000000">
      <w:pPr>
        <w:rPr>
          <w:rFonts w:ascii="Arial" w:eastAsia="Arial" w:hAnsi="Arial" w:cs="Arial"/>
          <w:sz w:val="22"/>
          <w:szCs w:val="22"/>
        </w:rPr>
      </w:pPr>
      <w:r>
        <w:rPr>
          <w:rFonts w:ascii="Arial" w:eastAsia="Arial" w:hAnsi="Arial" w:cs="Arial"/>
          <w:sz w:val="22"/>
          <w:szCs w:val="22"/>
        </w:rPr>
        <w:t xml:space="preserve">This concept is particularly relevant in fields such as education, architecture, and management. Reflection in action, this occurs during the process of doing something or engaging in an activity. It involves thinking on your feet, adapting to situations, and </w:t>
      </w:r>
      <w:proofErr w:type="gramStart"/>
      <w:r>
        <w:rPr>
          <w:rFonts w:ascii="Arial" w:eastAsia="Arial" w:hAnsi="Arial" w:cs="Arial"/>
          <w:sz w:val="22"/>
          <w:szCs w:val="22"/>
        </w:rPr>
        <w:t>making adjustments</w:t>
      </w:r>
      <w:proofErr w:type="gramEnd"/>
      <w:r>
        <w:rPr>
          <w:rFonts w:ascii="Arial" w:eastAsia="Arial" w:hAnsi="Arial" w:cs="Arial"/>
          <w:sz w:val="22"/>
          <w:szCs w:val="22"/>
        </w:rPr>
        <w:t xml:space="preserve"> based on real-time feedback and experiences. Reflection on action, this occurs after an activity or experience. It involves looking back on the experience, analysing what happened, and identifying what could have been done differently or better. This type of </w:t>
      </w:r>
      <w:r>
        <w:rPr>
          <w:rFonts w:ascii="Arial" w:eastAsia="Arial" w:hAnsi="Arial" w:cs="Arial"/>
          <w:sz w:val="22"/>
          <w:szCs w:val="22"/>
        </w:rPr>
        <w:lastRenderedPageBreak/>
        <w:t>reflection helps to improve future actions and decision-making. Schon, (1983) emphasised that professionals often face "wicked problems" or complex, ill-defined issues that don't have straightforward solutions. Reflective practice allows professionals to develop a deeper understanding of these problems, refine their skills, and continuously improve their approach to handling similar situations in the future. (Schön, 1983)</w:t>
      </w:r>
    </w:p>
    <w:p w14:paraId="0000003C" w14:textId="77777777" w:rsidR="00A53DAF" w:rsidRDefault="00000000">
      <w:pPr>
        <w:rPr>
          <w:rFonts w:ascii="Arial" w:eastAsia="Arial" w:hAnsi="Arial" w:cs="Arial"/>
          <w:sz w:val="22"/>
          <w:szCs w:val="22"/>
        </w:rPr>
      </w:pPr>
      <w:r>
        <w:rPr>
          <w:rFonts w:ascii="Arial" w:eastAsia="Arial" w:hAnsi="Arial" w:cs="Arial"/>
          <w:sz w:val="22"/>
          <w:szCs w:val="22"/>
        </w:rPr>
        <w:t> </w:t>
      </w:r>
    </w:p>
    <w:p w14:paraId="0000003D" w14:textId="77777777" w:rsidR="00A53DAF" w:rsidRDefault="00000000">
      <w:pPr>
        <w:rPr>
          <w:rFonts w:ascii="Arial" w:eastAsia="Arial" w:hAnsi="Arial" w:cs="Arial"/>
          <w:sz w:val="22"/>
          <w:szCs w:val="22"/>
        </w:rPr>
      </w:pPr>
      <w:r>
        <w:rPr>
          <w:rFonts w:ascii="Arial" w:eastAsia="Arial" w:hAnsi="Arial" w:cs="Arial"/>
          <w:sz w:val="22"/>
          <w:szCs w:val="22"/>
        </w:rPr>
        <w:t>Following this only a year later Kolb, (1984) introduced his learning cycle which has 4 stages which emphasise the iterative and continuous nature of the learning process Kolb's learning cycle, also known as the experiential learning cycle stage 1 Concrete Experience (CE), This is the stage where the learner actively experiences an event or activity. It's about doing or having a specific experience. Stage 2, Reflective Observation (RO), After the concrete experience, the learner reflects on what happened during the experience. They consider what went well, what didn't, and how they felt about the experience. Stage 3, Abstract Conceptualization (AC), In this stage, the learner tries to make sense of the experience by creating generalisations and theories. They attempt to understand the experience by integrating it with existing knowledge and concepts. Stage 4, Active Experimentation (AE), Based on the reflections and concepts developed, the learner applies these new ideas to guide future actions. They plan and experiment with new approaches and strategies for future experiences. The cycle is not strictly linear, and individuals may enter the cycle at different stages and progress through it. In various ways. Kolb's model emphasises the importance of actively engaging with experiences, reflecting on them, creating concepts and theories, and then applying what has been learned to future experiences. This cycle continues as individuals accumulate knowledge and skills through their learning journey. (Kolb, 1984)</w:t>
      </w:r>
    </w:p>
    <w:p w14:paraId="0000003E" w14:textId="77777777" w:rsidR="00A53DAF" w:rsidRDefault="00000000">
      <w:pPr>
        <w:rPr>
          <w:rFonts w:ascii="Arial" w:eastAsia="Arial" w:hAnsi="Arial" w:cs="Arial"/>
          <w:sz w:val="22"/>
          <w:szCs w:val="22"/>
        </w:rPr>
      </w:pPr>
      <w:r>
        <w:rPr>
          <w:rFonts w:ascii="Arial" w:eastAsia="Arial" w:hAnsi="Arial" w:cs="Arial"/>
          <w:sz w:val="22"/>
          <w:szCs w:val="22"/>
        </w:rPr>
        <w:t> </w:t>
      </w:r>
    </w:p>
    <w:p w14:paraId="0000003F" w14:textId="77777777" w:rsidR="00A53DAF" w:rsidRDefault="00000000">
      <w:pPr>
        <w:rPr>
          <w:rFonts w:ascii="Arial" w:eastAsia="Arial" w:hAnsi="Arial" w:cs="Arial"/>
          <w:sz w:val="22"/>
          <w:szCs w:val="22"/>
        </w:rPr>
      </w:pPr>
      <w:r>
        <w:rPr>
          <w:rFonts w:ascii="Arial" w:eastAsia="Arial" w:hAnsi="Arial" w:cs="Arial"/>
          <w:sz w:val="22"/>
          <w:szCs w:val="22"/>
        </w:rPr>
        <w:t> </w:t>
      </w:r>
    </w:p>
    <w:p w14:paraId="00000040" w14:textId="77777777" w:rsidR="00A53DAF" w:rsidRDefault="00000000">
      <w:pPr>
        <w:rPr>
          <w:rFonts w:ascii="Arial" w:eastAsia="Arial" w:hAnsi="Arial" w:cs="Arial"/>
          <w:b/>
          <w:sz w:val="22"/>
          <w:szCs w:val="22"/>
        </w:rPr>
      </w:pPr>
      <w:r>
        <w:rPr>
          <w:rFonts w:ascii="Arial" w:eastAsia="Arial" w:hAnsi="Arial" w:cs="Arial"/>
          <w:b/>
          <w:sz w:val="22"/>
          <w:szCs w:val="22"/>
        </w:rPr>
        <w:t>Critical incident and school context</w:t>
      </w:r>
    </w:p>
    <w:p w14:paraId="00000041" w14:textId="77777777" w:rsidR="00A53DAF" w:rsidRDefault="00A53DAF">
      <w:pPr>
        <w:rPr>
          <w:rFonts w:ascii="Arial" w:eastAsia="Arial" w:hAnsi="Arial" w:cs="Arial"/>
          <w:sz w:val="22"/>
          <w:szCs w:val="22"/>
          <w:highlight w:val="yellow"/>
        </w:rPr>
      </w:pPr>
    </w:p>
    <w:p w14:paraId="00000042" w14:textId="77777777" w:rsidR="00A53DAF" w:rsidRDefault="00000000">
      <w:pPr>
        <w:rPr>
          <w:rFonts w:ascii="Arial" w:eastAsia="Arial" w:hAnsi="Arial" w:cs="Arial"/>
          <w:sz w:val="22"/>
          <w:szCs w:val="22"/>
        </w:rPr>
      </w:pPr>
      <w:r>
        <w:rPr>
          <w:rFonts w:ascii="Arial" w:eastAsia="Arial" w:hAnsi="Arial" w:cs="Arial"/>
          <w:sz w:val="22"/>
          <w:szCs w:val="22"/>
        </w:rPr>
        <w:t xml:space="preserve">The observed critical incident took place in an English medium, a mainstream primary school based in the Swansea local authority, the school has 435 pupils on roll, and 307 pupils od statutory school age. 12.4% of these are identified as having additional learning needs, this is below average as the national average percentage of pupils identified as having an additional learning need in primary is 16.1%. Also 10.7% of pupils with English as an additional language, and 29% of pupils eligible for free school meals over a </w:t>
      </w:r>
      <w:proofErr w:type="gramStart"/>
      <w:r>
        <w:rPr>
          <w:rFonts w:ascii="Arial" w:eastAsia="Arial" w:hAnsi="Arial" w:cs="Arial"/>
          <w:sz w:val="22"/>
          <w:szCs w:val="22"/>
        </w:rPr>
        <w:t>three year</w:t>
      </w:r>
      <w:proofErr w:type="gramEnd"/>
      <w:r>
        <w:rPr>
          <w:rFonts w:ascii="Arial" w:eastAsia="Arial" w:hAnsi="Arial" w:cs="Arial"/>
          <w:sz w:val="22"/>
          <w:szCs w:val="22"/>
        </w:rPr>
        <w:t xml:space="preserve"> average, this is above average with the national percentage of pupils eligible for free school meals over a three-year average in primary schools being 23% (Estyn, 2023). </w:t>
      </w:r>
    </w:p>
    <w:p w14:paraId="00000043" w14:textId="77777777" w:rsidR="00A53DAF" w:rsidRDefault="00A53DAF">
      <w:pPr>
        <w:rPr>
          <w:rFonts w:ascii="Arial" w:eastAsia="Arial" w:hAnsi="Arial" w:cs="Arial"/>
          <w:sz w:val="22"/>
          <w:szCs w:val="22"/>
        </w:rPr>
      </w:pPr>
    </w:p>
    <w:p w14:paraId="00000044" w14:textId="77777777" w:rsidR="00A53DAF" w:rsidRDefault="00000000">
      <w:pPr>
        <w:rPr>
          <w:rFonts w:ascii="Arial" w:eastAsia="Arial" w:hAnsi="Arial" w:cs="Arial"/>
          <w:sz w:val="22"/>
          <w:szCs w:val="22"/>
        </w:rPr>
      </w:pPr>
      <w:r>
        <w:rPr>
          <w:rFonts w:ascii="Arial" w:eastAsia="Arial" w:hAnsi="Arial" w:cs="Arial"/>
          <w:sz w:val="22"/>
          <w:szCs w:val="22"/>
        </w:rPr>
        <w:t>This school follows the curriculum for Wales which is a new curriculum in Wales which is a part of the curriculum and Assessment (Wales) Act 2021. The framework's emphasis is on learners' progression, according to this the curriculum's four purposes should be the starting point and aspiration for schools’ curriculum design (Welsh Government, 2020). The four purposes are ambitious, capable learners ready to learn throughout their lives. Enterprising, creative contributors, ready to lead fulfilling lives as valued members of society. Ethical, informed citizens of Wales and the world. Healthy confident individuals ready to lead fulfilling lives as valued members of society. (Donaldson, 2021)</w:t>
      </w:r>
    </w:p>
    <w:p w14:paraId="00000045" w14:textId="77777777" w:rsidR="00A53DAF" w:rsidRDefault="00A53DAF">
      <w:pPr>
        <w:rPr>
          <w:rFonts w:ascii="Arial" w:eastAsia="Arial" w:hAnsi="Arial" w:cs="Arial"/>
          <w:sz w:val="22"/>
          <w:szCs w:val="22"/>
        </w:rPr>
      </w:pPr>
    </w:p>
    <w:p w14:paraId="00000046" w14:textId="77777777" w:rsidR="00A53DAF" w:rsidRDefault="00000000">
      <w:pPr>
        <w:rPr>
          <w:rFonts w:ascii="Arial" w:eastAsia="Arial" w:hAnsi="Arial" w:cs="Arial"/>
          <w:b/>
          <w:sz w:val="22"/>
          <w:szCs w:val="22"/>
        </w:rPr>
      </w:pPr>
      <w:r>
        <w:rPr>
          <w:rFonts w:ascii="Arial" w:eastAsia="Arial" w:hAnsi="Arial" w:cs="Arial"/>
          <w:b/>
          <w:sz w:val="22"/>
          <w:szCs w:val="22"/>
        </w:rPr>
        <w:t>Links to Donaldson’s four purposes.</w:t>
      </w:r>
    </w:p>
    <w:p w14:paraId="00000047" w14:textId="77777777" w:rsidR="00A53DAF" w:rsidRDefault="00A53DAF">
      <w:pPr>
        <w:rPr>
          <w:rFonts w:ascii="Arial" w:eastAsia="Arial" w:hAnsi="Arial" w:cs="Arial"/>
          <w:sz w:val="22"/>
          <w:szCs w:val="22"/>
        </w:rPr>
      </w:pPr>
    </w:p>
    <w:p w14:paraId="00000048" w14:textId="77777777" w:rsidR="00A53DAF" w:rsidRDefault="00000000">
      <w:pPr>
        <w:rPr>
          <w:rFonts w:ascii="Arial" w:eastAsia="Arial" w:hAnsi="Arial" w:cs="Arial"/>
          <w:sz w:val="22"/>
          <w:szCs w:val="22"/>
        </w:rPr>
      </w:pPr>
      <w:r>
        <w:rPr>
          <w:rFonts w:ascii="Arial" w:eastAsia="Arial" w:hAnsi="Arial" w:cs="Arial"/>
          <w:sz w:val="22"/>
          <w:szCs w:val="22"/>
        </w:rPr>
        <w:t>The "Curriculum for Wales 2022" is designed around the "Four Purposes," written by Donaldson, (2021) which are the overarching goals of education in Wales. These purposes are intended to guide teaching and learning to ensure that young people become, Ambitious, capable learners, Ethical, informed citizens, Healthy, confident individuals, Enterprising, creative contributors (Donaldson, 2021)</w:t>
      </w:r>
    </w:p>
    <w:p w14:paraId="00000049" w14:textId="77777777" w:rsidR="00A53DAF" w:rsidRDefault="00A53DAF">
      <w:pPr>
        <w:rPr>
          <w:rFonts w:ascii="Arial" w:eastAsia="Arial" w:hAnsi="Arial" w:cs="Arial"/>
          <w:sz w:val="22"/>
          <w:szCs w:val="22"/>
        </w:rPr>
      </w:pPr>
    </w:p>
    <w:p w14:paraId="0000004A" w14:textId="77777777" w:rsidR="00A53DAF" w:rsidRDefault="00000000">
      <w:pPr>
        <w:rPr>
          <w:rFonts w:ascii="Arial" w:eastAsia="Arial" w:hAnsi="Arial" w:cs="Arial"/>
          <w:sz w:val="22"/>
          <w:szCs w:val="22"/>
        </w:rPr>
      </w:pPr>
      <w:r>
        <w:rPr>
          <w:rFonts w:ascii="Arial" w:eastAsia="Arial" w:hAnsi="Arial" w:cs="Arial"/>
          <w:sz w:val="22"/>
          <w:szCs w:val="22"/>
        </w:rPr>
        <w:lastRenderedPageBreak/>
        <w:t xml:space="preserve">Rewarding good behaviour in the context of the Curriculum for Wales aligns with these purposes in the following ways: </w:t>
      </w:r>
    </w:p>
    <w:p w14:paraId="0000004B" w14:textId="77777777" w:rsidR="00A53DAF" w:rsidRDefault="00000000">
      <w:pPr>
        <w:rPr>
          <w:rFonts w:ascii="Arial" w:eastAsia="Arial" w:hAnsi="Arial" w:cs="Arial"/>
          <w:sz w:val="22"/>
          <w:szCs w:val="22"/>
        </w:rPr>
      </w:pPr>
      <w:r>
        <w:rPr>
          <w:rFonts w:ascii="Arial" w:eastAsia="Arial" w:hAnsi="Arial" w:cs="Arial"/>
          <w:sz w:val="22"/>
          <w:szCs w:val="22"/>
        </w:rPr>
        <w:t xml:space="preserve">Ambitious, capable learners: By rewarding good behaviour, you promote a positive learning environment that encourages students to strive for success and become ambitious in their academic and personal pursuits. Reinforcing good behaviour helps learners develop self-discipline, responsibility, and other essential skills needed for effective learning and future success. </w:t>
      </w:r>
    </w:p>
    <w:p w14:paraId="0000004C" w14:textId="77777777" w:rsidR="00A53DAF" w:rsidRDefault="00000000">
      <w:pPr>
        <w:rPr>
          <w:rFonts w:ascii="Arial" w:eastAsia="Arial" w:hAnsi="Arial" w:cs="Arial"/>
          <w:sz w:val="22"/>
          <w:szCs w:val="22"/>
        </w:rPr>
      </w:pPr>
      <w:r>
        <w:rPr>
          <w:rFonts w:ascii="Arial" w:eastAsia="Arial" w:hAnsi="Arial" w:cs="Arial"/>
          <w:sz w:val="22"/>
          <w:szCs w:val="22"/>
        </w:rPr>
        <w:t xml:space="preserve">Ethical, informed citizens: Rewarding good behaviour encourages students to develop ethical values and behaviours, such as respect, kindness, and responsibility. Students learn the importance of following rules, treating others with respect, and contributing positively to their communities, aligning with the goals of informed and ethical citizenship. </w:t>
      </w:r>
    </w:p>
    <w:p w14:paraId="0000004D" w14:textId="77777777" w:rsidR="00A53DAF" w:rsidRDefault="00000000">
      <w:pPr>
        <w:rPr>
          <w:rFonts w:ascii="Arial" w:eastAsia="Arial" w:hAnsi="Arial" w:cs="Arial"/>
          <w:sz w:val="22"/>
          <w:szCs w:val="22"/>
        </w:rPr>
      </w:pPr>
      <w:r>
        <w:rPr>
          <w:rFonts w:ascii="Arial" w:eastAsia="Arial" w:hAnsi="Arial" w:cs="Arial"/>
          <w:sz w:val="22"/>
          <w:szCs w:val="22"/>
        </w:rPr>
        <w:t xml:space="preserve">Healthy, confident individuals Recognizing and rewarding good behaviour fosters a sense of accomplishment and boosts students' self-esteem and confidence. Promoting good behaviour supports positive mental and emotional well-being, contributing to a healthy and confident sense of self. </w:t>
      </w:r>
    </w:p>
    <w:p w14:paraId="0000004E" w14:textId="77777777" w:rsidR="00A53DAF" w:rsidRDefault="00000000">
      <w:pPr>
        <w:rPr>
          <w:rFonts w:ascii="Arial" w:eastAsia="Arial" w:hAnsi="Arial" w:cs="Arial"/>
          <w:sz w:val="22"/>
          <w:szCs w:val="22"/>
        </w:rPr>
      </w:pPr>
      <w:r>
        <w:rPr>
          <w:rFonts w:ascii="Arial" w:eastAsia="Arial" w:hAnsi="Arial" w:cs="Arial"/>
          <w:sz w:val="22"/>
          <w:szCs w:val="22"/>
        </w:rPr>
        <w:t>Enterprising, creative contributors, rewarding positive behaviour encourage students to develop enterprising qualities, such as teamwork, collaboration, and adaptability. These qualities are essential for contributing effectively in various social and professional settings, aligning with the goal of creating creative and enterprising contributors to society. (Donaldson, 2021)</w:t>
      </w:r>
    </w:p>
    <w:p w14:paraId="0000004F" w14:textId="77777777" w:rsidR="00A53DAF" w:rsidRDefault="00A53DAF">
      <w:pPr>
        <w:rPr>
          <w:rFonts w:ascii="Arial" w:eastAsia="Arial" w:hAnsi="Arial" w:cs="Arial"/>
          <w:sz w:val="22"/>
          <w:szCs w:val="22"/>
          <w:highlight w:val="yellow"/>
        </w:rPr>
      </w:pPr>
    </w:p>
    <w:p w14:paraId="00000050" w14:textId="77777777" w:rsidR="00A53DAF" w:rsidRDefault="00A53DAF">
      <w:pPr>
        <w:rPr>
          <w:rFonts w:ascii="Arial" w:eastAsia="Arial" w:hAnsi="Arial" w:cs="Arial"/>
          <w:sz w:val="22"/>
          <w:szCs w:val="22"/>
        </w:rPr>
      </w:pPr>
    </w:p>
    <w:p w14:paraId="00000051" w14:textId="77777777" w:rsidR="00A53DAF" w:rsidRDefault="00000000">
      <w:pPr>
        <w:rPr>
          <w:rFonts w:ascii="Arial" w:eastAsia="Arial" w:hAnsi="Arial" w:cs="Arial"/>
          <w:b/>
          <w:sz w:val="22"/>
          <w:szCs w:val="22"/>
        </w:rPr>
      </w:pPr>
      <w:r>
        <w:rPr>
          <w:rFonts w:ascii="Arial" w:eastAsia="Arial" w:hAnsi="Arial" w:cs="Arial"/>
          <w:b/>
          <w:sz w:val="22"/>
          <w:szCs w:val="22"/>
        </w:rPr>
        <w:t xml:space="preserve">Overview of relevant literature. </w:t>
      </w:r>
    </w:p>
    <w:p w14:paraId="00000052" w14:textId="77777777" w:rsidR="00A53DAF" w:rsidRDefault="00A53DAF">
      <w:pPr>
        <w:rPr>
          <w:rFonts w:ascii="Arial" w:eastAsia="Arial" w:hAnsi="Arial" w:cs="Arial"/>
          <w:sz w:val="22"/>
          <w:szCs w:val="22"/>
        </w:rPr>
      </w:pPr>
    </w:p>
    <w:p w14:paraId="00000053" w14:textId="77777777" w:rsidR="00A53DAF" w:rsidRDefault="00000000">
      <w:pPr>
        <w:rPr>
          <w:rFonts w:ascii="Arial" w:eastAsia="Arial" w:hAnsi="Arial" w:cs="Arial"/>
          <w:sz w:val="22"/>
          <w:szCs w:val="22"/>
        </w:rPr>
      </w:pPr>
      <w:r>
        <w:rPr>
          <w:rFonts w:ascii="Arial" w:eastAsia="Arial" w:hAnsi="Arial" w:cs="Arial"/>
          <w:sz w:val="22"/>
          <w:szCs w:val="22"/>
        </w:rPr>
        <w:t xml:space="preserve">The observed critical incident highlighted some key areas that could be linked and discussed within the review of literature. The following review will focus on theories around behaviour. </w:t>
      </w:r>
    </w:p>
    <w:p w14:paraId="00000054" w14:textId="77777777" w:rsidR="00A53DAF" w:rsidRDefault="00A53DAF">
      <w:pPr>
        <w:rPr>
          <w:rFonts w:ascii="Arial" w:eastAsia="Arial" w:hAnsi="Arial" w:cs="Arial"/>
          <w:sz w:val="22"/>
          <w:szCs w:val="22"/>
        </w:rPr>
      </w:pPr>
    </w:p>
    <w:p w14:paraId="00000055" w14:textId="77777777" w:rsidR="00A53DAF" w:rsidRDefault="00000000">
      <w:pPr>
        <w:rPr>
          <w:rFonts w:ascii="Arial" w:eastAsia="Arial" w:hAnsi="Arial" w:cs="Arial"/>
          <w:sz w:val="22"/>
          <w:szCs w:val="22"/>
        </w:rPr>
      </w:pPr>
      <w:r>
        <w:rPr>
          <w:rFonts w:ascii="Arial" w:eastAsia="Arial" w:hAnsi="Arial" w:cs="Arial"/>
          <w:sz w:val="22"/>
          <w:szCs w:val="22"/>
        </w:rPr>
        <w:t>Ivan Pavlov, a Russian psychologist, wrote about a concept called Classical conditioning which he wrote following detailed experiments on dogs, published in 1897. His theory involves the process of learning associations between stimuli and responses. In his experiments with dogs, Pavlov paired a neutral stimulus with a conditioned stimulus, resulting in the neutral stimulus becoming a conditioned stimulus that triggered a conditional response. This demonstrated how organisms can learn to anticipate events based on the pairing of stimuli (Ivan Petrovich Pavlov and Anrep, 2003). Classical conditioning, a fundamental concept in psychology, explains how environmental cues shape behaviours through learned associations. (Gray and MacBlain, 2015)</w:t>
      </w:r>
    </w:p>
    <w:p w14:paraId="00000056" w14:textId="77777777" w:rsidR="00A53DAF" w:rsidRDefault="00A53DAF">
      <w:pPr>
        <w:rPr>
          <w:rFonts w:ascii="Arial" w:eastAsia="Arial" w:hAnsi="Arial" w:cs="Arial"/>
          <w:sz w:val="22"/>
          <w:szCs w:val="22"/>
        </w:rPr>
      </w:pPr>
    </w:p>
    <w:p w14:paraId="00000057" w14:textId="77777777" w:rsidR="00A53DAF" w:rsidRDefault="00000000">
      <w:pPr>
        <w:rPr>
          <w:rFonts w:ascii="Arial" w:eastAsia="Arial" w:hAnsi="Arial" w:cs="Arial"/>
          <w:sz w:val="22"/>
          <w:szCs w:val="22"/>
        </w:rPr>
      </w:pPr>
      <w:r>
        <w:rPr>
          <w:rFonts w:ascii="Arial" w:eastAsia="Arial" w:hAnsi="Arial" w:cs="Arial"/>
          <w:sz w:val="22"/>
          <w:szCs w:val="22"/>
        </w:rPr>
        <w:t>The observed critical incident can be analysed through the lens of classical conditioning (Ivan Petrovich Pavlov and Anrep, 2003, the stimuli is winning a point, earning virtual points on platforms like ClassDojo, These stimuli serve as triggers for the desired behaviour, namely sitting quietly or adhering to expected conduct, Over time, through consistent reinforcement and the formation of associative links, children acquire the understanding that displaying these desired behaviours (responses) in the presence of the specified stimuli (winning a point, earning virtual points) leads to a favourable outcome. As this association becomes more entrenched and automatic, children are conditioned to associate certain stimuli, such as receiving points, with the manifestation of the desired behaviour, reinforcing their inclination to conform to the expected conduct. (Gray and MacBlain, 2015)</w:t>
      </w:r>
    </w:p>
    <w:p w14:paraId="00000058" w14:textId="77777777" w:rsidR="00A53DAF" w:rsidRDefault="00000000">
      <w:pPr>
        <w:rPr>
          <w:rFonts w:ascii="Arial" w:eastAsia="Arial" w:hAnsi="Arial" w:cs="Arial"/>
          <w:sz w:val="22"/>
          <w:szCs w:val="22"/>
        </w:rPr>
      </w:pPr>
      <w:r>
        <w:rPr>
          <w:rFonts w:ascii="Arial" w:eastAsia="Arial" w:hAnsi="Arial" w:cs="Arial"/>
          <w:sz w:val="22"/>
          <w:szCs w:val="22"/>
        </w:rPr>
        <w:t> </w:t>
      </w:r>
    </w:p>
    <w:p w14:paraId="00000059" w14:textId="3C08325B" w:rsidR="00A53DAF" w:rsidRDefault="00000000">
      <w:pPr>
        <w:rPr>
          <w:rFonts w:ascii="Arial" w:eastAsia="Arial" w:hAnsi="Arial" w:cs="Arial"/>
          <w:sz w:val="22"/>
          <w:szCs w:val="22"/>
        </w:rPr>
      </w:pPr>
      <w:r>
        <w:rPr>
          <w:rFonts w:ascii="Arial" w:eastAsia="Arial" w:hAnsi="Arial" w:cs="Arial"/>
          <w:sz w:val="22"/>
          <w:szCs w:val="22"/>
        </w:rPr>
        <w:t xml:space="preserve">This theory was supported by that of (Skinner, 1988), who derived a theory of Operant conditioning which is a fundamental concept in the field of psychology, it delves into the understanding of how behaviour is shaped and maintained through reinforcement or punishment (Gray and MacBlain, 2015). Conducted pioneering research on operant conditioning using his </w:t>
      </w:r>
      <w:r w:rsidR="00181702">
        <w:rPr>
          <w:rFonts w:ascii="Arial" w:eastAsia="Arial" w:hAnsi="Arial" w:cs="Arial"/>
          <w:sz w:val="22"/>
          <w:szCs w:val="22"/>
        </w:rPr>
        <w:t>S</w:t>
      </w:r>
      <w:r>
        <w:rPr>
          <w:rFonts w:ascii="Arial" w:eastAsia="Arial" w:hAnsi="Arial" w:cs="Arial"/>
          <w:sz w:val="22"/>
          <w:szCs w:val="22"/>
        </w:rPr>
        <w:t xml:space="preserve">kinner box, which was a controlled environment for studying the </w:t>
      </w:r>
      <w:r>
        <w:rPr>
          <w:rFonts w:ascii="Arial" w:eastAsia="Arial" w:hAnsi="Arial" w:cs="Arial"/>
          <w:sz w:val="22"/>
          <w:szCs w:val="22"/>
        </w:rPr>
        <w:lastRenderedPageBreak/>
        <w:t>behaviour of animals, he demonstrated how animals, like rats and pigeons, could be trained to perform specific behaviours in response to certain stimuli. (Skinner, 1988)</w:t>
      </w:r>
    </w:p>
    <w:p w14:paraId="0000005A" w14:textId="77777777" w:rsidR="00A53DAF" w:rsidRDefault="00A53DAF">
      <w:pPr>
        <w:rPr>
          <w:rFonts w:ascii="Arial" w:eastAsia="Arial" w:hAnsi="Arial" w:cs="Arial"/>
          <w:sz w:val="22"/>
          <w:szCs w:val="22"/>
        </w:rPr>
      </w:pPr>
    </w:p>
    <w:p w14:paraId="0000005B" w14:textId="6DB5A8E3" w:rsidR="00A53DAF" w:rsidRDefault="00000000">
      <w:pPr>
        <w:rPr>
          <w:rFonts w:ascii="Arial" w:eastAsia="Arial" w:hAnsi="Arial" w:cs="Arial"/>
          <w:sz w:val="22"/>
          <w:szCs w:val="22"/>
        </w:rPr>
      </w:pPr>
      <w:r>
        <w:rPr>
          <w:rFonts w:ascii="Arial" w:eastAsia="Arial" w:hAnsi="Arial" w:cs="Arial"/>
          <w:sz w:val="22"/>
          <w:szCs w:val="22"/>
        </w:rPr>
        <w:t xml:space="preserve">Positive reinforcement is described by (Skinner, 1988) in his theory of operant conditioning. In his explanation, a behaviour is strengthened by a reward or positive outcome, leading to the repetition of desired behaviour, the reward is a reinforcing stimulus (Skinner, 1988). He demonstrated through experiment, particularly using the skinner box, how positive reinforcement influences the rate and pattern of behaviour (Skinner, 1988). Negative reinforcement is the other concept described by Skinner in his theory of operant conditioning (Skinner, 1988). In his explanation it involves removal or avoidance of unpleasant stimuli after a desired behaviour occurs, leading to the repetition of desired behaviour. Negative reinforcement should not be confused with punishment, negative reinforcement is the removal of unpleasant stimulus, punishment involves introducing an unpleasant stimulus (Skinner, 1988). This was also demonstrated through experiments, again particularly </w:t>
      </w:r>
      <w:r w:rsidR="00181702">
        <w:rPr>
          <w:rFonts w:ascii="Arial" w:eastAsia="Arial" w:hAnsi="Arial" w:cs="Arial"/>
          <w:sz w:val="22"/>
          <w:szCs w:val="22"/>
        </w:rPr>
        <w:t>the S</w:t>
      </w:r>
      <w:r>
        <w:rPr>
          <w:rFonts w:ascii="Arial" w:eastAsia="Arial" w:hAnsi="Arial" w:cs="Arial"/>
          <w:sz w:val="22"/>
          <w:szCs w:val="22"/>
        </w:rPr>
        <w:t>kinner bo</w:t>
      </w:r>
      <w:r w:rsidR="00181702">
        <w:rPr>
          <w:rFonts w:ascii="Arial" w:eastAsia="Arial" w:hAnsi="Arial" w:cs="Arial"/>
          <w:sz w:val="22"/>
          <w:szCs w:val="22"/>
        </w:rPr>
        <w:t>x</w:t>
      </w:r>
      <w:r>
        <w:rPr>
          <w:rFonts w:ascii="Arial" w:eastAsia="Arial" w:hAnsi="Arial" w:cs="Arial"/>
          <w:sz w:val="22"/>
          <w:szCs w:val="22"/>
        </w:rPr>
        <w:t>, showing how animals and humans can learn to perform certain behaviours to escape or avoid unpleasant stimuli. (Skinner, 1988)</w:t>
      </w:r>
    </w:p>
    <w:p w14:paraId="0000005C" w14:textId="77777777" w:rsidR="00A53DAF" w:rsidRDefault="00A53DAF">
      <w:pPr>
        <w:rPr>
          <w:rFonts w:ascii="Arial" w:eastAsia="Arial" w:hAnsi="Arial" w:cs="Arial"/>
          <w:sz w:val="22"/>
          <w:szCs w:val="22"/>
        </w:rPr>
      </w:pPr>
    </w:p>
    <w:p w14:paraId="0000005D" w14:textId="7766B617" w:rsidR="00A53DAF" w:rsidRDefault="00000000">
      <w:pPr>
        <w:rPr>
          <w:rFonts w:ascii="Arial" w:eastAsia="Arial" w:hAnsi="Arial" w:cs="Arial"/>
          <w:sz w:val="22"/>
          <w:szCs w:val="22"/>
        </w:rPr>
      </w:pPr>
      <w:r>
        <w:rPr>
          <w:rFonts w:ascii="Arial" w:eastAsia="Arial" w:hAnsi="Arial" w:cs="Arial"/>
          <w:sz w:val="22"/>
          <w:szCs w:val="22"/>
        </w:rPr>
        <w:t xml:space="preserve">The observed critical incident indeed showcases elements of both positive and negative reinforcement, as outlined by Skinner's operant conditioning principles. In the context of the observed incident, positive reinforcement is evident when the class earns a point in the teacher's game or receives a ClassDojo point for displaying desired behaviour. The reward, whether a point or a digital point, serves as a favourable outcome, strengthening the association between the observed positive behaviour and the likelihood of its recurrence. Conversely, negative reinforcement is observed when the teacher awards a point to themselves in response to the class not exhibiting the desired behaviour. The aversive stimulus, in this case, is the absence of a point or the loss of an opportunity to earn a ClassDojo point due to the class's failure to meet behavioural expectations. This serves as a deterrent, motivating the class to avoid behaviours that result in the removal of the opportunity for a reward. </w:t>
      </w:r>
      <w:r w:rsidR="00181702">
        <w:rPr>
          <w:rFonts w:ascii="Arial" w:eastAsia="Arial" w:hAnsi="Arial" w:cs="Arial"/>
          <w:sz w:val="22"/>
          <w:szCs w:val="22"/>
        </w:rPr>
        <w:t>(Skinner, 1988)</w:t>
      </w:r>
    </w:p>
    <w:p w14:paraId="0000005E" w14:textId="77777777" w:rsidR="00A53DAF" w:rsidRDefault="00000000">
      <w:pPr>
        <w:rPr>
          <w:rFonts w:ascii="Arial" w:eastAsia="Arial" w:hAnsi="Arial" w:cs="Arial"/>
          <w:sz w:val="22"/>
          <w:szCs w:val="22"/>
        </w:rPr>
      </w:pPr>
      <w:r>
        <w:rPr>
          <w:rFonts w:ascii="Arial" w:eastAsia="Arial" w:hAnsi="Arial" w:cs="Arial"/>
          <w:sz w:val="22"/>
          <w:szCs w:val="22"/>
        </w:rPr>
        <w:t> </w:t>
      </w:r>
    </w:p>
    <w:p w14:paraId="0000005F" w14:textId="77777777" w:rsidR="00A53DAF" w:rsidRDefault="00000000">
      <w:pPr>
        <w:rPr>
          <w:rFonts w:ascii="Arial" w:eastAsia="Arial" w:hAnsi="Arial" w:cs="Arial"/>
          <w:sz w:val="22"/>
          <w:szCs w:val="22"/>
        </w:rPr>
      </w:pPr>
      <w:r>
        <w:rPr>
          <w:rFonts w:ascii="Arial" w:eastAsia="Arial" w:hAnsi="Arial" w:cs="Arial"/>
          <w:sz w:val="22"/>
          <w:szCs w:val="22"/>
        </w:rPr>
        <w:t>According to Ryan and Deci (2018), Self-Determination Theory (SDT) is a prominent theory in the study of human motivation and behaviour, focusing on the reasons why individuals choose to engage in certain activities and the factors that drive them to do so. SDT posits that human motivation can be categorised along a continuum, with two main types of motivation: Intrinsic Motivation, Intrinsic motivation refers to engaging in an activity or behaviour because it is inherently satisfying and enjoyable. People with high intrinsic motivation pursue activities for the sheer pleasure, interest, or sense of fulfilment they derive from them. They are driven by internal factors, such as curiosity, personal values, and a sense of competence.</w:t>
      </w:r>
      <w:r>
        <w:rPr>
          <w:rFonts w:ascii="MS Gothic" w:eastAsia="MS Gothic" w:hAnsi="MS Gothic" w:cs="MS Gothic"/>
          <w:sz w:val="22"/>
          <w:szCs w:val="22"/>
        </w:rPr>
        <w:t> </w:t>
      </w:r>
      <w:r>
        <w:rPr>
          <w:rFonts w:ascii="Arial" w:eastAsia="Arial" w:hAnsi="Arial" w:cs="Arial"/>
          <w:sz w:val="22"/>
          <w:szCs w:val="22"/>
        </w:rPr>
        <w:t>Extrinsic Motivation, Extrinsic motivation involves engaging in an activity or behaviour to attain external rewards or avoid punishments. This type of motivation is driven by external factors, such as financial incentives, praise, recognition, or fear of negative consequences.</w:t>
      </w:r>
      <w:r>
        <w:rPr>
          <w:rFonts w:ascii="MS Gothic" w:eastAsia="MS Gothic" w:hAnsi="MS Gothic" w:cs="MS Gothic"/>
          <w:sz w:val="22"/>
          <w:szCs w:val="22"/>
        </w:rPr>
        <w:t> </w:t>
      </w:r>
      <w:r>
        <w:rPr>
          <w:rFonts w:ascii="Arial" w:eastAsia="Arial" w:hAnsi="Arial" w:cs="Arial"/>
          <w:sz w:val="22"/>
          <w:szCs w:val="22"/>
        </w:rPr>
        <w:t xml:space="preserve"> Within the framework of SDT, intrinsic motivation is considered the most autonomous and self-determined form of motivation, whereas extrinsic motivation can vary in terms of autonomy, ranging from more controlled (external regulation) to more autonomous (integrated regulation). (Ryan and Deci, 2018)</w:t>
      </w:r>
    </w:p>
    <w:p w14:paraId="00000060" w14:textId="77777777" w:rsidR="00A53DAF" w:rsidRDefault="00A53DAF">
      <w:pPr>
        <w:rPr>
          <w:rFonts w:ascii="Arial" w:eastAsia="Arial" w:hAnsi="Arial" w:cs="Arial"/>
          <w:sz w:val="22"/>
          <w:szCs w:val="22"/>
        </w:rPr>
      </w:pPr>
    </w:p>
    <w:p w14:paraId="00000061" w14:textId="77777777" w:rsidR="00A53DAF" w:rsidRDefault="00000000">
      <w:pPr>
        <w:rPr>
          <w:rFonts w:ascii="Arial" w:eastAsia="Arial" w:hAnsi="Arial" w:cs="Arial"/>
          <w:sz w:val="22"/>
          <w:szCs w:val="22"/>
        </w:rPr>
      </w:pPr>
      <w:r>
        <w:rPr>
          <w:rFonts w:ascii="Arial" w:eastAsia="Arial" w:hAnsi="Arial" w:cs="Arial"/>
          <w:sz w:val="22"/>
          <w:szCs w:val="22"/>
        </w:rPr>
        <w:t xml:space="preserve">According to Ryan and Deci (2018), SDT also identifies three fundamental psychological needs that are essential for supporting intrinsic motivation and promoting well-being, Autonomy, </w:t>
      </w:r>
      <w:proofErr w:type="gramStart"/>
      <w:r>
        <w:rPr>
          <w:rFonts w:ascii="Arial" w:eastAsia="Arial" w:hAnsi="Arial" w:cs="Arial"/>
          <w:sz w:val="22"/>
          <w:szCs w:val="22"/>
        </w:rPr>
        <w:t>The</w:t>
      </w:r>
      <w:proofErr w:type="gramEnd"/>
      <w:r>
        <w:rPr>
          <w:rFonts w:ascii="Arial" w:eastAsia="Arial" w:hAnsi="Arial" w:cs="Arial"/>
          <w:sz w:val="22"/>
          <w:szCs w:val="22"/>
        </w:rPr>
        <w:t xml:space="preserve"> need to experience a sense of control and choice in one's actions and decisions. When individuals have the freedom to make choices and act in accordance with their own values and interests, they are more likely to experience intrinsic motivation. Competence, the need to feel capable and effective in one's actions and pursuits. When individuals experience a sense of mastery and competence in their activities, it enhances their intrinsic motivation.</w:t>
      </w:r>
      <w:r>
        <w:rPr>
          <w:rFonts w:ascii="MS Gothic" w:eastAsia="MS Gothic" w:hAnsi="MS Gothic" w:cs="MS Gothic"/>
          <w:sz w:val="22"/>
          <w:szCs w:val="22"/>
        </w:rPr>
        <w:t> </w:t>
      </w:r>
      <w:r>
        <w:rPr>
          <w:rFonts w:ascii="Arial" w:eastAsia="Arial" w:hAnsi="Arial" w:cs="Arial"/>
          <w:sz w:val="22"/>
          <w:szCs w:val="22"/>
        </w:rPr>
        <w:t xml:space="preserve">Relatedness, the need to form meaningful and positive social </w:t>
      </w:r>
      <w:r>
        <w:rPr>
          <w:rFonts w:ascii="Arial" w:eastAsia="Arial" w:hAnsi="Arial" w:cs="Arial"/>
          <w:sz w:val="22"/>
          <w:szCs w:val="22"/>
        </w:rPr>
        <w:lastRenderedPageBreak/>
        <w:t>connections with others. When individuals feel connected, supported, and valued by others, it contributes to their intrinsic motivation and overall well-being.</w:t>
      </w:r>
      <w:r>
        <w:rPr>
          <w:rFonts w:ascii="MS Gothic" w:eastAsia="MS Gothic" w:hAnsi="MS Gothic" w:cs="MS Gothic"/>
          <w:sz w:val="22"/>
          <w:szCs w:val="22"/>
        </w:rPr>
        <w:t> </w:t>
      </w:r>
      <w:r>
        <w:rPr>
          <w:rFonts w:ascii="Arial" w:eastAsia="Arial" w:hAnsi="Arial" w:cs="Arial"/>
          <w:sz w:val="22"/>
          <w:szCs w:val="22"/>
        </w:rPr>
        <w:t>SDT has been widely applied in various domains, including education, workplace motivation, sports, and healthcare. It provides insights into how to design environments and structures that nurture intrinsic motivation, promote positive outcomes, and foster personal growth and well-being. Researchers and practitioners often use SDT to develop strategies and interventions that support individuals in pursuing their goals and activities autonomously and with greater satisfaction. (Ryan and Deci, 2018)</w:t>
      </w:r>
    </w:p>
    <w:p w14:paraId="00000062" w14:textId="77777777" w:rsidR="00A53DAF" w:rsidRDefault="00A53DAF">
      <w:pPr>
        <w:rPr>
          <w:rFonts w:ascii="Arial" w:eastAsia="Arial" w:hAnsi="Arial" w:cs="Arial"/>
          <w:sz w:val="22"/>
          <w:szCs w:val="22"/>
        </w:rPr>
      </w:pPr>
    </w:p>
    <w:p w14:paraId="00000063" w14:textId="77777777" w:rsidR="00A53DAF" w:rsidRDefault="00A53DAF">
      <w:pPr>
        <w:rPr>
          <w:rFonts w:ascii="Arial" w:eastAsia="Arial" w:hAnsi="Arial" w:cs="Arial"/>
          <w:color w:val="000000"/>
          <w:sz w:val="22"/>
          <w:szCs w:val="22"/>
        </w:rPr>
      </w:pPr>
    </w:p>
    <w:p w14:paraId="00000064" w14:textId="77777777" w:rsidR="00A53DAF" w:rsidRDefault="00000000">
      <w:pPr>
        <w:rPr>
          <w:rFonts w:ascii="Arial" w:eastAsia="Arial" w:hAnsi="Arial" w:cs="Arial"/>
          <w:color w:val="000000"/>
          <w:sz w:val="22"/>
          <w:szCs w:val="22"/>
        </w:rPr>
      </w:pPr>
      <w:r>
        <w:rPr>
          <w:rFonts w:ascii="Arial" w:eastAsia="Arial" w:hAnsi="Arial" w:cs="Arial"/>
          <w:color w:val="000000"/>
          <w:sz w:val="22"/>
          <w:szCs w:val="22"/>
        </w:rPr>
        <w:t>The observed critical incident can be compared to the concept of extrinsic motivation, as delineated by Ryan and Deci (2018). Extrinsic motivation is a form of motivation that stems from external factors, such as rewards or punishments, rather than intrinsic, internal motivations. In the observed critical incident, Children are incentivized to behave in a specific, desired manner to attain a tangible external reward, which, in this case, is represented by points or digital points. The promise of earning a game point or a ClassDojo point acts as an external stimulus that motivates students to conform to the expected behaviours, such as sitting quietly. (Ryan and Deci, 2018)</w:t>
      </w:r>
    </w:p>
    <w:p w14:paraId="00000065" w14:textId="77777777" w:rsidR="00A53DAF" w:rsidRDefault="00A53DAF">
      <w:pPr>
        <w:rPr>
          <w:rFonts w:ascii="Arial" w:eastAsia="Arial" w:hAnsi="Arial" w:cs="Arial"/>
          <w:sz w:val="22"/>
          <w:szCs w:val="22"/>
        </w:rPr>
      </w:pPr>
    </w:p>
    <w:p w14:paraId="00000066" w14:textId="77777777" w:rsidR="00A53DAF" w:rsidRDefault="00000000">
      <w:pPr>
        <w:rPr>
          <w:rFonts w:ascii="Arial" w:eastAsia="Arial" w:hAnsi="Arial" w:cs="Arial"/>
          <w:b/>
          <w:sz w:val="22"/>
          <w:szCs w:val="22"/>
        </w:rPr>
      </w:pPr>
      <w:r>
        <w:rPr>
          <w:rFonts w:ascii="Arial" w:eastAsia="Arial" w:hAnsi="Arial" w:cs="Arial"/>
          <w:sz w:val="22"/>
          <w:szCs w:val="22"/>
        </w:rPr>
        <w:t xml:space="preserve">Paul Pintrich wrote a theory known as Expectancy-Value Theory of Motivation (Schunk, Meece and Pintrich, 2014), which explores how individuals' beliefs about their abilities (expectancy) and the perceived value of the task (value) influence their motivation to engage in learning. Key aspects of Pintrich's research on intrinsic motivation to learn include, Interest and Curiosity, Pintrich emphasised the importance of generating interest and curiosity in the learning process. When students are interested in a topic or subject matter, their intrinsic motivation to learn increases, leading to deeper engagement and understanding. Self-Efficacy Beliefs, He highlighted the role of self-efficacy, which refers to an individual's belief in their ability to successfully complete a task. High self-efficacy beliefs are associated with increased intrinsic motivation to engage in learning activities. Goal Orientation, Pintrichs research explored different goal orientations, such as mastery goals (focused on learning and improvement) and performance goals (focused on demonstrating competence). Students with mastery goals tend to have higher intrinsic motivation to learn. Attributions and Feedback, understanding how students attribute their successes and failures affects their intrinsic motivation. Providing constructive feedback and encouraging students to attribute their success to effort and strategies rather than external factors can boost intrinsic motivation. Autonomy and Self-Regulation, Pintrich emphasised the importance of autonomy and self-regulation in fostering intrinsic motivation. Students who have the autonomy to make choices about their learning and regulate their learning strategies are more likely to be intrinsically motivated. Paul Pintrich's research has greatly influenced educational practices, aiming to create learning environments that enhance intrinsic motivation, engagement, and achievement. (Schunk, Meece and Pintrich, 2014). </w:t>
      </w:r>
    </w:p>
    <w:p w14:paraId="00000067" w14:textId="77777777" w:rsidR="00A53DAF" w:rsidRDefault="00A53DAF">
      <w:pPr>
        <w:rPr>
          <w:rFonts w:ascii="Arial" w:eastAsia="Arial" w:hAnsi="Arial" w:cs="Arial"/>
          <w:b/>
          <w:sz w:val="22"/>
          <w:szCs w:val="22"/>
        </w:rPr>
      </w:pPr>
    </w:p>
    <w:p w14:paraId="00000068" w14:textId="77777777" w:rsidR="00A53DAF" w:rsidRDefault="00000000">
      <w:pPr>
        <w:rPr>
          <w:rFonts w:ascii="Arial" w:eastAsia="Arial" w:hAnsi="Arial" w:cs="Arial"/>
          <w:b/>
          <w:sz w:val="22"/>
          <w:szCs w:val="22"/>
        </w:rPr>
      </w:pPr>
      <w:r>
        <w:rPr>
          <w:rFonts w:ascii="Arial" w:eastAsia="Arial" w:hAnsi="Arial" w:cs="Arial"/>
          <w:b/>
          <w:sz w:val="22"/>
          <w:szCs w:val="22"/>
        </w:rPr>
        <w:t xml:space="preserve">Reflection and evaluation on next teaching steps </w:t>
      </w:r>
    </w:p>
    <w:p w14:paraId="00000069" w14:textId="77777777" w:rsidR="00A53DAF" w:rsidRDefault="00A53DAF">
      <w:pPr>
        <w:rPr>
          <w:rFonts w:ascii="Arial" w:eastAsia="Arial" w:hAnsi="Arial" w:cs="Arial"/>
          <w:b/>
          <w:sz w:val="22"/>
          <w:szCs w:val="22"/>
        </w:rPr>
      </w:pPr>
    </w:p>
    <w:p w14:paraId="0000006A" w14:textId="77777777" w:rsidR="00A53DAF" w:rsidRDefault="00000000">
      <w:pPr>
        <w:rPr>
          <w:rFonts w:ascii="Arial" w:eastAsia="Arial" w:hAnsi="Arial" w:cs="Arial"/>
          <w:sz w:val="22"/>
          <w:szCs w:val="22"/>
        </w:rPr>
      </w:pPr>
      <w:r>
        <w:rPr>
          <w:rFonts w:ascii="Arial" w:eastAsia="Arial" w:hAnsi="Arial" w:cs="Arial"/>
          <w:sz w:val="22"/>
          <w:szCs w:val="22"/>
        </w:rPr>
        <w:t xml:space="preserve">The identification of a specific incident within the classroom has provided an opportunity for thorough reflection and critical analysis of the incident within a broader context. I find that employing a reflective framework, such as the Gibbs model, proves advantageous in structuring my reflection and determining subsequent steps in my teaching approach. Gibbs' reflective framework encompasses six stages, commencing with a description of the experience followed by a deeper analysis and evaluation. Additionally, it incorporates an exploration of the practitioner's emotions and feelings during the experience. Each of these stages guides the practitioner towards formulating a practical 'action plan' to handle similar situations in future practice. (Gibbs, 1998) </w:t>
      </w:r>
    </w:p>
    <w:p w14:paraId="0000006B" w14:textId="77777777" w:rsidR="00A53DAF" w:rsidRDefault="00A53DAF">
      <w:pPr>
        <w:rPr>
          <w:rFonts w:ascii="Arial" w:eastAsia="Arial" w:hAnsi="Arial" w:cs="Arial"/>
          <w:sz w:val="22"/>
          <w:szCs w:val="22"/>
        </w:rPr>
      </w:pPr>
    </w:p>
    <w:p w14:paraId="0000006C" w14:textId="77777777" w:rsidR="00A53DAF" w:rsidRDefault="00000000">
      <w:pPr>
        <w:rPr>
          <w:rFonts w:ascii="Arial" w:eastAsia="Arial" w:hAnsi="Arial" w:cs="Arial"/>
          <w:sz w:val="22"/>
          <w:szCs w:val="22"/>
        </w:rPr>
      </w:pPr>
      <w:r>
        <w:rPr>
          <w:rFonts w:ascii="Arial" w:eastAsia="Arial" w:hAnsi="Arial" w:cs="Arial"/>
          <w:sz w:val="22"/>
          <w:szCs w:val="22"/>
        </w:rPr>
        <w:lastRenderedPageBreak/>
        <w:t xml:space="preserve">The first stage of Gibbs's reflective cycle is described in Appendix A, the observed critical incident took place in a mainstream classroom in the local authority of Swansea, the classroom was </w:t>
      </w:r>
      <w:proofErr w:type="gramStart"/>
      <w:r>
        <w:rPr>
          <w:rFonts w:ascii="Arial" w:eastAsia="Arial" w:hAnsi="Arial" w:cs="Arial"/>
          <w:sz w:val="22"/>
          <w:szCs w:val="22"/>
        </w:rPr>
        <w:t>calm</w:t>
      </w:r>
      <w:proofErr w:type="gramEnd"/>
      <w:r>
        <w:rPr>
          <w:rFonts w:ascii="Arial" w:eastAsia="Arial" w:hAnsi="Arial" w:cs="Arial"/>
          <w:sz w:val="22"/>
          <w:szCs w:val="22"/>
        </w:rPr>
        <w:t xml:space="preserve"> and all children were sitting calmly and appeared engaged. The children were putting up their hands to answer questions or share ideas and no one was shouting out. Following this the teacher awarded the class a point and explained the class now had a score of 2 – 0 and wrote this on the board. When asked about the game following the lesson the teacher explained that the class game took place every day, and if the children were engaged and ready to learn, they would earn one point, and if they were not the teacher would earn one point, and at the end of the day if the class had the most points, each learner in the classroom would receive a dojo point. (Gibbs, 1998) </w:t>
      </w:r>
    </w:p>
    <w:p w14:paraId="0000006D" w14:textId="77777777" w:rsidR="00A53DAF" w:rsidRDefault="00A53DAF">
      <w:pPr>
        <w:rPr>
          <w:rFonts w:ascii="Arial" w:eastAsia="Arial" w:hAnsi="Arial" w:cs="Arial"/>
          <w:sz w:val="22"/>
          <w:szCs w:val="22"/>
        </w:rPr>
      </w:pPr>
    </w:p>
    <w:p w14:paraId="0000006E" w14:textId="77777777" w:rsidR="00A53DAF" w:rsidRDefault="00A53DAF">
      <w:pPr>
        <w:rPr>
          <w:rFonts w:ascii="Arial" w:eastAsia="Arial" w:hAnsi="Arial" w:cs="Arial"/>
          <w:sz w:val="22"/>
          <w:szCs w:val="22"/>
        </w:rPr>
      </w:pPr>
    </w:p>
    <w:p w14:paraId="0000006F" w14:textId="77777777" w:rsidR="00A53DAF" w:rsidRDefault="00000000">
      <w:pPr>
        <w:rPr>
          <w:rFonts w:ascii="Arial" w:eastAsia="Arial" w:hAnsi="Arial" w:cs="Arial"/>
          <w:sz w:val="22"/>
          <w:szCs w:val="22"/>
        </w:rPr>
      </w:pPr>
      <w:r>
        <w:rPr>
          <w:rFonts w:ascii="Arial" w:eastAsia="Arial" w:hAnsi="Arial" w:cs="Arial"/>
          <w:sz w:val="22"/>
          <w:szCs w:val="22"/>
        </w:rPr>
        <w:t>I initially experienced a sense of amazement after observing the classroom incident. The teacher's innovative approach of using a game to encourage positive behaviour among the children left a strong positive impression on me. Witnessing how the game significantly influenced the learners' behaviour within the classroom was remarkable and inspiring. It highlighted the potential of creative strategies in positively shaping the conduct and engagement of students. This initial feeling of amazement emphasised the power of innovative teaching methods in fostering a conducive learning environment. (Gibbs, 1998)</w:t>
      </w:r>
    </w:p>
    <w:p w14:paraId="00000070" w14:textId="77777777" w:rsidR="00A53DAF" w:rsidRDefault="00000000">
      <w:pPr>
        <w:rPr>
          <w:rFonts w:ascii="Arial" w:eastAsia="Arial" w:hAnsi="Arial" w:cs="Arial"/>
          <w:sz w:val="22"/>
          <w:szCs w:val="22"/>
        </w:rPr>
      </w:pPr>
      <w:r>
        <w:rPr>
          <w:rFonts w:ascii="Arial" w:eastAsia="Arial" w:hAnsi="Arial" w:cs="Arial"/>
          <w:sz w:val="22"/>
          <w:szCs w:val="22"/>
        </w:rPr>
        <w:t> </w:t>
      </w:r>
    </w:p>
    <w:p w14:paraId="00000071" w14:textId="77777777" w:rsidR="00A53DAF" w:rsidRDefault="00000000">
      <w:pPr>
        <w:rPr>
          <w:rFonts w:ascii="Arial" w:eastAsia="Arial" w:hAnsi="Arial" w:cs="Arial"/>
          <w:sz w:val="22"/>
          <w:szCs w:val="22"/>
        </w:rPr>
      </w:pPr>
      <w:r>
        <w:rPr>
          <w:rFonts w:ascii="Arial" w:eastAsia="Arial" w:hAnsi="Arial" w:cs="Arial"/>
          <w:sz w:val="22"/>
          <w:szCs w:val="22"/>
        </w:rPr>
        <w:t>During the "Evaluation" we will consider the positives and negatives of the observed incident. The teacher's employment of gamification and reward systems indeed had a positive impact on the behaviour of the children. This innovative approach successfully incentivized the students, resulting in improved behaviour and attentiveness within the classroom. However, upon critical evaluation, it becomes evident that the teacher's strategies predominantly relied on extrinsic motivational mechanisms rather than intrinsic motivation</w:t>
      </w:r>
      <w:r>
        <w:t xml:space="preserve"> </w:t>
      </w:r>
      <w:r>
        <w:rPr>
          <w:rFonts w:ascii="Arial" w:eastAsia="Arial" w:hAnsi="Arial" w:cs="Arial"/>
          <w:sz w:val="22"/>
          <w:szCs w:val="22"/>
        </w:rPr>
        <w:t>(Ryan and Deci, 2018). The emphasis on external rewards and the gamified structure positioned the motivation for good behaviour as contingent upon outside reinforcement</w:t>
      </w:r>
      <w:r>
        <w:t xml:space="preserve"> </w:t>
      </w:r>
      <w:r>
        <w:rPr>
          <w:rFonts w:ascii="Arial" w:eastAsia="Arial" w:hAnsi="Arial" w:cs="Arial"/>
          <w:sz w:val="22"/>
          <w:szCs w:val="22"/>
        </w:rPr>
        <w:t>(Ryan and Deci, 2018). While this approach yielded the desired behaviour, it is imperative to recognize the potential limitations associated with extrinsic motivators, as they may not inherently instil a deeper, intrinsic drive for sustained positive behaviour and engagement</w:t>
      </w:r>
      <w:r>
        <w:t xml:space="preserve"> </w:t>
      </w:r>
      <w:r>
        <w:rPr>
          <w:rFonts w:ascii="Arial" w:eastAsia="Arial" w:hAnsi="Arial" w:cs="Arial"/>
          <w:sz w:val="22"/>
          <w:szCs w:val="22"/>
        </w:rPr>
        <w:t>(Schunk, Meece and Pintrich, 2014) (Gibbs, 1998).</w:t>
      </w:r>
    </w:p>
    <w:p w14:paraId="00000072" w14:textId="77777777" w:rsidR="00A53DAF" w:rsidRDefault="00A53DAF">
      <w:pPr>
        <w:rPr>
          <w:rFonts w:ascii="Arial" w:eastAsia="Arial" w:hAnsi="Arial" w:cs="Arial"/>
          <w:sz w:val="22"/>
          <w:szCs w:val="22"/>
        </w:rPr>
      </w:pPr>
    </w:p>
    <w:p w14:paraId="00000073" w14:textId="77777777" w:rsidR="00A53DAF" w:rsidRDefault="00000000">
      <w:pPr>
        <w:rPr>
          <w:rFonts w:ascii="Arial" w:eastAsia="Arial" w:hAnsi="Arial" w:cs="Arial"/>
          <w:sz w:val="22"/>
          <w:szCs w:val="22"/>
          <w:highlight w:val="yellow"/>
        </w:rPr>
      </w:pPr>
      <w:r>
        <w:rPr>
          <w:rFonts w:ascii="Arial" w:eastAsia="Arial" w:hAnsi="Arial" w:cs="Arial"/>
          <w:sz w:val="22"/>
          <w:szCs w:val="22"/>
        </w:rPr>
        <w:t>Upon further analysis of the incident, it became clear that the reliance on external rewards, such as points and gamification, essentially operates on the principle of extrinsic motivation (Ryan and Deci, 2018). In essence, the students were encouraged to exhibit desirable behaviour based on the expectation of receiving external incentives (Ryan and Deci, 2018). While this approach undoubtedly resulted in the desired responses, it may inadvertently undermine the development of intrinsic motivation, the internal desire to engage in a behaviour for its inherent satisfaction or personal interest (Schunk, Meece and Pintrich, 2014). Intrinsic motivation holds substantial long-term significance as it cultivates a genuine passion for learning and positive behaviour, fostering self-driven and sustainable engagement</w:t>
      </w:r>
      <w:r>
        <w:t xml:space="preserve"> </w:t>
      </w:r>
      <w:r>
        <w:rPr>
          <w:rFonts w:ascii="Arial" w:eastAsia="Arial" w:hAnsi="Arial" w:cs="Arial"/>
          <w:sz w:val="22"/>
          <w:szCs w:val="22"/>
        </w:rPr>
        <w:t>(Schunk, Meece and Pintrich, 2014). When students are intrinsically motivated, their behaviours stem from a genuine interest in the subject matter or activity rather than external rewards (Ryan and Deci, 2018) (Gibbs, 1998).</w:t>
      </w:r>
    </w:p>
    <w:p w14:paraId="00000074" w14:textId="77777777" w:rsidR="00A53DAF" w:rsidRDefault="00A53DAF">
      <w:pPr>
        <w:rPr>
          <w:rFonts w:ascii="Arial" w:eastAsia="Arial" w:hAnsi="Arial" w:cs="Arial"/>
          <w:sz w:val="22"/>
          <w:szCs w:val="22"/>
          <w:highlight w:val="yellow"/>
        </w:rPr>
      </w:pPr>
    </w:p>
    <w:p w14:paraId="00000075" w14:textId="77777777" w:rsidR="00A53DAF" w:rsidRDefault="00000000">
      <w:pPr>
        <w:rPr>
          <w:rFonts w:ascii="Arial" w:eastAsia="Arial" w:hAnsi="Arial" w:cs="Arial"/>
          <w:sz w:val="22"/>
          <w:szCs w:val="22"/>
        </w:rPr>
      </w:pPr>
      <w:r>
        <w:rPr>
          <w:rFonts w:ascii="Arial" w:eastAsia="Arial" w:hAnsi="Arial" w:cs="Arial"/>
          <w:sz w:val="22"/>
          <w:szCs w:val="22"/>
        </w:rPr>
        <w:t>Reflecting on the incident, I have gained a valuable lesson regarding the efficacy of reward systems when implemented in creative and engaging manners. The utilisation of innovative approaches, such as gamification and unique reward structures, proved highly effective in influencing the behaviour and participation of the students. It became evident that when rewards are creatively integrated into the learning process, they can serve as powerful motivational tools, fostering a positive and enthusiastic learning environment. This experience emphasised the importance of continuously exploring inventive strategies to enhance student engagement and behaviour within the classroom (Gibbs, 1998).</w:t>
      </w:r>
    </w:p>
    <w:p w14:paraId="00000076" w14:textId="77777777" w:rsidR="00A53DAF" w:rsidRDefault="00A53DAF">
      <w:pPr>
        <w:rPr>
          <w:rFonts w:ascii="Arial" w:eastAsia="Arial" w:hAnsi="Arial" w:cs="Arial"/>
          <w:sz w:val="22"/>
          <w:szCs w:val="22"/>
          <w:highlight w:val="yellow"/>
        </w:rPr>
      </w:pPr>
    </w:p>
    <w:p w14:paraId="00000077" w14:textId="77777777" w:rsidR="00A53DAF" w:rsidRDefault="00000000">
      <w:pPr>
        <w:rPr>
          <w:rFonts w:ascii="Arial" w:eastAsia="Arial" w:hAnsi="Arial" w:cs="Arial"/>
          <w:sz w:val="22"/>
          <w:szCs w:val="22"/>
          <w:highlight w:val="yellow"/>
        </w:rPr>
      </w:pPr>
      <w:r>
        <w:rPr>
          <w:rFonts w:ascii="Arial" w:eastAsia="Arial" w:hAnsi="Arial" w:cs="Arial"/>
          <w:sz w:val="22"/>
          <w:szCs w:val="22"/>
        </w:rPr>
        <w:t>Therefore, an optimal approach would encompass a delicate balance, integrating elements that tap into both extrinsic and intrinsic motivators (Ryan and Deci, 2018). This balanced approach can yield a comprehensive and enduring influence on the student’s behaviour and attitudes towards learning. In my teaching, I aim to inspire students using a mix of intrinsic motivation and external rewards. I encourage students to choose what they want to learn, giving them some control. Also, I make sure to show my excitement for the subject, hoping it rubs off on them. I believe in giving praise and rewards for good behaviour and achievements to motivate students. But I also stress the joy of learning itself, showing how subjects are meaningful. This way, students find their own passion for learning while also appreciating the rewards that come with it. It's about finding the right balance between both approaches to keep students engaged and eager to learn (Gibbs, 1998).</w:t>
      </w:r>
    </w:p>
    <w:p w14:paraId="00000078" w14:textId="77777777" w:rsidR="00A53DAF" w:rsidRDefault="00A53DAF">
      <w:pPr>
        <w:rPr>
          <w:rFonts w:ascii="Arial" w:eastAsia="Arial" w:hAnsi="Arial" w:cs="Arial"/>
          <w:sz w:val="22"/>
          <w:szCs w:val="22"/>
          <w:highlight w:val="yellow"/>
        </w:rPr>
      </w:pPr>
    </w:p>
    <w:p w14:paraId="00000079" w14:textId="77777777" w:rsidR="00A53DAF" w:rsidRDefault="00A53DAF">
      <w:pPr>
        <w:rPr>
          <w:rFonts w:ascii="Arial" w:eastAsia="Arial" w:hAnsi="Arial" w:cs="Arial"/>
          <w:sz w:val="22"/>
          <w:szCs w:val="22"/>
          <w:highlight w:val="yellow"/>
        </w:rPr>
      </w:pPr>
    </w:p>
    <w:p w14:paraId="0000007A" w14:textId="77777777" w:rsidR="00A53DAF" w:rsidRDefault="00000000">
      <w:pPr>
        <w:rPr>
          <w:rFonts w:ascii="Arial" w:eastAsia="Arial" w:hAnsi="Arial" w:cs="Arial"/>
          <w:b/>
          <w:sz w:val="22"/>
          <w:szCs w:val="22"/>
        </w:rPr>
      </w:pPr>
      <w:r>
        <w:rPr>
          <w:rFonts w:ascii="Arial" w:eastAsia="Arial" w:hAnsi="Arial" w:cs="Arial"/>
          <w:b/>
          <w:sz w:val="22"/>
          <w:szCs w:val="22"/>
        </w:rPr>
        <w:t xml:space="preserve">Conclusion </w:t>
      </w:r>
    </w:p>
    <w:p w14:paraId="0000007B" w14:textId="77777777" w:rsidR="00A53DAF" w:rsidRDefault="00A53DAF">
      <w:pPr>
        <w:rPr>
          <w:rFonts w:ascii="Arial" w:eastAsia="Arial" w:hAnsi="Arial" w:cs="Arial"/>
          <w:sz w:val="22"/>
          <w:szCs w:val="22"/>
        </w:rPr>
      </w:pPr>
    </w:p>
    <w:p w14:paraId="0000007C" w14:textId="77777777" w:rsidR="00A53DAF" w:rsidRDefault="00000000">
      <w:pPr>
        <w:rPr>
          <w:rFonts w:ascii="Arial" w:eastAsia="Arial" w:hAnsi="Arial" w:cs="Arial"/>
          <w:sz w:val="22"/>
          <w:szCs w:val="22"/>
        </w:rPr>
      </w:pPr>
      <w:r>
        <w:rPr>
          <w:rFonts w:ascii="Arial" w:eastAsia="Arial" w:hAnsi="Arial" w:cs="Arial"/>
          <w:sz w:val="22"/>
          <w:szCs w:val="22"/>
        </w:rPr>
        <w:t>The critical incident observed in the classroom underscored the effectiveness of innovative strategies, particularly gamification and reward systems, in influencing student behaviour and fostering a positive learning environment. The integration of such inventive approaches revealed their potential to motivate students and enhance their engagement within the educational setting.  However, upon deeper reflection and evaluation, it became evident that the strategies predominantly relied on extrinsic motivational mechanisms, emphasising external rewards and gamification structures (Ryan and Deci,2018). While extrinsic motivators effectively achieved the desired behavioural outcomes, it is essential to acknowledge their potential limitations in cultivating lasting intrinsic motivation—the internal drive for sustained positive behaviour and genuine engagement (Intrinsic motivation, stemming from genuine interest and satisfaction in learning, is crucial for fostering a profound and enduring passion for education (Schunk, Meece and Pintrich, 2014).</w:t>
      </w:r>
    </w:p>
    <w:p w14:paraId="0000007D" w14:textId="77777777" w:rsidR="00A53DAF" w:rsidRDefault="00A53DAF">
      <w:pPr>
        <w:rPr>
          <w:rFonts w:ascii="Arial" w:eastAsia="Arial" w:hAnsi="Arial" w:cs="Arial"/>
          <w:sz w:val="22"/>
          <w:szCs w:val="22"/>
        </w:rPr>
      </w:pPr>
    </w:p>
    <w:p w14:paraId="0000007E" w14:textId="77777777" w:rsidR="00A53DAF" w:rsidRDefault="00000000">
      <w:pPr>
        <w:rPr>
          <w:rFonts w:ascii="Arial" w:eastAsia="Arial" w:hAnsi="Arial" w:cs="Arial"/>
          <w:sz w:val="22"/>
          <w:szCs w:val="22"/>
        </w:rPr>
      </w:pPr>
      <w:r>
        <w:rPr>
          <w:rFonts w:ascii="Arial" w:eastAsia="Arial" w:hAnsi="Arial" w:cs="Arial"/>
          <w:sz w:val="22"/>
          <w:szCs w:val="22"/>
        </w:rPr>
        <w:t>Therefore, as an educator, I aspire to strike a balance between leveraging extrinsic motivators, like rewards and gamification, and promoting intrinsic motivation by encouraging students to make choices about their learning. This approach aims to inspire a genuine interest in the subject matter while also acknowledging and appreciating external rewards. By integrating intrinsic and extrinsic motivational elements, I aim to create a dynamic and effective learning environment that cultivates my students' lifelong love for learning.</w:t>
      </w:r>
    </w:p>
    <w:p w14:paraId="0000007F" w14:textId="77777777" w:rsidR="00A53DAF" w:rsidRDefault="00A53DAF">
      <w:pPr>
        <w:rPr>
          <w:rFonts w:ascii="Arial" w:eastAsia="Arial" w:hAnsi="Arial" w:cs="Arial"/>
          <w:b/>
          <w:sz w:val="22"/>
          <w:szCs w:val="22"/>
        </w:rPr>
      </w:pPr>
    </w:p>
    <w:p w14:paraId="00000080" w14:textId="77777777" w:rsidR="00A53DAF" w:rsidRDefault="00A53DAF">
      <w:pPr>
        <w:rPr>
          <w:rFonts w:ascii="Arial" w:eastAsia="Arial" w:hAnsi="Arial" w:cs="Arial"/>
          <w:b/>
          <w:sz w:val="22"/>
          <w:szCs w:val="22"/>
        </w:rPr>
      </w:pPr>
    </w:p>
    <w:p w14:paraId="00000081" w14:textId="77777777" w:rsidR="00A53DAF" w:rsidRDefault="00A53DAF">
      <w:pPr>
        <w:rPr>
          <w:rFonts w:ascii="Arial" w:eastAsia="Arial" w:hAnsi="Arial" w:cs="Arial"/>
          <w:b/>
          <w:sz w:val="22"/>
          <w:szCs w:val="22"/>
        </w:rPr>
      </w:pPr>
    </w:p>
    <w:p w14:paraId="00000082" w14:textId="77777777" w:rsidR="00A53DAF" w:rsidRDefault="00A53DAF">
      <w:pPr>
        <w:rPr>
          <w:rFonts w:ascii="Arial" w:eastAsia="Arial" w:hAnsi="Arial" w:cs="Arial"/>
          <w:b/>
          <w:sz w:val="22"/>
          <w:szCs w:val="22"/>
        </w:rPr>
      </w:pPr>
    </w:p>
    <w:p w14:paraId="00000083" w14:textId="77777777" w:rsidR="00A53DAF" w:rsidRDefault="00A53DAF">
      <w:pPr>
        <w:rPr>
          <w:rFonts w:ascii="Arial" w:eastAsia="Arial" w:hAnsi="Arial" w:cs="Arial"/>
          <w:b/>
          <w:sz w:val="22"/>
          <w:szCs w:val="22"/>
        </w:rPr>
      </w:pPr>
    </w:p>
    <w:p w14:paraId="00000084" w14:textId="77777777" w:rsidR="00A53DAF" w:rsidRDefault="00A53DAF">
      <w:pPr>
        <w:rPr>
          <w:rFonts w:ascii="Arial" w:eastAsia="Arial" w:hAnsi="Arial" w:cs="Arial"/>
          <w:b/>
          <w:sz w:val="22"/>
          <w:szCs w:val="22"/>
        </w:rPr>
      </w:pPr>
    </w:p>
    <w:p w14:paraId="00000085" w14:textId="77777777" w:rsidR="00A53DAF" w:rsidRDefault="00A53DAF">
      <w:pPr>
        <w:rPr>
          <w:rFonts w:ascii="Arial" w:eastAsia="Arial" w:hAnsi="Arial" w:cs="Arial"/>
          <w:b/>
          <w:sz w:val="22"/>
          <w:szCs w:val="22"/>
        </w:rPr>
      </w:pPr>
    </w:p>
    <w:p w14:paraId="00000086" w14:textId="77777777" w:rsidR="00A53DAF" w:rsidRDefault="00A53DAF">
      <w:pPr>
        <w:rPr>
          <w:rFonts w:ascii="Arial" w:eastAsia="Arial" w:hAnsi="Arial" w:cs="Arial"/>
          <w:b/>
          <w:sz w:val="22"/>
          <w:szCs w:val="22"/>
        </w:rPr>
      </w:pPr>
    </w:p>
    <w:p w14:paraId="00000087" w14:textId="77777777" w:rsidR="00A53DAF" w:rsidRDefault="00A53DAF">
      <w:pPr>
        <w:rPr>
          <w:rFonts w:ascii="Arial" w:eastAsia="Arial" w:hAnsi="Arial" w:cs="Arial"/>
          <w:b/>
          <w:sz w:val="22"/>
          <w:szCs w:val="22"/>
        </w:rPr>
      </w:pPr>
    </w:p>
    <w:p w14:paraId="00000088" w14:textId="77777777" w:rsidR="00A53DAF" w:rsidRDefault="00A53DAF">
      <w:pPr>
        <w:rPr>
          <w:rFonts w:ascii="Arial" w:eastAsia="Arial" w:hAnsi="Arial" w:cs="Arial"/>
          <w:b/>
          <w:sz w:val="22"/>
          <w:szCs w:val="22"/>
        </w:rPr>
      </w:pPr>
    </w:p>
    <w:p w14:paraId="00000089" w14:textId="77777777" w:rsidR="00A53DAF" w:rsidRDefault="00A53DAF">
      <w:pPr>
        <w:rPr>
          <w:rFonts w:ascii="Arial" w:eastAsia="Arial" w:hAnsi="Arial" w:cs="Arial"/>
          <w:b/>
          <w:sz w:val="22"/>
          <w:szCs w:val="22"/>
        </w:rPr>
      </w:pPr>
    </w:p>
    <w:p w14:paraId="0000008A" w14:textId="77777777" w:rsidR="00A53DAF" w:rsidRDefault="00A53DAF">
      <w:pPr>
        <w:rPr>
          <w:rFonts w:ascii="Arial" w:eastAsia="Arial" w:hAnsi="Arial" w:cs="Arial"/>
          <w:b/>
          <w:sz w:val="22"/>
          <w:szCs w:val="22"/>
        </w:rPr>
      </w:pPr>
    </w:p>
    <w:p w14:paraId="0000008B" w14:textId="77777777" w:rsidR="00A53DAF" w:rsidRDefault="00A53DAF">
      <w:pPr>
        <w:rPr>
          <w:rFonts w:ascii="Arial" w:eastAsia="Arial" w:hAnsi="Arial" w:cs="Arial"/>
          <w:b/>
          <w:sz w:val="22"/>
          <w:szCs w:val="22"/>
        </w:rPr>
      </w:pPr>
    </w:p>
    <w:p w14:paraId="0000008C" w14:textId="77777777" w:rsidR="00A53DAF" w:rsidRDefault="00A53DAF">
      <w:pPr>
        <w:rPr>
          <w:rFonts w:ascii="Arial" w:eastAsia="Arial" w:hAnsi="Arial" w:cs="Arial"/>
          <w:b/>
          <w:sz w:val="22"/>
          <w:szCs w:val="22"/>
        </w:rPr>
      </w:pPr>
    </w:p>
    <w:p w14:paraId="0000008D" w14:textId="77777777" w:rsidR="00A53DAF" w:rsidRDefault="00A53DAF">
      <w:pPr>
        <w:rPr>
          <w:rFonts w:ascii="Arial" w:eastAsia="Arial" w:hAnsi="Arial" w:cs="Arial"/>
          <w:b/>
          <w:sz w:val="22"/>
          <w:szCs w:val="22"/>
        </w:rPr>
      </w:pPr>
    </w:p>
    <w:p w14:paraId="0000008E" w14:textId="77777777" w:rsidR="00A53DAF" w:rsidRDefault="00A53DAF">
      <w:pPr>
        <w:rPr>
          <w:rFonts w:ascii="Arial" w:eastAsia="Arial" w:hAnsi="Arial" w:cs="Arial"/>
          <w:b/>
          <w:sz w:val="22"/>
          <w:szCs w:val="22"/>
        </w:rPr>
      </w:pPr>
    </w:p>
    <w:p w14:paraId="0000008F" w14:textId="77777777" w:rsidR="00A53DAF" w:rsidRDefault="00A53DAF">
      <w:pPr>
        <w:rPr>
          <w:rFonts w:ascii="Arial" w:eastAsia="Arial" w:hAnsi="Arial" w:cs="Arial"/>
          <w:b/>
          <w:sz w:val="22"/>
          <w:szCs w:val="22"/>
        </w:rPr>
      </w:pPr>
    </w:p>
    <w:p w14:paraId="00000090" w14:textId="77777777" w:rsidR="00A53DAF" w:rsidRDefault="00A53DAF">
      <w:pPr>
        <w:rPr>
          <w:rFonts w:ascii="Arial" w:eastAsia="Arial" w:hAnsi="Arial" w:cs="Arial"/>
          <w:b/>
          <w:sz w:val="22"/>
          <w:szCs w:val="22"/>
        </w:rPr>
      </w:pPr>
    </w:p>
    <w:p w14:paraId="00000091" w14:textId="77777777" w:rsidR="00A53DAF" w:rsidRDefault="00A53DAF">
      <w:pPr>
        <w:rPr>
          <w:rFonts w:ascii="Arial" w:eastAsia="Arial" w:hAnsi="Arial" w:cs="Arial"/>
          <w:b/>
          <w:sz w:val="22"/>
          <w:szCs w:val="22"/>
        </w:rPr>
      </w:pPr>
    </w:p>
    <w:p w14:paraId="00000092" w14:textId="77777777" w:rsidR="00A53DAF" w:rsidRDefault="00A53DAF">
      <w:pPr>
        <w:rPr>
          <w:rFonts w:ascii="Arial" w:eastAsia="Arial" w:hAnsi="Arial" w:cs="Arial"/>
          <w:b/>
          <w:sz w:val="22"/>
          <w:szCs w:val="22"/>
        </w:rPr>
      </w:pPr>
    </w:p>
    <w:p w14:paraId="00000093" w14:textId="77777777" w:rsidR="00A53DAF" w:rsidRDefault="00A53DAF">
      <w:pPr>
        <w:rPr>
          <w:rFonts w:ascii="Arial" w:eastAsia="Arial" w:hAnsi="Arial" w:cs="Arial"/>
          <w:b/>
          <w:sz w:val="22"/>
          <w:szCs w:val="22"/>
        </w:rPr>
      </w:pPr>
    </w:p>
    <w:p w14:paraId="00000094" w14:textId="77777777" w:rsidR="00A53DAF" w:rsidRDefault="00A53DAF">
      <w:pPr>
        <w:rPr>
          <w:rFonts w:ascii="Arial" w:eastAsia="Arial" w:hAnsi="Arial" w:cs="Arial"/>
          <w:b/>
          <w:sz w:val="22"/>
          <w:szCs w:val="22"/>
        </w:rPr>
      </w:pPr>
    </w:p>
    <w:p w14:paraId="00000095" w14:textId="77777777" w:rsidR="00A53DAF" w:rsidRDefault="00A53DAF">
      <w:pPr>
        <w:rPr>
          <w:rFonts w:ascii="Arial" w:eastAsia="Arial" w:hAnsi="Arial" w:cs="Arial"/>
          <w:b/>
          <w:sz w:val="22"/>
          <w:szCs w:val="22"/>
        </w:rPr>
      </w:pPr>
    </w:p>
    <w:p w14:paraId="00000096" w14:textId="77777777" w:rsidR="00A53DAF" w:rsidRDefault="00A53DAF">
      <w:pPr>
        <w:rPr>
          <w:rFonts w:ascii="Arial" w:eastAsia="Arial" w:hAnsi="Arial" w:cs="Arial"/>
          <w:b/>
          <w:sz w:val="22"/>
          <w:szCs w:val="22"/>
        </w:rPr>
      </w:pPr>
    </w:p>
    <w:p w14:paraId="00000097" w14:textId="77777777" w:rsidR="00A53DAF" w:rsidRDefault="00A53DAF">
      <w:pPr>
        <w:rPr>
          <w:rFonts w:ascii="Arial" w:eastAsia="Arial" w:hAnsi="Arial" w:cs="Arial"/>
          <w:b/>
          <w:sz w:val="22"/>
          <w:szCs w:val="22"/>
        </w:rPr>
      </w:pPr>
    </w:p>
    <w:p w14:paraId="00000098" w14:textId="77777777" w:rsidR="00A53DAF" w:rsidRDefault="00A53DAF">
      <w:pPr>
        <w:rPr>
          <w:rFonts w:ascii="Arial" w:eastAsia="Arial" w:hAnsi="Arial" w:cs="Arial"/>
          <w:b/>
          <w:sz w:val="22"/>
          <w:szCs w:val="22"/>
        </w:rPr>
      </w:pPr>
    </w:p>
    <w:p w14:paraId="00000099" w14:textId="77777777" w:rsidR="00A53DAF" w:rsidRDefault="00A53DAF">
      <w:pPr>
        <w:rPr>
          <w:rFonts w:ascii="Arial" w:eastAsia="Arial" w:hAnsi="Arial" w:cs="Arial"/>
          <w:b/>
          <w:sz w:val="22"/>
          <w:szCs w:val="22"/>
        </w:rPr>
      </w:pPr>
    </w:p>
    <w:p w14:paraId="0000009A" w14:textId="77777777" w:rsidR="00A53DAF" w:rsidRDefault="00A53DAF">
      <w:pPr>
        <w:rPr>
          <w:rFonts w:ascii="Arial" w:eastAsia="Arial" w:hAnsi="Arial" w:cs="Arial"/>
          <w:b/>
          <w:sz w:val="22"/>
          <w:szCs w:val="22"/>
        </w:rPr>
      </w:pPr>
    </w:p>
    <w:p w14:paraId="0000009B" w14:textId="77777777" w:rsidR="00A53DAF" w:rsidRDefault="00000000">
      <w:pPr>
        <w:pBdr>
          <w:top w:val="nil"/>
          <w:left w:val="nil"/>
          <w:bottom w:val="nil"/>
          <w:right w:val="nil"/>
          <w:between w:val="nil"/>
        </w:pBdr>
        <w:spacing w:after="240" w:line="360" w:lineRule="auto"/>
        <w:rPr>
          <w:rFonts w:ascii="Arial" w:eastAsia="Arial" w:hAnsi="Arial" w:cs="Arial"/>
          <w:b/>
          <w:color w:val="000000"/>
          <w:sz w:val="22"/>
          <w:szCs w:val="22"/>
        </w:rPr>
      </w:pPr>
      <w:r>
        <w:rPr>
          <w:rFonts w:ascii="Arial" w:eastAsia="Arial" w:hAnsi="Arial" w:cs="Arial"/>
          <w:b/>
          <w:color w:val="000000"/>
          <w:sz w:val="22"/>
          <w:szCs w:val="22"/>
        </w:rPr>
        <w:t>Reference list</w:t>
      </w:r>
    </w:p>
    <w:p w14:paraId="0000009C"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Dewey, J. (1933). </w:t>
      </w:r>
      <w:r>
        <w:rPr>
          <w:rFonts w:ascii="Arial" w:eastAsia="Arial" w:hAnsi="Arial" w:cs="Arial"/>
          <w:i/>
          <w:color w:val="000000"/>
          <w:sz w:val="22"/>
          <w:szCs w:val="22"/>
        </w:rPr>
        <w:t>How We Think</w:t>
      </w:r>
      <w:r>
        <w:rPr>
          <w:rFonts w:ascii="Arial" w:eastAsia="Arial" w:hAnsi="Arial" w:cs="Arial"/>
          <w:color w:val="000000"/>
          <w:sz w:val="22"/>
          <w:szCs w:val="22"/>
        </w:rPr>
        <w:t>. London: Heath.</w:t>
      </w:r>
    </w:p>
    <w:p w14:paraId="0000009D"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proofErr w:type="gramStart"/>
      <w:r>
        <w:rPr>
          <w:rFonts w:ascii="Arial" w:eastAsia="Arial" w:hAnsi="Arial" w:cs="Arial"/>
          <w:color w:val="000000"/>
          <w:sz w:val="22"/>
          <w:szCs w:val="22"/>
        </w:rPr>
        <w:t>Donaldson ,</w:t>
      </w:r>
      <w:proofErr w:type="gramEnd"/>
      <w:r>
        <w:rPr>
          <w:rFonts w:ascii="Arial" w:eastAsia="Arial" w:hAnsi="Arial" w:cs="Arial"/>
          <w:color w:val="000000"/>
          <w:sz w:val="22"/>
          <w:szCs w:val="22"/>
        </w:rPr>
        <w:t xml:space="preserve"> G. (2021). </w:t>
      </w:r>
      <w:r>
        <w:rPr>
          <w:rFonts w:ascii="Arial" w:eastAsia="Arial" w:hAnsi="Arial" w:cs="Arial"/>
          <w:i/>
          <w:color w:val="000000"/>
          <w:sz w:val="22"/>
          <w:szCs w:val="22"/>
        </w:rPr>
        <w:t>Summary of legislation - Hwb</w:t>
      </w:r>
      <w:r>
        <w:rPr>
          <w:rFonts w:ascii="Arial" w:eastAsia="Arial" w:hAnsi="Arial" w:cs="Arial"/>
          <w:color w:val="000000"/>
          <w:sz w:val="22"/>
          <w:szCs w:val="22"/>
        </w:rPr>
        <w:t xml:space="preserve">. [online] </w:t>
      </w:r>
      <w:proofErr w:type="gramStart"/>
      <w:r>
        <w:rPr>
          <w:rFonts w:ascii="Arial" w:eastAsia="Arial" w:hAnsi="Arial" w:cs="Arial"/>
          <w:color w:val="000000"/>
          <w:sz w:val="22"/>
          <w:szCs w:val="22"/>
        </w:rPr>
        <w:t>hwb.gov.wales</w:t>
      </w:r>
      <w:proofErr w:type="gramEnd"/>
      <w:r>
        <w:rPr>
          <w:rFonts w:ascii="Arial" w:eastAsia="Arial" w:hAnsi="Arial" w:cs="Arial"/>
          <w:color w:val="000000"/>
          <w:sz w:val="22"/>
          <w:szCs w:val="22"/>
        </w:rPr>
        <w:t>. Available at: https://hwb.gov.wales/curriculum-for-wales/summary-of-legislation/.</w:t>
      </w:r>
    </w:p>
    <w:p w14:paraId="0000009E"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Estyn (2023). </w:t>
      </w:r>
      <w:r>
        <w:rPr>
          <w:rFonts w:ascii="Arial" w:eastAsia="Arial" w:hAnsi="Arial" w:cs="Arial"/>
          <w:i/>
          <w:color w:val="000000"/>
          <w:sz w:val="22"/>
          <w:szCs w:val="22"/>
        </w:rPr>
        <w:t>A report on St Thomas Community Primary School Grenfell Park Road St Thomas Swansea SA1 8EZ Date of inspection: March 2023 by Estyn, His Majesty’s Inspectorate for Education and Training in Wales</w:t>
      </w:r>
      <w:r>
        <w:rPr>
          <w:rFonts w:ascii="Arial" w:eastAsia="Arial" w:hAnsi="Arial" w:cs="Arial"/>
          <w:color w:val="000000"/>
          <w:sz w:val="22"/>
          <w:szCs w:val="22"/>
        </w:rPr>
        <w:t>. [online] Available at: https://www.estyn.gov.wales/system/files/2023-04/Inspection%20report%20St%20Thomas%20Community%20Primary%20School%202023.pdf.</w:t>
      </w:r>
    </w:p>
    <w:p w14:paraId="0000009F"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Gray, C. and MacBlain, S. (2015). </w:t>
      </w:r>
      <w:r>
        <w:rPr>
          <w:rFonts w:ascii="Arial" w:eastAsia="Arial" w:hAnsi="Arial" w:cs="Arial"/>
          <w:i/>
          <w:color w:val="000000"/>
          <w:sz w:val="22"/>
          <w:szCs w:val="22"/>
        </w:rPr>
        <w:t>Learning Theories in Childhood</w:t>
      </w:r>
      <w:r>
        <w:rPr>
          <w:rFonts w:ascii="Arial" w:eastAsia="Arial" w:hAnsi="Arial" w:cs="Arial"/>
          <w:color w:val="000000"/>
          <w:sz w:val="22"/>
          <w:szCs w:val="22"/>
        </w:rPr>
        <w:t>. 2nd ed. SAGE.</w:t>
      </w:r>
    </w:p>
    <w:p w14:paraId="000000A0"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Ivan Petrovich Pavlov and Anrep, G.V. (2003). </w:t>
      </w:r>
      <w:r>
        <w:rPr>
          <w:rFonts w:ascii="Arial" w:eastAsia="Arial" w:hAnsi="Arial" w:cs="Arial"/>
          <w:i/>
          <w:color w:val="000000"/>
          <w:sz w:val="22"/>
          <w:szCs w:val="22"/>
        </w:rPr>
        <w:t>Conditioned reflexes</w:t>
      </w:r>
      <w:r>
        <w:rPr>
          <w:rFonts w:ascii="Arial" w:eastAsia="Arial" w:hAnsi="Arial" w:cs="Arial"/>
          <w:color w:val="000000"/>
          <w:sz w:val="22"/>
          <w:szCs w:val="22"/>
        </w:rPr>
        <w:t>. Mineola, N.Y.: Dover Publications.</w:t>
      </w:r>
    </w:p>
    <w:p w14:paraId="000000A1"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Kolb, D.A. (1984). </w:t>
      </w:r>
      <w:r>
        <w:rPr>
          <w:rFonts w:ascii="Arial" w:eastAsia="Arial" w:hAnsi="Arial" w:cs="Arial"/>
          <w:i/>
          <w:color w:val="000000"/>
          <w:sz w:val="22"/>
          <w:szCs w:val="22"/>
        </w:rPr>
        <w:t>Experiential Learning: Experience as the Source of Learning and Development</w:t>
      </w:r>
      <w:r>
        <w:rPr>
          <w:rFonts w:ascii="Arial" w:eastAsia="Arial" w:hAnsi="Arial" w:cs="Arial"/>
          <w:color w:val="000000"/>
          <w:sz w:val="22"/>
          <w:szCs w:val="22"/>
        </w:rPr>
        <w:t>. 2nd ed. Upper Saddle River, New Jersey: Pearson Education, Inc.</w:t>
      </w:r>
    </w:p>
    <w:p w14:paraId="000000A2"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Ryan, R.M. and Deci, E.L. (2018). </w:t>
      </w:r>
      <w:r>
        <w:rPr>
          <w:rFonts w:ascii="Arial" w:eastAsia="Arial" w:hAnsi="Arial" w:cs="Arial"/>
          <w:i/>
          <w:color w:val="000000"/>
          <w:sz w:val="22"/>
          <w:szCs w:val="22"/>
        </w:rPr>
        <w:t>Self-determination theory: Basic psychological needs in motivation, development, and wellness</w:t>
      </w:r>
      <w:r>
        <w:rPr>
          <w:rFonts w:ascii="Arial" w:eastAsia="Arial" w:hAnsi="Arial" w:cs="Arial"/>
          <w:color w:val="000000"/>
          <w:sz w:val="22"/>
          <w:szCs w:val="22"/>
        </w:rPr>
        <w:t>. 1st ed. New York: Guilford Press.</w:t>
      </w:r>
    </w:p>
    <w:p w14:paraId="000000A3"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Schön, D.A. (1983). </w:t>
      </w:r>
      <w:r>
        <w:rPr>
          <w:rFonts w:ascii="Arial" w:eastAsia="Arial" w:hAnsi="Arial" w:cs="Arial"/>
          <w:i/>
          <w:color w:val="000000"/>
          <w:sz w:val="22"/>
          <w:szCs w:val="22"/>
        </w:rPr>
        <w:t>The Reflective Practitioner: How Professionals Think in action.</w:t>
      </w:r>
      <w:r>
        <w:rPr>
          <w:rFonts w:ascii="Arial" w:eastAsia="Arial" w:hAnsi="Arial" w:cs="Arial"/>
          <w:color w:val="000000"/>
          <w:sz w:val="22"/>
          <w:szCs w:val="22"/>
        </w:rPr>
        <w:t xml:space="preserve"> London: Temple Smith.</w:t>
      </w:r>
    </w:p>
    <w:p w14:paraId="000000A4"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Schunk, D.H., Meece, J.L. and Pintrich, P.R. (2014). </w:t>
      </w:r>
      <w:r>
        <w:rPr>
          <w:rFonts w:ascii="Arial" w:eastAsia="Arial" w:hAnsi="Arial" w:cs="Arial"/>
          <w:i/>
          <w:color w:val="000000"/>
          <w:sz w:val="22"/>
          <w:szCs w:val="22"/>
        </w:rPr>
        <w:t xml:space="preserve">Motivation in </w:t>
      </w:r>
      <w:proofErr w:type="gramStart"/>
      <w:r>
        <w:rPr>
          <w:rFonts w:ascii="Arial" w:eastAsia="Arial" w:hAnsi="Arial" w:cs="Arial"/>
          <w:i/>
          <w:color w:val="000000"/>
          <w:sz w:val="22"/>
          <w:szCs w:val="22"/>
        </w:rPr>
        <w:t>education :</w:t>
      </w:r>
      <w:proofErr w:type="gramEnd"/>
      <w:r>
        <w:rPr>
          <w:rFonts w:ascii="Arial" w:eastAsia="Arial" w:hAnsi="Arial" w:cs="Arial"/>
          <w:i/>
          <w:color w:val="000000"/>
          <w:sz w:val="22"/>
          <w:szCs w:val="22"/>
        </w:rPr>
        <w:t xml:space="preserve"> theory, research, and applications</w:t>
      </w:r>
      <w:r>
        <w:rPr>
          <w:rFonts w:ascii="Arial" w:eastAsia="Arial" w:hAnsi="Arial" w:cs="Arial"/>
          <w:color w:val="000000"/>
          <w:sz w:val="22"/>
          <w:szCs w:val="22"/>
        </w:rPr>
        <w:t>. Boston: Pearson Education Ltd.</w:t>
      </w:r>
    </w:p>
    <w:p w14:paraId="000000A5"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Skinner, B.F. (1988). </w:t>
      </w:r>
      <w:r>
        <w:rPr>
          <w:rFonts w:ascii="Arial" w:eastAsia="Arial" w:hAnsi="Arial" w:cs="Arial"/>
          <w:i/>
          <w:color w:val="000000"/>
          <w:sz w:val="22"/>
          <w:szCs w:val="22"/>
        </w:rPr>
        <w:t xml:space="preserve">The selection of </w:t>
      </w:r>
      <w:proofErr w:type="gramStart"/>
      <w:r>
        <w:rPr>
          <w:rFonts w:ascii="Arial" w:eastAsia="Arial" w:hAnsi="Arial" w:cs="Arial"/>
          <w:i/>
          <w:color w:val="000000"/>
          <w:sz w:val="22"/>
          <w:szCs w:val="22"/>
        </w:rPr>
        <w:t>behavior :</w:t>
      </w:r>
      <w:proofErr w:type="gramEnd"/>
      <w:r>
        <w:rPr>
          <w:rFonts w:ascii="Arial" w:eastAsia="Arial" w:hAnsi="Arial" w:cs="Arial"/>
          <w:i/>
          <w:color w:val="000000"/>
          <w:sz w:val="22"/>
          <w:szCs w:val="22"/>
        </w:rPr>
        <w:t xml:space="preserve"> the operant behaviorism of B.F. Skinner : comments and consequences</w:t>
      </w:r>
      <w:r>
        <w:rPr>
          <w:rFonts w:ascii="Arial" w:eastAsia="Arial" w:hAnsi="Arial" w:cs="Arial"/>
          <w:color w:val="000000"/>
          <w:sz w:val="22"/>
          <w:szCs w:val="22"/>
        </w:rPr>
        <w:t>. Cambridge: Cambridge University Press.</w:t>
      </w:r>
    </w:p>
    <w:p w14:paraId="000000A6"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lastRenderedPageBreak/>
        <w:t xml:space="preserve">Tripp, D. (1993). </w:t>
      </w:r>
      <w:r>
        <w:rPr>
          <w:rFonts w:ascii="Arial" w:eastAsia="Arial" w:hAnsi="Arial" w:cs="Arial"/>
          <w:i/>
          <w:color w:val="000000"/>
          <w:sz w:val="22"/>
          <w:szCs w:val="22"/>
        </w:rPr>
        <w:t>Critical Incidents in teaching: Developing Professional Judgement</w:t>
      </w:r>
      <w:r>
        <w:rPr>
          <w:rFonts w:ascii="Arial" w:eastAsia="Arial" w:hAnsi="Arial" w:cs="Arial"/>
          <w:color w:val="000000"/>
          <w:sz w:val="22"/>
          <w:szCs w:val="22"/>
        </w:rPr>
        <w:t>. London: Routledge.</w:t>
      </w:r>
    </w:p>
    <w:p w14:paraId="000000A7" w14:textId="77777777" w:rsidR="00A53DAF" w:rsidRDefault="00000000">
      <w:pPr>
        <w:pBdr>
          <w:top w:val="nil"/>
          <w:left w:val="nil"/>
          <w:bottom w:val="nil"/>
          <w:right w:val="nil"/>
          <w:between w:val="nil"/>
        </w:pBdr>
        <w:spacing w:after="240" w:line="360" w:lineRule="auto"/>
        <w:rPr>
          <w:rFonts w:ascii="Arial" w:eastAsia="Arial" w:hAnsi="Arial" w:cs="Arial"/>
          <w:color w:val="000000"/>
          <w:sz w:val="22"/>
          <w:szCs w:val="22"/>
        </w:rPr>
      </w:pPr>
      <w:r>
        <w:rPr>
          <w:rFonts w:ascii="Arial" w:eastAsia="Arial" w:hAnsi="Arial" w:cs="Arial"/>
          <w:color w:val="000000"/>
          <w:sz w:val="22"/>
          <w:szCs w:val="22"/>
        </w:rPr>
        <w:t xml:space="preserve">Welsh Government (2020). </w:t>
      </w:r>
      <w:r>
        <w:rPr>
          <w:rFonts w:ascii="Arial" w:eastAsia="Arial" w:hAnsi="Arial" w:cs="Arial"/>
          <w:i/>
          <w:color w:val="000000"/>
          <w:sz w:val="22"/>
          <w:szCs w:val="22"/>
        </w:rPr>
        <w:t>Developing a vision for curriculum design - Hwb</w:t>
      </w:r>
      <w:r>
        <w:rPr>
          <w:rFonts w:ascii="Arial" w:eastAsia="Arial" w:hAnsi="Arial" w:cs="Arial"/>
          <w:color w:val="000000"/>
          <w:sz w:val="22"/>
          <w:szCs w:val="22"/>
        </w:rPr>
        <w:t xml:space="preserve">. [online] </w:t>
      </w:r>
      <w:proofErr w:type="gramStart"/>
      <w:r>
        <w:rPr>
          <w:rFonts w:ascii="Arial" w:eastAsia="Arial" w:hAnsi="Arial" w:cs="Arial"/>
          <w:color w:val="000000"/>
          <w:sz w:val="22"/>
          <w:szCs w:val="22"/>
        </w:rPr>
        <w:t>hwb.gov.wales</w:t>
      </w:r>
      <w:proofErr w:type="gramEnd"/>
      <w:r>
        <w:rPr>
          <w:rFonts w:ascii="Arial" w:eastAsia="Arial" w:hAnsi="Arial" w:cs="Arial"/>
          <w:color w:val="000000"/>
          <w:sz w:val="22"/>
          <w:szCs w:val="22"/>
        </w:rPr>
        <w:t>. Available at: https://hwb.gov.wales/curriculum-for-wales/designing-your-curriculum/developing-a-vision-for-curriculum-design/#curriculum-design-and-the-four-purposes</w:t>
      </w:r>
    </w:p>
    <w:p w14:paraId="000000A8" w14:textId="77777777" w:rsidR="00A53DAF" w:rsidRDefault="00A53DAF">
      <w:pPr>
        <w:rPr>
          <w:rFonts w:ascii="Arial" w:eastAsia="Arial" w:hAnsi="Arial" w:cs="Arial"/>
          <w:sz w:val="22"/>
          <w:szCs w:val="22"/>
        </w:rPr>
      </w:pPr>
    </w:p>
    <w:p w14:paraId="000000A9" w14:textId="77777777" w:rsidR="00A53DAF" w:rsidRDefault="00000000">
      <w:pPr>
        <w:rPr>
          <w:rFonts w:ascii="Arial" w:eastAsia="Arial" w:hAnsi="Arial" w:cs="Arial"/>
          <w:b/>
          <w:sz w:val="22"/>
          <w:szCs w:val="22"/>
        </w:rPr>
      </w:pPr>
      <w:r>
        <w:rPr>
          <w:rFonts w:ascii="Arial" w:eastAsia="Arial" w:hAnsi="Arial" w:cs="Arial"/>
          <w:b/>
          <w:sz w:val="22"/>
          <w:szCs w:val="22"/>
        </w:rPr>
        <w:t xml:space="preserve">Appendix A </w:t>
      </w:r>
    </w:p>
    <w:p w14:paraId="000000AA" w14:textId="77777777" w:rsidR="00A53DAF" w:rsidRDefault="00A53DAF">
      <w:pPr>
        <w:rPr>
          <w:rFonts w:ascii="Arial" w:eastAsia="Arial" w:hAnsi="Arial" w:cs="Arial"/>
          <w:sz w:val="22"/>
          <w:szCs w:val="22"/>
        </w:rPr>
      </w:pPr>
    </w:p>
    <w:p w14:paraId="000000AB" w14:textId="77777777" w:rsidR="00A53DAF" w:rsidRDefault="00000000">
      <w:pPr>
        <w:rPr>
          <w:rFonts w:ascii="Arial" w:eastAsia="Arial" w:hAnsi="Arial" w:cs="Arial"/>
          <w:sz w:val="22"/>
          <w:szCs w:val="22"/>
        </w:rPr>
      </w:pPr>
      <w:r>
        <w:rPr>
          <w:rFonts w:ascii="Arial" w:eastAsia="Arial" w:hAnsi="Arial" w:cs="Arial"/>
          <w:sz w:val="22"/>
          <w:szCs w:val="22"/>
        </w:rPr>
        <w:t xml:space="preserve">Date, </w:t>
      </w:r>
      <w:proofErr w:type="gramStart"/>
      <w:r>
        <w:rPr>
          <w:rFonts w:ascii="Arial" w:eastAsia="Arial" w:hAnsi="Arial" w:cs="Arial"/>
          <w:sz w:val="22"/>
          <w:szCs w:val="22"/>
        </w:rPr>
        <w:t>time</w:t>
      </w:r>
      <w:proofErr w:type="gramEnd"/>
      <w:r>
        <w:rPr>
          <w:rFonts w:ascii="Arial" w:eastAsia="Arial" w:hAnsi="Arial" w:cs="Arial"/>
          <w:sz w:val="22"/>
          <w:szCs w:val="22"/>
        </w:rPr>
        <w:t xml:space="preserve"> and year group </w:t>
      </w:r>
    </w:p>
    <w:p w14:paraId="000000AC" w14:textId="77777777" w:rsidR="00A53DAF" w:rsidRDefault="00A53DAF">
      <w:pPr>
        <w:rPr>
          <w:rFonts w:ascii="Arial" w:eastAsia="Arial" w:hAnsi="Arial" w:cs="Arial"/>
          <w:sz w:val="22"/>
          <w:szCs w:val="22"/>
        </w:rPr>
      </w:pPr>
    </w:p>
    <w:p w14:paraId="000000AD" w14:textId="77777777" w:rsidR="00A53DAF" w:rsidRDefault="00000000">
      <w:pPr>
        <w:rPr>
          <w:rFonts w:ascii="Arial" w:eastAsia="Arial" w:hAnsi="Arial" w:cs="Arial"/>
          <w:sz w:val="22"/>
          <w:szCs w:val="22"/>
        </w:rPr>
      </w:pPr>
      <w:r>
        <w:rPr>
          <w:rFonts w:ascii="Arial" w:eastAsia="Arial" w:hAnsi="Arial" w:cs="Arial"/>
          <w:sz w:val="22"/>
          <w:szCs w:val="22"/>
        </w:rPr>
        <w:t xml:space="preserve">Year 4 class 9:30am </w:t>
      </w:r>
    </w:p>
    <w:p w14:paraId="000000AE" w14:textId="77777777" w:rsidR="00A53DAF" w:rsidRDefault="00A53DAF">
      <w:pPr>
        <w:rPr>
          <w:rFonts w:ascii="Arial" w:eastAsia="Arial" w:hAnsi="Arial" w:cs="Arial"/>
          <w:sz w:val="22"/>
          <w:szCs w:val="22"/>
        </w:rPr>
      </w:pPr>
    </w:p>
    <w:p w14:paraId="000000AF" w14:textId="77777777" w:rsidR="00A53DAF" w:rsidRDefault="00A53DAF">
      <w:pPr>
        <w:rPr>
          <w:rFonts w:ascii="Arial" w:eastAsia="Arial" w:hAnsi="Arial" w:cs="Arial"/>
          <w:sz w:val="22"/>
          <w:szCs w:val="22"/>
        </w:rPr>
      </w:pPr>
    </w:p>
    <w:p w14:paraId="000000B0" w14:textId="77777777" w:rsidR="00A53DAF" w:rsidRDefault="00000000">
      <w:pPr>
        <w:rPr>
          <w:rFonts w:ascii="Arial" w:eastAsia="Arial" w:hAnsi="Arial" w:cs="Arial"/>
          <w:sz w:val="22"/>
          <w:szCs w:val="22"/>
        </w:rPr>
      </w:pPr>
      <w:r>
        <w:rPr>
          <w:rFonts w:ascii="Arial" w:eastAsia="Arial" w:hAnsi="Arial" w:cs="Arial"/>
          <w:sz w:val="22"/>
          <w:szCs w:val="22"/>
        </w:rPr>
        <w:t xml:space="preserve">Where and when. </w:t>
      </w:r>
    </w:p>
    <w:p w14:paraId="000000B1" w14:textId="77777777" w:rsidR="00A53DAF" w:rsidRDefault="00A53DAF">
      <w:pPr>
        <w:rPr>
          <w:rFonts w:ascii="Arial" w:eastAsia="Arial" w:hAnsi="Arial" w:cs="Arial"/>
          <w:sz w:val="22"/>
          <w:szCs w:val="22"/>
        </w:rPr>
      </w:pPr>
    </w:p>
    <w:p w14:paraId="000000B2" w14:textId="77777777" w:rsidR="00A53DAF" w:rsidRDefault="00000000">
      <w:pPr>
        <w:rPr>
          <w:rFonts w:ascii="Arial" w:eastAsia="Arial" w:hAnsi="Arial" w:cs="Arial"/>
          <w:sz w:val="22"/>
          <w:szCs w:val="22"/>
        </w:rPr>
      </w:pPr>
      <w:r>
        <w:rPr>
          <w:rFonts w:ascii="Arial" w:eastAsia="Arial" w:hAnsi="Arial" w:cs="Arial"/>
          <w:sz w:val="22"/>
          <w:szCs w:val="22"/>
        </w:rPr>
        <w:t>The observed critical took place in a mainstream primary school in the local authority of Swansea.</w:t>
      </w:r>
    </w:p>
    <w:p w14:paraId="000000B3" w14:textId="77777777" w:rsidR="00A53DAF" w:rsidRDefault="00A53DAF">
      <w:pPr>
        <w:rPr>
          <w:rFonts w:ascii="Arial" w:eastAsia="Arial" w:hAnsi="Arial" w:cs="Arial"/>
          <w:sz w:val="22"/>
          <w:szCs w:val="22"/>
        </w:rPr>
      </w:pPr>
    </w:p>
    <w:p w14:paraId="000000B4" w14:textId="77777777" w:rsidR="00A53DAF" w:rsidRDefault="00A53DAF">
      <w:pPr>
        <w:rPr>
          <w:rFonts w:ascii="Arial" w:eastAsia="Arial" w:hAnsi="Arial" w:cs="Arial"/>
          <w:sz w:val="22"/>
          <w:szCs w:val="22"/>
        </w:rPr>
      </w:pPr>
    </w:p>
    <w:p w14:paraId="000000B5" w14:textId="77777777" w:rsidR="00A53DAF" w:rsidRDefault="00A53DAF">
      <w:pPr>
        <w:rPr>
          <w:rFonts w:ascii="Arial" w:eastAsia="Arial" w:hAnsi="Arial" w:cs="Arial"/>
          <w:sz w:val="22"/>
          <w:szCs w:val="22"/>
        </w:rPr>
      </w:pPr>
    </w:p>
    <w:p w14:paraId="000000B6" w14:textId="77777777" w:rsidR="00A53DAF" w:rsidRDefault="00000000">
      <w:pPr>
        <w:rPr>
          <w:rFonts w:ascii="Arial" w:eastAsia="Arial" w:hAnsi="Arial" w:cs="Arial"/>
          <w:sz w:val="22"/>
          <w:szCs w:val="22"/>
        </w:rPr>
      </w:pPr>
      <w:r>
        <w:rPr>
          <w:rFonts w:ascii="Arial" w:eastAsia="Arial" w:hAnsi="Arial" w:cs="Arial"/>
          <w:sz w:val="22"/>
          <w:szCs w:val="22"/>
        </w:rPr>
        <w:t xml:space="preserve">What happened </w:t>
      </w:r>
    </w:p>
    <w:p w14:paraId="000000B7" w14:textId="77777777" w:rsidR="00A53DAF" w:rsidRDefault="00A53DAF">
      <w:pPr>
        <w:rPr>
          <w:rFonts w:ascii="Arial" w:eastAsia="Arial" w:hAnsi="Arial" w:cs="Arial"/>
          <w:sz w:val="22"/>
          <w:szCs w:val="22"/>
        </w:rPr>
      </w:pPr>
    </w:p>
    <w:p w14:paraId="000000B8" w14:textId="77777777" w:rsidR="00A53DAF" w:rsidRDefault="00000000">
      <w:pPr>
        <w:rPr>
          <w:rFonts w:ascii="Arial" w:eastAsia="Arial" w:hAnsi="Arial" w:cs="Arial"/>
          <w:sz w:val="22"/>
          <w:szCs w:val="22"/>
        </w:rPr>
      </w:pPr>
      <w:r>
        <w:rPr>
          <w:rFonts w:ascii="Arial" w:eastAsia="Arial" w:hAnsi="Arial" w:cs="Arial"/>
          <w:sz w:val="22"/>
          <w:szCs w:val="22"/>
        </w:rPr>
        <w:t>The teacher was observed introducing a lesson in the classroom, he appeared to be assessing the existing knowledge of the children in his classroom. The children were all seated in a calm manner and appeared to be very engaged. They were putting hands up to share ideas and answer questions and no one shouted out. Following the task, the teacher told the class they had now earned one point, and the score was now 2-0 he then wrote this score onto the whiteboard at the front of the classroom.</w:t>
      </w:r>
    </w:p>
    <w:p w14:paraId="000000B9" w14:textId="77777777" w:rsidR="00A53DAF" w:rsidRDefault="00A53DAF">
      <w:pPr>
        <w:rPr>
          <w:rFonts w:ascii="Arial" w:eastAsia="Arial" w:hAnsi="Arial" w:cs="Arial"/>
          <w:sz w:val="22"/>
          <w:szCs w:val="22"/>
        </w:rPr>
      </w:pPr>
    </w:p>
    <w:p w14:paraId="000000BA" w14:textId="77777777" w:rsidR="00A53DAF" w:rsidRDefault="00A53DAF">
      <w:pPr>
        <w:rPr>
          <w:rFonts w:ascii="Arial" w:eastAsia="Arial" w:hAnsi="Arial" w:cs="Arial"/>
          <w:sz w:val="22"/>
          <w:szCs w:val="22"/>
        </w:rPr>
      </w:pPr>
    </w:p>
    <w:p w14:paraId="000000BB" w14:textId="77777777" w:rsidR="00A53DAF" w:rsidRDefault="00000000">
      <w:pPr>
        <w:rPr>
          <w:rFonts w:ascii="Arial" w:eastAsia="Arial" w:hAnsi="Arial" w:cs="Arial"/>
          <w:sz w:val="22"/>
          <w:szCs w:val="22"/>
        </w:rPr>
      </w:pPr>
      <w:r>
        <w:rPr>
          <w:rFonts w:ascii="Arial" w:eastAsia="Arial" w:hAnsi="Arial" w:cs="Arial"/>
          <w:sz w:val="22"/>
          <w:szCs w:val="22"/>
        </w:rPr>
        <w:t xml:space="preserve">Areas of possible exploration </w:t>
      </w:r>
    </w:p>
    <w:p w14:paraId="000000BC" w14:textId="77777777" w:rsidR="00A53DAF" w:rsidRDefault="00A53DAF">
      <w:pPr>
        <w:rPr>
          <w:rFonts w:ascii="Arial" w:eastAsia="Arial" w:hAnsi="Arial" w:cs="Arial"/>
          <w:sz w:val="22"/>
          <w:szCs w:val="22"/>
        </w:rPr>
      </w:pPr>
    </w:p>
    <w:p w14:paraId="000000BD" w14:textId="77777777" w:rsidR="00A53DAF" w:rsidRDefault="00000000">
      <w:pPr>
        <w:rPr>
          <w:rFonts w:ascii="Arial" w:eastAsia="Arial" w:hAnsi="Arial" w:cs="Arial"/>
          <w:sz w:val="22"/>
          <w:szCs w:val="22"/>
        </w:rPr>
      </w:pPr>
      <w:r>
        <w:rPr>
          <w:rFonts w:ascii="Arial" w:eastAsia="Arial" w:hAnsi="Arial" w:cs="Arial"/>
          <w:sz w:val="22"/>
          <w:szCs w:val="22"/>
        </w:rPr>
        <w:t>The use of class dojo as a behaviour management strategy</w:t>
      </w:r>
    </w:p>
    <w:p w14:paraId="000000BE" w14:textId="77777777" w:rsidR="00A53DAF" w:rsidRDefault="00000000">
      <w:pPr>
        <w:rPr>
          <w:rFonts w:ascii="Arial" w:eastAsia="Arial" w:hAnsi="Arial" w:cs="Arial"/>
          <w:sz w:val="22"/>
          <w:szCs w:val="22"/>
        </w:rPr>
      </w:pPr>
      <w:r>
        <w:rPr>
          <w:rFonts w:ascii="Arial" w:eastAsia="Arial" w:hAnsi="Arial" w:cs="Arial"/>
          <w:sz w:val="22"/>
          <w:szCs w:val="22"/>
        </w:rPr>
        <w:t xml:space="preserve">Theories around behaviour such as classic conditioning, operant conditioning, </w:t>
      </w:r>
    </w:p>
    <w:p w14:paraId="000000BF" w14:textId="77777777" w:rsidR="00A53DAF" w:rsidRDefault="00A53DAF">
      <w:pPr>
        <w:rPr>
          <w:rFonts w:ascii="Arial" w:eastAsia="Arial" w:hAnsi="Arial" w:cs="Arial"/>
          <w:sz w:val="22"/>
          <w:szCs w:val="22"/>
        </w:rPr>
      </w:pPr>
    </w:p>
    <w:p w14:paraId="000000C0" w14:textId="77777777" w:rsidR="00A53DAF" w:rsidRDefault="00000000">
      <w:pPr>
        <w:rPr>
          <w:rFonts w:ascii="Arial" w:eastAsia="Arial" w:hAnsi="Arial" w:cs="Arial"/>
          <w:sz w:val="22"/>
          <w:szCs w:val="22"/>
        </w:rPr>
      </w:pPr>
      <w:r>
        <w:rPr>
          <w:rFonts w:ascii="Arial" w:eastAsia="Arial" w:hAnsi="Arial" w:cs="Arial"/>
          <w:sz w:val="22"/>
          <w:szCs w:val="22"/>
        </w:rPr>
        <w:t>Notes</w:t>
      </w:r>
    </w:p>
    <w:p w14:paraId="000000C1" w14:textId="77777777" w:rsidR="00A53DAF" w:rsidRDefault="00A53DAF">
      <w:pPr>
        <w:rPr>
          <w:rFonts w:ascii="Arial" w:eastAsia="Arial" w:hAnsi="Arial" w:cs="Arial"/>
          <w:sz w:val="22"/>
          <w:szCs w:val="22"/>
        </w:rPr>
      </w:pPr>
    </w:p>
    <w:p w14:paraId="000000C2" w14:textId="77777777" w:rsidR="00A53DAF" w:rsidRDefault="00000000">
      <w:pPr>
        <w:rPr>
          <w:rFonts w:ascii="Arial" w:eastAsia="Arial" w:hAnsi="Arial" w:cs="Arial"/>
          <w:sz w:val="22"/>
          <w:szCs w:val="22"/>
        </w:rPr>
      </w:pPr>
      <w:r>
        <w:rPr>
          <w:rFonts w:ascii="Arial" w:eastAsia="Arial" w:hAnsi="Arial" w:cs="Arial"/>
          <w:sz w:val="22"/>
          <w:szCs w:val="22"/>
        </w:rPr>
        <w:t>The noise levels in classroom where low and the environment generally calm with little to no distractions</w:t>
      </w:r>
    </w:p>
    <w:p w14:paraId="000000C3" w14:textId="77777777" w:rsidR="00A53DAF" w:rsidRDefault="00A53DAF">
      <w:pPr>
        <w:rPr>
          <w:rFonts w:ascii="Arial" w:eastAsia="Arial" w:hAnsi="Arial" w:cs="Arial"/>
          <w:sz w:val="22"/>
          <w:szCs w:val="22"/>
        </w:rPr>
      </w:pPr>
    </w:p>
    <w:p w14:paraId="000000C4" w14:textId="77777777" w:rsidR="00A53DAF" w:rsidRDefault="00A53DAF">
      <w:pPr>
        <w:rPr>
          <w:rFonts w:ascii="Arial" w:eastAsia="Arial" w:hAnsi="Arial" w:cs="Arial"/>
          <w:sz w:val="22"/>
          <w:szCs w:val="22"/>
        </w:rPr>
      </w:pPr>
    </w:p>
    <w:p w14:paraId="000000C5" w14:textId="77777777" w:rsidR="00A53DAF" w:rsidRDefault="00A53DAF">
      <w:pPr>
        <w:rPr>
          <w:rFonts w:ascii="Arial" w:eastAsia="Arial" w:hAnsi="Arial" w:cs="Arial"/>
          <w:sz w:val="22"/>
          <w:szCs w:val="22"/>
        </w:rPr>
      </w:pPr>
    </w:p>
    <w:p w14:paraId="000000C6" w14:textId="77777777" w:rsidR="00A53DAF" w:rsidRDefault="00A53DAF">
      <w:pPr>
        <w:rPr>
          <w:rFonts w:ascii="Arial" w:eastAsia="Arial" w:hAnsi="Arial" w:cs="Arial"/>
          <w:sz w:val="22"/>
          <w:szCs w:val="22"/>
        </w:rPr>
      </w:pPr>
    </w:p>
    <w:sectPr w:rsidR="00A53DAF">
      <w:footerReference w:type="even" r:id="rId6"/>
      <w:foot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186BE" w14:textId="77777777" w:rsidR="00216184" w:rsidRDefault="00216184">
      <w:r>
        <w:separator/>
      </w:r>
    </w:p>
  </w:endnote>
  <w:endnote w:type="continuationSeparator" w:id="0">
    <w:p w14:paraId="2CCAA76C" w14:textId="77777777" w:rsidR="00216184" w:rsidRDefault="002161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CA" w14:textId="77777777" w:rsidR="00A53DAF"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00000CB" w14:textId="77777777" w:rsidR="00A53DAF" w:rsidRDefault="00A53DAF">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C7" w14:textId="6FCD6C34" w:rsidR="00A53DAF" w:rsidRDefault="00000000">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181702">
      <w:rPr>
        <w:noProof/>
        <w:color w:val="000000"/>
      </w:rPr>
      <w:t>1</w:t>
    </w:r>
    <w:r>
      <w:rPr>
        <w:color w:val="000000"/>
      </w:rPr>
      <w:fldChar w:fldCharType="end"/>
    </w:r>
  </w:p>
  <w:p w14:paraId="000000C8" w14:textId="77777777" w:rsidR="00A53DAF" w:rsidRDefault="00A53DAF">
    <w:pPr>
      <w:pBdr>
        <w:top w:val="nil"/>
        <w:left w:val="nil"/>
        <w:bottom w:val="nil"/>
        <w:right w:val="nil"/>
        <w:between w:val="nil"/>
      </w:pBdr>
      <w:tabs>
        <w:tab w:val="center" w:pos="4513"/>
        <w:tab w:val="right" w:pos="9026"/>
      </w:tabs>
      <w:ind w:right="360"/>
      <w:rPr>
        <w:color w:val="000000"/>
      </w:rPr>
    </w:pPr>
  </w:p>
  <w:p w14:paraId="000000C9" w14:textId="77777777" w:rsidR="00A53DAF" w:rsidRDefault="00A53DAF">
    <w:pPr>
      <w:pBdr>
        <w:top w:val="nil"/>
        <w:left w:val="nil"/>
        <w:bottom w:val="nil"/>
        <w:right w:val="nil"/>
        <w:between w:val="nil"/>
      </w:pBdr>
      <w:tabs>
        <w:tab w:val="center" w:pos="4513"/>
        <w:tab w:val="right" w:pos="9026"/>
      </w:tabs>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2D3BF" w14:textId="77777777" w:rsidR="00216184" w:rsidRDefault="00216184">
      <w:r>
        <w:separator/>
      </w:r>
    </w:p>
  </w:footnote>
  <w:footnote w:type="continuationSeparator" w:id="0">
    <w:p w14:paraId="5E445389" w14:textId="77777777" w:rsidR="00216184" w:rsidRDefault="002161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DAF"/>
    <w:rsid w:val="00181702"/>
    <w:rsid w:val="00216184"/>
    <w:rsid w:val="00A53DAF"/>
    <w:rsid w:val="00C14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BCFB38"/>
  <w15:docId w15:val="{CD037EC6-FCC9-5145-86AD-98E7062FD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outlineLvl w:val="2"/>
    </w:pPr>
    <w:rPr>
      <w:rFonts w:ascii="Times New Roman" w:eastAsia="Times New Roman" w:hAnsi="Times New Roman" w:cs="Times New Roman"/>
      <w:b/>
      <w:sz w:val="27"/>
      <w:szCs w:val="27"/>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10</Pages>
  <Words>4735</Words>
  <Characters>25479</Characters>
  <Application>Microsoft Office Word</Application>
  <DocSecurity>0</DocSecurity>
  <Lines>1158</Lines>
  <Paragraphs>296</Paragraphs>
  <ScaleCrop>false</ScaleCrop>
  <Company/>
  <LinksUpToDate>false</LinksUpToDate>
  <CharactersWithSpaces>29918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dcterms:created xsi:type="dcterms:W3CDTF">2023-10-19T11:12:00Z</dcterms:created>
  <dcterms:modified xsi:type="dcterms:W3CDTF">2023-10-19T13:04:00Z</dcterms:modified>
</cp:coreProperties>
</file>