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342A1" w:rsidRDefault="0034400B" w:rsidP="00B979B3">
      <w:pPr>
        <w:spacing w:line="360" w:lineRule="auto"/>
        <w:jc w:val="both"/>
        <w:rPr>
          <w:lang w:val="en-US"/>
        </w:rPr>
      </w:pPr>
      <w:r w:rsidRPr="0034400B">
        <w:rPr>
          <w:lang w:val="en-US"/>
        </w:rPr>
        <w:t xml:space="preserve">In up to 1500 words, offer 4 different examples of how social groups maintain order. </w:t>
      </w:r>
      <w:r>
        <w:rPr>
          <w:lang w:val="en-US"/>
        </w:rPr>
        <w:t>Explain how these methods maintain social order.</w:t>
      </w:r>
    </w:p>
    <w:p w:rsidR="00C9560F" w:rsidRDefault="00C9560F" w:rsidP="00B979B3">
      <w:pPr>
        <w:spacing w:line="360" w:lineRule="auto"/>
        <w:jc w:val="both"/>
        <w:rPr>
          <w:lang w:val="en-US"/>
        </w:rPr>
      </w:pPr>
      <w:r>
        <w:rPr>
          <w:lang w:val="en-US"/>
        </w:rPr>
        <w:t xml:space="preserve">In this essay I will discuss four different groups and how they maintain social order through different methods. The groups I’ll be using are </w:t>
      </w:r>
      <w:r w:rsidR="00C57BFB">
        <w:rPr>
          <w:lang w:val="en-US"/>
        </w:rPr>
        <w:t xml:space="preserve">the </w:t>
      </w:r>
      <w:proofErr w:type="spellStart"/>
      <w:r w:rsidR="00C57BFB">
        <w:rPr>
          <w:lang w:val="en-US"/>
        </w:rPr>
        <w:t>Mbuti</w:t>
      </w:r>
      <w:proofErr w:type="spellEnd"/>
      <w:r w:rsidR="00C57BFB">
        <w:rPr>
          <w:lang w:val="en-US"/>
        </w:rPr>
        <w:t xml:space="preserve"> and </w:t>
      </w:r>
      <w:proofErr w:type="spellStart"/>
      <w:r w:rsidR="00C57BFB">
        <w:rPr>
          <w:lang w:val="en-US"/>
        </w:rPr>
        <w:t>Ju</w:t>
      </w:r>
      <w:proofErr w:type="spellEnd"/>
      <w:r w:rsidR="00C57BFB">
        <w:rPr>
          <w:lang w:val="en-US"/>
        </w:rPr>
        <w:t>/</w:t>
      </w:r>
      <w:proofErr w:type="spellStart"/>
      <w:r w:rsidR="00C57BFB">
        <w:rPr>
          <w:lang w:val="en-US"/>
        </w:rPr>
        <w:t>Hoansi</w:t>
      </w:r>
      <w:proofErr w:type="spellEnd"/>
      <w:r w:rsidR="00C57BFB">
        <w:rPr>
          <w:lang w:val="en-US"/>
        </w:rPr>
        <w:t xml:space="preserve"> from Africa, also the </w:t>
      </w:r>
      <w:proofErr w:type="spellStart"/>
      <w:r w:rsidR="00C57BFB">
        <w:rPr>
          <w:lang w:val="en-US"/>
        </w:rPr>
        <w:t>Sambia</w:t>
      </w:r>
      <w:proofErr w:type="spellEnd"/>
      <w:r w:rsidR="00C57BFB">
        <w:rPr>
          <w:lang w:val="en-US"/>
        </w:rPr>
        <w:t xml:space="preserve"> and Trobriand islanders from Papua New Guinea. All of the groups are egalitarian but the people that control the social order are different in each of them. The means they u</w:t>
      </w:r>
      <w:r w:rsidR="00B979B3">
        <w:rPr>
          <w:lang w:val="en-US"/>
        </w:rPr>
        <w:t>se to control the society are quite different too</w:t>
      </w:r>
      <w:r w:rsidR="00C57BFB">
        <w:rPr>
          <w:lang w:val="en-US"/>
        </w:rPr>
        <w:t xml:space="preserve">. Only </w:t>
      </w:r>
      <w:proofErr w:type="spellStart"/>
      <w:r w:rsidR="00C57BFB">
        <w:rPr>
          <w:lang w:val="en-US"/>
        </w:rPr>
        <w:t>Sambia</w:t>
      </w:r>
      <w:proofErr w:type="spellEnd"/>
      <w:r w:rsidR="00C57BFB">
        <w:rPr>
          <w:lang w:val="en-US"/>
        </w:rPr>
        <w:t xml:space="preserve"> use fear, secrecy and coercion </w:t>
      </w:r>
      <w:r w:rsidR="00B979B3">
        <w:rPr>
          <w:lang w:val="en-US"/>
        </w:rPr>
        <w:t>to control their people, the three remaining tribes depend more on communication and equality to solve problems within their groups.</w:t>
      </w:r>
    </w:p>
    <w:p w:rsidR="0054328E" w:rsidRPr="00100221" w:rsidRDefault="00363BD5" w:rsidP="00100221">
      <w:pPr>
        <w:spacing w:line="360" w:lineRule="auto"/>
        <w:jc w:val="both"/>
        <w:rPr>
          <w:lang w:val="en-US"/>
        </w:rPr>
      </w:pPr>
      <w:r>
        <w:rPr>
          <w:lang w:val="en-US"/>
        </w:rPr>
        <w:t xml:space="preserve">The </w:t>
      </w:r>
      <w:proofErr w:type="spellStart"/>
      <w:r>
        <w:rPr>
          <w:lang w:val="en-US"/>
        </w:rPr>
        <w:t>Sambia</w:t>
      </w:r>
      <w:proofErr w:type="spellEnd"/>
      <w:r>
        <w:rPr>
          <w:lang w:val="en-US"/>
        </w:rPr>
        <w:t xml:space="preserve"> tribe uses secret men’s clubhouses and rites of passage to isolate and control the members of their own group</w:t>
      </w:r>
      <w:r w:rsidR="007D4E3D">
        <w:rPr>
          <w:lang w:val="en-US"/>
        </w:rPr>
        <w:t xml:space="preserve"> (</w:t>
      </w:r>
      <w:proofErr w:type="spellStart"/>
      <w:r w:rsidR="007D4E3D">
        <w:rPr>
          <w:lang w:val="en-US"/>
        </w:rPr>
        <w:t>Herdt</w:t>
      </w:r>
      <w:proofErr w:type="spellEnd"/>
      <w:r w:rsidR="007D4E3D">
        <w:rPr>
          <w:lang w:val="en-US"/>
        </w:rPr>
        <w:t>, 2003</w:t>
      </w:r>
      <w:r w:rsidR="00236E84">
        <w:rPr>
          <w:lang w:val="en-US"/>
        </w:rPr>
        <w:t>, p.89</w:t>
      </w:r>
      <w:r w:rsidR="007D4E3D">
        <w:rPr>
          <w:lang w:val="en-US"/>
        </w:rPr>
        <w:t>)</w:t>
      </w:r>
      <w:r>
        <w:rPr>
          <w:lang w:val="en-US"/>
        </w:rPr>
        <w:t>. They use fear and isolation as the main component of their control mechanisms, wh</w:t>
      </w:r>
      <w:r w:rsidR="00523A70">
        <w:rPr>
          <w:lang w:val="en-US"/>
        </w:rPr>
        <w:t xml:space="preserve">ich allows them to silence any disagreements and ensures that they are the ones that make all decisions. They also use the aura of secrecy and the constant coercion to indoctrinate young people into doing what they want. Although they are egalitarian they are usually lead by a </w:t>
      </w:r>
      <w:r w:rsidR="007D4E3D">
        <w:rPr>
          <w:lang w:val="en-US"/>
        </w:rPr>
        <w:t>group of older men with the highest status in the men’s clubhouses which allows them to make all the decisions with minimal resistance.</w:t>
      </w:r>
      <w:r w:rsidR="00236E84">
        <w:rPr>
          <w:lang w:val="en-US"/>
        </w:rPr>
        <w:t xml:space="preserve"> Women’s role in the society is limited only to things they consider typically feminine like childbirth and care, house management and cooking. Women have very little influence over anything else like public affairs, warfare and secret rituals (</w:t>
      </w:r>
      <w:proofErr w:type="spellStart"/>
      <w:r w:rsidR="00236E84">
        <w:rPr>
          <w:lang w:val="en-US"/>
        </w:rPr>
        <w:t>Herdt</w:t>
      </w:r>
      <w:proofErr w:type="spellEnd"/>
      <w:r w:rsidR="00236E84">
        <w:rPr>
          <w:lang w:val="en-US"/>
        </w:rPr>
        <w:t>, 2003, p.75). Bec</w:t>
      </w:r>
      <w:r w:rsidR="00AA72AA">
        <w:rPr>
          <w:lang w:val="en-US"/>
        </w:rPr>
        <w:t>ause of this initiated men in a high position</w:t>
      </w:r>
      <w:r w:rsidR="00236E84">
        <w:rPr>
          <w:lang w:val="en-US"/>
        </w:rPr>
        <w:t xml:space="preserve"> can </w:t>
      </w:r>
      <w:r w:rsidR="00AA72AA">
        <w:rPr>
          <w:lang w:val="en-US"/>
        </w:rPr>
        <w:t>effectively seize control over cultural imagination and its influence women’s world (</w:t>
      </w:r>
      <w:proofErr w:type="spellStart"/>
      <w:r w:rsidR="00AA72AA">
        <w:rPr>
          <w:lang w:val="en-US"/>
        </w:rPr>
        <w:t>Herdt</w:t>
      </w:r>
      <w:proofErr w:type="spellEnd"/>
      <w:r w:rsidR="00AA72AA">
        <w:rPr>
          <w:lang w:val="en-US"/>
        </w:rPr>
        <w:t>, 2003, p.94).</w:t>
      </w:r>
    </w:p>
    <w:p w:rsidR="00C9560F" w:rsidRDefault="003C067F" w:rsidP="00B979B3">
      <w:pPr>
        <w:spacing w:line="360" w:lineRule="auto"/>
        <w:jc w:val="both"/>
        <w:rPr>
          <w:lang w:val="en-US"/>
        </w:rPr>
      </w:pPr>
      <w:r>
        <w:rPr>
          <w:lang w:val="en-US"/>
        </w:rPr>
        <w:t>In contrast</w:t>
      </w:r>
      <w:r w:rsidR="00AA72AA">
        <w:rPr>
          <w:lang w:val="en-US"/>
        </w:rPr>
        <w:t xml:space="preserve"> to </w:t>
      </w:r>
      <w:r>
        <w:rPr>
          <w:lang w:val="en-US"/>
        </w:rPr>
        <w:t xml:space="preserve">the group above the </w:t>
      </w:r>
      <w:proofErr w:type="spellStart"/>
      <w:r>
        <w:rPr>
          <w:lang w:val="en-US"/>
        </w:rPr>
        <w:t>Ju</w:t>
      </w:r>
      <w:proofErr w:type="spellEnd"/>
      <w:r>
        <w:rPr>
          <w:lang w:val="en-US"/>
        </w:rPr>
        <w:t>/</w:t>
      </w:r>
      <w:proofErr w:type="spellStart"/>
      <w:r>
        <w:rPr>
          <w:lang w:val="en-US"/>
        </w:rPr>
        <w:t>Hoansi</w:t>
      </w:r>
      <w:proofErr w:type="spellEnd"/>
      <w:r>
        <w:rPr>
          <w:lang w:val="en-US"/>
        </w:rPr>
        <w:t xml:space="preserve"> don’t divide their work </w:t>
      </w:r>
      <w:r w:rsidR="0015006B">
        <w:rPr>
          <w:lang w:val="en-US"/>
        </w:rPr>
        <w:t xml:space="preserve">between genders and </w:t>
      </w:r>
      <w:r w:rsidR="0054328E">
        <w:rPr>
          <w:lang w:val="en-US"/>
        </w:rPr>
        <w:t xml:space="preserve">treat men and women equally. They’re said to be one of the most </w:t>
      </w:r>
      <w:r w:rsidR="00214D7E">
        <w:rPr>
          <w:lang w:val="en-US"/>
        </w:rPr>
        <w:t xml:space="preserve">thoroughly </w:t>
      </w:r>
      <w:r w:rsidR="0054328E">
        <w:rPr>
          <w:lang w:val="en-US"/>
        </w:rPr>
        <w:t>egalitarian societies known in the ethnographic records</w:t>
      </w:r>
      <w:r w:rsidR="00D10FAF">
        <w:rPr>
          <w:lang w:val="en-US"/>
        </w:rPr>
        <w:t>.</w:t>
      </w:r>
      <w:r w:rsidR="0054328E">
        <w:rPr>
          <w:lang w:val="en-US"/>
        </w:rPr>
        <w:t xml:space="preserve"> </w:t>
      </w:r>
      <w:r w:rsidR="00214D7E">
        <w:rPr>
          <w:lang w:val="en-US"/>
        </w:rPr>
        <w:t xml:space="preserve">People that </w:t>
      </w:r>
      <w:r w:rsidR="00D10FAF">
        <w:rPr>
          <w:lang w:val="en-US"/>
        </w:rPr>
        <w:t xml:space="preserve">want to possess more material goods, property or status are effectively leveled by other group members to prevent any individual from gaining too much power (Smith et al. 2010, p.24). Traditionally </w:t>
      </w:r>
      <w:proofErr w:type="spellStart"/>
      <w:r w:rsidR="00D10FAF">
        <w:rPr>
          <w:lang w:val="en-US"/>
        </w:rPr>
        <w:t>Ju</w:t>
      </w:r>
      <w:proofErr w:type="spellEnd"/>
      <w:r w:rsidR="00D10FAF">
        <w:rPr>
          <w:lang w:val="en-US"/>
        </w:rPr>
        <w:t>/</w:t>
      </w:r>
      <w:proofErr w:type="spellStart"/>
      <w:r w:rsidR="00D10FAF">
        <w:rPr>
          <w:lang w:val="en-US"/>
        </w:rPr>
        <w:t>Hoansi</w:t>
      </w:r>
      <w:proofErr w:type="spellEnd"/>
      <w:r w:rsidR="00D10FAF">
        <w:rPr>
          <w:lang w:val="en-US"/>
        </w:rPr>
        <w:t xml:space="preserve"> people </w:t>
      </w:r>
      <w:r w:rsidR="00DA5592">
        <w:rPr>
          <w:lang w:val="en-US"/>
        </w:rPr>
        <w:t xml:space="preserve">had very few work divisions and they </w:t>
      </w:r>
      <w:r w:rsidR="00D10FAF">
        <w:rPr>
          <w:lang w:val="en-US"/>
        </w:rPr>
        <w:t>considered female</w:t>
      </w:r>
      <w:r w:rsidR="00DA5592">
        <w:rPr>
          <w:lang w:val="en-US"/>
        </w:rPr>
        <w:t xml:space="preserve"> and male work as </w:t>
      </w:r>
      <w:r w:rsidR="00385356">
        <w:rPr>
          <w:lang w:val="en-US"/>
        </w:rPr>
        <w:t>equally important. The ownership of every property was always divided equally between the genders as well. From the social perspective women were always treated the same as men and had a voice</w:t>
      </w:r>
      <w:r w:rsidR="00111093">
        <w:rPr>
          <w:lang w:val="en-US"/>
        </w:rPr>
        <w:t xml:space="preserve"> in all political matters (Kent, 1995, p.513). The </w:t>
      </w:r>
      <w:proofErr w:type="spellStart"/>
      <w:r w:rsidR="00111093">
        <w:rPr>
          <w:lang w:val="en-US"/>
        </w:rPr>
        <w:t>Ju</w:t>
      </w:r>
      <w:proofErr w:type="spellEnd"/>
      <w:r w:rsidR="00111093">
        <w:rPr>
          <w:lang w:val="en-US"/>
        </w:rPr>
        <w:t>/</w:t>
      </w:r>
      <w:proofErr w:type="spellStart"/>
      <w:r w:rsidR="00111093">
        <w:rPr>
          <w:lang w:val="en-US"/>
        </w:rPr>
        <w:t>Hoansi</w:t>
      </w:r>
      <w:proofErr w:type="spellEnd"/>
      <w:r w:rsidR="00111093">
        <w:rPr>
          <w:lang w:val="en-US"/>
        </w:rPr>
        <w:t xml:space="preserve"> people treat everyone equally and make sure that no individual has more power than t</w:t>
      </w:r>
      <w:r w:rsidR="00A04A3A">
        <w:rPr>
          <w:lang w:val="en-US"/>
        </w:rPr>
        <w:t xml:space="preserve">he rest. To guarantee that happens they discourage all arrogant and prideful behavior and make sure every person that believes they’re </w:t>
      </w:r>
      <w:r w:rsidR="00100221">
        <w:rPr>
          <w:lang w:val="en-US"/>
        </w:rPr>
        <w:t>superior is brought down to ensure the balance is maintained.</w:t>
      </w:r>
    </w:p>
    <w:p w:rsidR="00100221" w:rsidRDefault="005A418B" w:rsidP="00B979B3">
      <w:pPr>
        <w:spacing w:line="360" w:lineRule="auto"/>
        <w:jc w:val="both"/>
        <w:rPr>
          <w:lang w:val="en-US"/>
        </w:rPr>
      </w:pPr>
      <w:r>
        <w:rPr>
          <w:lang w:val="en-US"/>
        </w:rPr>
        <w:t>The people of the Trobr</w:t>
      </w:r>
      <w:r w:rsidR="00451AB7">
        <w:rPr>
          <w:lang w:val="en-US"/>
        </w:rPr>
        <w:t>iand Islands are considered to be egalitarian even though</w:t>
      </w:r>
      <w:r>
        <w:rPr>
          <w:lang w:val="en-US"/>
        </w:rPr>
        <w:t xml:space="preserve"> </w:t>
      </w:r>
      <w:r w:rsidR="00451AB7">
        <w:rPr>
          <w:lang w:val="en-US"/>
        </w:rPr>
        <w:t xml:space="preserve">they </w:t>
      </w:r>
      <w:r>
        <w:rPr>
          <w:lang w:val="en-US"/>
        </w:rPr>
        <w:t xml:space="preserve">have male chiefs and </w:t>
      </w:r>
      <w:proofErr w:type="spellStart"/>
      <w:r>
        <w:rPr>
          <w:lang w:val="en-US"/>
        </w:rPr>
        <w:t>headchiefs</w:t>
      </w:r>
      <w:proofErr w:type="spellEnd"/>
      <w:r w:rsidR="00451AB7">
        <w:rPr>
          <w:lang w:val="en-US"/>
        </w:rPr>
        <w:t xml:space="preserve"> in every village,</w:t>
      </w:r>
      <w:r>
        <w:rPr>
          <w:lang w:val="en-US"/>
        </w:rPr>
        <w:t xml:space="preserve"> they also have matrilineal descent</w:t>
      </w:r>
      <w:r w:rsidR="00621E1F">
        <w:rPr>
          <w:lang w:val="en-US"/>
        </w:rPr>
        <w:t xml:space="preserve">. The women play a significant role economically, politically and symbolically for both genders (Weiner, 1977, p.59). Their </w:t>
      </w:r>
      <w:r w:rsidR="00BC77C2">
        <w:rPr>
          <w:lang w:val="en-US"/>
        </w:rPr>
        <w:t xml:space="preserve">society has a </w:t>
      </w:r>
      <w:r w:rsidR="00BC77C2">
        <w:rPr>
          <w:lang w:val="en-US"/>
        </w:rPr>
        <w:lastRenderedPageBreak/>
        <w:t xml:space="preserve">clear </w:t>
      </w:r>
      <w:proofErr w:type="spellStart"/>
      <w:r w:rsidR="00BC77C2">
        <w:rPr>
          <w:lang w:val="en-US"/>
        </w:rPr>
        <w:t>divison</w:t>
      </w:r>
      <w:proofErr w:type="spellEnd"/>
      <w:r w:rsidR="00BC77C2">
        <w:rPr>
          <w:lang w:val="en-US"/>
        </w:rPr>
        <w:t xml:space="preserve"> of work </w:t>
      </w:r>
      <w:r w:rsidR="00C7431E">
        <w:rPr>
          <w:lang w:val="en-US"/>
        </w:rPr>
        <w:t>between the genders which is always kept balanced</w:t>
      </w:r>
      <w:r w:rsidR="00BC77C2">
        <w:rPr>
          <w:lang w:val="en-US"/>
        </w:rPr>
        <w:t>. If women’s wealth distribution or management would be altered it would severely affect the status and ro</w:t>
      </w:r>
      <w:r w:rsidR="00C7431E">
        <w:rPr>
          <w:lang w:val="en-US"/>
        </w:rPr>
        <w:t>les of both women and men equally</w:t>
      </w:r>
      <w:r w:rsidR="00BC77C2">
        <w:rPr>
          <w:lang w:val="en-US"/>
        </w:rPr>
        <w:t xml:space="preserve"> (</w:t>
      </w:r>
      <w:proofErr w:type="spellStart"/>
      <w:r w:rsidR="00BC77C2">
        <w:rPr>
          <w:lang w:val="en-US"/>
        </w:rPr>
        <w:t>MacCarthy</w:t>
      </w:r>
      <w:proofErr w:type="spellEnd"/>
      <w:r w:rsidR="00BC77C2">
        <w:rPr>
          <w:lang w:val="en-US"/>
        </w:rPr>
        <w:t>, 2017, p.</w:t>
      </w:r>
      <w:r w:rsidR="00451AB7">
        <w:rPr>
          <w:lang w:val="en-US"/>
        </w:rPr>
        <w:t>66</w:t>
      </w:r>
      <w:r w:rsidR="00BC77C2">
        <w:rPr>
          <w:lang w:val="en-US"/>
        </w:rPr>
        <w:t xml:space="preserve">). </w:t>
      </w:r>
      <w:r w:rsidR="00C7431E">
        <w:rPr>
          <w:lang w:val="en-US"/>
        </w:rPr>
        <w:t>From this example we can se</w:t>
      </w:r>
      <w:r w:rsidR="00424E13">
        <w:rPr>
          <w:lang w:val="en-US"/>
        </w:rPr>
        <w:t xml:space="preserve">e that even though both genders have vastly different roles in their society they are still considered equal in every aspect of their life. A good example of that would be items that are made and later traded to increase one’s social status. Men would typically participate in the Kula gift exchange or trade other items with other nearby islands and villages, they would use </w:t>
      </w:r>
      <w:r w:rsidR="0073783B">
        <w:rPr>
          <w:lang w:val="en-US"/>
        </w:rPr>
        <w:t xml:space="preserve">decorative armbands and necklaces or yams, clay pots and stone battle axes respectively. Women typically make and exchange items like </w:t>
      </w:r>
      <w:proofErr w:type="spellStart"/>
      <w:r w:rsidR="0073783B">
        <w:rPr>
          <w:lang w:val="en-US"/>
        </w:rPr>
        <w:t>doba</w:t>
      </w:r>
      <w:proofErr w:type="spellEnd"/>
      <w:r w:rsidR="0073783B">
        <w:rPr>
          <w:lang w:val="en-US"/>
        </w:rPr>
        <w:t xml:space="preserve">, the banana leaf skirts, during the mourning ceremonies of </w:t>
      </w:r>
      <w:proofErr w:type="spellStart"/>
      <w:r w:rsidR="0073783B">
        <w:rPr>
          <w:lang w:val="en-US"/>
        </w:rPr>
        <w:t>sagali</w:t>
      </w:r>
      <w:proofErr w:type="spellEnd"/>
      <w:r w:rsidR="0073783B">
        <w:rPr>
          <w:lang w:val="en-US"/>
        </w:rPr>
        <w:t xml:space="preserve">. By this exchange they gain more status, respect and a good name for their family while strengthening their </w:t>
      </w:r>
      <w:proofErr w:type="spellStart"/>
      <w:r w:rsidR="0073783B">
        <w:rPr>
          <w:lang w:val="en-US"/>
        </w:rPr>
        <w:t>matrilineage</w:t>
      </w:r>
      <w:proofErr w:type="spellEnd"/>
      <w:r w:rsidR="0073783B">
        <w:rPr>
          <w:lang w:val="en-US"/>
        </w:rPr>
        <w:t xml:space="preserve"> line in the eyes of society (</w:t>
      </w:r>
      <w:proofErr w:type="spellStart"/>
      <w:r w:rsidR="0073783B">
        <w:rPr>
          <w:lang w:val="en-US"/>
        </w:rPr>
        <w:t>MacCarthy</w:t>
      </w:r>
      <w:proofErr w:type="spellEnd"/>
      <w:r w:rsidR="0073783B">
        <w:rPr>
          <w:lang w:val="en-US"/>
        </w:rPr>
        <w:t>, 2017, p.</w:t>
      </w:r>
      <w:r w:rsidR="00894EB1">
        <w:rPr>
          <w:lang w:val="en-US"/>
        </w:rPr>
        <w:t>72, p.81</w:t>
      </w:r>
      <w:r w:rsidR="0073783B">
        <w:rPr>
          <w:lang w:val="en-US"/>
        </w:rPr>
        <w:t xml:space="preserve">). </w:t>
      </w:r>
      <w:r w:rsidR="00894EB1">
        <w:rPr>
          <w:lang w:val="en-US"/>
        </w:rPr>
        <w:t xml:space="preserve">From this we can see that the people always make sure no individual person holds more power than others and that both men and women are treated equally as not to upset the delicate balance between both of their roles. If anything would cause it to be out of balance women could become economically disadvantaged and men could </w:t>
      </w:r>
      <w:proofErr w:type="spellStart"/>
      <w:r w:rsidR="00894EB1">
        <w:rPr>
          <w:lang w:val="en-US"/>
        </w:rPr>
        <w:t>loose</w:t>
      </w:r>
      <w:proofErr w:type="spellEnd"/>
      <w:r w:rsidR="00894EB1">
        <w:rPr>
          <w:lang w:val="en-US"/>
        </w:rPr>
        <w:t xml:space="preserve"> </w:t>
      </w:r>
      <w:r w:rsidR="00B20FE2">
        <w:rPr>
          <w:lang w:val="en-US"/>
        </w:rPr>
        <w:t>the base of all their political power (</w:t>
      </w:r>
      <w:proofErr w:type="spellStart"/>
      <w:r w:rsidR="00B20FE2">
        <w:rPr>
          <w:lang w:val="en-US"/>
        </w:rPr>
        <w:t>MacCarthy</w:t>
      </w:r>
      <w:proofErr w:type="spellEnd"/>
      <w:r w:rsidR="00B20FE2">
        <w:rPr>
          <w:lang w:val="en-US"/>
        </w:rPr>
        <w:t>, 2017, p.65).</w:t>
      </w:r>
    </w:p>
    <w:p w:rsidR="00B46F28" w:rsidRDefault="00C4793D" w:rsidP="00B979B3">
      <w:pPr>
        <w:spacing w:line="360" w:lineRule="auto"/>
        <w:jc w:val="both"/>
        <w:rPr>
          <w:lang w:val="en-US"/>
        </w:rPr>
      </w:pPr>
      <w:r>
        <w:rPr>
          <w:lang w:val="en-US"/>
        </w:rPr>
        <w:t xml:space="preserve">The </w:t>
      </w:r>
      <w:proofErr w:type="spellStart"/>
      <w:r>
        <w:rPr>
          <w:lang w:val="en-US"/>
        </w:rPr>
        <w:t>Mbuti</w:t>
      </w:r>
      <w:proofErr w:type="spellEnd"/>
      <w:r>
        <w:rPr>
          <w:lang w:val="en-US"/>
        </w:rPr>
        <w:t xml:space="preserve"> people</w:t>
      </w:r>
      <w:r w:rsidR="00027119">
        <w:rPr>
          <w:lang w:val="en-US"/>
        </w:rPr>
        <w:t xml:space="preserve"> are egalitarian and treat everyone including kids as equal. They use communication and children’s idealistic beliefs to create a better society. They value their children’s opinions and relay on their sense of judgement to guide them into a better future. </w:t>
      </w:r>
      <w:r w:rsidR="00B106AE">
        <w:rPr>
          <w:lang w:val="en-US"/>
        </w:rPr>
        <w:t>They have an adult-free zone in every village, it’s the children’s land where they are the leaders and make all the decisions by themselves.</w:t>
      </w:r>
      <w:r w:rsidR="005C7CB2">
        <w:rPr>
          <w:lang w:val="en-US"/>
        </w:rPr>
        <w:t xml:space="preserve"> </w:t>
      </w:r>
      <w:r w:rsidR="00B106AE">
        <w:rPr>
          <w:lang w:val="en-US"/>
        </w:rPr>
        <w:t xml:space="preserve">Inside there’s a children’s parliament that’s responsible for the wellbeing of the entire village and where all key decisions are made. All genders are treated equally </w:t>
      </w:r>
      <w:r w:rsidR="005C7CB2">
        <w:rPr>
          <w:lang w:val="en-US"/>
        </w:rPr>
        <w:t xml:space="preserve">and have no specific roles assigned to them but children are always treated as more pure and better than others. They believe that the role they play in the </w:t>
      </w:r>
      <w:proofErr w:type="spellStart"/>
      <w:r w:rsidR="005C7CB2">
        <w:rPr>
          <w:lang w:val="en-US"/>
        </w:rPr>
        <w:t>Bopi</w:t>
      </w:r>
      <w:proofErr w:type="spellEnd"/>
      <w:r w:rsidR="005C7CB2">
        <w:rPr>
          <w:lang w:val="en-US"/>
        </w:rPr>
        <w:t xml:space="preserve"> will be valued and needed in their adult lives, they’re also taught that cooperation and communication with other members of the group is crucial to leading it (</w:t>
      </w:r>
      <w:proofErr w:type="spellStart"/>
      <w:r w:rsidR="005C7CB2">
        <w:rPr>
          <w:lang w:val="en-US"/>
        </w:rPr>
        <w:t>Lasley</w:t>
      </w:r>
      <w:proofErr w:type="spellEnd"/>
      <w:r w:rsidR="005C7CB2">
        <w:rPr>
          <w:lang w:val="en-US"/>
        </w:rPr>
        <w:t xml:space="preserve">, 1985, p.249). The youth </w:t>
      </w:r>
      <w:r w:rsidR="00182A88">
        <w:rPr>
          <w:lang w:val="en-US"/>
        </w:rPr>
        <w:t>always plays a part in important political roles in the camp because the elders consider them to be the owners of the future (</w:t>
      </w:r>
      <w:proofErr w:type="spellStart"/>
      <w:r w:rsidR="00182A88">
        <w:rPr>
          <w:lang w:val="en-US"/>
        </w:rPr>
        <w:t>Ojo</w:t>
      </w:r>
      <w:proofErr w:type="spellEnd"/>
      <w:r w:rsidR="00182A88">
        <w:rPr>
          <w:lang w:val="en-US"/>
        </w:rPr>
        <w:t>, 1996, p.29).</w:t>
      </w:r>
      <w:r w:rsidR="00063CFA">
        <w:rPr>
          <w:lang w:val="en-US"/>
        </w:rPr>
        <w:t xml:space="preserve"> They</w:t>
      </w:r>
      <w:r w:rsidR="00182A88">
        <w:rPr>
          <w:lang w:val="en-US"/>
        </w:rPr>
        <w:t xml:space="preserve"> play a big role in </w:t>
      </w:r>
      <w:r w:rsidR="00063CFA">
        <w:rPr>
          <w:lang w:val="en-US"/>
        </w:rPr>
        <w:t xml:space="preserve">many rituals and celebrations organized in the village for example they decide when or how the communal, religious and cultural ceremonies will be performed. They are also singers, dancers or drummers at these events and are able to critique the adult’s and senior’s actions </w:t>
      </w:r>
      <w:r w:rsidR="00A07EE9">
        <w:rPr>
          <w:lang w:val="en-US"/>
        </w:rPr>
        <w:t>in the community with a right to be able to ridicule, parody and protest against them (</w:t>
      </w:r>
      <w:proofErr w:type="spellStart"/>
      <w:r w:rsidR="00A07EE9">
        <w:rPr>
          <w:lang w:val="en-US"/>
        </w:rPr>
        <w:t>Ojo</w:t>
      </w:r>
      <w:proofErr w:type="spellEnd"/>
      <w:r w:rsidR="00A07EE9">
        <w:rPr>
          <w:lang w:val="en-US"/>
        </w:rPr>
        <w:t>, 1996, p.30). As a result of these actions their group remained peaceful for so long, they use childhood innocence and imagination to improve themselves and create a better future for their kids and themselves.</w:t>
      </w:r>
    </w:p>
    <w:p w:rsidR="00C9560F" w:rsidRDefault="00376767" w:rsidP="00B979B3">
      <w:pPr>
        <w:spacing w:line="360" w:lineRule="auto"/>
        <w:jc w:val="both"/>
        <w:rPr>
          <w:lang w:val="en-US"/>
        </w:rPr>
      </w:pPr>
      <w:r>
        <w:rPr>
          <w:lang w:val="en-US"/>
        </w:rPr>
        <w:t xml:space="preserve">There’s many ways you can use to maintain social order within a group, while all four examples ended up vastly different they can appear to be similar in some ways. The thing that ties them all together is </w:t>
      </w:r>
      <w:r>
        <w:rPr>
          <w:lang w:val="en-US"/>
        </w:rPr>
        <w:lastRenderedPageBreak/>
        <w:t>that they’re all egalitarian to some degree and in one form or another. Because of this it might seem like all of them are quite similar and will all probably use the same elements to maintain the social order. While it might look like it’s true on</w:t>
      </w:r>
      <w:r w:rsidR="00CA2699">
        <w:rPr>
          <w:lang w:val="en-US"/>
        </w:rPr>
        <w:t xml:space="preserve"> the most basic level, they all have a few very interesting and unique details that are characteristic to each culture. For example the </w:t>
      </w:r>
      <w:proofErr w:type="spellStart"/>
      <w:r w:rsidR="00CA2699">
        <w:rPr>
          <w:lang w:val="en-US"/>
        </w:rPr>
        <w:t>Sambia</w:t>
      </w:r>
      <w:proofErr w:type="spellEnd"/>
      <w:r w:rsidR="00CA2699">
        <w:rPr>
          <w:lang w:val="en-US"/>
        </w:rPr>
        <w:t xml:space="preserve"> use fear of isolation, the aura of secrecy and coercion to control every aspect of people’s life. It’s rooted deeply in the belief that men will always be superior to women and the effects of toxic masculinity over time. While they might believe that their way of living is </w:t>
      </w:r>
      <w:r w:rsidR="00597BFD">
        <w:rPr>
          <w:lang w:val="en-US"/>
        </w:rPr>
        <w:t>perfect and shouldn’t be changed, I disagree with this completely. I much prefer the other three examples of egalitarian societies</w:t>
      </w:r>
      <w:r w:rsidR="0028046F">
        <w:rPr>
          <w:lang w:val="en-US"/>
        </w:rPr>
        <w:t xml:space="preserve"> I mentioned earlier, they use </w:t>
      </w:r>
      <w:r w:rsidR="00597BFD">
        <w:rPr>
          <w:lang w:val="en-US"/>
        </w:rPr>
        <w:t>equality, balance an</w:t>
      </w:r>
      <w:r w:rsidR="0028046F">
        <w:rPr>
          <w:lang w:val="en-US"/>
        </w:rPr>
        <w:t>d communication to control social order within themselves. In conclusion even if all of used examples were egalitarian, they all had a different method of maintaining social order within the groups. Some methods were more drastic or complicated than others however I’m not able to decide which were more effective due to the fact that all were right and wrong in their own way.</w:t>
      </w:r>
    </w:p>
    <w:p w:rsidR="005A77D8" w:rsidRDefault="005A77D8" w:rsidP="00B979B3">
      <w:pPr>
        <w:spacing w:line="360" w:lineRule="auto"/>
        <w:jc w:val="both"/>
        <w:rPr>
          <w:lang w:val="en-US"/>
        </w:rPr>
      </w:pPr>
    </w:p>
    <w:p w:rsidR="00B46F28" w:rsidRDefault="00B46F28" w:rsidP="00B979B3">
      <w:pPr>
        <w:spacing w:line="360" w:lineRule="auto"/>
        <w:jc w:val="both"/>
        <w:rPr>
          <w:lang w:val="en-US"/>
        </w:rPr>
      </w:pPr>
    </w:p>
    <w:p w:rsidR="00B46F28" w:rsidRDefault="00B46F28" w:rsidP="00B979B3">
      <w:pPr>
        <w:spacing w:line="360" w:lineRule="auto"/>
        <w:jc w:val="both"/>
        <w:rPr>
          <w:lang w:val="en-US"/>
        </w:rPr>
      </w:pPr>
    </w:p>
    <w:p w:rsidR="00B46F28" w:rsidRDefault="00B46F28" w:rsidP="00B979B3">
      <w:pPr>
        <w:spacing w:line="360" w:lineRule="auto"/>
        <w:jc w:val="both"/>
        <w:rPr>
          <w:lang w:val="en-US"/>
        </w:rPr>
      </w:pPr>
    </w:p>
    <w:p w:rsidR="00B46F28" w:rsidRDefault="00B46F28" w:rsidP="00B979B3">
      <w:pPr>
        <w:spacing w:line="360" w:lineRule="auto"/>
        <w:jc w:val="both"/>
        <w:rPr>
          <w:lang w:val="en-US"/>
        </w:rPr>
      </w:pPr>
    </w:p>
    <w:p w:rsidR="00B46F28" w:rsidRDefault="00B46F28" w:rsidP="00B979B3">
      <w:pPr>
        <w:spacing w:line="360" w:lineRule="auto"/>
        <w:jc w:val="both"/>
        <w:rPr>
          <w:lang w:val="en-US"/>
        </w:rPr>
      </w:pPr>
    </w:p>
    <w:p w:rsidR="00B46F28" w:rsidRDefault="00B46F28" w:rsidP="00B979B3">
      <w:pPr>
        <w:spacing w:line="360" w:lineRule="auto"/>
        <w:jc w:val="both"/>
        <w:rPr>
          <w:lang w:val="en-US"/>
        </w:rPr>
      </w:pPr>
    </w:p>
    <w:p w:rsidR="005A77D8" w:rsidRDefault="005A77D8" w:rsidP="00B979B3">
      <w:pPr>
        <w:spacing w:line="360" w:lineRule="auto"/>
        <w:jc w:val="both"/>
        <w:rPr>
          <w:lang w:val="en-US"/>
        </w:rPr>
      </w:pPr>
    </w:p>
    <w:p w:rsidR="00A4357C" w:rsidRDefault="00A4357C" w:rsidP="00B979B3">
      <w:pPr>
        <w:spacing w:line="360" w:lineRule="auto"/>
        <w:jc w:val="both"/>
        <w:rPr>
          <w:lang w:val="en-US"/>
        </w:rPr>
      </w:pPr>
      <w:r>
        <w:rPr>
          <w:lang w:val="en-US"/>
        </w:rPr>
        <w:t>References:</w:t>
      </w:r>
    </w:p>
    <w:p w:rsidR="005A77D8" w:rsidRPr="005A77D8" w:rsidRDefault="005A77D8" w:rsidP="005A77D8">
      <w:pPr>
        <w:autoSpaceDE w:val="0"/>
        <w:autoSpaceDN w:val="0"/>
        <w:adjustRightInd w:val="0"/>
        <w:spacing w:before="100" w:after="100" w:line="240" w:lineRule="auto"/>
        <w:ind w:left="450" w:hanging="450"/>
        <w:rPr>
          <w:rFonts w:ascii="Verdana" w:hAnsi="Verdana" w:cs="Verdana"/>
          <w:sz w:val="18"/>
          <w:szCs w:val="18"/>
          <w:lang w:val="en-US"/>
        </w:rPr>
      </w:pPr>
      <w:proofErr w:type="spellStart"/>
      <w:r w:rsidRPr="005A77D8">
        <w:rPr>
          <w:rFonts w:ascii="Verdana" w:hAnsi="Verdana" w:cs="Verdana"/>
          <w:sz w:val="18"/>
          <w:szCs w:val="18"/>
          <w:lang w:val="en-US"/>
        </w:rPr>
        <w:t>Herdt</w:t>
      </w:r>
      <w:proofErr w:type="spellEnd"/>
      <w:r w:rsidRPr="005A77D8">
        <w:rPr>
          <w:rFonts w:ascii="Verdana" w:hAnsi="Verdana" w:cs="Verdana"/>
          <w:sz w:val="18"/>
          <w:szCs w:val="18"/>
          <w:lang w:val="en-US"/>
        </w:rPr>
        <w:t>, G. 2003, "Chapter 3</w:t>
      </w:r>
      <w:r w:rsidRPr="005A77D8">
        <w:rPr>
          <w:rFonts w:ascii="Verdana" w:hAnsi="Verdana" w:cs="Verdana"/>
          <w:sz w:val="18"/>
          <w:szCs w:val="18"/>
          <w:lang w:val="en-US"/>
        </w:rPr>
        <w:br/>
        <w:t xml:space="preserve">Secrecy among the </w:t>
      </w:r>
      <w:proofErr w:type="spellStart"/>
      <w:r w:rsidRPr="005A77D8">
        <w:rPr>
          <w:rFonts w:ascii="Verdana" w:hAnsi="Verdana" w:cs="Verdana"/>
          <w:sz w:val="18"/>
          <w:szCs w:val="18"/>
          <w:lang w:val="en-US"/>
        </w:rPr>
        <w:t>Sambia</w:t>
      </w:r>
      <w:proofErr w:type="spellEnd"/>
      <w:proofErr w:type="gramStart"/>
      <w:r w:rsidRPr="005A77D8">
        <w:rPr>
          <w:rFonts w:ascii="Verdana" w:hAnsi="Verdana" w:cs="Verdana"/>
          <w:sz w:val="18"/>
          <w:szCs w:val="18"/>
          <w:lang w:val="en-US"/>
        </w:rPr>
        <w:t>,</w:t>
      </w:r>
      <w:proofErr w:type="gramEnd"/>
      <w:r w:rsidRPr="005A77D8">
        <w:rPr>
          <w:rFonts w:ascii="Verdana" w:hAnsi="Verdana" w:cs="Verdana"/>
          <w:sz w:val="18"/>
          <w:szCs w:val="18"/>
          <w:lang w:val="en-US"/>
        </w:rPr>
        <w:br/>
        <w:t xml:space="preserve">1974-1976" in </w:t>
      </w:r>
      <w:r w:rsidRPr="005A77D8">
        <w:rPr>
          <w:rFonts w:ascii="Verdana" w:hAnsi="Verdana" w:cs="Verdana"/>
          <w:i/>
          <w:iCs/>
          <w:sz w:val="18"/>
          <w:szCs w:val="18"/>
          <w:lang w:val="en-US"/>
        </w:rPr>
        <w:t>Secrecy and Cultural Reality: Utopian Ideologies of the New Guinea Men's House</w:t>
      </w:r>
      <w:r w:rsidRPr="005A77D8">
        <w:rPr>
          <w:rFonts w:ascii="Verdana" w:hAnsi="Verdana" w:cs="Verdana"/>
          <w:sz w:val="18"/>
          <w:szCs w:val="18"/>
          <w:lang w:val="en-US"/>
        </w:rPr>
        <w:t xml:space="preserve"> The University of Michigan Press, , pp. 65-66-113. </w:t>
      </w:r>
    </w:p>
    <w:p w:rsidR="005A77D8" w:rsidRPr="005A77D8" w:rsidRDefault="005A77D8" w:rsidP="005A77D8">
      <w:pPr>
        <w:autoSpaceDE w:val="0"/>
        <w:autoSpaceDN w:val="0"/>
        <w:adjustRightInd w:val="0"/>
        <w:spacing w:before="100" w:after="100" w:line="240" w:lineRule="auto"/>
        <w:ind w:left="450" w:hanging="450"/>
        <w:rPr>
          <w:rFonts w:ascii="Verdana" w:hAnsi="Verdana" w:cs="Verdana"/>
          <w:sz w:val="18"/>
          <w:szCs w:val="18"/>
          <w:lang w:val="en-US"/>
        </w:rPr>
      </w:pPr>
      <w:r w:rsidRPr="005A77D8">
        <w:rPr>
          <w:rFonts w:ascii="Verdana" w:hAnsi="Verdana" w:cs="Verdana"/>
          <w:sz w:val="18"/>
          <w:szCs w:val="18"/>
          <w:lang w:val="en-US"/>
        </w:rPr>
        <w:t xml:space="preserve">Kent, S. 1995, "Does </w:t>
      </w:r>
      <w:proofErr w:type="spellStart"/>
      <w:r w:rsidRPr="005A77D8">
        <w:rPr>
          <w:rFonts w:ascii="Verdana" w:hAnsi="Verdana" w:cs="Verdana"/>
          <w:sz w:val="18"/>
          <w:szCs w:val="18"/>
          <w:lang w:val="en-US"/>
        </w:rPr>
        <w:t>Sedentarization</w:t>
      </w:r>
      <w:proofErr w:type="spellEnd"/>
      <w:r w:rsidRPr="005A77D8">
        <w:rPr>
          <w:rFonts w:ascii="Verdana" w:hAnsi="Verdana" w:cs="Verdana"/>
          <w:sz w:val="18"/>
          <w:szCs w:val="18"/>
          <w:lang w:val="en-US"/>
        </w:rPr>
        <w:t xml:space="preserve"> Promote Gender Inequality? A Case Study from the Kalahari", </w:t>
      </w:r>
      <w:proofErr w:type="gramStart"/>
      <w:r w:rsidRPr="005A77D8">
        <w:rPr>
          <w:rFonts w:ascii="Verdana" w:hAnsi="Verdana" w:cs="Verdana"/>
          <w:i/>
          <w:iCs/>
          <w:sz w:val="18"/>
          <w:szCs w:val="18"/>
          <w:lang w:val="en-US"/>
        </w:rPr>
        <w:t>The</w:t>
      </w:r>
      <w:proofErr w:type="gramEnd"/>
      <w:r w:rsidRPr="005A77D8">
        <w:rPr>
          <w:rFonts w:ascii="Verdana" w:hAnsi="Verdana" w:cs="Verdana"/>
          <w:i/>
          <w:iCs/>
          <w:sz w:val="18"/>
          <w:szCs w:val="18"/>
          <w:lang w:val="en-US"/>
        </w:rPr>
        <w:t xml:space="preserve"> Journal of the Royal Anthropological Institute, </w:t>
      </w:r>
      <w:r w:rsidRPr="005A77D8">
        <w:rPr>
          <w:rFonts w:ascii="Verdana" w:hAnsi="Verdana" w:cs="Verdana"/>
          <w:sz w:val="18"/>
          <w:szCs w:val="18"/>
          <w:lang w:val="en-US"/>
        </w:rPr>
        <w:t xml:space="preserve">vol. 1, no. 3, pp. 513-536. </w:t>
      </w:r>
    </w:p>
    <w:p w:rsidR="005A77D8" w:rsidRPr="005A77D8" w:rsidRDefault="005A77D8" w:rsidP="005A77D8">
      <w:pPr>
        <w:autoSpaceDE w:val="0"/>
        <w:autoSpaceDN w:val="0"/>
        <w:adjustRightInd w:val="0"/>
        <w:spacing w:before="100" w:after="100" w:line="240" w:lineRule="auto"/>
        <w:ind w:left="450" w:hanging="450"/>
        <w:rPr>
          <w:rFonts w:ascii="Verdana" w:hAnsi="Verdana" w:cs="Verdana"/>
          <w:sz w:val="18"/>
          <w:szCs w:val="18"/>
          <w:lang w:val="en-US"/>
        </w:rPr>
      </w:pPr>
      <w:proofErr w:type="spellStart"/>
      <w:r w:rsidRPr="005A77D8">
        <w:rPr>
          <w:rFonts w:ascii="Verdana" w:hAnsi="Verdana" w:cs="Verdana"/>
          <w:sz w:val="18"/>
          <w:szCs w:val="18"/>
          <w:lang w:val="en-US"/>
        </w:rPr>
        <w:t>Lasley</w:t>
      </w:r>
      <w:proofErr w:type="spellEnd"/>
      <w:r w:rsidRPr="005A77D8">
        <w:rPr>
          <w:rFonts w:ascii="Verdana" w:hAnsi="Verdana" w:cs="Verdana"/>
          <w:sz w:val="18"/>
          <w:szCs w:val="18"/>
          <w:lang w:val="en-US"/>
        </w:rPr>
        <w:t xml:space="preserve">, T.J. 1985, "Fostering Nonaggression in the Classroom: An Anthropological Perspective", </w:t>
      </w:r>
      <w:r w:rsidRPr="005A77D8">
        <w:rPr>
          <w:rFonts w:ascii="Verdana" w:hAnsi="Verdana" w:cs="Verdana"/>
          <w:i/>
          <w:iCs/>
          <w:sz w:val="18"/>
          <w:szCs w:val="18"/>
          <w:lang w:val="en-US"/>
        </w:rPr>
        <w:t xml:space="preserve">Theory </w:t>
      </w:r>
      <w:proofErr w:type="gramStart"/>
      <w:r w:rsidRPr="005A77D8">
        <w:rPr>
          <w:rFonts w:ascii="Verdana" w:hAnsi="Verdana" w:cs="Verdana"/>
          <w:i/>
          <w:iCs/>
          <w:sz w:val="18"/>
          <w:szCs w:val="18"/>
          <w:lang w:val="en-US"/>
        </w:rPr>
        <w:t>Into</w:t>
      </w:r>
      <w:proofErr w:type="gramEnd"/>
      <w:r w:rsidRPr="005A77D8">
        <w:rPr>
          <w:rFonts w:ascii="Verdana" w:hAnsi="Verdana" w:cs="Verdana"/>
          <w:i/>
          <w:iCs/>
          <w:sz w:val="18"/>
          <w:szCs w:val="18"/>
          <w:lang w:val="en-US"/>
        </w:rPr>
        <w:t xml:space="preserve"> Practice, </w:t>
      </w:r>
      <w:r w:rsidRPr="005A77D8">
        <w:rPr>
          <w:rFonts w:ascii="Verdana" w:hAnsi="Verdana" w:cs="Verdana"/>
          <w:sz w:val="18"/>
          <w:szCs w:val="18"/>
          <w:lang w:val="en-US"/>
        </w:rPr>
        <w:t xml:space="preserve">vol. 24, no. 4, pp. 247-255. </w:t>
      </w:r>
    </w:p>
    <w:p w:rsidR="005A77D8" w:rsidRPr="005A77D8" w:rsidRDefault="005A77D8" w:rsidP="005A77D8">
      <w:pPr>
        <w:autoSpaceDE w:val="0"/>
        <w:autoSpaceDN w:val="0"/>
        <w:adjustRightInd w:val="0"/>
        <w:spacing w:before="100" w:after="100" w:line="240" w:lineRule="auto"/>
        <w:ind w:left="450" w:hanging="450"/>
        <w:rPr>
          <w:rFonts w:ascii="Verdana" w:hAnsi="Verdana" w:cs="Verdana"/>
          <w:sz w:val="18"/>
          <w:szCs w:val="18"/>
          <w:lang w:val="en-US"/>
        </w:rPr>
      </w:pPr>
      <w:proofErr w:type="spellStart"/>
      <w:r w:rsidRPr="005A77D8">
        <w:rPr>
          <w:rFonts w:ascii="Verdana" w:hAnsi="Verdana" w:cs="Verdana"/>
          <w:sz w:val="18"/>
          <w:szCs w:val="18"/>
          <w:lang w:val="en-US"/>
        </w:rPr>
        <w:t>MacCarthy</w:t>
      </w:r>
      <w:proofErr w:type="spellEnd"/>
      <w:r w:rsidRPr="005A77D8">
        <w:rPr>
          <w:rFonts w:ascii="Verdana" w:hAnsi="Verdana" w:cs="Verdana"/>
          <w:sz w:val="18"/>
          <w:szCs w:val="18"/>
          <w:lang w:val="en-US"/>
        </w:rPr>
        <w:t xml:space="preserve">, M. 2017, "Doing away with </w:t>
      </w:r>
      <w:proofErr w:type="spellStart"/>
      <w:r w:rsidRPr="005A77D8">
        <w:rPr>
          <w:rFonts w:ascii="Verdana" w:hAnsi="Verdana" w:cs="Verdana"/>
          <w:sz w:val="18"/>
          <w:szCs w:val="18"/>
          <w:lang w:val="en-US"/>
        </w:rPr>
        <w:t>Doba</w:t>
      </w:r>
      <w:proofErr w:type="spellEnd"/>
      <w:r w:rsidRPr="005A77D8">
        <w:rPr>
          <w:rFonts w:ascii="Verdana" w:hAnsi="Verdana" w:cs="Verdana"/>
          <w:sz w:val="18"/>
          <w:szCs w:val="18"/>
          <w:lang w:val="en-US"/>
        </w:rPr>
        <w:t xml:space="preserve">? Women’s Wealth and Shifting Values in Trobriand Mortuary Distributions" in </w:t>
      </w:r>
      <w:r w:rsidRPr="005A77D8">
        <w:rPr>
          <w:rFonts w:ascii="Verdana" w:hAnsi="Verdana" w:cs="Verdana"/>
          <w:i/>
          <w:iCs/>
          <w:sz w:val="18"/>
          <w:szCs w:val="18"/>
          <w:lang w:val="en-US"/>
        </w:rPr>
        <w:t>Sinuous Objects</w:t>
      </w:r>
      <w:r w:rsidRPr="005A77D8">
        <w:rPr>
          <w:rFonts w:ascii="Verdana" w:hAnsi="Verdana" w:cs="Verdana"/>
          <w:sz w:val="18"/>
          <w:szCs w:val="18"/>
          <w:lang w:val="en-US"/>
        </w:rPr>
        <w:t xml:space="preserve"> ANU Press</w:t>
      </w:r>
      <w:proofErr w:type="gramStart"/>
      <w:r w:rsidRPr="005A77D8">
        <w:rPr>
          <w:rFonts w:ascii="Verdana" w:hAnsi="Verdana" w:cs="Verdana"/>
          <w:sz w:val="18"/>
          <w:szCs w:val="18"/>
          <w:lang w:val="en-US"/>
        </w:rPr>
        <w:t>, ,</w:t>
      </w:r>
      <w:proofErr w:type="gramEnd"/>
      <w:r w:rsidRPr="005A77D8">
        <w:rPr>
          <w:rFonts w:ascii="Verdana" w:hAnsi="Verdana" w:cs="Verdana"/>
          <w:sz w:val="18"/>
          <w:szCs w:val="18"/>
          <w:lang w:val="en-US"/>
        </w:rPr>
        <w:t xml:space="preserve"> pp. 61-88. </w:t>
      </w:r>
    </w:p>
    <w:p w:rsidR="005A77D8" w:rsidRPr="005A77D8" w:rsidRDefault="005A77D8" w:rsidP="005A77D8">
      <w:pPr>
        <w:autoSpaceDE w:val="0"/>
        <w:autoSpaceDN w:val="0"/>
        <w:adjustRightInd w:val="0"/>
        <w:spacing w:before="100" w:after="100" w:line="240" w:lineRule="auto"/>
        <w:ind w:left="450" w:hanging="450"/>
        <w:rPr>
          <w:rFonts w:ascii="Verdana" w:hAnsi="Verdana" w:cs="Verdana"/>
          <w:sz w:val="18"/>
          <w:szCs w:val="18"/>
          <w:lang w:val="en-US"/>
        </w:rPr>
      </w:pPr>
      <w:proofErr w:type="spellStart"/>
      <w:r w:rsidRPr="005A77D8">
        <w:rPr>
          <w:rFonts w:ascii="Verdana" w:hAnsi="Verdana" w:cs="Verdana"/>
          <w:sz w:val="18"/>
          <w:szCs w:val="18"/>
          <w:lang w:val="en-US"/>
        </w:rPr>
        <w:t>Ojo</w:t>
      </w:r>
      <w:proofErr w:type="spellEnd"/>
      <w:r w:rsidRPr="005A77D8">
        <w:rPr>
          <w:rFonts w:ascii="Verdana" w:hAnsi="Verdana" w:cs="Verdana"/>
          <w:sz w:val="18"/>
          <w:szCs w:val="18"/>
          <w:lang w:val="en-US"/>
        </w:rPr>
        <w:t xml:space="preserve">, O.A. 1996, </w:t>
      </w:r>
      <w:proofErr w:type="spellStart"/>
      <w:r w:rsidRPr="005A77D8">
        <w:rPr>
          <w:rFonts w:ascii="Verdana" w:hAnsi="Verdana" w:cs="Verdana"/>
          <w:i/>
          <w:iCs/>
          <w:sz w:val="18"/>
          <w:szCs w:val="18"/>
          <w:lang w:val="en-US"/>
        </w:rPr>
        <w:t>Mbuti</w:t>
      </w:r>
      <w:proofErr w:type="spellEnd"/>
      <w:r w:rsidRPr="005A77D8">
        <w:rPr>
          <w:rFonts w:ascii="Verdana" w:hAnsi="Verdana" w:cs="Verdana"/>
          <w:i/>
          <w:iCs/>
          <w:sz w:val="18"/>
          <w:szCs w:val="18"/>
          <w:lang w:val="en-US"/>
        </w:rPr>
        <w:t xml:space="preserve">: (Zaire), </w:t>
      </w:r>
      <w:proofErr w:type="gramStart"/>
      <w:r w:rsidRPr="005A77D8">
        <w:rPr>
          <w:rFonts w:ascii="Verdana" w:hAnsi="Verdana" w:cs="Verdana"/>
          <w:sz w:val="18"/>
          <w:szCs w:val="18"/>
          <w:lang w:val="en-US"/>
        </w:rPr>
        <w:t>The</w:t>
      </w:r>
      <w:proofErr w:type="gramEnd"/>
      <w:r w:rsidRPr="005A77D8">
        <w:rPr>
          <w:rFonts w:ascii="Verdana" w:hAnsi="Verdana" w:cs="Verdana"/>
          <w:sz w:val="18"/>
          <w:szCs w:val="18"/>
          <w:lang w:val="en-US"/>
        </w:rPr>
        <w:t xml:space="preserve"> Rosen Publishing Group, New York. </w:t>
      </w:r>
    </w:p>
    <w:p w:rsidR="005A77D8" w:rsidRPr="005A77D8" w:rsidRDefault="005A77D8" w:rsidP="005A77D8">
      <w:pPr>
        <w:autoSpaceDE w:val="0"/>
        <w:autoSpaceDN w:val="0"/>
        <w:adjustRightInd w:val="0"/>
        <w:spacing w:before="100" w:after="100" w:line="240" w:lineRule="auto"/>
        <w:ind w:left="450" w:hanging="450"/>
        <w:rPr>
          <w:rFonts w:ascii="Verdana" w:hAnsi="Verdana" w:cs="Verdana"/>
          <w:sz w:val="18"/>
          <w:szCs w:val="18"/>
          <w:lang w:val="en-US"/>
        </w:rPr>
      </w:pPr>
      <w:r w:rsidRPr="005A77D8">
        <w:rPr>
          <w:rFonts w:ascii="Verdana" w:hAnsi="Verdana" w:cs="Verdana"/>
          <w:sz w:val="18"/>
          <w:szCs w:val="18"/>
          <w:lang w:val="en-US"/>
        </w:rPr>
        <w:t xml:space="preserve">Smith, </w:t>
      </w:r>
      <w:proofErr w:type="spellStart"/>
      <w:r w:rsidRPr="005A77D8">
        <w:rPr>
          <w:rFonts w:ascii="Verdana" w:hAnsi="Verdana" w:cs="Verdana"/>
          <w:sz w:val="18"/>
          <w:szCs w:val="18"/>
          <w:lang w:val="en-US"/>
        </w:rPr>
        <w:t>E.A.e.a</w:t>
      </w:r>
      <w:proofErr w:type="spellEnd"/>
      <w:r w:rsidRPr="005A77D8">
        <w:rPr>
          <w:rFonts w:ascii="Verdana" w:hAnsi="Verdana" w:cs="Verdana"/>
          <w:sz w:val="18"/>
          <w:szCs w:val="18"/>
          <w:lang w:val="en-US"/>
        </w:rPr>
        <w:t>. 2010, "Wealth Transmission and Inequality among Hunter</w:t>
      </w:r>
      <w:r w:rsidRPr="005A77D8">
        <w:rPr>
          <w:rFonts w:ascii="Cambria Math" w:hAnsi="Cambria Math" w:cs="Cambria Math"/>
          <w:sz w:val="18"/>
          <w:szCs w:val="18"/>
          <w:lang w:val="en-US"/>
        </w:rPr>
        <w:t>‐</w:t>
      </w:r>
      <w:r w:rsidRPr="005A77D8">
        <w:rPr>
          <w:rFonts w:ascii="Verdana" w:hAnsi="Verdana" w:cs="Verdana"/>
          <w:sz w:val="18"/>
          <w:szCs w:val="18"/>
          <w:lang w:val="en-US"/>
        </w:rPr>
        <w:t xml:space="preserve">Gatherers", </w:t>
      </w:r>
      <w:r w:rsidRPr="005A77D8">
        <w:rPr>
          <w:rFonts w:ascii="Verdana" w:hAnsi="Verdana" w:cs="Verdana"/>
          <w:i/>
          <w:iCs/>
          <w:sz w:val="18"/>
          <w:szCs w:val="18"/>
          <w:lang w:val="en-US"/>
        </w:rPr>
        <w:t xml:space="preserve">Current Anthropology, </w:t>
      </w:r>
      <w:r w:rsidRPr="005A77D8">
        <w:rPr>
          <w:rFonts w:ascii="Verdana" w:hAnsi="Verdana" w:cs="Verdana"/>
          <w:sz w:val="18"/>
          <w:szCs w:val="18"/>
          <w:lang w:val="en-US"/>
        </w:rPr>
        <w:t xml:space="preserve">vol. 51, no. 1, pp. 19-34. </w:t>
      </w:r>
    </w:p>
    <w:p w:rsidR="005A77D8" w:rsidRPr="005A77D8" w:rsidRDefault="005A77D8" w:rsidP="005A77D8">
      <w:pPr>
        <w:autoSpaceDE w:val="0"/>
        <w:autoSpaceDN w:val="0"/>
        <w:adjustRightInd w:val="0"/>
        <w:spacing w:before="100" w:after="100" w:line="240" w:lineRule="auto"/>
        <w:ind w:left="450" w:hanging="450"/>
        <w:rPr>
          <w:rFonts w:ascii="Verdana" w:hAnsi="Verdana" w:cs="Verdana"/>
          <w:sz w:val="18"/>
          <w:szCs w:val="18"/>
          <w:lang w:val="en-US"/>
        </w:rPr>
      </w:pPr>
      <w:r w:rsidRPr="005A77D8">
        <w:rPr>
          <w:rFonts w:ascii="Verdana" w:hAnsi="Verdana" w:cs="Verdana"/>
          <w:sz w:val="18"/>
          <w:szCs w:val="18"/>
          <w:lang w:val="en-US"/>
        </w:rPr>
        <w:t xml:space="preserve">Weiner, A.B. 1977, "Trobriand Descent: Female/Male Domains", </w:t>
      </w:r>
      <w:r w:rsidRPr="005A77D8">
        <w:rPr>
          <w:rFonts w:ascii="Verdana" w:hAnsi="Verdana" w:cs="Verdana"/>
          <w:i/>
          <w:iCs/>
          <w:sz w:val="18"/>
          <w:szCs w:val="18"/>
          <w:lang w:val="en-US"/>
        </w:rPr>
        <w:t xml:space="preserve">Ethos, </w:t>
      </w:r>
      <w:r w:rsidRPr="005A77D8">
        <w:rPr>
          <w:rFonts w:ascii="Verdana" w:hAnsi="Verdana" w:cs="Verdana"/>
          <w:sz w:val="18"/>
          <w:szCs w:val="18"/>
          <w:lang w:val="en-US"/>
        </w:rPr>
        <w:t xml:space="preserve">vol. 5, no. 1, pp. 54-55-70. </w:t>
      </w:r>
      <w:bookmarkStart w:id="0" w:name="_GoBack"/>
      <w:bookmarkEnd w:id="0"/>
    </w:p>
    <w:sectPr w:rsidR="005A77D8" w:rsidRPr="005A77D8">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2AFF" w:usb1="C000247B" w:usb2="00000009" w:usb3="00000000" w:csb0="000001FF" w:csb1="00000000"/>
  </w:font>
  <w:font w:name="Verdana">
    <w:panose1 w:val="020B0604030504040204"/>
    <w:charset w:val="EE"/>
    <w:family w:val="swiss"/>
    <w:pitch w:val="variable"/>
    <w:sig w:usb0="A00006FF" w:usb1="4000205B" w:usb2="00000010" w:usb3="00000000" w:csb0="0000019F" w:csb1="00000000"/>
  </w:font>
  <w:font w:name="Cambria Math">
    <w:panose1 w:val="02040503050406030204"/>
    <w:charset w:val="EE"/>
    <w:family w:val="roman"/>
    <w:pitch w:val="variable"/>
    <w:sig w:usb0="E00006FF" w:usb1="420024FF" w:usb2="02000000" w:usb3="00000000" w:csb0="0000019F" w:csb1="00000000"/>
  </w:font>
  <w:font w:name="Calibri Light">
    <w:panose1 w:val="020F0302020204030204"/>
    <w:charset w:val="EE"/>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4F277D"/>
    <w:multiLevelType w:val="hybridMultilevel"/>
    <w:tmpl w:val="4EC8E282"/>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 w15:restartNumberingAfterBreak="0">
    <w:nsid w:val="510A35FA"/>
    <w:multiLevelType w:val="hybridMultilevel"/>
    <w:tmpl w:val="FD4AA8E4"/>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099B"/>
    <w:rsid w:val="00027119"/>
    <w:rsid w:val="00063CFA"/>
    <w:rsid w:val="00100221"/>
    <w:rsid w:val="00111093"/>
    <w:rsid w:val="0015006B"/>
    <w:rsid w:val="00182A88"/>
    <w:rsid w:val="001E7347"/>
    <w:rsid w:val="00214D7E"/>
    <w:rsid w:val="00236E84"/>
    <w:rsid w:val="0028046F"/>
    <w:rsid w:val="002A38AA"/>
    <w:rsid w:val="0034400B"/>
    <w:rsid w:val="00363BD5"/>
    <w:rsid w:val="00376767"/>
    <w:rsid w:val="00385356"/>
    <w:rsid w:val="003C067F"/>
    <w:rsid w:val="003C1BE0"/>
    <w:rsid w:val="00424E13"/>
    <w:rsid w:val="004342A1"/>
    <w:rsid w:val="00451AB7"/>
    <w:rsid w:val="0046148F"/>
    <w:rsid w:val="005016C2"/>
    <w:rsid w:val="00523A70"/>
    <w:rsid w:val="0054328E"/>
    <w:rsid w:val="00597BFD"/>
    <w:rsid w:val="005A418B"/>
    <w:rsid w:val="005A77D8"/>
    <w:rsid w:val="005C7CB2"/>
    <w:rsid w:val="00621E1F"/>
    <w:rsid w:val="0073783B"/>
    <w:rsid w:val="007D4E3D"/>
    <w:rsid w:val="00894EB1"/>
    <w:rsid w:val="00A04A3A"/>
    <w:rsid w:val="00A07EE9"/>
    <w:rsid w:val="00A16741"/>
    <w:rsid w:val="00A4357C"/>
    <w:rsid w:val="00AA72AA"/>
    <w:rsid w:val="00B106AE"/>
    <w:rsid w:val="00B20FE2"/>
    <w:rsid w:val="00B46F28"/>
    <w:rsid w:val="00B979B3"/>
    <w:rsid w:val="00BC77C2"/>
    <w:rsid w:val="00BD099B"/>
    <w:rsid w:val="00C4793D"/>
    <w:rsid w:val="00C57BFB"/>
    <w:rsid w:val="00C7431E"/>
    <w:rsid w:val="00C9560F"/>
    <w:rsid w:val="00CA2699"/>
    <w:rsid w:val="00D10FAF"/>
    <w:rsid w:val="00DA5592"/>
    <w:rsid w:val="00DE492D"/>
    <w:rsid w:val="00FB4B2C"/>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53907A7-419C-4348-BD7A-3B3641504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40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1240</Words>
  <Characters>7445</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2</cp:revision>
  <dcterms:created xsi:type="dcterms:W3CDTF">2018-10-13T08:51:00Z</dcterms:created>
  <dcterms:modified xsi:type="dcterms:W3CDTF">2018-10-13T08:51:00Z</dcterms:modified>
</cp:coreProperties>
</file>