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0131" w:rsidRDefault="00040131" w:rsidP="00040131">
      <w:pPr>
        <w:spacing w:line="360" w:lineRule="auto"/>
        <w:jc w:val="center"/>
        <w:rPr>
          <w:rFonts w:ascii="Times New Roman" w:hAnsi="Times New Roman" w:cs="Times New Roman"/>
          <w:b/>
          <w:sz w:val="52"/>
          <w:szCs w:val="52"/>
          <w:lang w:val="en-US"/>
        </w:rPr>
      </w:pPr>
    </w:p>
    <w:p w:rsidR="00040131" w:rsidRPr="009A5839" w:rsidRDefault="00040131" w:rsidP="00040131">
      <w:pPr>
        <w:spacing w:line="360" w:lineRule="auto"/>
        <w:jc w:val="center"/>
        <w:rPr>
          <w:rFonts w:ascii="Times New Roman" w:hAnsi="Times New Roman" w:cs="Times New Roman"/>
          <w:b/>
          <w:sz w:val="44"/>
          <w:szCs w:val="44"/>
          <w:lang w:val="en-US"/>
        </w:rPr>
      </w:pPr>
      <w:r w:rsidRPr="009A5839">
        <w:rPr>
          <w:rFonts w:ascii="Times New Roman" w:hAnsi="Times New Roman" w:cs="Times New Roman"/>
          <w:b/>
          <w:sz w:val="44"/>
          <w:szCs w:val="44"/>
          <w:lang w:val="en-US"/>
        </w:rPr>
        <w:t>Assessment 2</w:t>
      </w:r>
    </w:p>
    <w:p w:rsidR="00040131" w:rsidRPr="009A5839" w:rsidRDefault="00040131" w:rsidP="00040131">
      <w:pPr>
        <w:spacing w:line="360" w:lineRule="auto"/>
        <w:jc w:val="center"/>
        <w:rPr>
          <w:rFonts w:ascii="Times New Roman" w:hAnsi="Times New Roman" w:cs="Times New Roman"/>
          <w:b/>
          <w:sz w:val="52"/>
          <w:szCs w:val="52"/>
          <w:lang w:val="en-US"/>
        </w:rPr>
      </w:pPr>
      <w:r w:rsidRPr="009A5839">
        <w:rPr>
          <w:rFonts w:ascii="Times New Roman" w:hAnsi="Times New Roman" w:cs="Times New Roman"/>
          <w:b/>
          <w:sz w:val="52"/>
          <w:szCs w:val="52"/>
          <w:lang w:val="en-US"/>
        </w:rPr>
        <w:t>Project Management</w:t>
      </w:r>
    </w:p>
    <w:p w:rsidR="00040131" w:rsidRDefault="00040131" w:rsidP="00E64C35">
      <w:pPr>
        <w:spacing w:line="360" w:lineRule="auto"/>
        <w:jc w:val="both"/>
        <w:rPr>
          <w:rFonts w:ascii="Times New Roman" w:hAnsi="Times New Roman" w:cs="Times New Roman"/>
          <w:b/>
          <w:sz w:val="24"/>
          <w:szCs w:val="24"/>
          <w:lang w:val="en-US"/>
        </w:rPr>
      </w:pPr>
    </w:p>
    <w:p w:rsidR="00040131" w:rsidRDefault="00040131" w:rsidP="00E64C35">
      <w:pPr>
        <w:spacing w:line="360" w:lineRule="auto"/>
        <w:jc w:val="both"/>
        <w:rPr>
          <w:rFonts w:ascii="Times New Roman" w:hAnsi="Times New Roman" w:cs="Times New Roman"/>
          <w:b/>
          <w:sz w:val="24"/>
          <w:szCs w:val="24"/>
          <w:lang w:val="en-US"/>
        </w:rPr>
      </w:pPr>
    </w:p>
    <w:p w:rsidR="00B015DD" w:rsidRDefault="00B015DD" w:rsidP="00040131">
      <w:pPr>
        <w:spacing w:line="360" w:lineRule="auto"/>
        <w:jc w:val="both"/>
        <w:rPr>
          <w:rFonts w:ascii="Times New Roman" w:hAnsi="Times New Roman" w:cs="Times New Roman"/>
          <w:b/>
          <w:sz w:val="24"/>
          <w:szCs w:val="24"/>
          <w:lang w:val="en-US"/>
        </w:rPr>
      </w:pPr>
    </w:p>
    <w:p w:rsidR="00B015DD" w:rsidRDefault="00B015DD" w:rsidP="00040131">
      <w:pPr>
        <w:spacing w:line="360" w:lineRule="auto"/>
        <w:jc w:val="both"/>
        <w:rPr>
          <w:rFonts w:ascii="Times New Roman" w:hAnsi="Times New Roman" w:cs="Times New Roman"/>
          <w:b/>
          <w:sz w:val="24"/>
          <w:szCs w:val="24"/>
          <w:lang w:val="en-US"/>
        </w:rPr>
      </w:pPr>
    </w:p>
    <w:p w:rsidR="00B015DD" w:rsidRDefault="00B015DD" w:rsidP="00040131">
      <w:pPr>
        <w:spacing w:line="360" w:lineRule="auto"/>
        <w:jc w:val="both"/>
        <w:rPr>
          <w:rFonts w:ascii="Times New Roman" w:hAnsi="Times New Roman" w:cs="Times New Roman"/>
          <w:b/>
          <w:sz w:val="24"/>
          <w:szCs w:val="24"/>
          <w:lang w:val="en-US"/>
        </w:rPr>
      </w:pPr>
    </w:p>
    <w:p w:rsidR="00B015DD" w:rsidRDefault="00B015DD" w:rsidP="00040131">
      <w:pPr>
        <w:spacing w:line="360" w:lineRule="auto"/>
        <w:jc w:val="both"/>
        <w:rPr>
          <w:rFonts w:ascii="Times New Roman" w:hAnsi="Times New Roman" w:cs="Times New Roman"/>
          <w:b/>
          <w:sz w:val="24"/>
          <w:szCs w:val="24"/>
          <w:lang w:val="en-US"/>
        </w:rPr>
      </w:pPr>
    </w:p>
    <w:p w:rsidR="00040131" w:rsidRDefault="00040131" w:rsidP="00040131">
      <w:pPr>
        <w:spacing w:line="360" w:lineRule="auto"/>
        <w:ind w:firstLine="720"/>
        <w:jc w:val="both"/>
        <w:rPr>
          <w:rFonts w:ascii="Times New Roman" w:hAnsi="Times New Roman" w:cs="Times New Roman"/>
          <w:b/>
          <w:sz w:val="24"/>
          <w:szCs w:val="24"/>
          <w:lang w:val="en-US"/>
        </w:rPr>
      </w:pPr>
    </w:p>
    <w:p w:rsidR="00040131" w:rsidRDefault="00040131" w:rsidP="00040131">
      <w:pPr>
        <w:tabs>
          <w:tab w:val="left" w:pos="1950"/>
        </w:tabs>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Student Name: Mihail Cristian</w:t>
      </w:r>
      <w:r>
        <w:rPr>
          <w:rFonts w:ascii="Times New Roman" w:hAnsi="Times New Roman" w:cs="Times New Roman"/>
          <w:b/>
          <w:sz w:val="24"/>
          <w:szCs w:val="24"/>
          <w:lang w:val="en-US"/>
        </w:rPr>
        <w:tab/>
      </w:r>
    </w:p>
    <w:p w:rsidR="00040131" w:rsidRDefault="00040131" w:rsidP="00040131">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Student ID: 2112321</w:t>
      </w:r>
    </w:p>
    <w:p w:rsidR="00040131" w:rsidRDefault="00040131" w:rsidP="00040131">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Assignment Title: </w:t>
      </w:r>
      <w:r w:rsidRPr="009D19A5">
        <w:rPr>
          <w:rFonts w:ascii="Times New Roman" w:hAnsi="Times New Roman" w:cs="Times New Roman"/>
          <w:b/>
          <w:sz w:val="24"/>
          <w:szCs w:val="24"/>
          <w:lang w:val="en-US"/>
        </w:rPr>
        <w:t>A report on the evaluation of the Hinkley Point C Project</w:t>
      </w:r>
    </w:p>
    <w:p w:rsidR="00040131" w:rsidRDefault="00040131" w:rsidP="00040131">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Module Code: LCBB5005</w:t>
      </w:r>
    </w:p>
    <w:p w:rsidR="00040131" w:rsidRDefault="00040131" w:rsidP="00E64C35">
      <w:pPr>
        <w:spacing w:line="360" w:lineRule="auto"/>
        <w:jc w:val="both"/>
        <w:rPr>
          <w:rFonts w:ascii="Times New Roman" w:hAnsi="Times New Roman" w:cs="Times New Roman"/>
          <w:b/>
          <w:sz w:val="24"/>
          <w:szCs w:val="24"/>
          <w:lang w:val="en-US"/>
        </w:rPr>
      </w:pPr>
    </w:p>
    <w:p w:rsidR="001A4819" w:rsidRPr="00E64C35" w:rsidRDefault="001A4819" w:rsidP="00E64C35">
      <w:pPr>
        <w:spacing w:line="360" w:lineRule="auto"/>
        <w:jc w:val="both"/>
        <w:rPr>
          <w:rFonts w:ascii="Times New Roman" w:hAnsi="Times New Roman" w:cs="Times New Roman"/>
          <w:b/>
          <w:sz w:val="24"/>
          <w:szCs w:val="24"/>
          <w:lang w:val="en-US"/>
        </w:rPr>
      </w:pPr>
      <w:r w:rsidRPr="00E64C35">
        <w:rPr>
          <w:rFonts w:ascii="Times New Roman" w:hAnsi="Times New Roman" w:cs="Times New Roman"/>
          <w:b/>
          <w:sz w:val="24"/>
          <w:szCs w:val="24"/>
          <w:lang w:val="en-US"/>
        </w:rPr>
        <w:br w:type="page"/>
      </w:r>
    </w:p>
    <w:sdt>
      <w:sdtPr>
        <w:rPr>
          <w:rFonts w:ascii="Times New Roman" w:eastAsiaTheme="minorHAnsi" w:hAnsi="Times New Roman" w:cs="Times New Roman"/>
          <w:color w:val="auto"/>
          <w:sz w:val="24"/>
          <w:szCs w:val="24"/>
          <w:lang w:val="en-IN"/>
        </w:rPr>
        <w:id w:val="-1140498371"/>
        <w:docPartObj>
          <w:docPartGallery w:val="Table of Contents"/>
          <w:docPartUnique/>
        </w:docPartObj>
      </w:sdtPr>
      <w:sdtEndPr>
        <w:rPr>
          <w:b/>
          <w:bCs/>
          <w:noProof/>
        </w:rPr>
      </w:sdtEndPr>
      <w:sdtContent>
        <w:sdt>
          <w:sdtPr>
            <w:rPr>
              <w:rFonts w:ascii="Times New Roman" w:eastAsiaTheme="minorHAnsi" w:hAnsi="Times New Roman" w:cs="Times New Roman"/>
              <w:color w:val="auto"/>
              <w:sz w:val="24"/>
              <w:szCs w:val="24"/>
              <w:lang w:val="en-IN"/>
            </w:rPr>
            <w:id w:val="-114291896"/>
            <w:docPartObj>
              <w:docPartGallery w:val="Table of Contents"/>
              <w:docPartUnique/>
            </w:docPartObj>
          </w:sdtPr>
          <w:sdtEndPr>
            <w:rPr>
              <w:b/>
              <w:bCs/>
              <w:noProof/>
            </w:rPr>
          </w:sdtEndPr>
          <w:sdtContent>
            <w:p w:rsidR="002139A3" w:rsidRPr="00A906E5" w:rsidRDefault="002139A3" w:rsidP="002139A3">
              <w:pPr>
                <w:pStyle w:val="a9"/>
                <w:spacing w:line="360" w:lineRule="auto"/>
                <w:jc w:val="both"/>
                <w:rPr>
                  <w:rFonts w:ascii="Times New Roman" w:hAnsi="Times New Roman" w:cs="Times New Roman"/>
                  <w:color w:val="auto"/>
                  <w:sz w:val="24"/>
                  <w:szCs w:val="24"/>
                </w:rPr>
              </w:pPr>
              <w:r w:rsidRPr="00A906E5">
                <w:rPr>
                  <w:rFonts w:ascii="Times New Roman" w:hAnsi="Times New Roman" w:cs="Times New Roman"/>
                  <w:color w:val="auto"/>
                  <w:sz w:val="24"/>
                  <w:szCs w:val="24"/>
                </w:rPr>
                <w:t>Contents</w:t>
              </w:r>
            </w:p>
            <w:p w:rsidR="002139A3" w:rsidRPr="00A906E5" w:rsidRDefault="002139A3" w:rsidP="002139A3">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r w:rsidRPr="00A906E5">
                <w:rPr>
                  <w:rFonts w:ascii="Times New Roman" w:hAnsi="Times New Roman" w:cs="Times New Roman"/>
                  <w:sz w:val="24"/>
                  <w:szCs w:val="24"/>
                </w:rPr>
                <w:fldChar w:fldCharType="begin"/>
              </w:r>
              <w:r w:rsidRPr="00A906E5">
                <w:rPr>
                  <w:rFonts w:ascii="Times New Roman" w:hAnsi="Times New Roman" w:cs="Times New Roman"/>
                  <w:sz w:val="24"/>
                  <w:szCs w:val="24"/>
                </w:rPr>
                <w:instrText xml:space="preserve"> TOC \o "1-3" \h \z \u </w:instrText>
              </w:r>
              <w:r w:rsidRPr="00A906E5">
                <w:rPr>
                  <w:rFonts w:ascii="Times New Roman" w:hAnsi="Times New Roman" w:cs="Times New Roman"/>
                  <w:sz w:val="24"/>
                  <w:szCs w:val="24"/>
                </w:rPr>
                <w:fldChar w:fldCharType="separate"/>
              </w:r>
              <w:hyperlink w:anchor="_Toc141258688" w:history="1">
                <w:r w:rsidRPr="00A906E5">
                  <w:rPr>
                    <w:rStyle w:val="a4"/>
                    <w:rFonts w:ascii="Times New Roman" w:hAnsi="Times New Roman" w:cs="Times New Roman"/>
                    <w:noProof/>
                    <w:color w:val="auto"/>
                    <w:sz w:val="24"/>
                    <w:szCs w:val="24"/>
                    <w:u w:val="none"/>
                    <w:lang w:val="en-US"/>
                  </w:rPr>
                  <w:t>Introduction</w:t>
                </w:r>
                <w:r w:rsidR="00696846">
                  <w:rPr>
                    <w:rStyle w:val="a4"/>
                    <w:rFonts w:ascii="Times New Roman" w:hAnsi="Times New Roman" w:cs="Times New Roman"/>
                    <w:noProof/>
                    <w:color w:val="auto"/>
                    <w:sz w:val="24"/>
                    <w:szCs w:val="24"/>
                    <w:u w:val="none"/>
                    <w:lang w:val="en-US"/>
                  </w:rPr>
                  <w:t>……………………………………………………………………………………</w:t>
                </w:r>
                <w:r w:rsidRPr="00A906E5">
                  <w:rPr>
                    <w:rFonts w:ascii="Times New Roman" w:hAnsi="Times New Roman" w:cs="Times New Roman"/>
                    <w:noProof/>
                    <w:webHidden/>
                    <w:sz w:val="24"/>
                    <w:szCs w:val="24"/>
                  </w:rPr>
                  <w:fldChar w:fldCharType="begin"/>
                </w:r>
                <w:r w:rsidRPr="00A906E5">
                  <w:rPr>
                    <w:rFonts w:ascii="Times New Roman" w:hAnsi="Times New Roman" w:cs="Times New Roman"/>
                    <w:noProof/>
                    <w:webHidden/>
                    <w:sz w:val="24"/>
                    <w:szCs w:val="24"/>
                  </w:rPr>
                  <w:instrText xml:space="preserve"> PAGEREF _Toc141258688 \h </w:instrText>
                </w:r>
                <w:r w:rsidRPr="00A906E5">
                  <w:rPr>
                    <w:rFonts w:ascii="Times New Roman" w:hAnsi="Times New Roman" w:cs="Times New Roman"/>
                    <w:noProof/>
                    <w:webHidden/>
                    <w:sz w:val="24"/>
                    <w:szCs w:val="24"/>
                  </w:rPr>
                </w:r>
                <w:r w:rsidRPr="00A906E5">
                  <w:rPr>
                    <w:rFonts w:ascii="Times New Roman" w:hAnsi="Times New Roman" w:cs="Times New Roman"/>
                    <w:noProof/>
                    <w:webHidden/>
                    <w:sz w:val="24"/>
                    <w:szCs w:val="24"/>
                  </w:rPr>
                  <w:fldChar w:fldCharType="separate"/>
                </w:r>
                <w:r w:rsidRPr="00A906E5">
                  <w:rPr>
                    <w:rFonts w:ascii="Times New Roman" w:hAnsi="Times New Roman" w:cs="Times New Roman"/>
                    <w:noProof/>
                    <w:webHidden/>
                    <w:sz w:val="24"/>
                    <w:szCs w:val="24"/>
                  </w:rPr>
                  <w:t>3</w:t>
                </w:r>
                <w:r w:rsidRPr="00A906E5">
                  <w:rPr>
                    <w:rFonts w:ascii="Times New Roman" w:hAnsi="Times New Roman" w:cs="Times New Roman"/>
                    <w:noProof/>
                    <w:webHidden/>
                    <w:sz w:val="24"/>
                    <w:szCs w:val="24"/>
                  </w:rPr>
                  <w:fldChar w:fldCharType="end"/>
                </w:r>
              </w:hyperlink>
            </w:p>
            <w:p w:rsidR="002139A3" w:rsidRPr="00A906E5" w:rsidRDefault="00696846" w:rsidP="002139A3">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89" w:history="1">
                <w:r w:rsidR="002139A3" w:rsidRPr="00A906E5">
                  <w:rPr>
                    <w:rStyle w:val="a4"/>
                    <w:rFonts w:ascii="Times New Roman" w:hAnsi="Times New Roman" w:cs="Times New Roman"/>
                    <w:noProof/>
                    <w:color w:val="auto"/>
                    <w:sz w:val="24"/>
                    <w:szCs w:val="24"/>
                    <w:u w:val="none"/>
                    <w:lang w:val="en-US"/>
                  </w:rPr>
                  <w:t>Discussion</w:t>
                </w:r>
                <w:r w:rsidR="007249AF">
                  <w:rPr>
                    <w:rStyle w:val="a4"/>
                    <w:rFonts w:ascii="Times New Roman" w:hAnsi="Times New Roman" w:cs="Times New Roman"/>
                    <w:noProof/>
                    <w:color w:val="auto"/>
                    <w:sz w:val="24"/>
                    <w:szCs w:val="24"/>
                    <w:u w:val="none"/>
                    <w:lang w:val="en-US"/>
                  </w:rPr>
                  <w:t>……</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_Toc141258689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4</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0" w:history="1">
                <w:r w:rsidR="002139A3" w:rsidRPr="00A906E5">
                  <w:rPr>
                    <w:rStyle w:val="a4"/>
                    <w:rFonts w:ascii="Times New Roman" w:hAnsi="Times New Roman" w:cs="Times New Roman"/>
                    <w:noProof/>
                    <w:color w:val="auto"/>
                    <w:sz w:val="24"/>
                    <w:szCs w:val="24"/>
                    <w:u w:val="none"/>
                  </w:rPr>
                  <w:t>Justification</w:t>
                </w:r>
                <w:r>
                  <w:rPr>
                    <w:rStyle w:val="a4"/>
                    <w:rFonts w:ascii="Times New Roman" w:hAnsi="Times New Roman" w:cs="Times New Roman"/>
                    <w:noProof/>
                    <w:color w:val="auto"/>
                    <w:sz w:val="24"/>
                    <w:szCs w:val="24"/>
                    <w:u w:val="none"/>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_Toc141258690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4</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1" w:history="1">
                <w:r w:rsidR="002139A3" w:rsidRPr="00A906E5">
                  <w:rPr>
                    <w:rStyle w:val="a4"/>
                    <w:rFonts w:ascii="Times New Roman" w:hAnsi="Times New Roman" w:cs="Times New Roman"/>
                    <w:noProof/>
                    <w:color w:val="auto"/>
                    <w:sz w:val="24"/>
                    <w:szCs w:val="24"/>
                    <w:u w:val="none"/>
                    <w:lang w:eastAsia="en-IN"/>
                  </w:rPr>
                  <w:t>Inefficient technology</w:t>
                </w:r>
                <w:r>
                  <w:rPr>
                    <w:rStyle w:val="a4"/>
                    <w:rFonts w:ascii="Times New Roman" w:hAnsi="Times New Roman" w:cs="Times New Roman"/>
                    <w:noProof/>
                    <w:color w:val="auto"/>
                    <w:sz w:val="24"/>
                    <w:szCs w:val="24"/>
                    <w:u w:val="none"/>
                    <w:lang w:eastAsia="en-IN"/>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_Toc141258691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4</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2" w:history="1">
                <w:r w:rsidR="002139A3" w:rsidRPr="00A906E5">
                  <w:rPr>
                    <w:rStyle w:val="a4"/>
                    <w:rFonts w:ascii="Times New Roman" w:hAnsi="Times New Roman" w:cs="Times New Roman"/>
                    <w:noProof/>
                    <w:color w:val="auto"/>
                    <w:sz w:val="24"/>
                    <w:szCs w:val="24"/>
                    <w:u w:val="none"/>
                    <w:lang w:eastAsia="en-IN"/>
                  </w:rPr>
                  <w:t>Better alternates</w:t>
                </w:r>
                <w:r>
                  <w:rPr>
                    <w:rStyle w:val="a4"/>
                    <w:rFonts w:ascii="Times New Roman" w:hAnsi="Times New Roman" w:cs="Times New Roman"/>
                    <w:noProof/>
                    <w:color w:val="auto"/>
                    <w:sz w:val="24"/>
                    <w:szCs w:val="24"/>
                    <w:u w:val="none"/>
                    <w:lang w:eastAsia="en-IN"/>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_Toc141258692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5</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3" w:history="1">
                <w:r w:rsidR="002139A3" w:rsidRPr="00A906E5">
                  <w:rPr>
                    <w:rStyle w:val="a4"/>
                    <w:rFonts w:ascii="Times New Roman" w:hAnsi="Times New Roman" w:cs="Times New Roman"/>
                    <w:noProof/>
                    <w:color w:val="auto"/>
                    <w:sz w:val="24"/>
                    <w:szCs w:val="24"/>
                    <w:u w:val="none"/>
                    <w:lang w:val="en-US"/>
                  </w:rPr>
                  <w:t>Increasing costs</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_Toc141258693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5</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4" w:history="1">
                <w:r w:rsidR="002139A3" w:rsidRPr="00A906E5">
                  <w:rPr>
                    <w:rStyle w:val="a4"/>
                    <w:rFonts w:ascii="Times New Roman" w:hAnsi="Times New Roman" w:cs="Times New Roman"/>
                    <w:noProof/>
                    <w:color w:val="auto"/>
                    <w:sz w:val="24"/>
                    <w:szCs w:val="24"/>
                    <w:u w:val="none"/>
                    <w:lang w:val="en-US"/>
                  </w:rPr>
                  <w:t>Higher bills</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_Toc141258694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6</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5" w:history="1">
                <w:r w:rsidR="002139A3" w:rsidRPr="00A906E5">
                  <w:rPr>
                    <w:rStyle w:val="a4"/>
                    <w:rFonts w:ascii="Times New Roman" w:hAnsi="Times New Roman" w:cs="Times New Roman"/>
                    <w:noProof/>
                    <w:color w:val="auto"/>
                    <w:sz w:val="24"/>
                    <w:szCs w:val="24"/>
                    <w:u w:val="none"/>
                  </w:rPr>
                  <w:t>Groundwork issues</w:t>
                </w:r>
                <w:r>
                  <w:rPr>
                    <w:rStyle w:val="a4"/>
                    <w:rFonts w:ascii="Times New Roman" w:hAnsi="Times New Roman" w:cs="Times New Roman"/>
                    <w:noProof/>
                    <w:color w:val="auto"/>
                    <w:sz w:val="24"/>
                    <w:szCs w:val="24"/>
                    <w:u w:val="none"/>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_Toc141258695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6</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6" w:history="1">
                <w:r w:rsidR="002139A3" w:rsidRPr="00A906E5">
                  <w:rPr>
                    <w:rStyle w:val="a4"/>
                    <w:rFonts w:ascii="Times New Roman" w:hAnsi="Times New Roman" w:cs="Times New Roman"/>
                    <w:noProof/>
                    <w:color w:val="auto"/>
                    <w:sz w:val="24"/>
                    <w:szCs w:val="24"/>
                    <w:u w:val="none"/>
                    <w:lang w:val="en-US"/>
                  </w:rPr>
                  <w:t>Environmental impact</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_Toc141258696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7</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7" w:history="1">
                <w:r w:rsidR="002139A3" w:rsidRPr="00A906E5">
                  <w:rPr>
                    <w:rStyle w:val="a4"/>
                    <w:rFonts w:ascii="Times New Roman" w:hAnsi="Times New Roman" w:cs="Times New Roman"/>
                    <w:noProof/>
                    <w:color w:val="auto"/>
                    <w:sz w:val="24"/>
                    <w:szCs w:val="24"/>
                    <w:u w:val="none"/>
                    <w:lang w:val="en-US"/>
                  </w:rPr>
                  <w:t>Conflicting Interests</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_Toc141258697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7</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2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8" w:history="1">
                <w:r w:rsidR="002139A3" w:rsidRPr="00A906E5">
                  <w:rPr>
                    <w:rStyle w:val="a4"/>
                    <w:rFonts w:ascii="Times New Roman" w:hAnsi="Times New Roman" w:cs="Times New Roman"/>
                    <w:noProof/>
                    <w:color w:val="auto"/>
                    <w:sz w:val="24"/>
                    <w:szCs w:val="24"/>
                    <w:u w:val="none"/>
                  </w:rPr>
                  <w:t>Continuous delays</w:t>
                </w:r>
                <w:r>
                  <w:rPr>
                    <w:rStyle w:val="a4"/>
                    <w:rFonts w:ascii="Times New Roman" w:hAnsi="Times New Roman" w:cs="Times New Roman"/>
                    <w:noProof/>
                    <w:color w:val="auto"/>
                    <w:sz w:val="24"/>
                    <w:szCs w:val="24"/>
                    <w:u w:val="none"/>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_Toc141258698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8</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699" w:history="1">
                <w:r w:rsidR="002139A3" w:rsidRPr="00A906E5">
                  <w:rPr>
                    <w:rStyle w:val="a4"/>
                    <w:rFonts w:ascii="Times New Roman" w:hAnsi="Times New Roman" w:cs="Times New Roman"/>
                    <w:noProof/>
                    <w:color w:val="auto"/>
                    <w:sz w:val="24"/>
                    <w:szCs w:val="24"/>
                    <w:u w:val="none"/>
                    <w:lang w:val="en-US"/>
                  </w:rPr>
                  <w:t>Recommendations</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_Toc141258699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8</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700" w:history="1">
                <w:r w:rsidR="002139A3" w:rsidRPr="00A906E5">
                  <w:rPr>
                    <w:rStyle w:val="a4"/>
                    <w:rFonts w:ascii="Times New Roman" w:hAnsi="Times New Roman" w:cs="Times New Roman"/>
                    <w:noProof/>
                    <w:color w:val="auto"/>
                    <w:sz w:val="24"/>
                    <w:szCs w:val="24"/>
                    <w:u w:val="none"/>
                    <w:lang w:val="en-US"/>
                  </w:rPr>
                  <w:t>Conclusion</w:t>
                </w:r>
                <w:r>
                  <w:rPr>
                    <w:rStyle w:val="a4"/>
                    <w:rFonts w:ascii="Times New Roman" w:hAnsi="Times New Roman" w:cs="Times New Roman"/>
                    <w:noProof/>
                    <w:color w:val="auto"/>
                    <w:sz w:val="24"/>
                    <w:szCs w:val="24"/>
                    <w:u w:val="none"/>
                    <w:lang w:val="en-US"/>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_Toc141258700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10</w:t>
                </w:r>
                <w:r w:rsidR="002139A3" w:rsidRPr="00A906E5">
                  <w:rPr>
                    <w:rFonts w:ascii="Times New Roman" w:hAnsi="Times New Roman" w:cs="Times New Roman"/>
                    <w:noProof/>
                    <w:webHidden/>
                    <w:sz w:val="24"/>
                    <w:szCs w:val="24"/>
                  </w:rPr>
                  <w:fldChar w:fldCharType="end"/>
                </w:r>
              </w:hyperlink>
            </w:p>
            <w:p w:rsidR="002139A3" w:rsidRPr="00A906E5" w:rsidRDefault="00696846" w:rsidP="002139A3">
              <w:pPr>
                <w:pStyle w:val="1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41258701" w:history="1">
                <w:r w:rsidR="002139A3" w:rsidRPr="00A906E5">
                  <w:rPr>
                    <w:rStyle w:val="a4"/>
                    <w:rFonts w:ascii="Times New Roman" w:hAnsi="Times New Roman" w:cs="Times New Roman"/>
                    <w:noProof/>
                    <w:color w:val="auto"/>
                    <w:sz w:val="24"/>
                    <w:szCs w:val="24"/>
                    <w:u w:val="none"/>
                  </w:rPr>
                  <w:t>References</w:t>
                </w:r>
                <w:r>
                  <w:rPr>
                    <w:rStyle w:val="a4"/>
                    <w:rFonts w:ascii="Times New Roman" w:hAnsi="Times New Roman" w:cs="Times New Roman"/>
                    <w:noProof/>
                    <w:color w:val="auto"/>
                    <w:sz w:val="24"/>
                    <w:szCs w:val="24"/>
                    <w:u w:val="none"/>
                  </w:rPr>
                  <w:t>………………………………………………………………………………........</w:t>
                </w:r>
                <w:r w:rsidR="002139A3" w:rsidRPr="00A906E5">
                  <w:rPr>
                    <w:rFonts w:ascii="Times New Roman" w:hAnsi="Times New Roman" w:cs="Times New Roman"/>
                    <w:noProof/>
                    <w:webHidden/>
                    <w:sz w:val="24"/>
                    <w:szCs w:val="24"/>
                  </w:rPr>
                  <w:fldChar w:fldCharType="begin"/>
                </w:r>
                <w:r w:rsidR="002139A3" w:rsidRPr="00A906E5">
                  <w:rPr>
                    <w:rFonts w:ascii="Times New Roman" w:hAnsi="Times New Roman" w:cs="Times New Roman"/>
                    <w:noProof/>
                    <w:webHidden/>
                    <w:sz w:val="24"/>
                    <w:szCs w:val="24"/>
                  </w:rPr>
                  <w:instrText xml:space="preserve"> PAGEREF _Toc141258701 \h </w:instrText>
                </w:r>
                <w:r w:rsidR="002139A3" w:rsidRPr="00A906E5">
                  <w:rPr>
                    <w:rFonts w:ascii="Times New Roman" w:hAnsi="Times New Roman" w:cs="Times New Roman"/>
                    <w:noProof/>
                    <w:webHidden/>
                    <w:sz w:val="24"/>
                    <w:szCs w:val="24"/>
                  </w:rPr>
                </w:r>
                <w:r w:rsidR="002139A3" w:rsidRPr="00A906E5">
                  <w:rPr>
                    <w:rFonts w:ascii="Times New Roman" w:hAnsi="Times New Roman" w:cs="Times New Roman"/>
                    <w:noProof/>
                    <w:webHidden/>
                    <w:sz w:val="24"/>
                    <w:szCs w:val="24"/>
                  </w:rPr>
                  <w:fldChar w:fldCharType="separate"/>
                </w:r>
                <w:r w:rsidR="002139A3" w:rsidRPr="00A906E5">
                  <w:rPr>
                    <w:rFonts w:ascii="Times New Roman" w:hAnsi="Times New Roman" w:cs="Times New Roman"/>
                    <w:noProof/>
                    <w:webHidden/>
                    <w:sz w:val="24"/>
                    <w:szCs w:val="24"/>
                  </w:rPr>
                  <w:t>11</w:t>
                </w:r>
                <w:r w:rsidR="002139A3" w:rsidRPr="00A906E5">
                  <w:rPr>
                    <w:rFonts w:ascii="Times New Roman" w:hAnsi="Times New Roman" w:cs="Times New Roman"/>
                    <w:noProof/>
                    <w:webHidden/>
                    <w:sz w:val="24"/>
                    <w:szCs w:val="24"/>
                  </w:rPr>
                  <w:fldChar w:fldCharType="end"/>
                </w:r>
              </w:hyperlink>
              <w:bookmarkStart w:id="0" w:name="_GoBack"/>
              <w:bookmarkEnd w:id="0"/>
            </w:p>
            <w:p w:rsidR="002139A3" w:rsidRDefault="002139A3" w:rsidP="002139A3">
              <w:pPr>
                <w:spacing w:line="360" w:lineRule="auto"/>
                <w:jc w:val="both"/>
                <w:rPr>
                  <w:rFonts w:ascii="Times New Roman" w:hAnsi="Times New Roman" w:cs="Times New Roman"/>
                  <w:b/>
                  <w:bCs/>
                  <w:noProof/>
                  <w:sz w:val="24"/>
                  <w:szCs w:val="24"/>
                </w:rPr>
              </w:pPr>
              <w:r w:rsidRPr="00A906E5">
                <w:rPr>
                  <w:rFonts w:ascii="Times New Roman" w:hAnsi="Times New Roman" w:cs="Times New Roman"/>
                  <w:b/>
                  <w:bCs/>
                  <w:noProof/>
                  <w:sz w:val="24"/>
                  <w:szCs w:val="24"/>
                </w:rPr>
                <w:fldChar w:fldCharType="end"/>
              </w:r>
            </w:p>
          </w:sdtContent>
        </w:sdt>
        <w:p w:rsidR="000E0601" w:rsidRPr="00E64C35" w:rsidRDefault="00696846" w:rsidP="00E64C35">
          <w:pPr>
            <w:spacing w:line="360" w:lineRule="auto"/>
            <w:jc w:val="both"/>
            <w:rPr>
              <w:rFonts w:ascii="Times New Roman" w:hAnsi="Times New Roman" w:cs="Times New Roman"/>
              <w:sz w:val="24"/>
              <w:szCs w:val="24"/>
            </w:rPr>
          </w:pPr>
        </w:p>
      </w:sdtContent>
    </w:sdt>
    <w:p w:rsidR="001A4819" w:rsidRPr="00E64C35" w:rsidRDefault="001A4819" w:rsidP="00E64C35">
      <w:pPr>
        <w:spacing w:line="360" w:lineRule="auto"/>
        <w:jc w:val="both"/>
        <w:rPr>
          <w:rFonts w:ascii="Times New Roman" w:hAnsi="Times New Roman" w:cs="Times New Roman"/>
          <w:b/>
          <w:sz w:val="24"/>
          <w:szCs w:val="24"/>
          <w:lang w:val="en-US"/>
        </w:rPr>
      </w:pPr>
      <w:r w:rsidRPr="00E64C35">
        <w:rPr>
          <w:rFonts w:ascii="Times New Roman" w:hAnsi="Times New Roman" w:cs="Times New Roman"/>
          <w:b/>
          <w:sz w:val="24"/>
          <w:szCs w:val="24"/>
          <w:lang w:val="en-US"/>
        </w:rPr>
        <w:br w:type="page"/>
      </w:r>
    </w:p>
    <w:p w:rsidR="00C451F7" w:rsidRPr="00E64C35" w:rsidRDefault="00C451F7" w:rsidP="00E64C35">
      <w:pPr>
        <w:pStyle w:val="1"/>
      </w:pPr>
      <w:bookmarkStart w:id="1" w:name="_Toc141258688"/>
      <w:r w:rsidRPr="00E64C35">
        <w:lastRenderedPageBreak/>
        <w:t>Introduction</w:t>
      </w:r>
      <w:bookmarkEnd w:id="1"/>
      <w:r w:rsidRPr="00E64C35">
        <w:t xml:space="preserve"> </w:t>
      </w:r>
    </w:p>
    <w:p w:rsidR="001A4819" w:rsidRPr="00E64C35" w:rsidRDefault="00C451F7"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 xml:space="preserve">The Hinkley Point C nuclear power project has been in </w:t>
      </w:r>
      <w:r w:rsidR="001A4819" w:rsidRPr="00E64C35">
        <w:rPr>
          <w:rFonts w:ascii="Times New Roman" w:hAnsi="Times New Roman" w:cs="Times New Roman"/>
          <w:sz w:val="24"/>
          <w:szCs w:val="24"/>
          <w:lang w:val="en-US"/>
        </w:rPr>
        <w:t xml:space="preserve">the </w:t>
      </w:r>
      <w:r w:rsidRPr="00E64C35">
        <w:rPr>
          <w:rFonts w:ascii="Times New Roman" w:hAnsi="Times New Roman" w:cs="Times New Roman"/>
          <w:sz w:val="24"/>
          <w:szCs w:val="24"/>
          <w:lang w:val="en-US"/>
        </w:rPr>
        <w:t xml:space="preserve">limelight throughout the world owing to the controversies it has been facing since its inception. The UK government decided to enter into an agreement with EDF, a French </w:t>
      </w:r>
      <w:r w:rsidR="001A4819" w:rsidRPr="00E64C35">
        <w:rPr>
          <w:rFonts w:ascii="Times New Roman" w:hAnsi="Times New Roman" w:cs="Times New Roman"/>
          <w:sz w:val="24"/>
          <w:szCs w:val="24"/>
          <w:lang w:val="en-US"/>
        </w:rPr>
        <w:t>state-owned</w:t>
      </w:r>
      <w:r w:rsidRPr="00E64C35">
        <w:rPr>
          <w:rFonts w:ascii="Times New Roman" w:hAnsi="Times New Roman" w:cs="Times New Roman"/>
          <w:sz w:val="24"/>
          <w:szCs w:val="24"/>
          <w:lang w:val="en-US"/>
        </w:rPr>
        <w:t xml:space="preserve"> organization, to establish a nuclear power plant with an aim to supply electricity to around 6 million households, contributing 7% </w:t>
      </w:r>
      <w:r w:rsidR="001A4819" w:rsidRPr="00E64C35">
        <w:rPr>
          <w:rFonts w:ascii="Times New Roman" w:hAnsi="Times New Roman" w:cs="Times New Roman"/>
          <w:sz w:val="24"/>
          <w:szCs w:val="24"/>
          <w:lang w:val="en-US"/>
        </w:rPr>
        <w:t>of</w:t>
      </w:r>
      <w:r w:rsidRPr="00E64C35">
        <w:rPr>
          <w:rFonts w:ascii="Times New Roman" w:hAnsi="Times New Roman" w:cs="Times New Roman"/>
          <w:sz w:val="24"/>
          <w:szCs w:val="24"/>
          <w:lang w:val="en-US"/>
        </w:rPr>
        <w:t xml:space="preserve"> its total energy output. Despite opposition, the first brick was laid in 2017, and it was forecasted that once it is completed in 2025, it can generate electrical power till 2085. But contrary to the plans, the project is being delayed and is causing exorbitant cost overruns. </w:t>
      </w:r>
    </w:p>
    <w:p w:rsidR="00C451F7" w:rsidRPr="00E64C35" w:rsidRDefault="00C451F7"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 xml:space="preserve">The British government decided to opt for this project due to three reasons that </w:t>
      </w:r>
      <w:r w:rsidR="001A4819" w:rsidRPr="00E64C35">
        <w:rPr>
          <w:rFonts w:ascii="Times New Roman" w:hAnsi="Times New Roman" w:cs="Times New Roman"/>
          <w:sz w:val="24"/>
          <w:szCs w:val="24"/>
          <w:lang w:val="en-US"/>
        </w:rPr>
        <w:t>include</w:t>
      </w:r>
      <w:r w:rsidRPr="00E64C35">
        <w:rPr>
          <w:rFonts w:ascii="Times New Roman" w:hAnsi="Times New Roman" w:cs="Times New Roman"/>
          <w:sz w:val="24"/>
          <w:szCs w:val="24"/>
          <w:lang w:val="en-US"/>
        </w:rPr>
        <w:t xml:space="preserve"> that it can pro</w:t>
      </w:r>
      <w:r w:rsidR="001A4819" w:rsidRPr="00E64C35">
        <w:rPr>
          <w:rFonts w:ascii="Times New Roman" w:hAnsi="Times New Roman" w:cs="Times New Roman"/>
          <w:sz w:val="24"/>
          <w:szCs w:val="24"/>
          <w:lang w:val="en-US"/>
        </w:rPr>
        <w:t xml:space="preserve">vide a stable, cost-effective, </w:t>
      </w:r>
      <w:r w:rsidRPr="00E64C35">
        <w:rPr>
          <w:rFonts w:ascii="Times New Roman" w:hAnsi="Times New Roman" w:cs="Times New Roman"/>
          <w:sz w:val="24"/>
          <w:szCs w:val="24"/>
          <w:lang w:val="en-US"/>
        </w:rPr>
        <w:t xml:space="preserve">and </w:t>
      </w:r>
      <w:r w:rsidR="001A4819" w:rsidRPr="00E64C35">
        <w:rPr>
          <w:rFonts w:ascii="Times New Roman" w:hAnsi="Times New Roman" w:cs="Times New Roman"/>
          <w:sz w:val="24"/>
          <w:szCs w:val="24"/>
          <w:lang w:val="en-US"/>
        </w:rPr>
        <w:t>environment-friendly</w:t>
      </w:r>
      <w:r w:rsidRPr="00E64C35">
        <w:rPr>
          <w:rFonts w:ascii="Times New Roman" w:hAnsi="Times New Roman" w:cs="Times New Roman"/>
          <w:sz w:val="24"/>
          <w:szCs w:val="24"/>
          <w:lang w:val="en-US"/>
        </w:rPr>
        <w:t xml:space="preserve"> source of energy, and can help the government in reducing its carbon emissions. Though it is argued by critics that the opposite is happening for a long time, and the </w:t>
      </w:r>
      <w:r w:rsidR="001A4819" w:rsidRPr="00E64C35">
        <w:rPr>
          <w:rFonts w:ascii="Times New Roman" w:hAnsi="Times New Roman" w:cs="Times New Roman"/>
          <w:sz w:val="24"/>
          <w:szCs w:val="24"/>
          <w:lang w:val="en-US"/>
        </w:rPr>
        <w:t>Ministry</w:t>
      </w:r>
      <w:r w:rsidRPr="00E64C35">
        <w:rPr>
          <w:rFonts w:ascii="Times New Roman" w:hAnsi="Times New Roman" w:cs="Times New Roman"/>
          <w:sz w:val="24"/>
          <w:szCs w:val="24"/>
          <w:lang w:val="en-US"/>
        </w:rPr>
        <w:t xml:space="preserve"> of </w:t>
      </w:r>
      <w:r w:rsidR="001A4819" w:rsidRPr="00E64C35">
        <w:rPr>
          <w:rFonts w:ascii="Times New Roman" w:hAnsi="Times New Roman" w:cs="Times New Roman"/>
          <w:sz w:val="24"/>
          <w:szCs w:val="24"/>
          <w:lang w:val="en-US"/>
        </w:rPr>
        <w:t>Energy</w:t>
      </w:r>
      <w:r w:rsidRPr="00E64C35">
        <w:rPr>
          <w:rFonts w:ascii="Times New Roman" w:hAnsi="Times New Roman" w:cs="Times New Roman"/>
          <w:sz w:val="24"/>
          <w:szCs w:val="24"/>
          <w:lang w:val="en-US"/>
        </w:rPr>
        <w:t xml:space="preserve"> has not done thorough research about the possible impact of building the plant. This is said because the project keeps on becoming delayed, and the cost burden is likely to be borne by the end consumers. Also, using </w:t>
      </w:r>
      <w:r w:rsidR="001A4819" w:rsidRPr="00E64C35">
        <w:rPr>
          <w:rFonts w:ascii="Times New Roman" w:hAnsi="Times New Roman" w:cs="Times New Roman"/>
          <w:sz w:val="24"/>
          <w:szCs w:val="24"/>
          <w:lang w:val="en-US"/>
        </w:rPr>
        <w:t>other</w:t>
      </w:r>
      <w:r w:rsidRPr="00E64C35">
        <w:rPr>
          <w:rFonts w:ascii="Times New Roman" w:hAnsi="Times New Roman" w:cs="Times New Roman"/>
          <w:sz w:val="24"/>
          <w:szCs w:val="24"/>
          <w:lang w:val="en-US"/>
        </w:rPr>
        <w:t xml:space="preserve"> renewable energy sources could have better assisted the government in achieving the same targets. This report aims to compare and contrast the </w:t>
      </w:r>
      <w:r w:rsidR="001A4819" w:rsidRPr="00E64C35">
        <w:rPr>
          <w:rFonts w:ascii="Times New Roman" w:hAnsi="Times New Roman" w:cs="Times New Roman"/>
          <w:sz w:val="24"/>
          <w:szCs w:val="24"/>
          <w:lang w:val="en-US"/>
        </w:rPr>
        <w:t>project’s</w:t>
      </w:r>
      <w:r w:rsidRPr="00E64C35">
        <w:rPr>
          <w:rFonts w:ascii="Times New Roman" w:hAnsi="Times New Roman" w:cs="Times New Roman"/>
          <w:sz w:val="24"/>
          <w:szCs w:val="24"/>
          <w:lang w:val="en-US"/>
        </w:rPr>
        <w:t xml:space="preserve"> progress with its initial plan and reflect that whether it is likely to succeed to fail in the upcoming years. A detailed analysis of crucial aspects is done to justify and back the standpoint, and appropriate recommendations are provided keeping in mind the limitations of the project. </w:t>
      </w:r>
    </w:p>
    <w:p w:rsidR="001A4819" w:rsidRPr="00E64C35" w:rsidRDefault="001A4819" w:rsidP="00E64C35">
      <w:pPr>
        <w:spacing w:line="360" w:lineRule="auto"/>
        <w:jc w:val="both"/>
        <w:rPr>
          <w:rFonts w:ascii="Times New Roman" w:hAnsi="Times New Roman" w:cs="Times New Roman"/>
          <w:b/>
          <w:sz w:val="24"/>
          <w:szCs w:val="24"/>
          <w:lang w:val="en-US"/>
        </w:rPr>
      </w:pPr>
      <w:r w:rsidRPr="00E64C35">
        <w:rPr>
          <w:rFonts w:ascii="Times New Roman" w:hAnsi="Times New Roman" w:cs="Times New Roman"/>
          <w:b/>
          <w:sz w:val="24"/>
          <w:szCs w:val="24"/>
          <w:lang w:val="en-US"/>
        </w:rPr>
        <w:br w:type="page"/>
      </w:r>
    </w:p>
    <w:p w:rsidR="00C451F7" w:rsidRPr="00E64C35" w:rsidRDefault="00C451F7" w:rsidP="00E64C35">
      <w:pPr>
        <w:pStyle w:val="1"/>
      </w:pPr>
      <w:bookmarkStart w:id="2" w:name="_Toc141258689"/>
      <w:r w:rsidRPr="00E64C35">
        <w:lastRenderedPageBreak/>
        <w:t>Discussion</w:t>
      </w:r>
      <w:bookmarkEnd w:id="2"/>
      <w:r w:rsidRPr="00E64C35">
        <w:t xml:space="preserve"> </w:t>
      </w:r>
    </w:p>
    <w:p w:rsidR="00C451F7" w:rsidRPr="00E64C35" w:rsidRDefault="00C451F7"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After conducting a detailed analysis of the current status of the project, and comparing it with the initial plan, it is quite clear that the project does not seem to be a successful venture. Though it is true that there were high yield expectations from the establishment of the nuclear plant, in terms of electricity generation, and it would have played a significant role in making the UK a self-reliant nation in the energy sector, due to the continuous delays, controversies, and increasing cost, the project looks to be in jeopardy, and if immediate corrective measures are not taken on a grand scale, then this might have severe implications for the involved stakeholders.</w:t>
      </w:r>
    </w:p>
    <w:p w:rsidR="00C451F7" w:rsidRPr="00E64C35" w:rsidRDefault="00C451F7" w:rsidP="00E64C35">
      <w:pPr>
        <w:pStyle w:val="2"/>
        <w:spacing w:line="360" w:lineRule="auto"/>
        <w:rPr>
          <w:rFonts w:cs="Times New Roman"/>
          <w:sz w:val="24"/>
          <w:szCs w:val="24"/>
        </w:rPr>
      </w:pPr>
      <w:bookmarkStart w:id="3" w:name="_Toc141258690"/>
      <w:r w:rsidRPr="00E64C35">
        <w:rPr>
          <w:rFonts w:cs="Times New Roman"/>
          <w:sz w:val="24"/>
          <w:szCs w:val="24"/>
        </w:rPr>
        <w:t>Justification</w:t>
      </w:r>
      <w:bookmarkEnd w:id="3"/>
    </w:p>
    <w:p w:rsidR="001A4819" w:rsidRPr="00E64C35" w:rsidRDefault="001A4819" w:rsidP="00E64C35">
      <w:pPr>
        <w:spacing w:line="360" w:lineRule="auto"/>
        <w:jc w:val="both"/>
        <w:rPr>
          <w:rFonts w:ascii="Times New Roman" w:hAnsi="Times New Roman" w:cs="Times New Roman"/>
          <w:sz w:val="24"/>
          <w:szCs w:val="24"/>
        </w:rPr>
      </w:pPr>
    </w:p>
    <w:p w:rsidR="00C451F7" w:rsidRPr="00E64C35" w:rsidRDefault="00C451F7" w:rsidP="00E64C35">
      <w:pPr>
        <w:pStyle w:val="2"/>
        <w:spacing w:line="360" w:lineRule="auto"/>
        <w:rPr>
          <w:rFonts w:cs="Times New Roman"/>
          <w:sz w:val="24"/>
          <w:szCs w:val="24"/>
          <w:lang w:eastAsia="en-IN"/>
        </w:rPr>
      </w:pPr>
      <w:bookmarkStart w:id="4" w:name="_Toc141258691"/>
      <w:r w:rsidRPr="00E64C35">
        <w:rPr>
          <w:rFonts w:cs="Times New Roman"/>
          <w:sz w:val="24"/>
          <w:szCs w:val="24"/>
          <w:lang w:eastAsia="en-IN"/>
        </w:rPr>
        <w:t>Inefficient technology</w:t>
      </w:r>
      <w:bookmarkEnd w:id="4"/>
    </w:p>
    <w:p w:rsidR="002F6543" w:rsidRPr="00E64C35" w:rsidRDefault="002F6543" w:rsidP="00E64C35">
      <w:pPr>
        <w:spacing w:line="360" w:lineRule="auto"/>
        <w:jc w:val="both"/>
        <w:rPr>
          <w:rFonts w:ascii="Times New Roman" w:hAnsi="Times New Roman" w:cs="Times New Roman"/>
          <w:sz w:val="24"/>
          <w:szCs w:val="24"/>
          <w:lang w:eastAsia="en-IN"/>
        </w:rPr>
      </w:pPr>
      <w:r w:rsidRPr="00E64C35">
        <w:rPr>
          <w:rFonts w:ascii="Times New Roman" w:hAnsi="Times New Roman" w:cs="Times New Roman"/>
          <w:noProof/>
          <w:sz w:val="24"/>
          <w:szCs w:val="24"/>
          <w:lang w:val="ru-RU" w:eastAsia="ru-RU"/>
        </w:rPr>
        <w:drawing>
          <wp:inline distT="0" distB="0" distL="0" distR="0" wp14:anchorId="329E0D19" wp14:editId="74693AD7">
            <wp:extent cx="2227152" cy="2376593"/>
            <wp:effectExtent l="0" t="0" r="190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37662" cy="2387808"/>
                    </a:xfrm>
                    <a:prstGeom prst="rect">
                      <a:avLst/>
                    </a:prstGeom>
                  </pic:spPr>
                </pic:pic>
              </a:graphicData>
            </a:graphic>
          </wp:inline>
        </w:drawing>
      </w:r>
    </w:p>
    <w:p w:rsidR="00717943" w:rsidRPr="00E64C35" w:rsidRDefault="00717943" w:rsidP="00E64C35">
      <w:pPr>
        <w:spacing w:line="360" w:lineRule="auto"/>
        <w:jc w:val="both"/>
        <w:rPr>
          <w:rFonts w:ascii="Times New Roman" w:hAnsi="Times New Roman" w:cs="Times New Roman"/>
          <w:sz w:val="24"/>
          <w:szCs w:val="24"/>
          <w:lang w:eastAsia="en-IN"/>
        </w:rPr>
      </w:pPr>
      <w:r w:rsidRPr="00E64C35">
        <w:rPr>
          <w:rFonts w:ascii="Times New Roman" w:hAnsi="Times New Roman" w:cs="Times New Roman"/>
          <w:sz w:val="24"/>
          <w:szCs w:val="24"/>
          <w:lang w:eastAsia="en-IN"/>
        </w:rPr>
        <w:t>Figure 1. EPR reactor prototype</w:t>
      </w:r>
    </w:p>
    <w:p w:rsidR="00717943" w:rsidRPr="00E64C35" w:rsidRDefault="00717943" w:rsidP="00E64C35">
      <w:pPr>
        <w:spacing w:line="360" w:lineRule="auto"/>
        <w:jc w:val="both"/>
        <w:rPr>
          <w:rFonts w:ascii="Times New Roman" w:hAnsi="Times New Roman" w:cs="Times New Roman"/>
          <w:sz w:val="24"/>
          <w:szCs w:val="24"/>
          <w:lang w:eastAsia="en-IN"/>
        </w:rPr>
      </w:pPr>
      <w:r w:rsidRPr="00E64C35">
        <w:rPr>
          <w:rFonts w:ascii="Times New Roman" w:hAnsi="Times New Roman" w:cs="Times New Roman"/>
          <w:sz w:val="24"/>
          <w:szCs w:val="24"/>
          <w:lang w:eastAsia="en-IN"/>
        </w:rPr>
        <w:t>Source: (EDF, 2023)</w:t>
      </w:r>
    </w:p>
    <w:p w:rsidR="00C451F7" w:rsidRPr="00E64C35" w:rsidRDefault="00C451F7"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sz w:val="24"/>
          <w:szCs w:val="24"/>
        </w:rPr>
        <w:t xml:space="preserve">It has been estimated that by the time the Hinkley Point C power plant is ready to start production in late 2030, the EPR nuclear reactors, and other technology might become obsolete, and might not keep pace with the developing grid systems. </w:t>
      </w:r>
      <w:r w:rsidRPr="00E64C35">
        <w:rPr>
          <w:rFonts w:ascii="Times New Roman" w:hAnsi="Times New Roman" w:cs="Times New Roman"/>
          <w:sz w:val="24"/>
          <w:szCs w:val="24"/>
          <w:lang w:val="en-US"/>
        </w:rPr>
        <w:t xml:space="preserve">Nuclear power keeps a snail’s pace and thus the government is likely to remain stuck with the nuclear reactors, while there might be advanced technologies, that can deliver the needed energy. </w:t>
      </w:r>
      <w:r w:rsidRPr="00E64C35">
        <w:rPr>
          <w:rFonts w:ascii="Times New Roman" w:hAnsi="Times New Roman" w:cs="Times New Roman"/>
          <w:sz w:val="24"/>
          <w:szCs w:val="24"/>
        </w:rPr>
        <w:t>This can result in huge cost overruns, and the venture might face losses in the future.</w:t>
      </w:r>
      <w:r w:rsidRPr="00E64C35">
        <w:rPr>
          <w:rFonts w:ascii="Times New Roman" w:hAnsi="Times New Roman" w:cs="Times New Roman"/>
          <w:sz w:val="24"/>
          <w:szCs w:val="24"/>
          <w:lang w:val="en-US"/>
        </w:rPr>
        <w:t xml:space="preserve"> </w:t>
      </w:r>
      <w:r w:rsidRPr="00E64C35">
        <w:rPr>
          <w:rFonts w:ascii="Times New Roman" w:hAnsi="Times New Roman" w:cs="Times New Roman"/>
          <w:sz w:val="24"/>
          <w:szCs w:val="24"/>
          <w:lang w:eastAsia="en-IN"/>
        </w:rPr>
        <w:t>The issue lies in the fact that '</w:t>
      </w:r>
      <w:r w:rsidR="001A4819" w:rsidRPr="00E64C35">
        <w:rPr>
          <w:rFonts w:ascii="Times New Roman" w:hAnsi="Times New Roman" w:cs="Times New Roman"/>
          <w:sz w:val="24"/>
          <w:szCs w:val="24"/>
          <w:lang w:eastAsia="en-IN"/>
        </w:rPr>
        <w:t>EPR</w:t>
      </w:r>
      <w:r w:rsidRPr="00E64C35">
        <w:rPr>
          <w:rFonts w:ascii="Times New Roman" w:hAnsi="Times New Roman" w:cs="Times New Roman"/>
          <w:sz w:val="24"/>
          <w:szCs w:val="24"/>
          <w:lang w:eastAsia="en-IN"/>
        </w:rPr>
        <w:t xml:space="preserve"> generators are significantly heavier as well as highly sophisticated as opposed to </w:t>
      </w:r>
      <w:r w:rsidRPr="00E64C35">
        <w:rPr>
          <w:rFonts w:ascii="Times New Roman" w:hAnsi="Times New Roman" w:cs="Times New Roman"/>
          <w:sz w:val="24"/>
          <w:szCs w:val="24"/>
          <w:lang w:eastAsia="en-IN"/>
        </w:rPr>
        <w:lastRenderedPageBreak/>
        <w:t>anything ev</w:t>
      </w:r>
      <w:r w:rsidR="005B7CCA" w:rsidRPr="00E64C35">
        <w:rPr>
          <w:rFonts w:ascii="Times New Roman" w:hAnsi="Times New Roman" w:cs="Times New Roman"/>
          <w:sz w:val="24"/>
          <w:szCs w:val="24"/>
          <w:lang w:eastAsia="en-IN"/>
        </w:rPr>
        <w:t xml:space="preserve">er designed </w:t>
      </w:r>
      <w:r w:rsidR="005B7CCA" w:rsidRPr="00E64C35">
        <w:rPr>
          <w:rFonts w:ascii="Times New Roman" w:hAnsi="Times New Roman" w:cs="Times New Roman"/>
          <w:color w:val="222222"/>
          <w:sz w:val="24"/>
          <w:szCs w:val="24"/>
          <w:shd w:val="clear" w:color="auto" w:fill="FFFFFF"/>
        </w:rPr>
        <w:t xml:space="preserve">(Castor, Bacha and Nerini, 2020). </w:t>
      </w:r>
      <w:r w:rsidRPr="00E64C35">
        <w:rPr>
          <w:rFonts w:ascii="Times New Roman" w:hAnsi="Times New Roman" w:cs="Times New Roman"/>
          <w:sz w:val="24"/>
          <w:szCs w:val="24"/>
          <w:lang w:eastAsia="en-IN"/>
        </w:rPr>
        <w:t>Aside from being an untested invention regarding electricity generation or perpetual durability, it additionally appears to be expensive and challenging to put into operation, particularly in the strange realm encompassing the nuclear business. As a result, the anticipated finishing period of 2027 should be taken with a grain of salt.</w:t>
      </w:r>
    </w:p>
    <w:p w:rsidR="00C451F7" w:rsidRPr="00E64C35" w:rsidRDefault="00C451F7" w:rsidP="00E64C35">
      <w:pPr>
        <w:pStyle w:val="2"/>
        <w:spacing w:line="360" w:lineRule="auto"/>
        <w:rPr>
          <w:rFonts w:cs="Times New Roman"/>
          <w:sz w:val="24"/>
          <w:szCs w:val="24"/>
          <w:lang w:eastAsia="en-IN"/>
        </w:rPr>
      </w:pPr>
      <w:bookmarkStart w:id="5" w:name="_Toc141258692"/>
      <w:r w:rsidRPr="00E64C35">
        <w:rPr>
          <w:rFonts w:cs="Times New Roman"/>
          <w:sz w:val="24"/>
          <w:szCs w:val="24"/>
          <w:lang w:eastAsia="en-IN"/>
        </w:rPr>
        <w:t>Better alternates</w:t>
      </w:r>
      <w:bookmarkEnd w:id="5"/>
    </w:p>
    <w:p w:rsidR="00C451F7" w:rsidRPr="00E64C35" w:rsidRDefault="00C451F7" w:rsidP="00E64C35">
      <w:pPr>
        <w:spacing w:line="360" w:lineRule="auto"/>
        <w:jc w:val="both"/>
        <w:rPr>
          <w:rFonts w:ascii="Times New Roman" w:hAnsi="Times New Roman" w:cs="Times New Roman"/>
          <w:b/>
          <w:sz w:val="24"/>
          <w:szCs w:val="24"/>
        </w:rPr>
      </w:pPr>
      <w:r w:rsidRPr="00E64C35">
        <w:rPr>
          <w:rFonts w:ascii="Times New Roman" w:hAnsi="Times New Roman" w:cs="Times New Roman"/>
          <w:b/>
          <w:noProof/>
          <w:sz w:val="24"/>
          <w:szCs w:val="24"/>
          <w:lang w:val="ru-RU" w:eastAsia="ru-RU"/>
        </w:rPr>
        <w:drawing>
          <wp:inline distT="0" distB="0" distL="0" distR="0" wp14:anchorId="0403443E" wp14:editId="0C5DB500">
            <wp:extent cx="5731510" cy="24168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16810"/>
                    </a:xfrm>
                    <a:prstGeom prst="rect">
                      <a:avLst/>
                    </a:prstGeom>
                  </pic:spPr>
                </pic:pic>
              </a:graphicData>
            </a:graphic>
          </wp:inline>
        </w:drawing>
      </w:r>
    </w:p>
    <w:p w:rsidR="00717943" w:rsidRPr="00E64C35" w:rsidRDefault="00717943"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Figure 2. CAPEX for different technologies</w:t>
      </w:r>
    </w:p>
    <w:p w:rsidR="00717943" w:rsidRPr="00E64C35" w:rsidRDefault="00717943" w:rsidP="00E64C35">
      <w:pPr>
        <w:spacing w:line="360" w:lineRule="auto"/>
        <w:jc w:val="both"/>
        <w:rPr>
          <w:rFonts w:ascii="Times New Roman" w:hAnsi="Times New Roman" w:cs="Times New Roman"/>
          <w:b/>
          <w:sz w:val="24"/>
          <w:szCs w:val="24"/>
        </w:rPr>
      </w:pPr>
      <w:r w:rsidRPr="00E64C35">
        <w:rPr>
          <w:rFonts w:ascii="Times New Roman" w:hAnsi="Times New Roman" w:cs="Times New Roman"/>
          <w:sz w:val="24"/>
          <w:szCs w:val="24"/>
        </w:rPr>
        <w:t>Source:</w:t>
      </w:r>
      <w:r w:rsidRPr="00E64C35">
        <w:rPr>
          <w:rFonts w:ascii="Times New Roman" w:hAnsi="Times New Roman" w:cs="Times New Roman"/>
          <w:b/>
          <w:sz w:val="24"/>
          <w:szCs w:val="24"/>
        </w:rPr>
        <w:t xml:space="preserve"> </w:t>
      </w:r>
      <w:r w:rsidRPr="00E64C35">
        <w:rPr>
          <w:rFonts w:ascii="Times New Roman" w:hAnsi="Times New Roman" w:cs="Times New Roman"/>
          <w:color w:val="222222"/>
          <w:sz w:val="24"/>
          <w:szCs w:val="24"/>
          <w:shd w:val="clear" w:color="auto" w:fill="FFFFFF"/>
        </w:rPr>
        <w:t>(Resch and Suna, 2019)</w:t>
      </w:r>
    </w:p>
    <w:p w:rsidR="00C451F7" w:rsidRPr="00E64C35" w:rsidRDefault="00C451F7"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 xml:space="preserve">The plan is forecasted to deliver energy supplies sufficient enough to cast a share of 7% </w:t>
      </w:r>
      <w:r w:rsidR="001A4819" w:rsidRPr="00E64C35">
        <w:rPr>
          <w:rFonts w:ascii="Times New Roman" w:hAnsi="Times New Roman" w:cs="Times New Roman"/>
          <w:sz w:val="24"/>
          <w:szCs w:val="24"/>
        </w:rPr>
        <w:t>of</w:t>
      </w:r>
      <w:r w:rsidRPr="00E64C35">
        <w:rPr>
          <w:rFonts w:ascii="Times New Roman" w:hAnsi="Times New Roman" w:cs="Times New Roman"/>
          <w:sz w:val="24"/>
          <w:szCs w:val="24"/>
        </w:rPr>
        <w:t xml:space="preserve"> the total energy needs, but relying on old technology is not a suitable choice. Generating nuclear energy is an expensive process, as evident from the tremendous cost forecast by EDF, and if evaluated against any other alternative of energy creation, nuclear seems the most expensive option as represented</w:t>
      </w:r>
      <w:r w:rsidR="001A4819" w:rsidRPr="00E64C35">
        <w:rPr>
          <w:rFonts w:ascii="Times New Roman" w:hAnsi="Times New Roman" w:cs="Times New Roman"/>
          <w:sz w:val="24"/>
          <w:szCs w:val="24"/>
        </w:rPr>
        <w:t xml:space="preserve"> in Figure 2</w:t>
      </w:r>
      <w:r w:rsidRPr="00E64C35">
        <w:rPr>
          <w:rFonts w:ascii="Times New Roman" w:hAnsi="Times New Roman" w:cs="Times New Roman"/>
          <w:sz w:val="24"/>
          <w:szCs w:val="24"/>
        </w:rPr>
        <w:t>. The funds ought to be utilized to promote the usage of novel, environmentally friendly, and viable technology. In past decades, government grants and subsidies pushed the development of inefficient innovations, lowering the associated costs dramatically. Solar and wind power expenses, for instance, have fallen nearly 21% and 62%, each, within the previous 6 years, despite substantial government backing and amb</w:t>
      </w:r>
      <w:r w:rsidR="005B7CCA" w:rsidRPr="00E64C35">
        <w:rPr>
          <w:rFonts w:ascii="Times New Roman" w:hAnsi="Times New Roman" w:cs="Times New Roman"/>
          <w:sz w:val="24"/>
          <w:szCs w:val="24"/>
        </w:rPr>
        <w:t xml:space="preserve">itious construction commitments </w:t>
      </w:r>
      <w:r w:rsidR="005B7CCA" w:rsidRPr="00E64C35">
        <w:rPr>
          <w:rFonts w:ascii="Times New Roman" w:hAnsi="Times New Roman" w:cs="Times New Roman"/>
          <w:color w:val="222222"/>
          <w:sz w:val="24"/>
          <w:szCs w:val="24"/>
          <w:shd w:val="clear" w:color="auto" w:fill="FFFFFF"/>
        </w:rPr>
        <w:t xml:space="preserve">(Resch and Suna, 2019). </w:t>
      </w:r>
      <w:r w:rsidRPr="00E64C35">
        <w:rPr>
          <w:rFonts w:ascii="Times New Roman" w:hAnsi="Times New Roman" w:cs="Times New Roman"/>
          <w:sz w:val="24"/>
          <w:szCs w:val="24"/>
        </w:rPr>
        <w:t xml:space="preserve">In order to construct the plant, the UK government was obliged to enter into a contract for </w:t>
      </w:r>
      <w:r w:rsidR="001A4819" w:rsidRPr="00E64C35">
        <w:rPr>
          <w:rFonts w:ascii="Times New Roman" w:hAnsi="Times New Roman" w:cs="Times New Roman"/>
          <w:sz w:val="24"/>
          <w:szCs w:val="24"/>
        </w:rPr>
        <w:t xml:space="preserve">a </w:t>
      </w:r>
      <w:r w:rsidRPr="00E64C35">
        <w:rPr>
          <w:rFonts w:ascii="Times New Roman" w:hAnsi="Times New Roman" w:cs="Times New Roman"/>
          <w:sz w:val="24"/>
          <w:szCs w:val="24"/>
        </w:rPr>
        <w:t xml:space="preserve">difference that is valid for the next 35 years and guaranteed EDF to dispense a staggering £92.5/MWh. In comparison to this, the wind and solar power plants had to suffice with only 15 year CFD agreement, at </w:t>
      </w:r>
      <w:r w:rsidR="001A4819" w:rsidRPr="00E64C35">
        <w:rPr>
          <w:rFonts w:ascii="Times New Roman" w:hAnsi="Times New Roman" w:cs="Times New Roman"/>
          <w:sz w:val="24"/>
          <w:szCs w:val="24"/>
        </w:rPr>
        <w:t xml:space="preserve">a </w:t>
      </w:r>
      <w:r w:rsidRPr="00E64C35">
        <w:rPr>
          <w:rFonts w:ascii="Times New Roman" w:hAnsi="Times New Roman" w:cs="Times New Roman"/>
          <w:sz w:val="24"/>
          <w:szCs w:val="24"/>
        </w:rPr>
        <w:t>mere £8</w:t>
      </w:r>
      <w:r w:rsidR="005B7CCA" w:rsidRPr="00E64C35">
        <w:rPr>
          <w:rFonts w:ascii="Times New Roman" w:hAnsi="Times New Roman" w:cs="Times New Roman"/>
          <w:sz w:val="24"/>
          <w:szCs w:val="24"/>
        </w:rPr>
        <w:t xml:space="preserve">0/MWh </w:t>
      </w:r>
      <w:r w:rsidR="005B7CCA" w:rsidRPr="00E64C35">
        <w:rPr>
          <w:rFonts w:ascii="Times New Roman" w:hAnsi="Times New Roman" w:cs="Times New Roman"/>
          <w:color w:val="222222"/>
          <w:sz w:val="24"/>
          <w:szCs w:val="24"/>
          <w:shd w:val="clear" w:color="auto" w:fill="FFFFFF"/>
        </w:rPr>
        <w:t>(Resch and Suna, 2019).</w:t>
      </w:r>
    </w:p>
    <w:p w:rsidR="00C451F7" w:rsidRPr="00E64C35" w:rsidRDefault="00C451F7" w:rsidP="00E64C35">
      <w:pPr>
        <w:pStyle w:val="2"/>
        <w:spacing w:line="360" w:lineRule="auto"/>
        <w:rPr>
          <w:rFonts w:cs="Times New Roman"/>
          <w:sz w:val="24"/>
          <w:szCs w:val="24"/>
          <w:lang w:val="en-US"/>
        </w:rPr>
      </w:pPr>
      <w:bookmarkStart w:id="6" w:name="_Toc141258693"/>
      <w:r w:rsidRPr="00E64C35">
        <w:rPr>
          <w:rFonts w:cs="Times New Roman"/>
          <w:sz w:val="24"/>
          <w:szCs w:val="24"/>
          <w:lang w:val="en-US"/>
        </w:rPr>
        <w:lastRenderedPageBreak/>
        <w:t>Increasing costs</w:t>
      </w:r>
      <w:bookmarkEnd w:id="6"/>
    </w:p>
    <w:p w:rsidR="001A4819" w:rsidRPr="00E64C35" w:rsidRDefault="001A4819" w:rsidP="00E64C35">
      <w:pPr>
        <w:spacing w:line="360" w:lineRule="auto"/>
        <w:jc w:val="both"/>
        <w:rPr>
          <w:rFonts w:ascii="Times New Roman" w:hAnsi="Times New Roman" w:cs="Times New Roman"/>
          <w:sz w:val="24"/>
          <w:szCs w:val="24"/>
          <w:lang w:val="en-US"/>
        </w:rPr>
      </w:pPr>
    </w:p>
    <w:p w:rsidR="002F6543" w:rsidRPr="00E64C35" w:rsidRDefault="002F6543" w:rsidP="00E64C35">
      <w:pPr>
        <w:spacing w:line="360" w:lineRule="auto"/>
        <w:jc w:val="both"/>
        <w:rPr>
          <w:rFonts w:ascii="Times New Roman" w:hAnsi="Times New Roman" w:cs="Times New Roman"/>
          <w:b/>
          <w:sz w:val="24"/>
          <w:szCs w:val="24"/>
          <w:lang w:val="en-US"/>
        </w:rPr>
      </w:pPr>
      <w:r w:rsidRPr="00E64C35">
        <w:rPr>
          <w:rFonts w:ascii="Times New Roman" w:hAnsi="Times New Roman" w:cs="Times New Roman"/>
          <w:b/>
          <w:noProof/>
          <w:sz w:val="24"/>
          <w:szCs w:val="24"/>
          <w:lang w:val="ru-RU" w:eastAsia="ru-RU"/>
        </w:rPr>
        <w:drawing>
          <wp:inline distT="0" distB="0" distL="0" distR="0" wp14:anchorId="01F57681" wp14:editId="40CFDA80">
            <wp:extent cx="3031588" cy="19668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7495" cy="1990167"/>
                    </a:xfrm>
                    <a:prstGeom prst="rect">
                      <a:avLst/>
                    </a:prstGeom>
                  </pic:spPr>
                </pic:pic>
              </a:graphicData>
            </a:graphic>
          </wp:inline>
        </w:drawing>
      </w:r>
    </w:p>
    <w:p w:rsidR="00717943" w:rsidRPr="00E64C35" w:rsidRDefault="00717943"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Figure 3. Cost of major projects in the UK</w:t>
      </w:r>
    </w:p>
    <w:p w:rsidR="00717943" w:rsidRPr="00E64C35" w:rsidRDefault="00717943"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Source: (Statista, 2022)</w:t>
      </w:r>
    </w:p>
    <w:p w:rsidR="00C451F7" w:rsidRPr="00E64C35" w:rsidRDefault="00C451F7" w:rsidP="00E64C35">
      <w:pPr>
        <w:spacing w:line="360" w:lineRule="auto"/>
        <w:jc w:val="both"/>
        <w:rPr>
          <w:rFonts w:ascii="Times New Roman" w:eastAsia="Times New Roman" w:hAnsi="Times New Roman" w:cs="Times New Roman"/>
          <w:color w:val="333333"/>
          <w:sz w:val="24"/>
          <w:szCs w:val="24"/>
          <w:lang w:eastAsia="en-IN"/>
        </w:rPr>
      </w:pPr>
      <w:r w:rsidRPr="00E64C35">
        <w:rPr>
          <w:rFonts w:ascii="Times New Roman" w:hAnsi="Times New Roman" w:cs="Times New Roman"/>
          <w:sz w:val="24"/>
          <w:szCs w:val="24"/>
          <w:lang w:val="en-US"/>
        </w:rPr>
        <w:t xml:space="preserve">The venture has seen a number </w:t>
      </w:r>
      <w:r w:rsidR="001A4819" w:rsidRPr="00E64C35">
        <w:rPr>
          <w:rFonts w:ascii="Times New Roman" w:hAnsi="Times New Roman" w:cs="Times New Roman"/>
          <w:sz w:val="24"/>
          <w:szCs w:val="24"/>
          <w:lang w:val="en-US"/>
        </w:rPr>
        <w:t xml:space="preserve">of </w:t>
      </w:r>
      <w:r w:rsidRPr="00E64C35">
        <w:rPr>
          <w:rFonts w:ascii="Times New Roman" w:hAnsi="Times New Roman" w:cs="Times New Roman"/>
          <w:sz w:val="24"/>
          <w:szCs w:val="24"/>
          <w:lang w:val="en-US"/>
        </w:rPr>
        <w:t xml:space="preserve">price hikes and setbacks since its launch. EDF first estimated the facility's total cost as £20.5 billion. </w:t>
      </w:r>
      <w:r w:rsidR="001A4819" w:rsidRPr="00E64C35">
        <w:rPr>
          <w:rFonts w:ascii="Times New Roman" w:hAnsi="Times New Roman" w:cs="Times New Roman"/>
          <w:sz w:val="24"/>
          <w:szCs w:val="24"/>
          <w:lang w:val="en-US"/>
        </w:rPr>
        <w:t>However,</w:t>
      </w:r>
      <w:r w:rsidRPr="00E64C35">
        <w:rPr>
          <w:rFonts w:ascii="Times New Roman" w:hAnsi="Times New Roman" w:cs="Times New Roman"/>
          <w:sz w:val="24"/>
          <w:szCs w:val="24"/>
          <w:lang w:val="en-US"/>
        </w:rPr>
        <w:t xml:space="preserve"> the moment that the venture was officially announced in 2016, the figure had grown to £22.6 billion. Forecasts for 2022 have risen by more than £3 billion. The UK authorities estimated in 2016 that the </w:t>
      </w:r>
      <w:r w:rsidR="001A4819" w:rsidRPr="00E64C35">
        <w:rPr>
          <w:rFonts w:ascii="Times New Roman" w:hAnsi="Times New Roman" w:cs="Times New Roman"/>
          <w:sz w:val="24"/>
          <w:szCs w:val="24"/>
          <w:lang w:val="en-US"/>
        </w:rPr>
        <w:t>endeavour’s</w:t>
      </w:r>
      <w:r w:rsidRPr="00E64C35">
        <w:rPr>
          <w:rFonts w:ascii="Times New Roman" w:hAnsi="Times New Roman" w:cs="Times New Roman"/>
          <w:sz w:val="24"/>
          <w:szCs w:val="24"/>
          <w:lang w:val="en-US"/>
        </w:rPr>
        <w:t xml:space="preserve"> overall lifespan expenditures could reach £46.5 billion, up from </w:t>
      </w:r>
      <w:r w:rsidR="001A4819" w:rsidRPr="00E64C35">
        <w:rPr>
          <w:rFonts w:ascii="Times New Roman" w:hAnsi="Times New Roman" w:cs="Times New Roman"/>
          <w:sz w:val="24"/>
          <w:szCs w:val="24"/>
          <w:lang w:val="en-US"/>
        </w:rPr>
        <w:t xml:space="preserve">the </w:t>
      </w:r>
      <w:r w:rsidRPr="00E64C35">
        <w:rPr>
          <w:rFonts w:ascii="Times New Roman" w:hAnsi="Times New Roman" w:cs="Times New Roman"/>
          <w:sz w:val="24"/>
          <w:szCs w:val="24"/>
          <w:lang w:val="en-US"/>
        </w:rPr>
        <w:t>£17.7 b</w:t>
      </w:r>
      <w:r w:rsidR="005B7CCA" w:rsidRPr="00E64C35">
        <w:rPr>
          <w:rFonts w:ascii="Times New Roman" w:hAnsi="Times New Roman" w:cs="Times New Roman"/>
          <w:sz w:val="24"/>
          <w:szCs w:val="24"/>
          <w:lang w:val="en-US"/>
        </w:rPr>
        <w:t xml:space="preserve">illion estimate a year earlier </w:t>
      </w:r>
      <w:r w:rsidR="005B7CCA" w:rsidRPr="00E64C35">
        <w:rPr>
          <w:rFonts w:ascii="Times New Roman" w:hAnsi="Times New Roman" w:cs="Times New Roman"/>
          <w:color w:val="222222"/>
          <w:sz w:val="24"/>
          <w:szCs w:val="24"/>
          <w:shd w:val="clear" w:color="auto" w:fill="FFFFFF"/>
        </w:rPr>
        <w:t xml:space="preserve">(Saunders and Townsend, 2019). </w:t>
      </w:r>
      <w:r w:rsidRPr="00E64C35">
        <w:rPr>
          <w:rFonts w:ascii="Times New Roman" w:hAnsi="Times New Roman" w:cs="Times New Roman"/>
          <w:sz w:val="24"/>
          <w:szCs w:val="24"/>
          <w:lang w:val="en-US"/>
        </w:rPr>
        <w:t xml:space="preserve">All of the aforementioned expenses are adjusted for inflation. </w:t>
      </w:r>
      <w:r w:rsidRPr="00E64C35">
        <w:rPr>
          <w:rFonts w:ascii="Times New Roman" w:eastAsia="Times New Roman" w:hAnsi="Times New Roman" w:cs="Times New Roman"/>
          <w:color w:val="333333"/>
          <w:sz w:val="24"/>
          <w:szCs w:val="24"/>
          <w:lang w:eastAsia="en-IN"/>
        </w:rPr>
        <w:t>According to EDF reports obtained by Reuters, the power business's HPC would certainly incur greater than its previous budgeted projection, with inflation increasing expenses to about $40 billion (£33 billion). EDF officials also announced that the project cost might surpass £32.7 billion depending on inflationary indicators. If tailored by price inflation witnessed at present, it represents a rise above the May 2022 budget assessment of £26-27 billion</w:t>
      </w:r>
      <w:r w:rsidR="005B7CCA" w:rsidRPr="00E64C35">
        <w:rPr>
          <w:rFonts w:ascii="Times New Roman" w:eastAsia="Times New Roman" w:hAnsi="Times New Roman" w:cs="Times New Roman"/>
          <w:color w:val="333333"/>
          <w:sz w:val="24"/>
          <w:szCs w:val="24"/>
          <w:lang w:eastAsia="en-IN"/>
        </w:rPr>
        <w:t xml:space="preserve"> </w:t>
      </w:r>
      <w:r w:rsidR="005B7CCA" w:rsidRPr="00E64C35">
        <w:rPr>
          <w:rFonts w:ascii="Times New Roman" w:hAnsi="Times New Roman" w:cs="Times New Roman"/>
          <w:color w:val="222222"/>
          <w:sz w:val="24"/>
          <w:szCs w:val="24"/>
          <w:shd w:val="clear" w:color="auto" w:fill="FFFFFF"/>
        </w:rPr>
        <w:t>(Saunders and Townsend, 2019).</w:t>
      </w:r>
    </w:p>
    <w:p w:rsidR="00C451F7" w:rsidRPr="00E64C35" w:rsidRDefault="00C451F7" w:rsidP="00E64C35">
      <w:pPr>
        <w:pStyle w:val="2"/>
        <w:spacing w:line="360" w:lineRule="auto"/>
        <w:rPr>
          <w:rFonts w:eastAsia="Times New Roman" w:cs="Times New Roman"/>
          <w:color w:val="333333"/>
          <w:sz w:val="24"/>
          <w:szCs w:val="24"/>
          <w:lang w:eastAsia="en-IN"/>
        </w:rPr>
      </w:pPr>
      <w:bookmarkStart w:id="7" w:name="_Toc141258694"/>
      <w:r w:rsidRPr="00E64C35">
        <w:rPr>
          <w:rFonts w:cs="Times New Roman"/>
          <w:sz w:val="24"/>
          <w:szCs w:val="24"/>
          <w:lang w:val="en-US"/>
        </w:rPr>
        <w:t>Higher bills</w:t>
      </w:r>
      <w:bookmarkEnd w:id="7"/>
      <w:r w:rsidRPr="00E64C35">
        <w:rPr>
          <w:rFonts w:cs="Times New Roman"/>
          <w:sz w:val="24"/>
          <w:szCs w:val="24"/>
          <w:lang w:val="en-US"/>
        </w:rPr>
        <w:t xml:space="preserve"> </w:t>
      </w:r>
    </w:p>
    <w:p w:rsidR="00C451F7" w:rsidRPr="00E64C35" w:rsidRDefault="00C451F7" w:rsidP="00E64C35">
      <w:pPr>
        <w:pStyle w:val="a3"/>
        <w:shd w:val="clear" w:color="auto" w:fill="FFFFFF"/>
        <w:spacing w:line="360" w:lineRule="auto"/>
        <w:jc w:val="both"/>
        <w:rPr>
          <w:color w:val="333333"/>
        </w:rPr>
      </w:pPr>
      <w:r w:rsidRPr="00E64C35">
        <w:rPr>
          <w:color w:val="333333"/>
        </w:rPr>
        <w:t xml:space="preserve">In case the possibility is considered that HPC starts operating by the end of 2027, and there are no difficulties in its processing and electricity distribution, the </w:t>
      </w:r>
      <w:r w:rsidR="001A4819" w:rsidRPr="00E64C35">
        <w:rPr>
          <w:color w:val="333333"/>
        </w:rPr>
        <w:t>billpayers</w:t>
      </w:r>
      <w:r w:rsidRPr="00E64C35">
        <w:rPr>
          <w:color w:val="333333"/>
        </w:rPr>
        <w:t xml:space="preserve"> would be liable to pay huge </w:t>
      </w:r>
      <w:r w:rsidR="000E0601" w:rsidRPr="00E64C35">
        <w:rPr>
          <w:color w:val="333333"/>
        </w:rPr>
        <w:t>sums</w:t>
      </w:r>
      <w:r w:rsidRPr="00E64C35">
        <w:rPr>
          <w:color w:val="333333"/>
        </w:rPr>
        <w:t xml:space="preserve"> of money. Initially</w:t>
      </w:r>
      <w:r w:rsidR="000E0601" w:rsidRPr="00E64C35">
        <w:rPr>
          <w:color w:val="333333"/>
        </w:rPr>
        <w:t>,</w:t>
      </w:r>
      <w:r w:rsidRPr="00E64C35">
        <w:rPr>
          <w:color w:val="333333"/>
        </w:rPr>
        <w:t xml:space="preserve"> the price per </w:t>
      </w:r>
      <w:r w:rsidR="000E0601" w:rsidRPr="00E64C35">
        <w:rPr>
          <w:color w:val="333333"/>
        </w:rPr>
        <w:t>megawatt</w:t>
      </w:r>
      <w:r w:rsidRPr="00E64C35">
        <w:rPr>
          <w:color w:val="333333"/>
        </w:rPr>
        <w:t xml:space="preserve"> was estimated to be £ 92.50 by EDF, but due to ongoing delays and deviation, the charges are calculated to be around £110 at the beginning of 2019. Now if the project drags to 2027, then the costs can further rise to as high as £130 per MWH. This </w:t>
      </w:r>
      <w:r w:rsidR="000E0601" w:rsidRPr="00E64C35">
        <w:rPr>
          <w:color w:val="333333"/>
        </w:rPr>
        <w:t>far exceeds</w:t>
      </w:r>
      <w:r w:rsidRPr="00E64C35">
        <w:rPr>
          <w:color w:val="333333"/>
        </w:rPr>
        <w:t xml:space="preserve"> the price as compared to electricity generated by on-shore </w:t>
      </w:r>
      <w:r w:rsidRPr="00E64C35">
        <w:rPr>
          <w:color w:val="333333"/>
        </w:rPr>
        <w:lastRenderedPageBreak/>
        <w:t xml:space="preserve">wind plants, and solar energy, </w:t>
      </w:r>
      <w:r w:rsidR="000E0601" w:rsidRPr="00E64C35">
        <w:rPr>
          <w:color w:val="333333"/>
        </w:rPr>
        <w:t>which</w:t>
      </w:r>
      <w:r w:rsidRPr="00E64C35">
        <w:rPr>
          <w:color w:val="333333"/>
        </w:rPr>
        <w:t xml:space="preserve"> amounts to as low as £30 and £14</w:t>
      </w:r>
      <w:r w:rsidR="00717943" w:rsidRPr="00E64C35">
        <w:rPr>
          <w:color w:val="333333"/>
        </w:rPr>
        <w:t xml:space="preserve">/MWH respectively </w:t>
      </w:r>
      <w:r w:rsidR="00717943" w:rsidRPr="00E64C35">
        <w:rPr>
          <w:color w:val="222222"/>
          <w:shd w:val="clear" w:color="auto" w:fill="FFFFFF"/>
        </w:rPr>
        <w:t xml:space="preserve">(Newbery, 2021). </w:t>
      </w:r>
      <w:r w:rsidRPr="00E64C35">
        <w:rPr>
          <w:color w:val="333333"/>
        </w:rPr>
        <w:t>These pricing differences are shocking, however</w:t>
      </w:r>
      <w:r w:rsidR="000E0601" w:rsidRPr="00E64C35">
        <w:rPr>
          <w:color w:val="333333"/>
        </w:rPr>
        <w:t>,</w:t>
      </w:r>
      <w:r w:rsidRPr="00E64C35">
        <w:rPr>
          <w:color w:val="333333"/>
        </w:rPr>
        <w:t xml:space="preserve"> the actual scenario is significantly </w:t>
      </w:r>
      <w:r w:rsidR="000E0601" w:rsidRPr="00E64C35">
        <w:rPr>
          <w:color w:val="333333"/>
        </w:rPr>
        <w:t>drier</w:t>
      </w:r>
      <w:r w:rsidRPr="00E64C35">
        <w:rPr>
          <w:color w:val="333333"/>
        </w:rPr>
        <w:t xml:space="preserve">. Because of the complexities of the HPC agreement of difference among the Ministry of Energy EDF and CGN, in the event international power sector rates fall, utility consumers are going to pay extra, and the other way around. Consequently, if renewable costs drop, </w:t>
      </w:r>
      <w:r w:rsidR="000E0601" w:rsidRPr="00E64C35">
        <w:rPr>
          <w:color w:val="333333"/>
        </w:rPr>
        <w:t>that</w:t>
      </w:r>
      <w:r w:rsidRPr="00E64C35">
        <w:rPr>
          <w:color w:val="333333"/>
        </w:rPr>
        <w:t xml:space="preserve"> is quite likely, Hinkley's energy rates may rise even more.</w:t>
      </w:r>
    </w:p>
    <w:p w:rsidR="00C451F7" w:rsidRPr="00E64C35" w:rsidRDefault="000E0601" w:rsidP="00E64C35">
      <w:pPr>
        <w:pStyle w:val="a3"/>
        <w:shd w:val="clear" w:color="auto" w:fill="FFFFFF"/>
        <w:spacing w:line="360" w:lineRule="auto"/>
        <w:jc w:val="both"/>
        <w:rPr>
          <w:lang w:val="en-US"/>
        </w:rPr>
      </w:pPr>
      <w:r w:rsidRPr="00E64C35">
        <w:rPr>
          <w:color w:val="333333"/>
        </w:rPr>
        <w:t xml:space="preserve">The </w:t>
      </w:r>
      <w:r w:rsidR="00C451F7" w:rsidRPr="00E64C35">
        <w:rPr>
          <w:color w:val="333333"/>
        </w:rPr>
        <w:t xml:space="preserve">National Audit Office of the UK, a </w:t>
      </w:r>
      <w:r w:rsidRPr="00E64C35">
        <w:rPr>
          <w:color w:val="333333"/>
        </w:rPr>
        <w:t>government-backed</w:t>
      </w:r>
      <w:r w:rsidR="00C451F7" w:rsidRPr="00E64C35">
        <w:rPr>
          <w:color w:val="333333"/>
        </w:rPr>
        <w:t xml:space="preserve"> department, evaluated the HPC agreement </w:t>
      </w:r>
      <w:r w:rsidRPr="00E64C35">
        <w:rPr>
          <w:color w:val="333333"/>
        </w:rPr>
        <w:t>in</w:t>
      </w:r>
      <w:r w:rsidR="00C451F7" w:rsidRPr="00E64C35">
        <w:rPr>
          <w:color w:val="333333"/>
        </w:rPr>
        <w:t xml:space="preserve"> the initial phase in 2017. They documented that the assumed NPV of the electricity customers would pay an excess of </w:t>
      </w:r>
      <w:r w:rsidR="00C451F7" w:rsidRPr="00E64C35">
        <w:rPr>
          <w:color w:val="333333"/>
          <w:shd w:val="clear" w:color="auto" w:fill="FFFFFF"/>
        </w:rPr>
        <w:t>£30 billion in aggregate during the project life-cycle, and by each pass</w:t>
      </w:r>
      <w:r w:rsidR="00717943" w:rsidRPr="00E64C35">
        <w:rPr>
          <w:color w:val="333333"/>
          <w:shd w:val="clear" w:color="auto" w:fill="FFFFFF"/>
        </w:rPr>
        <w:t>ing year</w:t>
      </w:r>
      <w:r w:rsidRPr="00E64C35">
        <w:rPr>
          <w:color w:val="333333"/>
          <w:shd w:val="clear" w:color="auto" w:fill="FFFFFF"/>
        </w:rPr>
        <w:t>,</w:t>
      </w:r>
      <w:r w:rsidR="00717943" w:rsidRPr="00E64C35">
        <w:rPr>
          <w:color w:val="333333"/>
          <w:shd w:val="clear" w:color="auto" w:fill="FFFFFF"/>
        </w:rPr>
        <w:t xml:space="preserve"> these costs can surge </w:t>
      </w:r>
      <w:r w:rsidR="00717943" w:rsidRPr="00E64C35">
        <w:rPr>
          <w:color w:val="222222"/>
          <w:shd w:val="clear" w:color="auto" w:fill="FFFFFF"/>
        </w:rPr>
        <w:t xml:space="preserve">(Newbery, 2021). </w:t>
      </w:r>
      <w:r w:rsidR="00C451F7" w:rsidRPr="00E64C35">
        <w:rPr>
          <w:color w:val="333333"/>
          <w:shd w:val="clear" w:color="auto" w:fill="FFFFFF"/>
        </w:rPr>
        <w:t xml:space="preserve">The researchers found that this move by the British government has put the customers </w:t>
      </w:r>
      <w:r w:rsidRPr="00E64C35">
        <w:rPr>
          <w:color w:val="333333"/>
          <w:shd w:val="clear" w:color="auto" w:fill="FFFFFF"/>
        </w:rPr>
        <w:t>in</w:t>
      </w:r>
      <w:r w:rsidR="00C451F7" w:rsidRPr="00E64C35">
        <w:rPr>
          <w:color w:val="333333"/>
          <w:shd w:val="clear" w:color="auto" w:fill="FFFFFF"/>
        </w:rPr>
        <w:t xml:space="preserve"> a risky and costly position, that does not have clear strategies, </w:t>
      </w:r>
      <w:r w:rsidRPr="00E64C35">
        <w:rPr>
          <w:color w:val="333333"/>
          <w:shd w:val="clear" w:color="auto" w:fill="FFFFFF"/>
        </w:rPr>
        <w:t xml:space="preserve">or </w:t>
      </w:r>
      <w:r w:rsidR="00C451F7" w:rsidRPr="00E64C35">
        <w:rPr>
          <w:color w:val="333333"/>
          <w:shd w:val="clear" w:color="auto" w:fill="FFFFFF"/>
        </w:rPr>
        <w:t xml:space="preserve">plans, and </w:t>
      </w:r>
      <w:r w:rsidRPr="00E64C35">
        <w:rPr>
          <w:color w:val="333333"/>
          <w:shd w:val="clear" w:color="auto" w:fill="FFFFFF"/>
        </w:rPr>
        <w:t>is</w:t>
      </w:r>
      <w:r w:rsidR="00C451F7" w:rsidRPr="00E64C35">
        <w:rPr>
          <w:color w:val="333333"/>
          <w:shd w:val="clear" w:color="auto" w:fill="FFFFFF"/>
        </w:rPr>
        <w:t xml:space="preserve"> highly unlikely to reap any economic advantages. Another independent research calculated that the savings if HPC is abandoned, and wind power is used instead, the total savings could amount to as high as £50 billion.</w:t>
      </w:r>
      <w:r w:rsidRPr="00E64C35">
        <w:rPr>
          <w:color w:val="333333"/>
          <w:shd w:val="clear" w:color="auto" w:fill="FFFFFF"/>
        </w:rPr>
        <w:t xml:space="preserve"> </w:t>
      </w:r>
      <w:r w:rsidR="00C451F7" w:rsidRPr="00E64C35">
        <w:rPr>
          <w:lang w:val="en-US"/>
        </w:rPr>
        <w:t xml:space="preserve">The UK’s </w:t>
      </w:r>
      <w:r w:rsidRPr="00E64C35">
        <w:rPr>
          <w:lang w:val="en-US"/>
        </w:rPr>
        <w:t>pre-Brexit</w:t>
      </w:r>
      <w:r w:rsidR="00C451F7" w:rsidRPr="00E64C35">
        <w:rPr>
          <w:lang w:val="en-US"/>
        </w:rPr>
        <w:t xml:space="preserve"> ruling party led by David Cameron played a critical role in showing HPC a green flag and has been heavily criticized since then due to its astronomical price tag. Though the financial burden of carrying out the project falls on EDP and CGN, the agreement can lead to disproportionately high prices for the end consumers, </w:t>
      </w:r>
      <w:r w:rsidRPr="00E64C35">
        <w:rPr>
          <w:lang w:val="en-US"/>
        </w:rPr>
        <w:t>which</w:t>
      </w:r>
      <w:r w:rsidR="00C451F7" w:rsidRPr="00E64C35">
        <w:rPr>
          <w:lang w:val="en-US"/>
        </w:rPr>
        <w:t xml:space="preserve"> is directly against the projected outcome. For a period of thirty-five years, the facility would be able </w:t>
      </w:r>
      <w:r w:rsidRPr="00E64C35">
        <w:rPr>
          <w:lang w:val="en-US"/>
        </w:rPr>
        <w:t xml:space="preserve">to </w:t>
      </w:r>
      <w:r w:rsidR="00C451F7" w:rsidRPr="00E64C35">
        <w:rPr>
          <w:lang w:val="en-US"/>
        </w:rPr>
        <w:t xml:space="preserve">market power for £92.50 each megawatt-hour. It represents roughly double the prevailing wholesale rate for power throughout the United Kingdom and therefore </w:t>
      </w:r>
      <w:r w:rsidRPr="00E64C35">
        <w:rPr>
          <w:lang w:val="en-US"/>
        </w:rPr>
        <w:t>adds</w:t>
      </w:r>
      <w:r w:rsidR="00C451F7" w:rsidRPr="00E64C35">
        <w:rPr>
          <w:lang w:val="en-US"/>
        </w:rPr>
        <w:t xml:space="preserve"> nearly £10 billion </w:t>
      </w:r>
      <w:r w:rsidRPr="00E64C35">
        <w:rPr>
          <w:lang w:val="en-US"/>
        </w:rPr>
        <w:t>to</w:t>
      </w:r>
      <w:r w:rsidR="00C451F7" w:rsidRPr="00E64C35">
        <w:rPr>
          <w:lang w:val="en-US"/>
        </w:rPr>
        <w:t xml:space="preserve"> utili</w:t>
      </w:r>
      <w:r w:rsidR="00717943" w:rsidRPr="00E64C35">
        <w:rPr>
          <w:lang w:val="en-US"/>
        </w:rPr>
        <w:t xml:space="preserve">ty payments in Britain annually </w:t>
      </w:r>
      <w:r w:rsidR="00717943" w:rsidRPr="00E64C35">
        <w:rPr>
          <w:color w:val="222222"/>
          <w:shd w:val="clear" w:color="auto" w:fill="FFFFFF"/>
        </w:rPr>
        <w:t>(Alvarez, Stua and MacKerron, 2019).</w:t>
      </w:r>
    </w:p>
    <w:p w:rsidR="00C451F7" w:rsidRPr="00E64C35" w:rsidRDefault="00C451F7" w:rsidP="00E64C35">
      <w:pPr>
        <w:pStyle w:val="2"/>
        <w:spacing w:line="360" w:lineRule="auto"/>
        <w:rPr>
          <w:rFonts w:cs="Times New Roman"/>
          <w:sz w:val="24"/>
          <w:szCs w:val="24"/>
        </w:rPr>
      </w:pPr>
      <w:bookmarkStart w:id="8" w:name="_Toc141258695"/>
      <w:r w:rsidRPr="00E64C35">
        <w:rPr>
          <w:rFonts w:cs="Times New Roman"/>
          <w:sz w:val="24"/>
          <w:szCs w:val="24"/>
        </w:rPr>
        <w:t>Groundwork issues</w:t>
      </w:r>
      <w:bookmarkEnd w:id="8"/>
    </w:p>
    <w:p w:rsidR="00C451F7" w:rsidRPr="00E64C35" w:rsidRDefault="00C451F7" w:rsidP="00E64C35">
      <w:pPr>
        <w:pStyle w:val="a3"/>
        <w:shd w:val="clear" w:color="auto" w:fill="FFFFFF"/>
        <w:spacing w:line="360" w:lineRule="auto"/>
        <w:jc w:val="both"/>
        <w:rPr>
          <w:color w:val="333333"/>
        </w:rPr>
      </w:pPr>
      <w:r w:rsidRPr="00E64C35">
        <w:rPr>
          <w:color w:val="333333"/>
        </w:rPr>
        <w:t xml:space="preserve">To prepare the construction site for the project, it was required to excavate the ground the size of 240 football pitches, and the required number of nails for the purpose is </w:t>
      </w:r>
      <w:r w:rsidRPr="00E64C35">
        <w:rPr>
          <w:color w:val="444444"/>
          <w:shd w:val="clear" w:color="auto" w:fill="FFFFFF"/>
        </w:rPr>
        <w:t xml:space="preserve">112,000 million. </w:t>
      </w:r>
      <w:r w:rsidRPr="00E64C35">
        <w:rPr>
          <w:color w:val="333333"/>
        </w:rPr>
        <w:t>Furthermore, notwithstanding strict limitations upon the permitted length of exposure before blinding using building materials, the portions of heavily weathered stones eroded swiftly. Such challenges necessitated more excavation, subsurface drilling, and substitution </w:t>
      </w:r>
      <w:r w:rsidR="000E0601" w:rsidRPr="00E64C35">
        <w:rPr>
          <w:color w:val="333333"/>
        </w:rPr>
        <w:t xml:space="preserve">of </w:t>
      </w:r>
      <w:r w:rsidRPr="00E64C35">
        <w:rPr>
          <w:color w:val="333333"/>
        </w:rPr>
        <w:t>concrete.</w:t>
      </w:r>
    </w:p>
    <w:p w:rsidR="00C451F7" w:rsidRPr="00E64C35" w:rsidRDefault="00C451F7" w:rsidP="00E64C35">
      <w:pPr>
        <w:pStyle w:val="2"/>
        <w:spacing w:line="360" w:lineRule="auto"/>
        <w:rPr>
          <w:rFonts w:cs="Times New Roman"/>
          <w:sz w:val="24"/>
          <w:szCs w:val="24"/>
          <w:lang w:val="en-US"/>
        </w:rPr>
      </w:pPr>
      <w:bookmarkStart w:id="9" w:name="_Toc141258696"/>
      <w:r w:rsidRPr="00E64C35">
        <w:rPr>
          <w:rFonts w:cs="Times New Roman"/>
          <w:sz w:val="24"/>
          <w:szCs w:val="24"/>
          <w:lang w:val="en-US"/>
        </w:rPr>
        <w:t>Environmental impact</w:t>
      </w:r>
      <w:bookmarkEnd w:id="9"/>
    </w:p>
    <w:p w:rsidR="000E0601" w:rsidRPr="00E64C35" w:rsidRDefault="000E0601" w:rsidP="00E64C35">
      <w:pPr>
        <w:spacing w:line="360" w:lineRule="auto"/>
        <w:jc w:val="both"/>
        <w:rPr>
          <w:rFonts w:ascii="Times New Roman" w:hAnsi="Times New Roman" w:cs="Times New Roman"/>
          <w:sz w:val="24"/>
          <w:szCs w:val="24"/>
          <w:lang w:val="en-US"/>
        </w:rPr>
      </w:pPr>
    </w:p>
    <w:p w:rsidR="00C451F7" w:rsidRPr="00E64C35" w:rsidRDefault="00C451F7"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sz w:val="24"/>
          <w:szCs w:val="24"/>
          <w:lang w:val="en-US"/>
        </w:rPr>
        <w:lastRenderedPageBreak/>
        <w:t xml:space="preserve">Hinkley Point C Project along with future nuclear reactors also come short </w:t>
      </w:r>
      <w:r w:rsidR="000E0601" w:rsidRPr="00E64C35">
        <w:rPr>
          <w:rFonts w:ascii="Times New Roman" w:hAnsi="Times New Roman" w:cs="Times New Roman"/>
          <w:sz w:val="24"/>
          <w:szCs w:val="24"/>
          <w:lang w:val="en-US"/>
        </w:rPr>
        <w:t>of</w:t>
      </w:r>
      <w:r w:rsidRPr="00E64C35">
        <w:rPr>
          <w:rFonts w:ascii="Times New Roman" w:hAnsi="Times New Roman" w:cs="Times New Roman"/>
          <w:sz w:val="24"/>
          <w:szCs w:val="24"/>
          <w:lang w:val="en-US"/>
        </w:rPr>
        <w:t xml:space="preserve"> the contingency option in terms of ecological sustainability. Indeed, a UK electrical industry sans nuclear while expecting greater gas consumption would generate 37% extra greenhouse output in 2040. This, however, overlooks several concerns. To begin with, the numerical simulation indicates that outputs through power supply in the UK are expected to decrease by 60-70% during 2015 and 2040, regardless of </w:t>
      </w:r>
      <w:r w:rsidR="000E0601" w:rsidRPr="00E64C35">
        <w:rPr>
          <w:rFonts w:ascii="Times New Roman" w:hAnsi="Times New Roman" w:cs="Times New Roman"/>
          <w:sz w:val="24"/>
          <w:szCs w:val="24"/>
          <w:lang w:val="en-US"/>
        </w:rPr>
        <w:t xml:space="preserve">the </w:t>
      </w:r>
      <w:r w:rsidRPr="00E64C35">
        <w:rPr>
          <w:rFonts w:ascii="Times New Roman" w:hAnsi="Times New Roman" w:cs="Times New Roman"/>
          <w:sz w:val="24"/>
          <w:szCs w:val="24"/>
          <w:lang w:val="en-US"/>
        </w:rPr>
        <w:t>situation, with the lesser part of this spectrum reflecting the drop-back situation and the upper end indicating the nuclear plan. This decrease is mostly due to a significant increase in renewables adoption. Furthermore, the energy sector is going to grow at the same rate as it</w:t>
      </w:r>
      <w:r w:rsidR="00717943" w:rsidRPr="00E64C35">
        <w:rPr>
          <w:rFonts w:ascii="Times New Roman" w:hAnsi="Times New Roman" w:cs="Times New Roman"/>
          <w:sz w:val="24"/>
          <w:szCs w:val="24"/>
          <w:lang w:val="en-US"/>
        </w:rPr>
        <w:t xml:space="preserve"> has in the previous ten years </w:t>
      </w:r>
      <w:r w:rsidR="00717943" w:rsidRPr="00E64C35">
        <w:rPr>
          <w:rFonts w:ascii="Times New Roman" w:hAnsi="Times New Roman" w:cs="Times New Roman"/>
          <w:color w:val="222222"/>
          <w:sz w:val="24"/>
          <w:szCs w:val="24"/>
          <w:shd w:val="clear" w:color="auto" w:fill="FFFFFF"/>
        </w:rPr>
        <w:t xml:space="preserve">(Cárdenas et al., 2023). </w:t>
      </w:r>
      <w:r w:rsidRPr="00E64C35">
        <w:rPr>
          <w:rFonts w:ascii="Times New Roman" w:hAnsi="Times New Roman" w:cs="Times New Roman"/>
          <w:sz w:val="24"/>
          <w:szCs w:val="24"/>
          <w:lang w:val="en-US"/>
        </w:rPr>
        <w:t>Novel clean, adaptable solutions should emerge if there is enough room and chance. Lastly, nuclear has a distinct set of ecological difficulties, as expended fuel disposal is a permanent challenge.</w:t>
      </w:r>
    </w:p>
    <w:p w:rsidR="00C451F7" w:rsidRPr="00E64C35" w:rsidRDefault="00C451F7" w:rsidP="00E64C35">
      <w:pPr>
        <w:spacing w:line="360" w:lineRule="auto"/>
        <w:jc w:val="both"/>
        <w:rPr>
          <w:rFonts w:ascii="Times New Roman" w:hAnsi="Times New Roman" w:cs="Times New Roman"/>
          <w:sz w:val="24"/>
          <w:szCs w:val="24"/>
        </w:rPr>
      </w:pPr>
      <w:r w:rsidRPr="00E64C35">
        <w:rPr>
          <w:rFonts w:ascii="Times New Roman" w:hAnsi="Times New Roman" w:cs="Times New Roman"/>
          <w:noProof/>
          <w:sz w:val="24"/>
          <w:szCs w:val="24"/>
          <w:lang w:val="ru-RU" w:eastAsia="ru-RU"/>
        </w:rPr>
        <w:drawing>
          <wp:inline distT="0" distB="0" distL="0" distR="0" wp14:anchorId="00FE3DB8" wp14:editId="34925E76">
            <wp:extent cx="4438717" cy="24829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4482" cy="2486172"/>
                    </a:xfrm>
                    <a:prstGeom prst="rect">
                      <a:avLst/>
                    </a:prstGeom>
                  </pic:spPr>
                </pic:pic>
              </a:graphicData>
            </a:graphic>
          </wp:inline>
        </w:drawing>
      </w:r>
    </w:p>
    <w:p w:rsidR="005B7CCA" w:rsidRPr="00E64C35" w:rsidRDefault="005B7CCA"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 xml:space="preserve">Figure 4. </w:t>
      </w:r>
      <w:r w:rsidR="000E0601" w:rsidRPr="00E64C35">
        <w:rPr>
          <w:rFonts w:ascii="Times New Roman" w:hAnsi="Times New Roman" w:cs="Times New Roman"/>
          <w:sz w:val="24"/>
          <w:szCs w:val="24"/>
        </w:rPr>
        <w:t>The possible</w:t>
      </w:r>
      <w:r w:rsidRPr="00E64C35">
        <w:rPr>
          <w:rFonts w:ascii="Times New Roman" w:hAnsi="Times New Roman" w:cs="Times New Roman"/>
          <w:sz w:val="24"/>
          <w:szCs w:val="24"/>
        </w:rPr>
        <w:t xml:space="preserve"> impact of HPC</w:t>
      </w:r>
    </w:p>
    <w:p w:rsidR="005B7CCA" w:rsidRPr="00E64C35" w:rsidRDefault="005B7CCA"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Source: (Glasson, 2021).</w:t>
      </w:r>
    </w:p>
    <w:p w:rsidR="00C451F7" w:rsidRPr="00E64C35" w:rsidRDefault="00C451F7"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sz w:val="24"/>
          <w:szCs w:val="24"/>
        </w:rPr>
        <w:t>Privately supported initiatives estimate risks with greater accuracy. That contradicts existing projections of expenses for 'private' Hinkley Point C, stipulation via EDF, including certain opponents anticipating an upfront expenditure of £29 billion. The expenses are far too exorbitant, </w:t>
      </w:r>
      <w:r w:rsidR="000E0601" w:rsidRPr="00E64C35">
        <w:rPr>
          <w:rFonts w:ascii="Times New Roman" w:hAnsi="Times New Roman" w:cs="Times New Roman"/>
          <w:sz w:val="24"/>
          <w:szCs w:val="24"/>
        </w:rPr>
        <w:t xml:space="preserve">and </w:t>
      </w:r>
      <w:r w:rsidRPr="00E64C35">
        <w:rPr>
          <w:rFonts w:ascii="Times New Roman" w:hAnsi="Times New Roman" w:cs="Times New Roman"/>
          <w:sz w:val="24"/>
          <w:szCs w:val="24"/>
        </w:rPr>
        <w:t xml:space="preserve">the likelihood of delays </w:t>
      </w:r>
      <w:r w:rsidR="000E0601" w:rsidRPr="00E64C35">
        <w:rPr>
          <w:rFonts w:ascii="Times New Roman" w:hAnsi="Times New Roman" w:cs="Times New Roman"/>
          <w:sz w:val="24"/>
          <w:szCs w:val="24"/>
        </w:rPr>
        <w:t>is</w:t>
      </w:r>
      <w:r w:rsidRPr="00E64C35">
        <w:rPr>
          <w:rFonts w:ascii="Times New Roman" w:hAnsi="Times New Roman" w:cs="Times New Roman"/>
          <w:sz w:val="24"/>
          <w:szCs w:val="24"/>
        </w:rPr>
        <w:t xml:space="preserve"> too substantial to appear agr</w:t>
      </w:r>
      <w:r w:rsidR="00717943" w:rsidRPr="00E64C35">
        <w:rPr>
          <w:rFonts w:ascii="Times New Roman" w:hAnsi="Times New Roman" w:cs="Times New Roman"/>
          <w:sz w:val="24"/>
          <w:szCs w:val="24"/>
        </w:rPr>
        <w:t xml:space="preserve">eeable to business capitalists </w:t>
      </w:r>
      <w:r w:rsidR="00717943" w:rsidRPr="00E64C35">
        <w:rPr>
          <w:rFonts w:ascii="Times New Roman" w:hAnsi="Times New Roman" w:cs="Times New Roman"/>
          <w:color w:val="222222"/>
          <w:sz w:val="24"/>
          <w:szCs w:val="24"/>
          <w:shd w:val="clear" w:color="auto" w:fill="FFFFFF"/>
        </w:rPr>
        <w:t xml:space="preserve">(Cárdenas et al., 2023). </w:t>
      </w:r>
      <w:r w:rsidRPr="00E64C35">
        <w:rPr>
          <w:rFonts w:ascii="Times New Roman" w:hAnsi="Times New Roman" w:cs="Times New Roman"/>
          <w:sz w:val="24"/>
          <w:szCs w:val="24"/>
        </w:rPr>
        <w:t xml:space="preserve">A setback amid implementation could reveal the undertaking's vulnerability leading to massive financial damages. The participation of China via CGN is likely motivated by a desire to own vital resources rather than a desire to earn annuities on investment. Although it is hardly required to return to initial projections to analyze </w:t>
      </w:r>
      <w:r w:rsidRPr="00E64C35">
        <w:rPr>
          <w:rFonts w:ascii="Times New Roman" w:hAnsi="Times New Roman" w:cs="Times New Roman"/>
          <w:sz w:val="24"/>
          <w:szCs w:val="24"/>
        </w:rPr>
        <w:lastRenderedPageBreak/>
        <w:t xml:space="preserve">expenses, existing evidence firmly suggests that expenditures severely underpin the worth of funds in </w:t>
      </w:r>
      <w:r w:rsidR="000E0601" w:rsidRPr="00E64C35">
        <w:rPr>
          <w:rFonts w:ascii="Times New Roman" w:hAnsi="Times New Roman" w:cs="Times New Roman"/>
          <w:sz w:val="24"/>
          <w:szCs w:val="24"/>
        </w:rPr>
        <w:t>regard</w:t>
      </w:r>
      <w:r w:rsidRPr="00E64C35">
        <w:rPr>
          <w:rFonts w:ascii="Times New Roman" w:hAnsi="Times New Roman" w:cs="Times New Roman"/>
          <w:sz w:val="24"/>
          <w:szCs w:val="24"/>
        </w:rPr>
        <w:t xml:space="preserve"> to deliverables while the possibility of actual utility in utilization is unlikely to outweigh the financial burden of the initiative or for power supply.</w:t>
      </w:r>
    </w:p>
    <w:p w:rsidR="00C451F7" w:rsidRPr="00E64C35" w:rsidRDefault="00C451F7" w:rsidP="00E64C35">
      <w:pPr>
        <w:pStyle w:val="2"/>
        <w:spacing w:line="360" w:lineRule="auto"/>
        <w:rPr>
          <w:rFonts w:cs="Times New Roman"/>
          <w:sz w:val="24"/>
          <w:szCs w:val="24"/>
          <w:lang w:val="en-US"/>
        </w:rPr>
      </w:pPr>
      <w:bookmarkStart w:id="10" w:name="_Toc141258697"/>
      <w:r w:rsidRPr="00E64C35">
        <w:rPr>
          <w:rFonts w:cs="Times New Roman"/>
          <w:sz w:val="24"/>
          <w:szCs w:val="24"/>
          <w:lang w:val="en-US"/>
        </w:rPr>
        <w:t>Conflicting Interests</w:t>
      </w:r>
      <w:bookmarkEnd w:id="10"/>
    </w:p>
    <w:p w:rsidR="00C451F7" w:rsidRPr="00E64C35" w:rsidRDefault="00C451F7" w:rsidP="00E64C35">
      <w:pPr>
        <w:pStyle w:val="a3"/>
        <w:shd w:val="clear" w:color="auto" w:fill="FFFFFF"/>
        <w:spacing w:line="360" w:lineRule="auto"/>
        <w:jc w:val="both"/>
        <w:rPr>
          <w:b/>
          <w:color w:val="333333"/>
        </w:rPr>
      </w:pPr>
      <w:r w:rsidRPr="00E64C35">
        <w:rPr>
          <w:color w:val="333333"/>
        </w:rPr>
        <w:t xml:space="preserve">Yet another difficulty concerning the UK government's standpoint is the covert engagement of China. Critics say that giving China the ability to regulate an extremely vital component of the renewable energy network is a bad idea. Add in the </w:t>
      </w:r>
      <w:r w:rsidR="000E0601" w:rsidRPr="00E64C35">
        <w:rPr>
          <w:color w:val="333333"/>
        </w:rPr>
        <w:t>defence</w:t>
      </w:r>
      <w:r w:rsidRPr="00E64C35">
        <w:rPr>
          <w:color w:val="333333"/>
        </w:rPr>
        <w:t xml:space="preserve"> and safety concerns of allowing Chinese public enterprises inside the very core of the UK's nuclear sector, it appears strongly absurd to </w:t>
      </w:r>
      <w:r w:rsidR="000E0601" w:rsidRPr="00E64C35">
        <w:rPr>
          <w:color w:val="333333"/>
        </w:rPr>
        <w:t>favour</w:t>
      </w:r>
      <w:r w:rsidRPr="00E64C35">
        <w:rPr>
          <w:color w:val="333333"/>
        </w:rPr>
        <w:t xml:space="preserve"> </w:t>
      </w:r>
      <w:r w:rsidR="000E0601" w:rsidRPr="00E64C35">
        <w:rPr>
          <w:color w:val="333333"/>
        </w:rPr>
        <w:t xml:space="preserve">the </w:t>
      </w:r>
      <w:r w:rsidRPr="00E64C35">
        <w:rPr>
          <w:color w:val="333333"/>
        </w:rPr>
        <w:t xml:space="preserve">Chinese administration's funds rather than </w:t>
      </w:r>
      <w:r w:rsidR="000E0601" w:rsidRPr="00E64C35">
        <w:rPr>
          <w:color w:val="333333"/>
        </w:rPr>
        <w:t xml:space="preserve">the </w:t>
      </w:r>
      <w:r w:rsidRPr="00E64C35">
        <w:rPr>
          <w:color w:val="333333"/>
        </w:rPr>
        <w:t xml:space="preserve">state's resources for such a delicate domestic project. Organizations in the United Kingdom express the same worry. A further significant area of alarm for HPC is </w:t>
      </w:r>
      <w:r w:rsidR="000E0601" w:rsidRPr="00E64C35">
        <w:rPr>
          <w:color w:val="333333"/>
        </w:rPr>
        <w:t xml:space="preserve">the </w:t>
      </w:r>
      <w:r w:rsidRPr="00E64C35">
        <w:rPr>
          <w:color w:val="333333"/>
        </w:rPr>
        <w:t>tangled relatio</w:t>
      </w:r>
      <w:r w:rsidR="00717943" w:rsidRPr="00E64C35">
        <w:rPr>
          <w:color w:val="333333"/>
        </w:rPr>
        <w:t xml:space="preserve">nship between France and China </w:t>
      </w:r>
      <w:r w:rsidR="00717943" w:rsidRPr="00E64C35">
        <w:rPr>
          <w:color w:val="222222"/>
          <w:shd w:val="clear" w:color="auto" w:fill="FFFFFF"/>
        </w:rPr>
        <w:t>(Babić and Dixon, 2022).</w:t>
      </w:r>
      <w:r w:rsidR="000E0601" w:rsidRPr="00E64C35">
        <w:rPr>
          <w:b/>
          <w:color w:val="333333"/>
        </w:rPr>
        <w:t xml:space="preserve"> </w:t>
      </w:r>
      <w:r w:rsidRPr="00E64C35">
        <w:rPr>
          <w:color w:val="333333"/>
        </w:rPr>
        <w:t xml:space="preserve">EDF </w:t>
      </w:r>
      <w:r w:rsidR="000E0601" w:rsidRPr="00E64C35">
        <w:rPr>
          <w:color w:val="333333"/>
        </w:rPr>
        <w:t>which</w:t>
      </w:r>
      <w:r w:rsidRPr="00E64C35">
        <w:rPr>
          <w:color w:val="333333"/>
        </w:rPr>
        <w:t xml:space="preserve"> owns 66.5% of NNBG has a majority stake </w:t>
      </w:r>
      <w:r w:rsidR="000E0601" w:rsidRPr="00E64C35">
        <w:rPr>
          <w:color w:val="333333"/>
        </w:rPr>
        <w:t>in</w:t>
      </w:r>
      <w:r w:rsidRPr="00E64C35">
        <w:rPr>
          <w:color w:val="333333"/>
        </w:rPr>
        <w:t xml:space="preserve"> the French government, while CGN, a Chinese public organization, owns the remaining 33.5%. Areva, a separate business partly owned by the French governance, is responsible for </w:t>
      </w:r>
      <w:r w:rsidR="000E0601" w:rsidRPr="00E64C35">
        <w:rPr>
          <w:color w:val="333333"/>
        </w:rPr>
        <w:t>supplying</w:t>
      </w:r>
      <w:r w:rsidRPr="00E64C35">
        <w:rPr>
          <w:color w:val="333333"/>
        </w:rPr>
        <w:t xml:space="preserve"> and manufacturing the EPR reactors. As a result, HPC enables foreign adversaries to enter and establish their presence within the UK marketplace, possibly harming indigenous enterprises and driving transnational reliance.</w:t>
      </w:r>
    </w:p>
    <w:p w:rsidR="00C451F7" w:rsidRPr="00E64C35" w:rsidRDefault="00C451F7" w:rsidP="00E64C35">
      <w:pPr>
        <w:pStyle w:val="2"/>
        <w:spacing w:line="360" w:lineRule="auto"/>
        <w:rPr>
          <w:rFonts w:cs="Times New Roman"/>
          <w:sz w:val="24"/>
          <w:szCs w:val="24"/>
        </w:rPr>
      </w:pPr>
      <w:bookmarkStart w:id="11" w:name="_Toc141258698"/>
      <w:r w:rsidRPr="00E64C35">
        <w:rPr>
          <w:rFonts w:cs="Times New Roman"/>
          <w:sz w:val="24"/>
          <w:szCs w:val="24"/>
        </w:rPr>
        <w:t>Continuous delays</w:t>
      </w:r>
      <w:bookmarkEnd w:id="11"/>
    </w:p>
    <w:p w:rsidR="000E0601" w:rsidRPr="00E64C35" w:rsidRDefault="000E0601" w:rsidP="00E64C35">
      <w:pPr>
        <w:spacing w:line="360" w:lineRule="auto"/>
        <w:jc w:val="both"/>
        <w:rPr>
          <w:rFonts w:ascii="Times New Roman" w:hAnsi="Times New Roman" w:cs="Times New Roman"/>
          <w:sz w:val="24"/>
          <w:szCs w:val="24"/>
        </w:rPr>
      </w:pPr>
    </w:p>
    <w:p w:rsidR="00C451F7" w:rsidRPr="00E64C35" w:rsidRDefault="00C451F7"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The HPC schedule was pushed back due to the selection of both the European pressurized reactor model and technologies as budget difficulties caused modifications among stakeholders, for instance</w:t>
      </w:r>
      <w:r w:rsidR="000E0601" w:rsidRPr="00E64C35">
        <w:rPr>
          <w:rFonts w:ascii="Times New Roman" w:hAnsi="Times New Roman" w:cs="Times New Roman"/>
          <w:sz w:val="24"/>
          <w:szCs w:val="24"/>
        </w:rPr>
        <w:t>,</w:t>
      </w:r>
      <w:r w:rsidRPr="00E64C35">
        <w:rPr>
          <w:rFonts w:ascii="Times New Roman" w:hAnsi="Times New Roman" w:cs="Times New Roman"/>
          <w:sz w:val="24"/>
          <w:szCs w:val="24"/>
        </w:rPr>
        <w:t> Centrica stepping back in 2013, and getting substituted by the CGN, resulting in delays since negotiations began to be re-established. The inconsistencies of systemic configurations, as well as the resulting relations and tardiness, possess a tendency to slow the sharing of values in addition to potentially co-destruct its significance. In addition, there were three distinct governing parties, four separate heads of state, and frequent substitutions as the energy ministers plus a reorganiz</w:t>
      </w:r>
      <w:r w:rsidR="00717943" w:rsidRPr="00E64C35">
        <w:rPr>
          <w:rFonts w:ascii="Times New Roman" w:hAnsi="Times New Roman" w:cs="Times New Roman"/>
          <w:sz w:val="24"/>
          <w:szCs w:val="24"/>
        </w:rPr>
        <w:t xml:space="preserve">ation of the entire department </w:t>
      </w:r>
      <w:r w:rsidR="00717943" w:rsidRPr="00E64C35">
        <w:rPr>
          <w:rFonts w:ascii="Times New Roman" w:hAnsi="Times New Roman" w:cs="Times New Roman"/>
          <w:color w:val="222222"/>
          <w:sz w:val="24"/>
          <w:szCs w:val="24"/>
          <w:shd w:val="clear" w:color="auto" w:fill="FFFFFF"/>
        </w:rPr>
        <w:t xml:space="preserve">(Sovacool, Iskandarova and Geels, 2023). </w:t>
      </w:r>
      <w:r w:rsidRPr="00E64C35">
        <w:rPr>
          <w:rFonts w:ascii="Times New Roman" w:hAnsi="Times New Roman" w:cs="Times New Roman"/>
          <w:sz w:val="24"/>
          <w:szCs w:val="24"/>
        </w:rPr>
        <w:t xml:space="preserve">The organizational structures are put on trial despite complicating the guidelines governing the valuation standards. The adjustments are likely to bolster the existing standards as the societal separation of the </w:t>
      </w:r>
      <w:r w:rsidR="000E0601" w:rsidRPr="00E64C35">
        <w:rPr>
          <w:rFonts w:ascii="Times New Roman" w:hAnsi="Times New Roman" w:cs="Times New Roman"/>
          <w:sz w:val="24"/>
          <w:szCs w:val="24"/>
        </w:rPr>
        <w:t>endeavours</w:t>
      </w:r>
      <w:r w:rsidRPr="00E64C35">
        <w:rPr>
          <w:rFonts w:ascii="Times New Roman" w:hAnsi="Times New Roman" w:cs="Times New Roman"/>
          <w:sz w:val="24"/>
          <w:szCs w:val="24"/>
        </w:rPr>
        <w:t xml:space="preserve"> grows. Each of these modifications </w:t>
      </w:r>
      <w:r w:rsidR="000E0601" w:rsidRPr="00E64C35">
        <w:rPr>
          <w:rFonts w:ascii="Times New Roman" w:hAnsi="Times New Roman" w:cs="Times New Roman"/>
          <w:sz w:val="24"/>
          <w:szCs w:val="24"/>
        </w:rPr>
        <w:t>renders</w:t>
      </w:r>
      <w:r w:rsidRPr="00E64C35">
        <w:rPr>
          <w:rFonts w:ascii="Times New Roman" w:hAnsi="Times New Roman" w:cs="Times New Roman"/>
          <w:sz w:val="24"/>
          <w:szCs w:val="24"/>
        </w:rPr>
        <w:t xml:space="preserve"> it tough to develop relationships and collaborate on the receiving side. It </w:t>
      </w:r>
      <w:r w:rsidR="000E0601" w:rsidRPr="00E64C35">
        <w:rPr>
          <w:rFonts w:ascii="Times New Roman" w:hAnsi="Times New Roman" w:cs="Times New Roman"/>
          <w:sz w:val="24"/>
          <w:szCs w:val="24"/>
        </w:rPr>
        <w:lastRenderedPageBreak/>
        <w:t>raises</w:t>
      </w:r>
      <w:r w:rsidRPr="00E64C35">
        <w:rPr>
          <w:rFonts w:ascii="Times New Roman" w:hAnsi="Times New Roman" w:cs="Times New Roman"/>
          <w:sz w:val="24"/>
          <w:szCs w:val="24"/>
        </w:rPr>
        <w:t xml:space="preserve"> the possibility that the worth gets squandered through such exchanges. It almost definitely drew administrators in justifying budgets as the main issue pertaining to initial predictions. France's position as the leading nation in creating nuclear energy, EDF's economic health, and the federal government's along with taxpayers' vulnerability to financial and operational issues are at stake.</w:t>
      </w:r>
    </w:p>
    <w:p w:rsidR="00C451F7" w:rsidRPr="00E64C35" w:rsidRDefault="00C451F7" w:rsidP="00E64C35">
      <w:pPr>
        <w:spacing w:line="360" w:lineRule="auto"/>
        <w:jc w:val="both"/>
        <w:rPr>
          <w:rFonts w:ascii="Times New Roman" w:hAnsi="Times New Roman" w:cs="Times New Roman"/>
          <w:sz w:val="24"/>
          <w:szCs w:val="24"/>
        </w:rPr>
      </w:pPr>
      <w:r w:rsidRPr="00E64C35">
        <w:rPr>
          <w:rFonts w:ascii="Times New Roman" w:hAnsi="Times New Roman" w:cs="Times New Roman"/>
          <w:sz w:val="24"/>
          <w:szCs w:val="24"/>
        </w:rPr>
        <w:t xml:space="preserve">TVO, a major energy company based in Finland, has decided to not carry forward the making of another plant, owing to the complications, and difficulties faced in installing EPR reactors manufactured by Areva and Siemens. A defect in the stainless steel casing of </w:t>
      </w:r>
      <w:r w:rsidR="000E0601" w:rsidRPr="00E64C35">
        <w:rPr>
          <w:rFonts w:ascii="Times New Roman" w:hAnsi="Times New Roman" w:cs="Times New Roman"/>
          <w:sz w:val="24"/>
          <w:szCs w:val="24"/>
        </w:rPr>
        <w:t xml:space="preserve">the </w:t>
      </w:r>
      <w:r w:rsidRPr="00E64C35">
        <w:rPr>
          <w:rFonts w:ascii="Times New Roman" w:hAnsi="Times New Roman" w:cs="Times New Roman"/>
          <w:sz w:val="24"/>
          <w:szCs w:val="24"/>
        </w:rPr>
        <w:t xml:space="preserve">EPR reactor within </w:t>
      </w:r>
      <w:r w:rsidR="000E0601" w:rsidRPr="00E64C35">
        <w:rPr>
          <w:rFonts w:ascii="Times New Roman" w:hAnsi="Times New Roman" w:cs="Times New Roman"/>
          <w:sz w:val="24"/>
          <w:szCs w:val="24"/>
        </w:rPr>
        <w:t xml:space="preserve">the </w:t>
      </w:r>
      <w:r w:rsidRPr="00E64C35">
        <w:rPr>
          <w:rFonts w:ascii="Times New Roman" w:hAnsi="Times New Roman" w:cs="Times New Roman"/>
          <w:sz w:val="24"/>
          <w:szCs w:val="24"/>
        </w:rPr>
        <w:t xml:space="preserve">Flamanville facility has been described as "grave" by the nation's nuclear safety enforcement agency, and if not corrected, the development might be terminated, albeit the relevance of such a move is debatable given many people claim it to be inherently an engineering fault. Redesigning to uphold the intrinsic value of the material is going to cause additional holdups and expenditures, potentially resulting in a net loss. The United Kingdom's major ruling authorities </w:t>
      </w:r>
      <w:r w:rsidR="000E0601" w:rsidRPr="00E64C35">
        <w:rPr>
          <w:rFonts w:ascii="Times New Roman" w:hAnsi="Times New Roman" w:cs="Times New Roman"/>
          <w:sz w:val="24"/>
          <w:szCs w:val="24"/>
        </w:rPr>
        <w:t>have</w:t>
      </w:r>
      <w:r w:rsidRPr="00E64C35">
        <w:rPr>
          <w:rFonts w:ascii="Times New Roman" w:hAnsi="Times New Roman" w:cs="Times New Roman"/>
          <w:sz w:val="24"/>
          <w:szCs w:val="24"/>
        </w:rPr>
        <w:t xml:space="preserve"> stated that they are going to own a "golden share" meaning majority ownership in subsequent infrastructure </w:t>
      </w:r>
      <w:r w:rsidR="000E0601" w:rsidRPr="00E64C35">
        <w:rPr>
          <w:rFonts w:ascii="Times New Roman" w:hAnsi="Times New Roman" w:cs="Times New Roman"/>
          <w:sz w:val="24"/>
          <w:szCs w:val="24"/>
        </w:rPr>
        <w:t>endeavours</w:t>
      </w:r>
      <w:r w:rsidRPr="00E64C35">
        <w:rPr>
          <w:rFonts w:ascii="Times New Roman" w:hAnsi="Times New Roman" w:cs="Times New Roman"/>
          <w:sz w:val="24"/>
          <w:szCs w:val="24"/>
        </w:rPr>
        <w:t>, as an implicit acknowledgement of the dangers of front-ended collapse resulting from HPC while also confirming political obligations.</w:t>
      </w:r>
    </w:p>
    <w:p w:rsidR="00C451F7" w:rsidRPr="00E64C35" w:rsidRDefault="00C451F7" w:rsidP="00E64C35">
      <w:pPr>
        <w:pStyle w:val="1"/>
        <w:spacing w:line="360" w:lineRule="auto"/>
        <w:rPr>
          <w:rFonts w:cs="Times New Roman"/>
          <w:sz w:val="24"/>
          <w:szCs w:val="24"/>
          <w:lang w:val="en-US"/>
        </w:rPr>
      </w:pPr>
      <w:bookmarkStart w:id="12" w:name="_Toc141258699"/>
      <w:r w:rsidRPr="00E64C35">
        <w:rPr>
          <w:rFonts w:cs="Times New Roman"/>
          <w:sz w:val="24"/>
          <w:szCs w:val="24"/>
          <w:lang w:val="en-US"/>
        </w:rPr>
        <w:t>Recommendations</w:t>
      </w:r>
      <w:bookmarkEnd w:id="12"/>
    </w:p>
    <w:p w:rsidR="00C451F7" w:rsidRPr="00E64C35" w:rsidRDefault="00C451F7"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 xml:space="preserve">Though Hinkley is facing numerous complications and cannot be considered a successful venture, it does not mean that this is always the case regarding nuclear power generation. If a similar project is carried on in future, then the first thing government needs to focus on is choosing suitable stakeholders, as in this case both EDF and CGN were owned by foreign governments and in case the relations among them are not amicable, it can </w:t>
      </w:r>
      <w:r w:rsidR="00717943" w:rsidRPr="00E64C35">
        <w:rPr>
          <w:rFonts w:ascii="Times New Roman" w:hAnsi="Times New Roman" w:cs="Times New Roman"/>
          <w:sz w:val="24"/>
          <w:szCs w:val="24"/>
          <w:lang w:val="en-US"/>
        </w:rPr>
        <w:t xml:space="preserve">directly impact the operations </w:t>
      </w:r>
      <w:r w:rsidR="00717943" w:rsidRPr="00E64C35">
        <w:rPr>
          <w:rFonts w:ascii="Times New Roman" w:hAnsi="Times New Roman" w:cs="Times New Roman"/>
          <w:color w:val="222222"/>
          <w:sz w:val="24"/>
          <w:szCs w:val="24"/>
          <w:shd w:val="clear" w:color="auto" w:fill="FFFFFF"/>
        </w:rPr>
        <w:t xml:space="preserve">(Eyl and Mathieu, 2020). </w:t>
      </w:r>
      <w:r w:rsidRPr="00E64C35">
        <w:rPr>
          <w:rFonts w:ascii="Times New Roman" w:hAnsi="Times New Roman" w:cs="Times New Roman"/>
          <w:sz w:val="24"/>
          <w:szCs w:val="24"/>
          <w:lang w:val="en-US"/>
        </w:rPr>
        <w:t xml:space="preserve">There should be a comprehensive cost analysis, and it should be assured that it is kept in control. Strategies should be developed well in advance regarding any possible event that might </w:t>
      </w:r>
      <w:r w:rsidR="000E0601" w:rsidRPr="00E64C35">
        <w:rPr>
          <w:rFonts w:ascii="Times New Roman" w:hAnsi="Times New Roman" w:cs="Times New Roman"/>
          <w:sz w:val="24"/>
          <w:szCs w:val="24"/>
          <w:lang w:val="en-US"/>
        </w:rPr>
        <w:t>lead</w:t>
      </w:r>
      <w:r w:rsidRPr="00E64C35">
        <w:rPr>
          <w:rFonts w:ascii="Times New Roman" w:hAnsi="Times New Roman" w:cs="Times New Roman"/>
          <w:sz w:val="24"/>
          <w:szCs w:val="24"/>
          <w:lang w:val="en-US"/>
        </w:rPr>
        <w:t xml:space="preserve"> to delays. The choice of technology should be done by taking suggestions from the successfully operating nuclear plant, as in the case of HPC, one of the most significant </w:t>
      </w:r>
      <w:r w:rsidR="000E0601" w:rsidRPr="00E64C35">
        <w:rPr>
          <w:rFonts w:ascii="Times New Roman" w:hAnsi="Times New Roman" w:cs="Times New Roman"/>
          <w:sz w:val="24"/>
          <w:szCs w:val="24"/>
          <w:lang w:val="en-US"/>
        </w:rPr>
        <w:t>problems</w:t>
      </w:r>
      <w:r w:rsidRPr="00E64C35">
        <w:rPr>
          <w:rFonts w:ascii="Times New Roman" w:hAnsi="Times New Roman" w:cs="Times New Roman"/>
          <w:sz w:val="24"/>
          <w:szCs w:val="24"/>
          <w:lang w:val="en-US"/>
        </w:rPr>
        <w:t xml:space="preserve"> was the inefficiency of EPR reactors developed by Avera that were being used in the project.</w:t>
      </w:r>
    </w:p>
    <w:p w:rsidR="000E0601" w:rsidRPr="00E64C35" w:rsidRDefault="000E0601" w:rsidP="00E64C35">
      <w:pPr>
        <w:spacing w:line="360" w:lineRule="auto"/>
        <w:jc w:val="both"/>
        <w:rPr>
          <w:rFonts w:ascii="Times New Roman" w:hAnsi="Times New Roman" w:cs="Times New Roman"/>
          <w:b/>
          <w:sz w:val="24"/>
          <w:szCs w:val="24"/>
          <w:lang w:val="en-US"/>
        </w:rPr>
      </w:pPr>
      <w:r w:rsidRPr="00E64C35">
        <w:rPr>
          <w:rFonts w:ascii="Times New Roman" w:hAnsi="Times New Roman" w:cs="Times New Roman"/>
          <w:b/>
          <w:sz w:val="24"/>
          <w:szCs w:val="24"/>
          <w:lang w:val="en-US"/>
        </w:rPr>
        <w:br w:type="page"/>
      </w:r>
    </w:p>
    <w:p w:rsidR="00C451F7" w:rsidRPr="00E64C35" w:rsidRDefault="00C451F7" w:rsidP="00E64C35">
      <w:pPr>
        <w:pStyle w:val="1"/>
      </w:pPr>
      <w:bookmarkStart w:id="13" w:name="_Toc141258700"/>
      <w:r w:rsidRPr="00E64C35">
        <w:lastRenderedPageBreak/>
        <w:t>Conclusion</w:t>
      </w:r>
      <w:bookmarkEnd w:id="13"/>
    </w:p>
    <w:p w:rsidR="00C451F7" w:rsidRPr="00E64C35" w:rsidRDefault="00C451F7" w:rsidP="00E64C35">
      <w:pPr>
        <w:spacing w:line="360" w:lineRule="auto"/>
        <w:jc w:val="both"/>
        <w:rPr>
          <w:rFonts w:ascii="Times New Roman" w:hAnsi="Times New Roman" w:cs="Times New Roman"/>
          <w:sz w:val="24"/>
          <w:szCs w:val="24"/>
          <w:lang w:val="en-US"/>
        </w:rPr>
      </w:pPr>
      <w:r w:rsidRPr="00E64C35">
        <w:rPr>
          <w:rFonts w:ascii="Times New Roman" w:hAnsi="Times New Roman" w:cs="Times New Roman"/>
          <w:sz w:val="24"/>
          <w:szCs w:val="24"/>
          <w:lang w:val="en-US"/>
        </w:rPr>
        <w:t xml:space="preserve">The Hinkley Point C project, an ambitious venture approved by the British government is assumed to be completed by the end of 2027. Despite the project’s positive impact in terms of electricity generation, it cannot be deemed to be successful. This is because if seen minutely, by the time electricity is supplied, the end consumers have to pay far too much, as compared to if other power sources were used. Thus, it is defying the very objective it was set for, that electricity could be made more affordable. </w:t>
      </w:r>
    </w:p>
    <w:p w:rsidR="00C451F7" w:rsidRPr="00E64C35" w:rsidRDefault="00C451F7" w:rsidP="00E64C35">
      <w:pPr>
        <w:spacing w:line="360" w:lineRule="auto"/>
        <w:jc w:val="both"/>
        <w:rPr>
          <w:rFonts w:ascii="Times New Roman" w:eastAsia="Times New Roman" w:hAnsi="Times New Roman" w:cs="Times New Roman"/>
          <w:color w:val="222222"/>
          <w:sz w:val="24"/>
          <w:szCs w:val="24"/>
          <w:lang w:eastAsia="en-IN"/>
        </w:rPr>
      </w:pPr>
      <w:r w:rsidRPr="00E64C35">
        <w:rPr>
          <w:rFonts w:ascii="Times New Roman" w:hAnsi="Times New Roman" w:cs="Times New Roman"/>
          <w:color w:val="222222"/>
          <w:sz w:val="24"/>
          <w:szCs w:val="24"/>
        </w:rPr>
        <w:br w:type="page"/>
      </w:r>
    </w:p>
    <w:p w:rsidR="00482EE1" w:rsidRPr="00E64C35" w:rsidRDefault="00193D59" w:rsidP="00E64C35">
      <w:pPr>
        <w:pStyle w:val="1"/>
      </w:pPr>
      <w:bookmarkStart w:id="14" w:name="_Toc141258701"/>
      <w:r w:rsidRPr="00E64C35">
        <w:lastRenderedPageBreak/>
        <w:t>References</w:t>
      </w:r>
      <w:bookmarkEnd w:id="14"/>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Alvarez-Tinoco, R., Stua, M. and MacKerron, G., (2019). United Kingdom: Pathways towards a low-carbon electricity system–nuclear expansion versus nuclear phase-out. </w:t>
      </w:r>
      <w:r w:rsidRPr="00E64C35">
        <w:rPr>
          <w:rFonts w:ascii="Times New Roman" w:hAnsi="Times New Roman" w:cs="Times New Roman"/>
          <w:i/>
          <w:iCs/>
          <w:color w:val="222222"/>
          <w:sz w:val="24"/>
          <w:szCs w:val="24"/>
          <w:shd w:val="clear" w:color="auto" w:fill="FFFFFF"/>
        </w:rPr>
        <w:t>Narratives of Low-Carbon Transitions</w:t>
      </w:r>
      <w:r w:rsidRPr="00E64C35">
        <w:rPr>
          <w:rFonts w:ascii="Times New Roman" w:hAnsi="Times New Roman" w:cs="Times New Roman"/>
          <w:color w:val="222222"/>
          <w:sz w:val="24"/>
          <w:szCs w:val="24"/>
          <w:shd w:val="clear" w:color="auto" w:fill="FFFFFF"/>
        </w:rPr>
        <w:t xml:space="preserve">, pp.67-88. </w:t>
      </w:r>
    </w:p>
    <w:p w:rsidR="00A569FF"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 xml:space="preserve">Babić, M. and Dixon, A.D., </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2022</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 xml:space="preserve">. Is the China effect real? Ideational Change and the political contestation of </w:t>
      </w:r>
      <w:r w:rsidR="000E0601" w:rsidRPr="00E64C35">
        <w:rPr>
          <w:rFonts w:ascii="Times New Roman" w:hAnsi="Times New Roman" w:cs="Times New Roman"/>
          <w:color w:val="222222"/>
          <w:sz w:val="24"/>
          <w:szCs w:val="24"/>
          <w:shd w:val="clear" w:color="auto" w:fill="FFFFFF"/>
        </w:rPr>
        <w:t>Chinese</w:t>
      </w:r>
      <w:r w:rsidRPr="00E64C35">
        <w:rPr>
          <w:rFonts w:ascii="Times New Roman" w:hAnsi="Times New Roman" w:cs="Times New Roman"/>
          <w:color w:val="222222"/>
          <w:sz w:val="24"/>
          <w:szCs w:val="24"/>
          <w:shd w:val="clear" w:color="auto" w:fill="FFFFFF"/>
        </w:rPr>
        <w:t xml:space="preserve"> state-led investment in Europe. </w:t>
      </w:r>
      <w:r w:rsidRPr="00E64C35">
        <w:rPr>
          <w:rFonts w:ascii="Times New Roman" w:hAnsi="Times New Roman" w:cs="Times New Roman"/>
          <w:i/>
          <w:iCs/>
          <w:color w:val="222222"/>
          <w:sz w:val="24"/>
          <w:szCs w:val="24"/>
          <w:shd w:val="clear" w:color="auto" w:fill="FFFFFF"/>
        </w:rPr>
        <w:t>The Chinese Journal of International Politics</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15</w:t>
      </w:r>
      <w:r w:rsidRPr="00E64C35">
        <w:rPr>
          <w:rFonts w:ascii="Times New Roman" w:hAnsi="Times New Roman" w:cs="Times New Roman"/>
          <w:color w:val="222222"/>
          <w:sz w:val="24"/>
          <w:szCs w:val="24"/>
          <w:shd w:val="clear" w:color="auto" w:fill="FFFFFF"/>
        </w:rPr>
        <w:t>(2), pp.111-139.</w:t>
      </w:r>
      <w:r w:rsidR="005B7CCA" w:rsidRPr="00E64C35">
        <w:rPr>
          <w:rFonts w:ascii="Times New Roman" w:hAnsi="Times New Roman" w:cs="Times New Roman"/>
          <w:color w:val="222222"/>
          <w:sz w:val="24"/>
          <w:szCs w:val="24"/>
          <w:shd w:val="clear" w:color="auto" w:fill="FFFFFF"/>
        </w:rPr>
        <w:t xml:space="preserve"> </w:t>
      </w:r>
    </w:p>
    <w:p w:rsidR="005B7CCA"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 xml:space="preserve">Castor, J., Bacha, K. and Nerini, F.F., </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2020</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 SDGs in action: A novel framework for assessing energy projects against the sustainable development goals. </w:t>
      </w:r>
      <w:r w:rsidRPr="00E64C35">
        <w:rPr>
          <w:rFonts w:ascii="Times New Roman" w:hAnsi="Times New Roman" w:cs="Times New Roman"/>
          <w:i/>
          <w:iCs/>
          <w:color w:val="222222"/>
          <w:sz w:val="24"/>
          <w:szCs w:val="24"/>
          <w:shd w:val="clear" w:color="auto" w:fill="FFFFFF"/>
        </w:rPr>
        <w:t>Energy research &amp; social science</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68</w:t>
      </w:r>
      <w:r w:rsidRPr="00E64C35">
        <w:rPr>
          <w:rFonts w:ascii="Times New Roman" w:hAnsi="Times New Roman" w:cs="Times New Roman"/>
          <w:color w:val="222222"/>
          <w:sz w:val="24"/>
          <w:szCs w:val="24"/>
          <w:shd w:val="clear" w:color="auto" w:fill="FFFFFF"/>
        </w:rPr>
        <w:t>, p.101556.</w:t>
      </w:r>
      <w:r w:rsidR="005B7CCA" w:rsidRPr="00E64C35">
        <w:rPr>
          <w:rFonts w:ascii="Times New Roman" w:hAnsi="Times New Roman" w:cs="Times New Roman"/>
          <w:color w:val="222222"/>
          <w:sz w:val="24"/>
          <w:szCs w:val="24"/>
          <w:shd w:val="clear" w:color="auto" w:fill="FFFFFF"/>
        </w:rPr>
        <w:t xml:space="preserve"> </w:t>
      </w:r>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Cárdenas, B., Ibanez, R., Rouse, J., Swinfen-Styles, L. and Garvey, S., (2023). The effect of a nuclear baseload in a zero-carbon electricity system: An analysis for the UK. </w:t>
      </w:r>
      <w:r w:rsidRPr="00E64C35">
        <w:rPr>
          <w:rFonts w:ascii="Times New Roman" w:hAnsi="Times New Roman" w:cs="Times New Roman"/>
          <w:i/>
          <w:iCs/>
          <w:color w:val="222222"/>
          <w:sz w:val="24"/>
          <w:szCs w:val="24"/>
          <w:shd w:val="clear" w:color="auto" w:fill="FFFFFF"/>
        </w:rPr>
        <w:t>Renewable Energy</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205</w:t>
      </w:r>
      <w:r w:rsidRPr="00E64C35">
        <w:rPr>
          <w:rFonts w:ascii="Times New Roman" w:hAnsi="Times New Roman" w:cs="Times New Roman"/>
          <w:color w:val="222222"/>
          <w:sz w:val="24"/>
          <w:szCs w:val="24"/>
          <w:shd w:val="clear" w:color="auto" w:fill="FFFFFF"/>
        </w:rPr>
        <w:t>, pp.256-272.</w:t>
      </w:r>
    </w:p>
    <w:p w:rsidR="000E0601" w:rsidRPr="00E64C35" w:rsidRDefault="000E0601" w:rsidP="00E64C35">
      <w:pPr>
        <w:spacing w:after="240" w:line="360" w:lineRule="auto"/>
        <w:jc w:val="both"/>
        <w:rPr>
          <w:rFonts w:ascii="Times New Roman" w:eastAsia="Times New Roman" w:hAnsi="Times New Roman" w:cs="Times New Roman"/>
          <w:sz w:val="24"/>
          <w:szCs w:val="24"/>
          <w:lang w:eastAsia="en-IN"/>
        </w:rPr>
      </w:pPr>
      <w:r w:rsidRPr="00E64C35">
        <w:rPr>
          <w:rFonts w:ascii="Times New Roman" w:eastAsia="Times New Roman" w:hAnsi="Times New Roman" w:cs="Times New Roman"/>
          <w:sz w:val="24"/>
          <w:szCs w:val="24"/>
          <w:lang w:eastAsia="en-IN"/>
        </w:rPr>
        <w:t>EDF (2023</w:t>
      </w:r>
      <w:r w:rsidRPr="002116F2">
        <w:rPr>
          <w:rFonts w:ascii="Times New Roman" w:eastAsia="Times New Roman" w:hAnsi="Times New Roman" w:cs="Times New Roman"/>
          <w:sz w:val="24"/>
          <w:szCs w:val="24"/>
          <w:lang w:eastAsia="en-IN"/>
        </w:rPr>
        <w:t xml:space="preserve">.). </w:t>
      </w:r>
      <w:r w:rsidRPr="002116F2">
        <w:rPr>
          <w:rFonts w:ascii="Times New Roman" w:eastAsia="Times New Roman" w:hAnsi="Times New Roman" w:cs="Times New Roman"/>
          <w:i/>
          <w:iCs/>
          <w:sz w:val="24"/>
          <w:szCs w:val="24"/>
          <w:lang w:eastAsia="en-IN"/>
        </w:rPr>
        <w:t>About Hinkley Point C</w:t>
      </w:r>
      <w:r w:rsidRPr="002116F2">
        <w:rPr>
          <w:rFonts w:ascii="Times New Roman" w:eastAsia="Times New Roman" w:hAnsi="Times New Roman" w:cs="Times New Roman"/>
          <w:sz w:val="24"/>
          <w:szCs w:val="24"/>
          <w:lang w:eastAsia="en-IN"/>
        </w:rPr>
        <w:t xml:space="preserve">. [online] Available at: https://www.edfenergy.com/energy/nuclear-new-build-projects/hinkley-point-c/ </w:t>
      </w:r>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Eyl-Mazzega, M.A. and Mathieu, C., 2020. The European Union and the energy transition. </w:t>
      </w:r>
      <w:r w:rsidRPr="00E64C35">
        <w:rPr>
          <w:rFonts w:ascii="Times New Roman" w:hAnsi="Times New Roman" w:cs="Times New Roman"/>
          <w:i/>
          <w:iCs/>
          <w:color w:val="222222"/>
          <w:sz w:val="24"/>
          <w:szCs w:val="24"/>
          <w:shd w:val="clear" w:color="auto" w:fill="FFFFFF"/>
        </w:rPr>
        <w:t>The geopolitics of the global energy transition</w:t>
      </w:r>
      <w:r w:rsidRPr="00E64C35">
        <w:rPr>
          <w:rFonts w:ascii="Times New Roman" w:hAnsi="Times New Roman" w:cs="Times New Roman"/>
          <w:color w:val="222222"/>
          <w:sz w:val="24"/>
          <w:szCs w:val="24"/>
          <w:shd w:val="clear" w:color="auto" w:fill="FFFFFF"/>
        </w:rPr>
        <w:t xml:space="preserve">, pp.27-46. </w:t>
      </w:r>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Glasson, J., Durning, B., Broderick, M. and Welch, K., (2021). Monitoring and auditing the local socio-economic and environmental impacts of the early stage construction of Hinkley Point C Nuclear Power Station, UK. </w:t>
      </w:r>
      <w:r w:rsidRPr="00E64C35">
        <w:rPr>
          <w:rFonts w:ascii="Times New Roman" w:hAnsi="Times New Roman" w:cs="Times New Roman"/>
          <w:i/>
          <w:iCs/>
          <w:color w:val="222222"/>
          <w:sz w:val="24"/>
          <w:szCs w:val="24"/>
          <w:shd w:val="clear" w:color="auto" w:fill="FFFFFF"/>
        </w:rPr>
        <w:t>Impact Assessment and Project Appraisal</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39</w:t>
      </w:r>
      <w:r w:rsidRPr="00E64C35">
        <w:rPr>
          <w:rFonts w:ascii="Times New Roman" w:hAnsi="Times New Roman" w:cs="Times New Roman"/>
          <w:color w:val="222222"/>
          <w:sz w:val="24"/>
          <w:szCs w:val="24"/>
          <w:shd w:val="clear" w:color="auto" w:fill="FFFFFF"/>
        </w:rPr>
        <w:t xml:space="preserve">(2), pp.84-95. </w:t>
      </w:r>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Newbery, D., (2021). The cost of finance and the cost of carbon: a case study of Britain’s only PWR. </w:t>
      </w:r>
      <w:r w:rsidRPr="00E64C35">
        <w:rPr>
          <w:rFonts w:ascii="Times New Roman" w:hAnsi="Times New Roman" w:cs="Times New Roman"/>
          <w:i/>
          <w:iCs/>
          <w:color w:val="222222"/>
          <w:sz w:val="24"/>
          <w:szCs w:val="24"/>
          <w:shd w:val="clear" w:color="auto" w:fill="FFFFFF"/>
        </w:rPr>
        <w:t>Economics of Energy &amp; Environmental Policy</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10</w:t>
      </w:r>
      <w:r w:rsidRPr="00E64C35">
        <w:rPr>
          <w:rFonts w:ascii="Times New Roman" w:hAnsi="Times New Roman" w:cs="Times New Roman"/>
          <w:color w:val="222222"/>
          <w:sz w:val="24"/>
          <w:szCs w:val="24"/>
          <w:shd w:val="clear" w:color="auto" w:fill="FFFFFF"/>
        </w:rPr>
        <w:t xml:space="preserve">(2), pp.229-249. </w:t>
      </w:r>
    </w:p>
    <w:p w:rsidR="00A569FF"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 xml:space="preserve">Resch, G. and Suna, D., </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2019</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 Renewable Energies versus Nuclear Power. </w:t>
      </w:r>
      <w:r w:rsidRPr="00E64C35">
        <w:rPr>
          <w:rFonts w:ascii="Times New Roman" w:hAnsi="Times New Roman" w:cs="Times New Roman"/>
          <w:i/>
          <w:iCs/>
          <w:color w:val="222222"/>
          <w:sz w:val="24"/>
          <w:szCs w:val="24"/>
          <w:shd w:val="clear" w:color="auto" w:fill="FFFFFF"/>
        </w:rPr>
        <w:t>The Technological and Economic Future of Nuclear Power</w:t>
      </w:r>
      <w:r w:rsidRPr="00E64C35">
        <w:rPr>
          <w:rFonts w:ascii="Times New Roman" w:hAnsi="Times New Roman" w:cs="Times New Roman"/>
          <w:color w:val="222222"/>
          <w:sz w:val="24"/>
          <w:szCs w:val="24"/>
          <w:shd w:val="clear" w:color="auto" w:fill="FFFFFF"/>
        </w:rPr>
        <w:t>, p.117.</w:t>
      </w:r>
      <w:r w:rsidR="005B7CCA" w:rsidRPr="00E64C35">
        <w:rPr>
          <w:rFonts w:ascii="Times New Roman" w:hAnsi="Times New Roman" w:cs="Times New Roman"/>
          <w:color w:val="222222"/>
          <w:sz w:val="24"/>
          <w:szCs w:val="24"/>
          <w:shd w:val="clear" w:color="auto" w:fill="FFFFFF"/>
        </w:rPr>
        <w:t xml:space="preserve"> </w:t>
      </w:r>
    </w:p>
    <w:p w:rsidR="00A569FF"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 xml:space="preserve">Saunders, F.C. and Townsend, E.A., </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2019</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 Delivering new nuclear projects: a megaprojects perspective. </w:t>
      </w:r>
      <w:r w:rsidRPr="00E64C35">
        <w:rPr>
          <w:rFonts w:ascii="Times New Roman" w:hAnsi="Times New Roman" w:cs="Times New Roman"/>
          <w:i/>
          <w:iCs/>
          <w:color w:val="222222"/>
          <w:sz w:val="24"/>
          <w:szCs w:val="24"/>
          <w:shd w:val="clear" w:color="auto" w:fill="FFFFFF"/>
        </w:rPr>
        <w:t>International Journal of Managing Projects in Business</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12</w:t>
      </w:r>
      <w:r w:rsidRPr="00E64C35">
        <w:rPr>
          <w:rFonts w:ascii="Times New Roman" w:hAnsi="Times New Roman" w:cs="Times New Roman"/>
          <w:color w:val="222222"/>
          <w:sz w:val="24"/>
          <w:szCs w:val="24"/>
          <w:shd w:val="clear" w:color="auto" w:fill="FFFFFF"/>
        </w:rPr>
        <w:t>(1), pp.144-160.</w:t>
      </w:r>
      <w:r w:rsidR="005B7CCA" w:rsidRPr="00E64C35">
        <w:rPr>
          <w:rFonts w:ascii="Times New Roman" w:hAnsi="Times New Roman" w:cs="Times New Roman"/>
          <w:color w:val="222222"/>
          <w:sz w:val="24"/>
          <w:szCs w:val="24"/>
          <w:shd w:val="clear" w:color="auto" w:fill="FFFFFF"/>
        </w:rPr>
        <w:t xml:space="preserve"> </w:t>
      </w:r>
    </w:p>
    <w:p w:rsidR="002F6543" w:rsidRPr="00E64C35" w:rsidRDefault="00717943" w:rsidP="00E64C35">
      <w:pPr>
        <w:spacing w:after="240" w:line="360" w:lineRule="auto"/>
        <w:jc w:val="both"/>
        <w:rPr>
          <w:rFonts w:ascii="Times New Roman" w:eastAsia="Times New Roman" w:hAnsi="Times New Roman" w:cs="Times New Roman"/>
          <w:sz w:val="24"/>
          <w:szCs w:val="24"/>
          <w:lang w:eastAsia="en-IN"/>
        </w:rPr>
      </w:pPr>
      <w:r w:rsidRPr="00E64C35">
        <w:rPr>
          <w:rFonts w:ascii="Times New Roman" w:eastAsia="Times New Roman" w:hAnsi="Times New Roman" w:cs="Times New Roman"/>
          <w:sz w:val="24"/>
          <w:szCs w:val="24"/>
          <w:lang w:eastAsia="en-IN"/>
        </w:rPr>
        <w:lastRenderedPageBreak/>
        <w:t>Statista. (2022</w:t>
      </w:r>
      <w:r w:rsidR="002F6543" w:rsidRPr="002F6543">
        <w:rPr>
          <w:rFonts w:ascii="Times New Roman" w:eastAsia="Times New Roman" w:hAnsi="Times New Roman" w:cs="Times New Roman"/>
          <w:sz w:val="24"/>
          <w:szCs w:val="24"/>
          <w:lang w:eastAsia="en-IN"/>
        </w:rPr>
        <w:t xml:space="preserve">). </w:t>
      </w:r>
      <w:r w:rsidR="002F6543" w:rsidRPr="002F6543">
        <w:rPr>
          <w:rFonts w:ascii="Times New Roman" w:eastAsia="Times New Roman" w:hAnsi="Times New Roman" w:cs="Times New Roman"/>
          <w:i/>
          <w:iCs/>
          <w:sz w:val="24"/>
          <w:szCs w:val="24"/>
          <w:lang w:eastAsia="en-IN"/>
        </w:rPr>
        <w:t>Construction sector: biggest projects awarded by value</w:t>
      </w:r>
      <w:r w:rsidR="002F6543" w:rsidRPr="002F6543">
        <w:rPr>
          <w:rFonts w:ascii="Times New Roman" w:eastAsia="Times New Roman" w:hAnsi="Times New Roman" w:cs="Times New Roman"/>
          <w:sz w:val="24"/>
          <w:szCs w:val="24"/>
          <w:lang w:eastAsia="en-IN"/>
        </w:rPr>
        <w:t xml:space="preserve">. [online] Available at: </w:t>
      </w:r>
      <w:r w:rsidR="000E0601" w:rsidRPr="00E64C35">
        <w:rPr>
          <w:rFonts w:ascii="Times New Roman" w:eastAsia="Times New Roman" w:hAnsi="Times New Roman" w:cs="Times New Roman"/>
          <w:sz w:val="24"/>
          <w:szCs w:val="24"/>
          <w:lang w:eastAsia="en-IN"/>
        </w:rPr>
        <w:t>https://www.statista.com/statistics/820311/construction-sector-biggest-projects-by-value-february-uk/</w:t>
      </w:r>
      <w:r w:rsidR="002F6543" w:rsidRPr="002F6543">
        <w:rPr>
          <w:rFonts w:ascii="Times New Roman" w:eastAsia="Times New Roman" w:hAnsi="Times New Roman" w:cs="Times New Roman"/>
          <w:sz w:val="24"/>
          <w:szCs w:val="24"/>
          <w:lang w:eastAsia="en-IN"/>
        </w:rPr>
        <w:t>.</w:t>
      </w:r>
    </w:p>
    <w:p w:rsidR="000E0601" w:rsidRPr="00E64C35" w:rsidRDefault="000E0601"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Sovacool, B.K., Iskandarova, M. and Geels, F.W., (2023). “Bigger than government”: Exploring the social construction and contestation of net-zero industrial megaprojects in England. </w:t>
      </w:r>
      <w:r w:rsidRPr="00E64C35">
        <w:rPr>
          <w:rFonts w:ascii="Times New Roman" w:hAnsi="Times New Roman" w:cs="Times New Roman"/>
          <w:i/>
          <w:iCs/>
          <w:color w:val="222222"/>
          <w:sz w:val="24"/>
          <w:szCs w:val="24"/>
          <w:shd w:val="clear" w:color="auto" w:fill="FFFFFF"/>
        </w:rPr>
        <w:t>Technological Forecasting and Social Change</w:t>
      </w:r>
      <w:r w:rsidRPr="00E64C35">
        <w:rPr>
          <w:rFonts w:ascii="Times New Roman" w:hAnsi="Times New Roman" w:cs="Times New Roman"/>
          <w:color w:val="222222"/>
          <w:sz w:val="24"/>
          <w:szCs w:val="24"/>
          <w:shd w:val="clear" w:color="auto" w:fill="FFFFFF"/>
        </w:rPr>
        <w:t>, </w:t>
      </w:r>
      <w:r w:rsidRPr="00E64C35">
        <w:rPr>
          <w:rFonts w:ascii="Times New Roman" w:hAnsi="Times New Roman" w:cs="Times New Roman"/>
          <w:i/>
          <w:iCs/>
          <w:color w:val="222222"/>
          <w:sz w:val="24"/>
          <w:szCs w:val="24"/>
          <w:shd w:val="clear" w:color="auto" w:fill="FFFFFF"/>
        </w:rPr>
        <w:t>188</w:t>
      </w:r>
      <w:r w:rsidRPr="00E64C35">
        <w:rPr>
          <w:rFonts w:ascii="Times New Roman" w:hAnsi="Times New Roman" w:cs="Times New Roman"/>
          <w:color w:val="222222"/>
          <w:sz w:val="24"/>
          <w:szCs w:val="24"/>
          <w:shd w:val="clear" w:color="auto" w:fill="FFFFFF"/>
        </w:rPr>
        <w:t xml:space="preserve">, p.122332. </w:t>
      </w:r>
    </w:p>
    <w:p w:rsidR="00A569FF"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color w:val="222222"/>
          <w:sz w:val="24"/>
          <w:szCs w:val="24"/>
          <w:shd w:val="clear" w:color="auto" w:fill="FFFFFF"/>
        </w:rPr>
        <w:t xml:space="preserve">Wu, J.Y.M., </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2021</w:t>
      </w:r>
      <w:r w:rsidR="000E0601" w:rsidRPr="00E64C35">
        <w:rPr>
          <w:rFonts w:ascii="Times New Roman" w:hAnsi="Times New Roman" w:cs="Times New Roman"/>
          <w:color w:val="222222"/>
          <w:sz w:val="24"/>
          <w:szCs w:val="24"/>
          <w:shd w:val="clear" w:color="auto" w:fill="FFFFFF"/>
        </w:rPr>
        <w:t>)</w:t>
      </w:r>
      <w:r w:rsidRPr="00E64C35">
        <w:rPr>
          <w:rFonts w:ascii="Times New Roman" w:hAnsi="Times New Roman" w:cs="Times New Roman"/>
          <w:color w:val="222222"/>
          <w:sz w:val="24"/>
          <w:szCs w:val="24"/>
          <w:shd w:val="clear" w:color="auto" w:fill="FFFFFF"/>
        </w:rPr>
        <w:t>. The dynamics of China’s trade ties after a Brexit announcement, UK and EU. </w:t>
      </w:r>
      <w:r w:rsidRPr="00E64C35">
        <w:rPr>
          <w:rFonts w:ascii="Times New Roman" w:hAnsi="Times New Roman" w:cs="Times New Roman"/>
          <w:i/>
          <w:iCs/>
          <w:color w:val="222222"/>
          <w:sz w:val="24"/>
          <w:szCs w:val="24"/>
          <w:shd w:val="clear" w:color="auto" w:fill="FFFFFF"/>
        </w:rPr>
        <w:t>Brexit and After Perspectives on European Crises and Reconstruction from Asia and Europe</w:t>
      </w:r>
      <w:r w:rsidRPr="00E64C35">
        <w:rPr>
          <w:rFonts w:ascii="Times New Roman" w:hAnsi="Times New Roman" w:cs="Times New Roman"/>
          <w:color w:val="222222"/>
          <w:sz w:val="24"/>
          <w:szCs w:val="24"/>
          <w:shd w:val="clear" w:color="auto" w:fill="FFFFFF"/>
        </w:rPr>
        <w:t>, pp.181-187.</w:t>
      </w:r>
    </w:p>
    <w:p w:rsidR="00A569FF" w:rsidRPr="00E64C35" w:rsidRDefault="00A569FF" w:rsidP="00E64C35">
      <w:pPr>
        <w:spacing w:line="360" w:lineRule="auto"/>
        <w:jc w:val="both"/>
        <w:rPr>
          <w:rFonts w:ascii="Times New Roman" w:hAnsi="Times New Roman" w:cs="Times New Roman"/>
          <w:color w:val="222222"/>
          <w:sz w:val="24"/>
          <w:szCs w:val="24"/>
          <w:shd w:val="clear" w:color="auto" w:fill="FFFFFF"/>
        </w:rPr>
      </w:pPr>
      <w:r w:rsidRPr="00E64C35">
        <w:rPr>
          <w:rFonts w:ascii="Times New Roman" w:hAnsi="Times New Roman" w:cs="Times New Roman"/>
          <w:sz w:val="24"/>
          <w:szCs w:val="24"/>
        </w:rPr>
        <w:br w:type="page"/>
      </w:r>
      <w:r w:rsidRPr="00E64C35">
        <w:rPr>
          <w:rFonts w:ascii="Times New Roman" w:hAnsi="Times New Roman" w:cs="Times New Roman"/>
          <w:color w:val="222222"/>
          <w:sz w:val="24"/>
          <w:szCs w:val="24"/>
          <w:shd w:val="clear" w:color="auto" w:fill="FFFFFF"/>
        </w:rPr>
        <w:lastRenderedPageBreak/>
        <w:br w:type="page"/>
      </w:r>
    </w:p>
    <w:p w:rsidR="00A569FF" w:rsidRPr="00E64C35" w:rsidRDefault="00A569FF" w:rsidP="00E64C35">
      <w:pPr>
        <w:spacing w:line="360" w:lineRule="auto"/>
        <w:jc w:val="both"/>
        <w:rPr>
          <w:rFonts w:ascii="Times New Roman" w:hAnsi="Times New Roman" w:cs="Times New Roman"/>
          <w:sz w:val="24"/>
          <w:szCs w:val="24"/>
        </w:rPr>
      </w:pPr>
    </w:p>
    <w:sectPr w:rsidR="00A569FF" w:rsidRPr="00E64C3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3046" w:rsidRDefault="00F13046" w:rsidP="000E0601">
      <w:pPr>
        <w:spacing w:after="0" w:line="240" w:lineRule="auto"/>
      </w:pPr>
      <w:r>
        <w:separator/>
      </w:r>
    </w:p>
  </w:endnote>
  <w:endnote w:type="continuationSeparator" w:id="0">
    <w:p w:rsidR="00F13046" w:rsidRDefault="00F13046" w:rsidP="000E0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0987755"/>
      <w:docPartObj>
        <w:docPartGallery w:val="Page Numbers (Bottom of Page)"/>
        <w:docPartUnique/>
      </w:docPartObj>
    </w:sdtPr>
    <w:sdtEndPr>
      <w:rPr>
        <w:noProof/>
      </w:rPr>
    </w:sdtEndPr>
    <w:sdtContent>
      <w:p w:rsidR="000E0601" w:rsidRDefault="000E0601">
        <w:pPr>
          <w:pStyle w:val="a7"/>
          <w:jc w:val="center"/>
        </w:pPr>
        <w:r>
          <w:fldChar w:fldCharType="begin"/>
        </w:r>
        <w:r>
          <w:instrText xml:space="preserve"> PAGE   \* MERGEFORMAT </w:instrText>
        </w:r>
        <w:r>
          <w:fldChar w:fldCharType="separate"/>
        </w:r>
        <w:r w:rsidR="00696846">
          <w:rPr>
            <w:noProof/>
          </w:rPr>
          <w:t>15</w:t>
        </w:r>
        <w:r>
          <w:rPr>
            <w:noProof/>
          </w:rPr>
          <w:fldChar w:fldCharType="end"/>
        </w:r>
      </w:p>
    </w:sdtContent>
  </w:sdt>
  <w:p w:rsidR="000E0601" w:rsidRDefault="000E0601">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3046" w:rsidRDefault="00F13046" w:rsidP="000E0601">
      <w:pPr>
        <w:spacing w:after="0" w:line="240" w:lineRule="auto"/>
      </w:pPr>
      <w:r>
        <w:separator/>
      </w:r>
    </w:p>
  </w:footnote>
  <w:footnote w:type="continuationSeparator" w:id="0">
    <w:p w:rsidR="00F13046" w:rsidRDefault="00F13046" w:rsidP="000E06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51F7"/>
    <w:rsid w:val="00040131"/>
    <w:rsid w:val="000D57D9"/>
    <w:rsid w:val="000E0601"/>
    <w:rsid w:val="00193D59"/>
    <w:rsid w:val="001A4819"/>
    <w:rsid w:val="002139A3"/>
    <w:rsid w:val="002F6543"/>
    <w:rsid w:val="00482EE1"/>
    <w:rsid w:val="005B7CCA"/>
    <w:rsid w:val="00605B01"/>
    <w:rsid w:val="00696846"/>
    <w:rsid w:val="00717943"/>
    <w:rsid w:val="007249AF"/>
    <w:rsid w:val="008B081B"/>
    <w:rsid w:val="009A5839"/>
    <w:rsid w:val="00A569FF"/>
    <w:rsid w:val="00A906E5"/>
    <w:rsid w:val="00B015DD"/>
    <w:rsid w:val="00B61036"/>
    <w:rsid w:val="00C451F7"/>
    <w:rsid w:val="00D331B2"/>
    <w:rsid w:val="00E64C35"/>
    <w:rsid w:val="00F13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1570D"/>
  <w15:chartTrackingRefBased/>
  <w15:docId w15:val="{96E07FEB-2C5D-4A4B-BD81-520C801BE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451F7"/>
  </w:style>
  <w:style w:type="paragraph" w:styleId="1">
    <w:name w:val="heading 1"/>
    <w:basedOn w:val="a"/>
    <w:next w:val="a"/>
    <w:link w:val="10"/>
    <w:qFormat/>
    <w:rsid w:val="001A4819"/>
    <w:pPr>
      <w:keepNext/>
      <w:keepLines/>
      <w:spacing w:before="340" w:after="330" w:line="578" w:lineRule="auto"/>
      <w:jc w:val="both"/>
      <w:outlineLvl w:val="0"/>
    </w:pPr>
    <w:rPr>
      <w:rFonts w:ascii="Times New Roman" w:eastAsia="Times New Roman" w:hAnsi="Times New Roman"/>
      <w:b/>
      <w:bCs/>
      <w:kern w:val="44"/>
      <w:sz w:val="28"/>
      <w:szCs w:val="44"/>
    </w:rPr>
  </w:style>
  <w:style w:type="paragraph" w:styleId="2">
    <w:name w:val="heading 2"/>
    <w:basedOn w:val="a"/>
    <w:next w:val="a"/>
    <w:link w:val="20"/>
    <w:uiPriority w:val="9"/>
    <w:unhideWhenUsed/>
    <w:qFormat/>
    <w:rsid w:val="001A4819"/>
    <w:pPr>
      <w:keepNext/>
      <w:keepLines/>
      <w:spacing w:before="40" w:after="0"/>
      <w:jc w:val="both"/>
      <w:outlineLvl w:val="1"/>
    </w:pPr>
    <w:rPr>
      <w:rFonts w:ascii="Times New Roman" w:eastAsiaTheme="majorEastAsia" w:hAnsi="Times New Roman" w:cstheme="majorBidi"/>
      <w:b/>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rsid w:val="001A4819"/>
    <w:rPr>
      <w:rFonts w:ascii="Times New Roman" w:eastAsia="Times New Roman" w:hAnsi="Times New Roman"/>
      <w:b/>
      <w:bCs/>
      <w:kern w:val="44"/>
      <w:sz w:val="28"/>
      <w:szCs w:val="44"/>
    </w:rPr>
  </w:style>
  <w:style w:type="paragraph" w:styleId="a3">
    <w:name w:val="Normal (Web)"/>
    <w:basedOn w:val="a"/>
    <w:uiPriority w:val="99"/>
    <w:unhideWhenUsed/>
    <w:rsid w:val="00C451F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20">
    <w:name w:val="Заголовок 2 Знак"/>
    <w:basedOn w:val="a0"/>
    <w:link w:val="2"/>
    <w:uiPriority w:val="9"/>
    <w:rsid w:val="001A4819"/>
    <w:rPr>
      <w:rFonts w:ascii="Times New Roman" w:eastAsiaTheme="majorEastAsia" w:hAnsi="Times New Roman" w:cstheme="majorBidi"/>
      <w:b/>
      <w:sz w:val="26"/>
      <w:szCs w:val="26"/>
    </w:rPr>
  </w:style>
  <w:style w:type="character" w:styleId="a4">
    <w:name w:val="Hyperlink"/>
    <w:basedOn w:val="a0"/>
    <w:uiPriority w:val="99"/>
    <w:unhideWhenUsed/>
    <w:rsid w:val="000E0601"/>
    <w:rPr>
      <w:color w:val="0563C1" w:themeColor="hyperlink"/>
      <w:u w:val="single"/>
    </w:rPr>
  </w:style>
  <w:style w:type="paragraph" w:styleId="a5">
    <w:name w:val="header"/>
    <w:basedOn w:val="a"/>
    <w:link w:val="a6"/>
    <w:uiPriority w:val="99"/>
    <w:unhideWhenUsed/>
    <w:rsid w:val="000E0601"/>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0E0601"/>
  </w:style>
  <w:style w:type="paragraph" w:styleId="a7">
    <w:name w:val="footer"/>
    <w:basedOn w:val="a"/>
    <w:link w:val="a8"/>
    <w:uiPriority w:val="99"/>
    <w:unhideWhenUsed/>
    <w:rsid w:val="000E0601"/>
    <w:pPr>
      <w:tabs>
        <w:tab w:val="center" w:pos="4513"/>
        <w:tab w:val="right" w:pos="9026"/>
      </w:tabs>
      <w:spacing w:after="0" w:line="240" w:lineRule="auto"/>
    </w:pPr>
  </w:style>
  <w:style w:type="character" w:customStyle="1" w:styleId="a8">
    <w:name w:val="Нижний колонтитул Знак"/>
    <w:basedOn w:val="a0"/>
    <w:link w:val="a7"/>
    <w:uiPriority w:val="99"/>
    <w:rsid w:val="000E0601"/>
  </w:style>
  <w:style w:type="paragraph" w:styleId="a9">
    <w:name w:val="TOC Heading"/>
    <w:basedOn w:val="1"/>
    <w:next w:val="a"/>
    <w:uiPriority w:val="39"/>
    <w:unhideWhenUsed/>
    <w:qFormat/>
    <w:rsid w:val="000E0601"/>
    <w:pPr>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11">
    <w:name w:val="toc 1"/>
    <w:basedOn w:val="a"/>
    <w:next w:val="a"/>
    <w:autoRedefine/>
    <w:uiPriority w:val="39"/>
    <w:unhideWhenUsed/>
    <w:rsid w:val="000E0601"/>
    <w:pPr>
      <w:spacing w:after="100"/>
    </w:pPr>
  </w:style>
  <w:style w:type="paragraph" w:styleId="21">
    <w:name w:val="toc 2"/>
    <w:basedOn w:val="a"/>
    <w:next w:val="a"/>
    <w:autoRedefine/>
    <w:uiPriority w:val="39"/>
    <w:unhideWhenUsed/>
    <w:rsid w:val="000E060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7658371">
      <w:bodyDiv w:val="1"/>
      <w:marLeft w:val="0"/>
      <w:marRight w:val="0"/>
      <w:marTop w:val="0"/>
      <w:marBottom w:val="0"/>
      <w:divBdr>
        <w:top w:val="none" w:sz="0" w:space="0" w:color="auto"/>
        <w:left w:val="none" w:sz="0" w:space="0" w:color="auto"/>
        <w:bottom w:val="none" w:sz="0" w:space="0" w:color="auto"/>
        <w:right w:val="none" w:sz="0" w:space="0" w:color="auto"/>
      </w:divBdr>
      <w:divsChild>
        <w:div w:id="14225336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8B88D-8673-4058-A52F-B6D6AB256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3088</Words>
  <Characters>17604</Characters>
  <Application>Microsoft Office Word</Application>
  <DocSecurity>0</DocSecurity>
  <Lines>146</Lines>
  <Paragraphs>41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bibliotecar</cp:lastModifiedBy>
  <cp:revision>10</cp:revision>
  <dcterms:created xsi:type="dcterms:W3CDTF">2023-07-26T04:44:00Z</dcterms:created>
  <dcterms:modified xsi:type="dcterms:W3CDTF">2023-08-04T07:11:00Z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ec67a114c86e13ead1d14396d96411348e41157651a43e7859ce1f187248c4b0</vt:lpwstr>
  </property>
</Properties>
</file>