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DDE87" w14:textId="58C9B3CD" w:rsidR="00C038A7" w:rsidRDefault="00A81DE9" w:rsidP="00C038A7">
      <w:pPr>
        <w:spacing w:before="12"/>
        <w:jc w:val="both"/>
        <w:rPr>
          <w:rFonts w:ascii="Arial" w:hAnsi="Arial" w:cs="Arial"/>
          <w:b/>
        </w:rPr>
      </w:pPr>
      <w:r>
        <w:rPr>
          <w:rFonts w:ascii="Arial" w:hAnsi="Arial" w:cs="Arial"/>
          <w:b/>
        </w:rPr>
        <w:t>Answer 2</w:t>
      </w:r>
      <w:r w:rsidR="00C22276">
        <w:rPr>
          <w:rFonts w:ascii="Arial" w:hAnsi="Arial" w:cs="Arial"/>
          <w:b/>
        </w:rPr>
        <w:t>5</w:t>
      </w:r>
      <w:r w:rsidR="00C038A7">
        <w:rPr>
          <w:rFonts w:ascii="Arial" w:hAnsi="Arial" w:cs="Arial"/>
          <w:b/>
        </w:rPr>
        <w:t xml:space="preserve"> </w:t>
      </w:r>
      <w:r w:rsidR="00D324E2">
        <w:rPr>
          <w:rFonts w:ascii="Arial" w:hAnsi="Arial" w:cs="Arial"/>
          <w:b/>
        </w:rPr>
        <w:t>–</w:t>
      </w:r>
      <w:r w:rsidR="00C038A7">
        <w:rPr>
          <w:rFonts w:ascii="Arial" w:hAnsi="Arial" w:cs="Arial"/>
          <w:b/>
        </w:rPr>
        <w:t xml:space="preserve"> </w:t>
      </w:r>
      <w:r w:rsidR="00C22276">
        <w:rPr>
          <w:rFonts w:ascii="Arial" w:hAnsi="Arial" w:cs="Arial"/>
          <w:b/>
        </w:rPr>
        <w:t>Working capital, Cash forecasts</w:t>
      </w:r>
    </w:p>
    <w:p w14:paraId="1A0E87A2" w14:textId="77777777" w:rsidR="00C22276" w:rsidRPr="00916482" w:rsidRDefault="00C22276" w:rsidP="00C22276">
      <w:pPr>
        <w:spacing w:after="120" w:line="240" w:lineRule="auto"/>
        <w:ind w:left="-284"/>
        <w:jc w:val="both"/>
        <w:rPr>
          <w:rFonts w:cs="Arial"/>
          <w:b/>
        </w:rPr>
      </w:pPr>
      <w:r w:rsidRPr="00916482">
        <w:rPr>
          <w:rFonts w:cs="Arial"/>
          <w:b/>
        </w:rPr>
        <w:t xml:space="preserve"> (a)  Analysis of Working Capital</w:t>
      </w:r>
    </w:p>
    <w:p w14:paraId="3A761A3C" w14:textId="77777777" w:rsidR="00C22276" w:rsidRPr="00DC79BB" w:rsidRDefault="00C22276" w:rsidP="00C22276">
      <w:pPr>
        <w:jc w:val="both"/>
        <w:rPr>
          <w:rFonts w:cs="Arial"/>
        </w:rPr>
      </w:pPr>
      <w:r w:rsidRPr="00DC79BB">
        <w:rPr>
          <w:rFonts w:cs="Arial"/>
        </w:rPr>
        <w:t xml:space="preserve">The expansion of operations has resulted in more than a 50% increase in Sales; however, this has been at the expense of Gross Profit margin which has reduced from 27.5% to 21.9%.  This is a significant decrease in the period; however, it is likely that this is because of a strategic decision to sell a lower margin product as costs would not be expected to increase that dramatically in a 6-month period.  Alternatively, it could be the result of a strategic decision to sell the new product at a discount to boost the volume of sales. </w:t>
      </w:r>
    </w:p>
    <w:p w14:paraId="5FD9351B" w14:textId="77777777" w:rsidR="00C22276" w:rsidRPr="00DC79BB" w:rsidRDefault="00C22276" w:rsidP="00C22276">
      <w:pPr>
        <w:jc w:val="both"/>
        <w:rPr>
          <w:rFonts w:cs="Arial"/>
        </w:rPr>
      </w:pPr>
      <w:r w:rsidRPr="00DC79BB">
        <w:rPr>
          <w:rFonts w:cs="Arial"/>
        </w:rPr>
        <w:t xml:space="preserve">There has been a significant increase in Stock, increasing from 58 days to 92 days.  This is not surprising in a period of expansion and it is most likely needed to meet the increased demand.  More concerning is the position on Creditors and Debtors, as it appears that Alpha is overtrading with an increase in Debtor days from 72 to 101 days in the last six months.  It could be because of more favourable credit terms being offered to new customers, however since Debtor days have increased beyond Creditor days the result will be increased pressure on the company’s liquidity.  It could be the case that the credit control department has struggled to cope with the increased level of activity and could be addressed simply by dedicating additional resources to credit control. </w:t>
      </w:r>
    </w:p>
    <w:p w14:paraId="2AD72753" w14:textId="77777777" w:rsidR="00C22276" w:rsidRPr="00DC79BB" w:rsidRDefault="00C22276" w:rsidP="00C22276">
      <w:pPr>
        <w:jc w:val="both"/>
        <w:rPr>
          <w:rFonts w:cs="Arial"/>
        </w:rPr>
      </w:pPr>
      <w:r w:rsidRPr="00DC79BB">
        <w:rPr>
          <w:rFonts w:cs="Arial"/>
        </w:rPr>
        <w:t>The current ratio has fallen from 2.4 to 2.0.  However, the quick ratio is more of a concern as it has decreased from 1.6 to 1.2 and this together with the entity having moved from a positive cash position to having short term borrowings, makes it clear that the expansion has caused problems with the management of working capital.  The company should ensure that an overdraft facility is in place until procedures can be imposed to improve the management of working capital.</w:t>
      </w:r>
    </w:p>
    <w:p w14:paraId="1B0C5ED1" w14:textId="77777777" w:rsidR="00C22276" w:rsidRPr="001A2D49" w:rsidRDefault="00C22276" w:rsidP="00C22276">
      <w:pPr>
        <w:spacing w:after="120" w:line="240" w:lineRule="auto"/>
        <w:ind w:left="-284"/>
        <w:jc w:val="both"/>
        <w:rPr>
          <w:rFonts w:cs="Arial"/>
          <w:b/>
        </w:rPr>
      </w:pPr>
      <w:r w:rsidRPr="001A2D49">
        <w:rPr>
          <w:rFonts w:cs="Arial"/>
          <w:b/>
        </w:rPr>
        <w:t>(b)  Cash flow forecast</w:t>
      </w:r>
    </w:p>
    <w:p w14:paraId="449E2C3A" w14:textId="77777777" w:rsidR="00C22276" w:rsidRDefault="00C22276" w:rsidP="00C22276">
      <w:pPr>
        <w:autoSpaceDE w:val="0"/>
        <w:autoSpaceDN w:val="0"/>
        <w:adjustRightInd w:val="0"/>
        <w:spacing w:after="0" w:line="360" w:lineRule="auto"/>
        <w:jc w:val="both"/>
        <w:rPr>
          <w:rFonts w:ascii="Arial" w:hAnsi="Arial" w:cs="Arial"/>
          <w:color w:val="0D0D0D" w:themeColor="text1" w:themeTint="F2"/>
          <w:sz w:val="18"/>
          <w:szCs w:val="18"/>
        </w:rPr>
      </w:pPr>
      <w:r w:rsidRPr="00DB0314">
        <w:rPr>
          <w:rFonts w:ascii="Arial" w:hAnsi="Arial" w:cs="Arial"/>
          <w:color w:val="0D0D0D" w:themeColor="text1" w:themeTint="F2"/>
          <w:sz w:val="18"/>
          <w:szCs w:val="18"/>
        </w:rPr>
        <w:t>(</w:t>
      </w:r>
      <w:r>
        <w:rPr>
          <w:rFonts w:ascii="Arial" w:hAnsi="Arial" w:cs="Arial"/>
          <w:color w:val="0D0D0D" w:themeColor="text1" w:themeTint="F2"/>
          <w:sz w:val="18"/>
          <w:szCs w:val="18"/>
        </w:rPr>
        <w:t>A</w:t>
      </w:r>
      <w:r w:rsidRPr="00DB0314">
        <w:rPr>
          <w:rFonts w:ascii="Arial" w:hAnsi="Arial" w:cs="Arial"/>
          <w:color w:val="0D0D0D" w:themeColor="text1" w:themeTint="F2"/>
          <w:sz w:val="18"/>
          <w:szCs w:val="18"/>
        </w:rPr>
        <w:t>ll amounts are x £1,000)</w:t>
      </w:r>
    </w:p>
    <w:p w14:paraId="03137EAC" w14:textId="77777777" w:rsidR="00C22276" w:rsidRPr="00F63F62" w:rsidRDefault="00C22276" w:rsidP="00C22276">
      <w:pPr>
        <w:autoSpaceDE w:val="0"/>
        <w:autoSpaceDN w:val="0"/>
        <w:adjustRightInd w:val="0"/>
        <w:spacing w:after="0" w:line="240" w:lineRule="auto"/>
        <w:ind w:left="1440" w:firstLine="720"/>
        <w:rPr>
          <w:rFonts w:ascii="Arial" w:hAnsi="Arial" w:cs="Arial"/>
          <w:b/>
          <w:color w:val="0D0D0D" w:themeColor="text1" w:themeTint="F2"/>
          <w:sz w:val="20"/>
          <w:szCs w:val="20"/>
        </w:rPr>
      </w:pPr>
      <w:r>
        <w:rPr>
          <w:rFonts w:ascii="Arial" w:hAnsi="Arial" w:cs="Arial"/>
          <w:b/>
          <w:color w:val="0D0D0D" w:themeColor="text1" w:themeTint="F2"/>
          <w:sz w:val="20"/>
          <w:szCs w:val="20"/>
        </w:rPr>
        <w:t>J</w:t>
      </w:r>
      <w:r w:rsidRPr="00F63F62">
        <w:rPr>
          <w:rFonts w:ascii="Arial" w:hAnsi="Arial" w:cs="Arial"/>
          <w:b/>
          <w:color w:val="0D0D0D" w:themeColor="text1" w:themeTint="F2"/>
          <w:sz w:val="20"/>
          <w:szCs w:val="20"/>
        </w:rPr>
        <w:t>an</w:t>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sidRPr="00F63F62">
        <w:rPr>
          <w:rFonts w:ascii="Arial" w:hAnsi="Arial" w:cs="Arial"/>
          <w:b/>
          <w:color w:val="0D0D0D" w:themeColor="text1" w:themeTint="F2"/>
          <w:sz w:val="20"/>
          <w:szCs w:val="20"/>
        </w:rPr>
        <w:t>Feb</w:t>
      </w:r>
      <w:r w:rsidRPr="00F63F62">
        <w:rPr>
          <w:rFonts w:ascii="Arial" w:hAnsi="Arial" w:cs="Arial"/>
          <w:b/>
          <w:color w:val="0D0D0D" w:themeColor="text1" w:themeTint="F2"/>
          <w:sz w:val="20"/>
          <w:szCs w:val="20"/>
        </w:rPr>
        <w:tab/>
      </w:r>
      <w:r>
        <w:rPr>
          <w:rFonts w:ascii="Arial" w:hAnsi="Arial" w:cs="Arial"/>
          <w:b/>
          <w:color w:val="0D0D0D" w:themeColor="text1" w:themeTint="F2"/>
          <w:sz w:val="20"/>
          <w:szCs w:val="20"/>
        </w:rPr>
        <w:tab/>
      </w:r>
      <w:r w:rsidRPr="00F63F62">
        <w:rPr>
          <w:rFonts w:ascii="Arial" w:hAnsi="Arial" w:cs="Arial"/>
          <w:b/>
          <w:color w:val="0D0D0D" w:themeColor="text1" w:themeTint="F2"/>
          <w:sz w:val="20"/>
          <w:szCs w:val="20"/>
        </w:rPr>
        <w:t>March</w:t>
      </w:r>
    </w:p>
    <w:p w14:paraId="1DEF388B" w14:textId="77777777" w:rsidR="00C22276" w:rsidRPr="002D4397" w:rsidRDefault="00C22276" w:rsidP="00C22276">
      <w:pPr>
        <w:autoSpaceDE w:val="0"/>
        <w:autoSpaceDN w:val="0"/>
        <w:adjustRightInd w:val="0"/>
        <w:spacing w:after="0" w:line="360" w:lineRule="auto"/>
        <w:rPr>
          <w:rFonts w:ascii="Arial" w:hAnsi="Arial" w:cs="Arial"/>
          <w:b/>
          <w:color w:val="0D0D0D" w:themeColor="text1" w:themeTint="F2"/>
          <w:sz w:val="20"/>
          <w:szCs w:val="20"/>
        </w:rPr>
      </w:pP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t>2017</w:t>
      </w:r>
      <w:r>
        <w:rPr>
          <w:rFonts w:ascii="Arial" w:hAnsi="Arial" w:cs="Arial"/>
          <w:b/>
          <w:color w:val="0D0D0D" w:themeColor="text1" w:themeTint="F2"/>
          <w:sz w:val="20"/>
          <w:szCs w:val="20"/>
        </w:rPr>
        <w:tab/>
      </w:r>
      <w:r>
        <w:rPr>
          <w:rFonts w:ascii="Arial" w:hAnsi="Arial" w:cs="Arial"/>
          <w:b/>
          <w:color w:val="0D0D0D" w:themeColor="text1" w:themeTint="F2"/>
          <w:sz w:val="20"/>
          <w:szCs w:val="20"/>
        </w:rPr>
        <w:tab/>
        <w:t>2017</w:t>
      </w:r>
      <w:r>
        <w:rPr>
          <w:rFonts w:ascii="Arial" w:hAnsi="Arial" w:cs="Arial"/>
          <w:b/>
          <w:color w:val="0D0D0D" w:themeColor="text1" w:themeTint="F2"/>
          <w:sz w:val="20"/>
          <w:szCs w:val="20"/>
        </w:rPr>
        <w:tab/>
      </w:r>
      <w:r>
        <w:rPr>
          <w:rFonts w:ascii="Arial" w:hAnsi="Arial" w:cs="Arial"/>
          <w:b/>
          <w:color w:val="0D0D0D" w:themeColor="text1" w:themeTint="F2"/>
          <w:sz w:val="20"/>
          <w:szCs w:val="20"/>
        </w:rPr>
        <w:tab/>
        <w:t>2017</w:t>
      </w:r>
    </w:p>
    <w:p w14:paraId="7D58FED7"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u w:val="single"/>
        </w:rPr>
      </w:pPr>
      <w:r w:rsidRPr="00292E7E">
        <w:rPr>
          <w:rFonts w:ascii="Arial" w:hAnsi="Arial" w:cs="Arial"/>
          <w:color w:val="0D0D0D" w:themeColor="text1" w:themeTint="F2"/>
          <w:sz w:val="20"/>
          <w:szCs w:val="20"/>
          <w:u w:val="single"/>
        </w:rPr>
        <w:t>Receipts</w:t>
      </w:r>
      <w:r>
        <w:rPr>
          <w:rFonts w:ascii="Arial" w:hAnsi="Arial" w:cs="Arial"/>
          <w:color w:val="0D0D0D" w:themeColor="text1" w:themeTint="F2"/>
          <w:sz w:val="20"/>
          <w:szCs w:val="20"/>
          <w:u w:val="single"/>
        </w:rPr>
        <w:t xml:space="preserve"> from:</w:t>
      </w:r>
    </w:p>
    <w:p w14:paraId="5A3586D9"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Pr>
          <w:rFonts w:ascii="Arial" w:hAnsi="Arial" w:cs="Arial"/>
          <w:color w:val="0D0D0D" w:themeColor="text1" w:themeTint="F2"/>
          <w:sz w:val="20"/>
          <w:szCs w:val="20"/>
        </w:rPr>
        <w:t xml:space="preserve">From </w:t>
      </w:r>
      <w:r w:rsidRPr="00292E7E">
        <w:rPr>
          <w:rFonts w:ascii="Arial" w:hAnsi="Arial" w:cs="Arial"/>
          <w:color w:val="0D0D0D" w:themeColor="text1" w:themeTint="F2"/>
          <w:sz w:val="20"/>
          <w:szCs w:val="20"/>
        </w:rPr>
        <w:t>Debtors</w:t>
      </w:r>
      <w:r w:rsidRPr="00292E7E">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t>1,585</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 xml:space="preserve">1,715 </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1,896</w:t>
      </w:r>
    </w:p>
    <w:p w14:paraId="52831FB4" w14:textId="77777777" w:rsidR="00C22276" w:rsidRPr="0041207A" w:rsidRDefault="00C22276" w:rsidP="00C22276">
      <w:pPr>
        <w:autoSpaceDE w:val="0"/>
        <w:autoSpaceDN w:val="0"/>
        <w:adjustRightInd w:val="0"/>
        <w:spacing w:after="0" w:line="240" w:lineRule="auto"/>
        <w:jc w:val="both"/>
        <w:rPr>
          <w:rFonts w:ascii="Arial" w:hAnsi="Arial" w:cs="Arial"/>
          <w:color w:val="0D0D0D" w:themeColor="text1" w:themeTint="F2"/>
          <w:sz w:val="20"/>
          <w:szCs w:val="20"/>
        </w:rPr>
      </w:pPr>
      <w:r w:rsidRPr="0041207A">
        <w:rPr>
          <w:rFonts w:ascii="Arial" w:hAnsi="Arial" w:cs="Arial"/>
          <w:color w:val="0D0D0D" w:themeColor="text1" w:themeTint="F2"/>
          <w:sz w:val="20"/>
          <w:szCs w:val="20"/>
        </w:rPr>
        <w:t>Asset sales</w:t>
      </w:r>
      <w:r w:rsidRPr="0041207A">
        <w:rPr>
          <w:rFonts w:ascii="Arial" w:hAnsi="Arial" w:cs="Arial"/>
          <w:color w:val="0D0D0D" w:themeColor="text1" w:themeTint="F2"/>
          <w:sz w:val="20"/>
          <w:szCs w:val="20"/>
        </w:rPr>
        <w:tab/>
      </w:r>
      <w:r w:rsidRPr="0041207A">
        <w:rPr>
          <w:rFonts w:ascii="Arial" w:hAnsi="Arial" w:cs="Arial"/>
          <w:color w:val="0D0D0D" w:themeColor="text1" w:themeTint="F2"/>
          <w:sz w:val="20"/>
          <w:szCs w:val="20"/>
        </w:rPr>
        <w:tab/>
      </w:r>
      <w:r w:rsidRPr="0041207A">
        <w:rPr>
          <w:rFonts w:ascii="Arial" w:hAnsi="Arial" w:cs="Arial"/>
          <w:color w:val="0D0D0D" w:themeColor="text1" w:themeTint="F2"/>
          <w:sz w:val="20"/>
          <w:szCs w:val="20"/>
        </w:rPr>
        <w:tab/>
      </w:r>
      <w:r w:rsidRPr="0041207A">
        <w:rPr>
          <w:rFonts w:ascii="Arial" w:hAnsi="Arial" w:cs="Arial"/>
          <w:color w:val="0D0D0D" w:themeColor="text1" w:themeTint="F2"/>
          <w:sz w:val="20"/>
          <w:szCs w:val="20"/>
        </w:rPr>
        <w:tab/>
      </w:r>
      <w:r>
        <w:rPr>
          <w:rFonts w:ascii="Arial" w:hAnsi="Arial" w:cs="Arial"/>
          <w:color w:val="0D0D0D" w:themeColor="text1" w:themeTint="F2"/>
          <w:sz w:val="20"/>
          <w:szCs w:val="20"/>
        </w:rPr>
        <w:t>50</w:t>
      </w:r>
      <w:r>
        <w:rPr>
          <w:rFonts w:ascii="Arial" w:hAnsi="Arial" w:cs="Arial"/>
          <w:color w:val="0D0D0D" w:themeColor="text1" w:themeTint="F2"/>
          <w:sz w:val="20"/>
          <w:szCs w:val="20"/>
        </w:rPr>
        <w:tab/>
      </w:r>
      <w:r>
        <w:rPr>
          <w:rFonts w:ascii="Arial" w:hAnsi="Arial" w:cs="Arial"/>
          <w:color w:val="0D0D0D" w:themeColor="text1" w:themeTint="F2"/>
          <w:sz w:val="20"/>
          <w:szCs w:val="20"/>
        </w:rPr>
        <w:tab/>
      </w:r>
    </w:p>
    <w:p w14:paraId="0B641350" w14:textId="77777777" w:rsidR="00C22276" w:rsidRPr="00691820" w:rsidRDefault="00C22276" w:rsidP="00C22276">
      <w:pPr>
        <w:spacing w:after="0" w:line="240" w:lineRule="auto"/>
        <w:ind w:left="1440" w:firstLine="720"/>
        <w:jc w:val="both"/>
        <w:rPr>
          <w:rFonts w:ascii="Arial" w:hAnsi="Arial" w:cs="Arial"/>
          <w:color w:val="0D0D0D" w:themeColor="text1" w:themeTint="F2"/>
          <w:sz w:val="20"/>
          <w:szCs w:val="20"/>
        </w:rPr>
      </w:pPr>
      <w:r>
        <w:rPr>
          <w:rFonts w:ascii="Arial" w:hAnsi="Arial" w:cs="Arial"/>
          <w:color w:val="0D0D0D" w:themeColor="text1" w:themeTint="F2"/>
          <w:sz w:val="20"/>
          <w:szCs w:val="20"/>
        </w:rPr>
        <w:t>–––––––</w:t>
      </w:r>
      <w:r>
        <w:rPr>
          <w:rFonts w:ascii="Arial" w:hAnsi="Arial" w:cs="Arial"/>
          <w:color w:val="0D0D0D" w:themeColor="text1" w:themeTint="F2"/>
          <w:sz w:val="20"/>
          <w:szCs w:val="20"/>
        </w:rPr>
        <w:tab/>
        <w:t>–––––––</w:t>
      </w:r>
      <w:r>
        <w:rPr>
          <w:rFonts w:ascii="Arial" w:hAnsi="Arial" w:cs="Arial"/>
          <w:color w:val="0D0D0D" w:themeColor="text1" w:themeTint="F2"/>
          <w:sz w:val="20"/>
          <w:szCs w:val="20"/>
        </w:rPr>
        <w:tab/>
        <w:t>–––––––</w:t>
      </w:r>
    </w:p>
    <w:p w14:paraId="19458C27" w14:textId="77777777" w:rsidR="00C22276" w:rsidRPr="00292E7E" w:rsidRDefault="00C22276" w:rsidP="00C22276">
      <w:pPr>
        <w:autoSpaceDE w:val="0"/>
        <w:autoSpaceDN w:val="0"/>
        <w:adjustRightInd w:val="0"/>
        <w:spacing w:after="40"/>
        <w:jc w:val="both"/>
        <w:rPr>
          <w:rFonts w:ascii="Arial" w:hAnsi="Arial" w:cs="Arial"/>
          <w:b/>
          <w:color w:val="0D0D0D" w:themeColor="text1" w:themeTint="F2"/>
          <w:sz w:val="20"/>
          <w:szCs w:val="20"/>
        </w:rPr>
      </w:pPr>
      <w:r w:rsidRPr="00292E7E">
        <w:rPr>
          <w:rFonts w:ascii="Arial" w:hAnsi="Arial" w:cs="Arial"/>
          <w:b/>
          <w:color w:val="0D0D0D" w:themeColor="text1" w:themeTint="F2"/>
          <w:sz w:val="20"/>
          <w:szCs w:val="20"/>
        </w:rPr>
        <w:t>Total</w:t>
      </w:r>
      <w:r w:rsidRPr="00292E7E">
        <w:rPr>
          <w:rFonts w:ascii="Arial" w:hAnsi="Arial" w:cs="Arial"/>
          <w:b/>
          <w:color w:val="0D0D0D" w:themeColor="text1" w:themeTint="F2"/>
          <w:sz w:val="20"/>
          <w:szCs w:val="20"/>
        </w:rPr>
        <w:tab/>
      </w:r>
      <w:r w:rsidRPr="00292E7E">
        <w:rPr>
          <w:rFonts w:ascii="Arial" w:hAnsi="Arial" w:cs="Arial"/>
          <w:b/>
          <w:color w:val="0D0D0D" w:themeColor="text1" w:themeTint="F2"/>
          <w:sz w:val="20"/>
          <w:szCs w:val="20"/>
        </w:rPr>
        <w:tab/>
      </w:r>
      <w:r w:rsidRPr="00292E7E">
        <w:rPr>
          <w:rFonts w:ascii="Arial" w:hAnsi="Arial" w:cs="Arial"/>
          <w:b/>
          <w:color w:val="0D0D0D" w:themeColor="text1" w:themeTint="F2"/>
          <w:sz w:val="20"/>
          <w:szCs w:val="20"/>
        </w:rPr>
        <w:tab/>
      </w:r>
      <w:r>
        <w:rPr>
          <w:rFonts w:ascii="Arial" w:hAnsi="Arial" w:cs="Arial"/>
          <w:b/>
          <w:color w:val="0D0D0D" w:themeColor="text1" w:themeTint="F2"/>
          <w:sz w:val="20"/>
          <w:szCs w:val="20"/>
        </w:rPr>
        <w:t>1,585</w:t>
      </w:r>
      <w:r w:rsidRPr="00292E7E">
        <w:rPr>
          <w:rFonts w:ascii="Arial" w:hAnsi="Arial" w:cs="Arial"/>
          <w:b/>
          <w:color w:val="0D0D0D" w:themeColor="text1" w:themeTint="F2"/>
          <w:sz w:val="20"/>
          <w:szCs w:val="20"/>
        </w:rPr>
        <w:tab/>
      </w:r>
      <w:r w:rsidRPr="00292E7E">
        <w:rPr>
          <w:rFonts w:ascii="Arial" w:hAnsi="Arial" w:cs="Arial"/>
          <w:b/>
          <w:color w:val="0D0D0D" w:themeColor="text1" w:themeTint="F2"/>
          <w:sz w:val="20"/>
          <w:szCs w:val="20"/>
        </w:rPr>
        <w:tab/>
      </w:r>
      <w:r>
        <w:rPr>
          <w:rFonts w:ascii="Arial" w:hAnsi="Arial" w:cs="Arial"/>
          <w:b/>
          <w:color w:val="0D0D0D" w:themeColor="text1" w:themeTint="F2"/>
          <w:sz w:val="20"/>
          <w:szCs w:val="20"/>
        </w:rPr>
        <w:t>1,765</w:t>
      </w:r>
      <w:r>
        <w:rPr>
          <w:rFonts w:ascii="Arial" w:hAnsi="Arial" w:cs="Arial"/>
          <w:b/>
          <w:color w:val="0D0D0D" w:themeColor="text1" w:themeTint="F2"/>
          <w:sz w:val="20"/>
          <w:szCs w:val="20"/>
        </w:rPr>
        <w:tab/>
      </w:r>
      <w:r>
        <w:rPr>
          <w:rFonts w:ascii="Arial" w:hAnsi="Arial" w:cs="Arial"/>
          <w:b/>
          <w:color w:val="0D0D0D" w:themeColor="text1" w:themeTint="F2"/>
          <w:sz w:val="20"/>
          <w:szCs w:val="20"/>
        </w:rPr>
        <w:tab/>
        <w:t>1,896</w:t>
      </w:r>
    </w:p>
    <w:p w14:paraId="1C1E6E77"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p>
    <w:p w14:paraId="56808AD8"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u w:val="single"/>
        </w:rPr>
      </w:pPr>
      <w:r w:rsidRPr="00292E7E">
        <w:rPr>
          <w:rFonts w:ascii="Arial" w:hAnsi="Arial" w:cs="Arial"/>
          <w:color w:val="0D0D0D" w:themeColor="text1" w:themeTint="F2"/>
          <w:sz w:val="20"/>
          <w:szCs w:val="20"/>
          <w:u w:val="single"/>
        </w:rPr>
        <w:t>Payments</w:t>
      </w:r>
      <w:r>
        <w:rPr>
          <w:rFonts w:ascii="Arial" w:hAnsi="Arial" w:cs="Arial"/>
          <w:color w:val="0D0D0D" w:themeColor="text1" w:themeTint="F2"/>
          <w:sz w:val="20"/>
          <w:szCs w:val="20"/>
          <w:u w:val="single"/>
        </w:rPr>
        <w:t xml:space="preserve"> to:</w:t>
      </w:r>
    </w:p>
    <w:p w14:paraId="1C5B627A"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Pr>
          <w:rFonts w:ascii="Arial" w:hAnsi="Arial" w:cs="Arial"/>
          <w:color w:val="0D0D0D" w:themeColor="text1" w:themeTint="F2"/>
          <w:sz w:val="20"/>
          <w:szCs w:val="20"/>
        </w:rPr>
        <w:t xml:space="preserve">To </w:t>
      </w:r>
      <w:r w:rsidRPr="00292E7E">
        <w:rPr>
          <w:rFonts w:ascii="Arial" w:hAnsi="Arial" w:cs="Arial"/>
          <w:color w:val="0D0D0D" w:themeColor="text1" w:themeTint="F2"/>
          <w:sz w:val="20"/>
          <w:szCs w:val="20"/>
        </w:rPr>
        <w:t>Creditors</w:t>
      </w:r>
      <w:r w:rsidRPr="00292E7E">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t>910</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1,055</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1,190</w:t>
      </w:r>
    </w:p>
    <w:p w14:paraId="78DDAC45"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sidRPr="00292E7E">
        <w:rPr>
          <w:rFonts w:ascii="Arial" w:hAnsi="Arial" w:cs="Arial"/>
          <w:color w:val="0D0D0D" w:themeColor="text1" w:themeTint="F2"/>
          <w:sz w:val="20"/>
          <w:szCs w:val="20"/>
        </w:rPr>
        <w:t>Operating expenses</w:t>
      </w:r>
      <w:r w:rsidRPr="00292E7E">
        <w:rPr>
          <w:rFonts w:ascii="Arial" w:hAnsi="Arial" w:cs="Arial"/>
          <w:color w:val="0D0D0D" w:themeColor="text1" w:themeTint="F2"/>
          <w:sz w:val="20"/>
          <w:szCs w:val="20"/>
        </w:rPr>
        <w:tab/>
        <w:t>2</w:t>
      </w:r>
      <w:r>
        <w:rPr>
          <w:rFonts w:ascii="Arial" w:hAnsi="Arial" w:cs="Arial"/>
          <w:color w:val="0D0D0D" w:themeColor="text1" w:themeTint="F2"/>
          <w:sz w:val="20"/>
          <w:szCs w:val="20"/>
        </w:rPr>
        <w:t>93</w:t>
      </w:r>
      <w:r w:rsidRPr="00292E7E">
        <w:rPr>
          <w:rFonts w:ascii="Arial" w:hAnsi="Arial" w:cs="Arial"/>
          <w:color w:val="0D0D0D" w:themeColor="text1" w:themeTint="F2"/>
          <w:sz w:val="20"/>
          <w:szCs w:val="20"/>
        </w:rPr>
        <w:t xml:space="preserve"> </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 xml:space="preserve">263 </w:t>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241</w:t>
      </w:r>
    </w:p>
    <w:p w14:paraId="6B26DDFB"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sidRPr="00292E7E">
        <w:rPr>
          <w:rFonts w:ascii="Arial" w:hAnsi="Arial" w:cs="Arial"/>
          <w:color w:val="0D0D0D" w:themeColor="text1" w:themeTint="F2"/>
          <w:sz w:val="20"/>
          <w:szCs w:val="20"/>
        </w:rPr>
        <w:t xml:space="preserve">Other expenses </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336</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t>345</w:t>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t>3</w:t>
      </w:r>
      <w:r>
        <w:rPr>
          <w:rFonts w:ascii="Arial" w:hAnsi="Arial" w:cs="Arial"/>
          <w:color w:val="0D0D0D" w:themeColor="text1" w:themeTint="F2"/>
          <w:sz w:val="20"/>
          <w:szCs w:val="20"/>
        </w:rPr>
        <w:t>5</w:t>
      </w:r>
      <w:r w:rsidRPr="00292E7E">
        <w:rPr>
          <w:rFonts w:ascii="Arial" w:hAnsi="Arial" w:cs="Arial"/>
          <w:color w:val="0D0D0D" w:themeColor="text1" w:themeTint="F2"/>
          <w:sz w:val="20"/>
          <w:szCs w:val="20"/>
        </w:rPr>
        <w:t>9</w:t>
      </w:r>
    </w:p>
    <w:p w14:paraId="4D1EDD65"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sidRPr="00292E7E">
        <w:rPr>
          <w:rFonts w:ascii="Arial" w:hAnsi="Arial" w:cs="Arial"/>
          <w:color w:val="0D0D0D" w:themeColor="text1" w:themeTint="F2"/>
          <w:sz w:val="20"/>
          <w:szCs w:val="20"/>
        </w:rPr>
        <w:t>Asset purchases</w:t>
      </w:r>
      <w:r w:rsidRPr="00292E7E">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Pr>
          <w:rFonts w:ascii="Arial" w:hAnsi="Arial" w:cs="Arial"/>
          <w:color w:val="0D0D0D" w:themeColor="text1" w:themeTint="F2"/>
          <w:sz w:val="20"/>
          <w:szCs w:val="20"/>
        </w:rPr>
        <w:tab/>
      </w:r>
      <w:r>
        <w:rPr>
          <w:rFonts w:ascii="Arial" w:hAnsi="Arial" w:cs="Arial"/>
          <w:color w:val="0D0D0D" w:themeColor="text1" w:themeTint="F2"/>
          <w:sz w:val="20"/>
          <w:szCs w:val="20"/>
        </w:rPr>
        <w:tab/>
        <w:t>400</w:t>
      </w:r>
    </w:p>
    <w:p w14:paraId="3420453B"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sidRPr="00292E7E">
        <w:rPr>
          <w:rFonts w:ascii="Arial" w:hAnsi="Arial" w:cs="Arial"/>
          <w:color w:val="0D0D0D" w:themeColor="text1" w:themeTint="F2"/>
          <w:sz w:val="20"/>
          <w:szCs w:val="20"/>
        </w:rPr>
        <w:t>Dividend</w:t>
      </w:r>
      <w:r w:rsidRPr="00292E7E">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ab/>
      </w:r>
      <w:r w:rsidRPr="00292E7E">
        <w:rPr>
          <w:rFonts w:ascii="Arial" w:hAnsi="Arial" w:cs="Arial"/>
          <w:color w:val="0D0D0D" w:themeColor="text1" w:themeTint="F2"/>
          <w:sz w:val="20"/>
          <w:szCs w:val="20"/>
        </w:rPr>
        <w:t>46</w:t>
      </w:r>
    </w:p>
    <w:p w14:paraId="550CC498" w14:textId="77777777" w:rsidR="00C22276" w:rsidRPr="00EC5765" w:rsidRDefault="00C22276" w:rsidP="00C22276">
      <w:pPr>
        <w:autoSpaceDE w:val="0"/>
        <w:autoSpaceDN w:val="0"/>
        <w:adjustRightInd w:val="0"/>
        <w:spacing w:after="0" w:line="240" w:lineRule="auto"/>
        <w:jc w:val="both"/>
        <w:rPr>
          <w:rFonts w:ascii="Arial" w:hAnsi="Arial" w:cs="Arial"/>
          <w:color w:val="0D0D0D" w:themeColor="text1" w:themeTint="F2"/>
          <w:sz w:val="20"/>
          <w:szCs w:val="20"/>
        </w:rPr>
      </w:pPr>
      <w:r w:rsidRPr="00EC5765">
        <w:rPr>
          <w:rFonts w:ascii="Arial" w:hAnsi="Arial" w:cs="Arial"/>
          <w:color w:val="0D0D0D" w:themeColor="text1" w:themeTint="F2"/>
          <w:sz w:val="20"/>
          <w:szCs w:val="20"/>
        </w:rPr>
        <w:t>Taxation</w:t>
      </w:r>
      <w:r w:rsidRPr="00EC5765">
        <w:rPr>
          <w:rFonts w:ascii="Arial" w:hAnsi="Arial" w:cs="Arial"/>
          <w:color w:val="0D0D0D" w:themeColor="text1" w:themeTint="F2"/>
          <w:sz w:val="20"/>
          <w:szCs w:val="20"/>
        </w:rPr>
        <w:tab/>
      </w:r>
      <w:r w:rsidRPr="00EC5765">
        <w:rPr>
          <w:rFonts w:ascii="Arial" w:hAnsi="Arial" w:cs="Arial"/>
          <w:color w:val="0D0D0D" w:themeColor="text1" w:themeTint="F2"/>
          <w:sz w:val="20"/>
          <w:szCs w:val="20"/>
        </w:rPr>
        <w:tab/>
      </w:r>
      <w:r w:rsidRPr="00EC5765">
        <w:rPr>
          <w:rFonts w:ascii="Arial" w:hAnsi="Arial" w:cs="Arial"/>
          <w:color w:val="0D0D0D" w:themeColor="text1" w:themeTint="F2"/>
          <w:sz w:val="20"/>
          <w:szCs w:val="20"/>
        </w:rPr>
        <w:tab/>
      </w:r>
      <w:r w:rsidRPr="00EC5765">
        <w:rPr>
          <w:rFonts w:ascii="Arial" w:hAnsi="Arial" w:cs="Arial"/>
          <w:color w:val="0D0D0D" w:themeColor="text1" w:themeTint="F2"/>
          <w:sz w:val="20"/>
          <w:szCs w:val="20"/>
        </w:rPr>
        <w:tab/>
      </w:r>
      <w:r w:rsidRPr="00EC5765">
        <w:rPr>
          <w:rFonts w:ascii="Arial" w:hAnsi="Arial" w:cs="Arial"/>
          <w:color w:val="0D0D0D" w:themeColor="text1" w:themeTint="F2"/>
          <w:sz w:val="20"/>
          <w:szCs w:val="20"/>
        </w:rPr>
        <w:tab/>
      </w:r>
      <w:r w:rsidRPr="00EC5765">
        <w:rPr>
          <w:rFonts w:ascii="Arial" w:hAnsi="Arial" w:cs="Arial"/>
          <w:color w:val="0D0D0D" w:themeColor="text1" w:themeTint="F2"/>
          <w:sz w:val="20"/>
          <w:szCs w:val="20"/>
        </w:rPr>
        <w:tab/>
        <w:t>25</w:t>
      </w:r>
    </w:p>
    <w:p w14:paraId="65DEE517" w14:textId="77777777" w:rsidR="00C22276" w:rsidRPr="00691820" w:rsidRDefault="00C22276" w:rsidP="00C22276">
      <w:pPr>
        <w:spacing w:after="0" w:line="240" w:lineRule="auto"/>
        <w:ind w:left="1440" w:firstLine="720"/>
        <w:jc w:val="both"/>
        <w:rPr>
          <w:rFonts w:ascii="Arial" w:hAnsi="Arial" w:cs="Arial"/>
          <w:color w:val="0D0D0D" w:themeColor="text1" w:themeTint="F2"/>
          <w:sz w:val="20"/>
          <w:szCs w:val="20"/>
        </w:rPr>
      </w:pPr>
      <w:r>
        <w:rPr>
          <w:rFonts w:ascii="Arial" w:hAnsi="Arial" w:cs="Arial"/>
          <w:color w:val="0D0D0D" w:themeColor="text1" w:themeTint="F2"/>
          <w:sz w:val="20"/>
          <w:szCs w:val="20"/>
        </w:rPr>
        <w:t>–––––––</w:t>
      </w:r>
      <w:r>
        <w:rPr>
          <w:rFonts w:ascii="Arial" w:hAnsi="Arial" w:cs="Arial"/>
          <w:color w:val="0D0D0D" w:themeColor="text1" w:themeTint="F2"/>
          <w:sz w:val="20"/>
          <w:szCs w:val="20"/>
        </w:rPr>
        <w:tab/>
        <w:t>–––––––</w:t>
      </w:r>
      <w:r>
        <w:rPr>
          <w:rFonts w:ascii="Arial" w:hAnsi="Arial" w:cs="Arial"/>
          <w:color w:val="0D0D0D" w:themeColor="text1" w:themeTint="F2"/>
          <w:sz w:val="20"/>
          <w:szCs w:val="20"/>
        </w:rPr>
        <w:tab/>
        <w:t>–––––––</w:t>
      </w:r>
    </w:p>
    <w:p w14:paraId="33079672" w14:textId="77777777" w:rsidR="00C22276" w:rsidRPr="00292E7E" w:rsidRDefault="00C22276" w:rsidP="00C22276">
      <w:pPr>
        <w:autoSpaceDE w:val="0"/>
        <w:autoSpaceDN w:val="0"/>
        <w:adjustRightInd w:val="0"/>
        <w:spacing w:after="40"/>
        <w:jc w:val="both"/>
        <w:rPr>
          <w:rFonts w:ascii="Arial" w:hAnsi="Arial" w:cs="Arial"/>
          <w:b/>
          <w:color w:val="0D0D0D" w:themeColor="text1" w:themeTint="F2"/>
          <w:sz w:val="20"/>
          <w:szCs w:val="20"/>
        </w:rPr>
      </w:pPr>
      <w:r w:rsidRPr="00292E7E">
        <w:rPr>
          <w:rFonts w:ascii="Arial" w:hAnsi="Arial" w:cs="Arial"/>
          <w:b/>
          <w:color w:val="0D0D0D" w:themeColor="text1" w:themeTint="F2"/>
          <w:sz w:val="20"/>
          <w:szCs w:val="20"/>
        </w:rPr>
        <w:t>Total</w:t>
      </w:r>
      <w:r w:rsidRPr="00292E7E">
        <w:rPr>
          <w:rFonts w:ascii="Arial" w:hAnsi="Arial" w:cs="Arial"/>
          <w:b/>
          <w:color w:val="0D0D0D" w:themeColor="text1" w:themeTint="F2"/>
          <w:sz w:val="20"/>
          <w:szCs w:val="20"/>
        </w:rPr>
        <w:tab/>
      </w:r>
      <w:r w:rsidRPr="00292E7E">
        <w:rPr>
          <w:rFonts w:ascii="Arial" w:hAnsi="Arial" w:cs="Arial"/>
          <w:b/>
          <w:color w:val="0D0D0D" w:themeColor="text1" w:themeTint="F2"/>
          <w:sz w:val="20"/>
          <w:szCs w:val="20"/>
        </w:rPr>
        <w:tab/>
      </w:r>
      <w:r w:rsidRPr="00292E7E">
        <w:rPr>
          <w:rFonts w:ascii="Arial" w:hAnsi="Arial" w:cs="Arial"/>
          <w:b/>
          <w:color w:val="0D0D0D" w:themeColor="text1" w:themeTint="F2"/>
          <w:sz w:val="20"/>
          <w:szCs w:val="20"/>
        </w:rPr>
        <w:tab/>
      </w:r>
      <w:r>
        <w:rPr>
          <w:rFonts w:ascii="Arial" w:hAnsi="Arial" w:cs="Arial"/>
          <w:b/>
          <w:color w:val="0D0D0D" w:themeColor="text1" w:themeTint="F2"/>
          <w:sz w:val="20"/>
          <w:szCs w:val="20"/>
        </w:rPr>
        <w:t>1,539</w:t>
      </w:r>
      <w:r w:rsidRPr="00292E7E">
        <w:rPr>
          <w:rFonts w:ascii="Arial" w:hAnsi="Arial" w:cs="Arial"/>
          <w:b/>
          <w:color w:val="0D0D0D" w:themeColor="text1" w:themeTint="F2"/>
          <w:sz w:val="20"/>
          <w:szCs w:val="20"/>
        </w:rPr>
        <w:tab/>
      </w:r>
      <w:r w:rsidRPr="00292E7E">
        <w:rPr>
          <w:rFonts w:ascii="Arial" w:hAnsi="Arial" w:cs="Arial"/>
          <w:b/>
          <w:color w:val="0D0D0D" w:themeColor="text1" w:themeTint="F2"/>
          <w:sz w:val="20"/>
          <w:szCs w:val="20"/>
        </w:rPr>
        <w:tab/>
      </w:r>
      <w:r>
        <w:rPr>
          <w:rFonts w:ascii="Arial" w:hAnsi="Arial" w:cs="Arial"/>
          <w:b/>
          <w:color w:val="0D0D0D" w:themeColor="text1" w:themeTint="F2"/>
          <w:sz w:val="20"/>
          <w:szCs w:val="20"/>
        </w:rPr>
        <w:t>1,663</w:t>
      </w:r>
      <w:r>
        <w:rPr>
          <w:rFonts w:ascii="Arial" w:hAnsi="Arial" w:cs="Arial"/>
          <w:b/>
          <w:color w:val="0D0D0D" w:themeColor="text1" w:themeTint="F2"/>
          <w:sz w:val="20"/>
          <w:szCs w:val="20"/>
        </w:rPr>
        <w:tab/>
      </w:r>
      <w:r>
        <w:rPr>
          <w:rFonts w:ascii="Arial" w:hAnsi="Arial" w:cs="Arial"/>
          <w:b/>
          <w:color w:val="0D0D0D" w:themeColor="text1" w:themeTint="F2"/>
          <w:sz w:val="20"/>
          <w:szCs w:val="20"/>
        </w:rPr>
        <w:tab/>
        <w:t>2,261</w:t>
      </w:r>
    </w:p>
    <w:p w14:paraId="45236D41"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p>
    <w:p w14:paraId="7B232848"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sidRPr="00292E7E">
        <w:rPr>
          <w:rFonts w:ascii="Arial" w:hAnsi="Arial" w:cs="Arial"/>
          <w:color w:val="0D0D0D" w:themeColor="text1" w:themeTint="F2"/>
          <w:sz w:val="20"/>
          <w:szCs w:val="20"/>
        </w:rPr>
        <w:t xml:space="preserve">Receipts </w:t>
      </w:r>
      <w:r>
        <w:rPr>
          <w:rFonts w:ascii="Arial" w:hAnsi="Arial" w:cs="Arial"/>
          <w:color w:val="0D0D0D" w:themeColor="text1" w:themeTint="F2"/>
          <w:sz w:val="20"/>
          <w:szCs w:val="20"/>
        </w:rPr>
        <w:t>-</w:t>
      </w:r>
      <w:r w:rsidRPr="00292E7E">
        <w:rPr>
          <w:rFonts w:ascii="Arial" w:hAnsi="Arial" w:cs="Arial"/>
          <w:color w:val="0D0D0D" w:themeColor="text1" w:themeTint="F2"/>
          <w:sz w:val="20"/>
          <w:szCs w:val="20"/>
        </w:rPr>
        <w:t xml:space="preserve"> payments</w:t>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46</w:t>
      </w:r>
      <w:r w:rsidRPr="00292E7E">
        <w:rPr>
          <w:rFonts w:ascii="Arial" w:hAnsi="Arial" w:cs="Arial"/>
          <w:color w:val="0D0D0D" w:themeColor="text1" w:themeTint="F2"/>
          <w:sz w:val="20"/>
          <w:szCs w:val="20"/>
        </w:rPr>
        <w:tab/>
      </w:r>
      <w:r w:rsidRPr="00292E7E">
        <w:rPr>
          <w:rFonts w:ascii="Arial" w:hAnsi="Arial" w:cs="Arial"/>
          <w:color w:val="0D0D0D" w:themeColor="text1" w:themeTint="F2"/>
          <w:sz w:val="20"/>
          <w:szCs w:val="20"/>
        </w:rPr>
        <w:tab/>
      </w:r>
      <w:r>
        <w:rPr>
          <w:rFonts w:ascii="Arial" w:hAnsi="Arial" w:cs="Arial"/>
          <w:color w:val="0D0D0D" w:themeColor="text1" w:themeTint="F2"/>
          <w:sz w:val="20"/>
          <w:szCs w:val="20"/>
        </w:rPr>
        <w:t>102</w:t>
      </w:r>
      <w:r>
        <w:rPr>
          <w:rFonts w:ascii="Arial" w:hAnsi="Arial" w:cs="Arial"/>
          <w:color w:val="0D0D0D" w:themeColor="text1" w:themeTint="F2"/>
          <w:sz w:val="20"/>
          <w:szCs w:val="20"/>
        </w:rPr>
        <w:tab/>
      </w:r>
      <w:r>
        <w:rPr>
          <w:rFonts w:ascii="Arial" w:hAnsi="Arial" w:cs="Arial"/>
          <w:color w:val="0D0D0D" w:themeColor="text1" w:themeTint="F2"/>
          <w:sz w:val="20"/>
          <w:szCs w:val="20"/>
        </w:rPr>
        <w:tab/>
        <w:t>-365</w:t>
      </w:r>
    </w:p>
    <w:p w14:paraId="0ECD51EA" w14:textId="77777777" w:rsidR="00C22276" w:rsidRPr="00292E7E" w:rsidRDefault="00C22276" w:rsidP="00C22276">
      <w:pPr>
        <w:autoSpaceDE w:val="0"/>
        <w:autoSpaceDN w:val="0"/>
        <w:adjustRightInd w:val="0"/>
        <w:spacing w:after="40"/>
        <w:jc w:val="both"/>
        <w:rPr>
          <w:rFonts w:ascii="Arial" w:hAnsi="Arial" w:cs="Arial"/>
          <w:color w:val="0D0D0D" w:themeColor="text1" w:themeTint="F2"/>
          <w:sz w:val="20"/>
          <w:szCs w:val="20"/>
        </w:rPr>
      </w:pPr>
      <w:r w:rsidRPr="00292E7E">
        <w:rPr>
          <w:rFonts w:ascii="Arial" w:hAnsi="Arial" w:cs="Arial"/>
          <w:color w:val="0D0D0D" w:themeColor="text1" w:themeTint="F2"/>
          <w:sz w:val="20"/>
          <w:szCs w:val="20"/>
        </w:rPr>
        <w:t>Op</w:t>
      </w:r>
      <w:r>
        <w:rPr>
          <w:rFonts w:ascii="Arial" w:hAnsi="Arial" w:cs="Arial"/>
          <w:color w:val="0D0D0D" w:themeColor="text1" w:themeTint="F2"/>
          <w:sz w:val="20"/>
          <w:szCs w:val="20"/>
        </w:rPr>
        <w:t>.</w:t>
      </w:r>
      <w:r w:rsidRPr="00292E7E">
        <w:rPr>
          <w:rFonts w:ascii="Arial" w:hAnsi="Arial" w:cs="Arial"/>
          <w:color w:val="0D0D0D" w:themeColor="text1" w:themeTint="F2"/>
          <w:sz w:val="20"/>
          <w:szCs w:val="20"/>
        </w:rPr>
        <w:t xml:space="preserve"> bank balance</w:t>
      </w:r>
      <w:r w:rsidRPr="00292E7E">
        <w:rPr>
          <w:rFonts w:ascii="Arial" w:hAnsi="Arial" w:cs="Arial"/>
          <w:color w:val="0D0D0D" w:themeColor="text1" w:themeTint="F2"/>
          <w:sz w:val="20"/>
          <w:szCs w:val="20"/>
        </w:rPr>
        <w:tab/>
        <w:t>-</w:t>
      </w:r>
      <w:r>
        <w:rPr>
          <w:rFonts w:ascii="Arial" w:hAnsi="Arial" w:cs="Arial"/>
          <w:color w:val="0D0D0D" w:themeColor="text1" w:themeTint="F2"/>
          <w:sz w:val="20"/>
          <w:szCs w:val="20"/>
        </w:rPr>
        <w:t>5</w:t>
      </w:r>
      <w:r w:rsidRPr="00292E7E">
        <w:rPr>
          <w:rFonts w:ascii="Arial" w:hAnsi="Arial" w:cs="Arial"/>
          <w:color w:val="0D0D0D" w:themeColor="text1" w:themeTint="F2"/>
          <w:sz w:val="20"/>
          <w:szCs w:val="20"/>
        </w:rPr>
        <w:t>1</w:t>
      </w:r>
      <w:r>
        <w:rPr>
          <w:rFonts w:ascii="Arial" w:hAnsi="Arial" w:cs="Arial"/>
          <w:color w:val="0D0D0D" w:themeColor="text1" w:themeTint="F2"/>
          <w:sz w:val="20"/>
          <w:szCs w:val="20"/>
        </w:rPr>
        <w:tab/>
      </w:r>
      <w:r>
        <w:rPr>
          <w:rFonts w:ascii="Arial" w:hAnsi="Arial" w:cs="Arial"/>
          <w:color w:val="0D0D0D" w:themeColor="text1" w:themeTint="F2"/>
          <w:sz w:val="20"/>
          <w:szCs w:val="20"/>
        </w:rPr>
        <w:tab/>
        <w:t>-5</w:t>
      </w:r>
      <w:r>
        <w:rPr>
          <w:rFonts w:ascii="Arial" w:hAnsi="Arial" w:cs="Arial"/>
          <w:color w:val="0D0D0D" w:themeColor="text1" w:themeTint="F2"/>
          <w:sz w:val="20"/>
          <w:szCs w:val="20"/>
        </w:rPr>
        <w:tab/>
      </w:r>
      <w:r>
        <w:rPr>
          <w:rFonts w:ascii="Arial" w:hAnsi="Arial" w:cs="Arial"/>
          <w:color w:val="0D0D0D" w:themeColor="text1" w:themeTint="F2"/>
          <w:sz w:val="20"/>
          <w:szCs w:val="20"/>
        </w:rPr>
        <w:tab/>
        <w:t>97</w:t>
      </w:r>
    </w:p>
    <w:p w14:paraId="75CC25F1" w14:textId="77777777" w:rsidR="00C22276" w:rsidRPr="00C15AFD" w:rsidRDefault="00C22276" w:rsidP="00C22276">
      <w:pPr>
        <w:autoSpaceDE w:val="0"/>
        <w:autoSpaceDN w:val="0"/>
        <w:adjustRightInd w:val="0"/>
        <w:spacing w:after="40" w:line="480" w:lineRule="auto"/>
        <w:jc w:val="both"/>
        <w:rPr>
          <w:rFonts w:ascii="Arial" w:hAnsi="Arial" w:cs="Arial"/>
          <w:b/>
          <w:color w:val="0D0D0D" w:themeColor="text1" w:themeTint="F2"/>
          <w:sz w:val="20"/>
          <w:szCs w:val="20"/>
        </w:rPr>
      </w:pPr>
      <w:r w:rsidRPr="00C15AFD">
        <w:rPr>
          <w:rFonts w:ascii="Arial" w:hAnsi="Arial" w:cs="Arial"/>
          <w:b/>
          <w:color w:val="0D0D0D" w:themeColor="text1" w:themeTint="F2"/>
          <w:sz w:val="20"/>
          <w:szCs w:val="20"/>
        </w:rPr>
        <w:t>Cl. bank balance</w:t>
      </w:r>
      <w:r w:rsidRPr="00C15AFD">
        <w:rPr>
          <w:rFonts w:ascii="Arial" w:hAnsi="Arial" w:cs="Arial"/>
          <w:b/>
          <w:color w:val="0D0D0D" w:themeColor="text1" w:themeTint="F2"/>
          <w:sz w:val="20"/>
          <w:szCs w:val="20"/>
        </w:rPr>
        <w:tab/>
        <w:t>-5</w:t>
      </w:r>
      <w:r w:rsidRPr="00C15AFD">
        <w:rPr>
          <w:rFonts w:ascii="Arial" w:hAnsi="Arial" w:cs="Arial"/>
          <w:b/>
          <w:color w:val="0D0D0D" w:themeColor="text1" w:themeTint="F2"/>
          <w:sz w:val="20"/>
          <w:szCs w:val="20"/>
        </w:rPr>
        <w:tab/>
      </w:r>
      <w:r w:rsidRPr="00C15AFD">
        <w:rPr>
          <w:rFonts w:ascii="Arial" w:hAnsi="Arial" w:cs="Arial"/>
          <w:b/>
          <w:color w:val="0D0D0D" w:themeColor="text1" w:themeTint="F2"/>
          <w:sz w:val="20"/>
          <w:szCs w:val="20"/>
        </w:rPr>
        <w:tab/>
        <w:t>97</w:t>
      </w:r>
      <w:r w:rsidRPr="00C15AFD">
        <w:rPr>
          <w:rFonts w:ascii="Arial" w:hAnsi="Arial" w:cs="Arial"/>
          <w:b/>
          <w:color w:val="0D0D0D" w:themeColor="text1" w:themeTint="F2"/>
          <w:sz w:val="20"/>
          <w:szCs w:val="20"/>
        </w:rPr>
        <w:tab/>
      </w:r>
      <w:r w:rsidRPr="00C15AFD">
        <w:rPr>
          <w:rFonts w:ascii="Arial" w:hAnsi="Arial" w:cs="Arial"/>
          <w:b/>
          <w:color w:val="0D0D0D" w:themeColor="text1" w:themeTint="F2"/>
          <w:sz w:val="20"/>
          <w:szCs w:val="20"/>
        </w:rPr>
        <w:tab/>
        <w:t>-268</w:t>
      </w:r>
    </w:p>
    <w:p w14:paraId="33D887A3" w14:textId="77777777" w:rsidR="00C22276" w:rsidRPr="00191B3E" w:rsidRDefault="00C22276" w:rsidP="00C22276">
      <w:pPr>
        <w:jc w:val="both"/>
        <w:rPr>
          <w:rFonts w:cs="Arial"/>
        </w:rPr>
      </w:pPr>
      <w:r w:rsidRPr="00191B3E">
        <w:rPr>
          <w:rFonts w:cs="Arial"/>
        </w:rPr>
        <w:lastRenderedPageBreak/>
        <w:t>The forecast overdraft at 31 January should be negotiated with the bank in advance to secure favourable terms, as it appears that the bank account will be back in a positive at the end of February.</w:t>
      </w:r>
    </w:p>
    <w:p w14:paraId="14D84013" w14:textId="77777777" w:rsidR="00C22276" w:rsidRPr="00191B3E" w:rsidRDefault="00C22276" w:rsidP="00C22276">
      <w:pPr>
        <w:jc w:val="both"/>
        <w:rPr>
          <w:rFonts w:cs="Arial"/>
        </w:rPr>
      </w:pPr>
      <w:r w:rsidRPr="00191B3E">
        <w:rPr>
          <w:rFonts w:cs="Arial"/>
        </w:rPr>
        <w:t xml:space="preserve">The cash situation is forecast to be in a significant deficit of £268k at the end of March.  This comes about because the asset purchase, the dividend and the taxation payment are both scheduled to take place during that month. </w:t>
      </w:r>
    </w:p>
    <w:p w14:paraId="471ED3CC" w14:textId="77777777" w:rsidR="00C22276" w:rsidRPr="00191B3E" w:rsidRDefault="00C22276" w:rsidP="00C22276">
      <w:pPr>
        <w:jc w:val="both"/>
        <w:rPr>
          <w:rFonts w:cs="Arial"/>
        </w:rPr>
      </w:pPr>
      <w:r w:rsidRPr="00191B3E">
        <w:rPr>
          <w:rFonts w:cs="Arial"/>
        </w:rPr>
        <w:t>The company should act immediately to improve the forecast cash position in March by:</w:t>
      </w:r>
    </w:p>
    <w:p w14:paraId="04B00A1C" w14:textId="77777777" w:rsidR="00C22276" w:rsidRPr="00191B3E" w:rsidRDefault="00C22276" w:rsidP="00C22276">
      <w:pPr>
        <w:pStyle w:val="ListParagraph"/>
        <w:numPr>
          <w:ilvl w:val="0"/>
          <w:numId w:val="8"/>
        </w:numPr>
        <w:jc w:val="both"/>
        <w:rPr>
          <w:rFonts w:cs="Arial"/>
        </w:rPr>
      </w:pPr>
      <w:r w:rsidRPr="00191B3E">
        <w:rPr>
          <w:rFonts w:cs="Arial"/>
        </w:rPr>
        <w:t>negotiation with suppliers to secure ongoing longer terms of payment;</w:t>
      </w:r>
    </w:p>
    <w:p w14:paraId="70809535" w14:textId="77777777" w:rsidR="00C22276" w:rsidRPr="00191B3E" w:rsidRDefault="00C22276" w:rsidP="00C22276">
      <w:pPr>
        <w:pStyle w:val="ListParagraph"/>
        <w:numPr>
          <w:ilvl w:val="0"/>
          <w:numId w:val="8"/>
        </w:numPr>
        <w:jc w:val="both"/>
        <w:rPr>
          <w:rFonts w:cs="Arial"/>
        </w:rPr>
      </w:pPr>
      <w:r w:rsidRPr="00191B3E">
        <w:rPr>
          <w:rFonts w:cs="Arial"/>
        </w:rPr>
        <w:t>collecting monies from customers quicker and negotiating shorter terms (they may agree to this to continue receiving supplies, if they believe Alpha could not survive without such an agreement);</w:t>
      </w:r>
    </w:p>
    <w:p w14:paraId="0FE90592" w14:textId="77777777" w:rsidR="00C22276" w:rsidRPr="00191B3E" w:rsidRDefault="00C22276" w:rsidP="00C22276">
      <w:pPr>
        <w:pStyle w:val="ListParagraph"/>
        <w:numPr>
          <w:ilvl w:val="0"/>
          <w:numId w:val="8"/>
        </w:numPr>
        <w:jc w:val="both"/>
        <w:rPr>
          <w:rFonts w:cs="Arial"/>
        </w:rPr>
      </w:pPr>
      <w:r w:rsidRPr="00191B3E">
        <w:rPr>
          <w:rFonts w:cs="Arial"/>
        </w:rPr>
        <w:t>review all costs to see if efficiencies can be made;</w:t>
      </w:r>
    </w:p>
    <w:p w14:paraId="79877A7E" w14:textId="77777777" w:rsidR="00C22276" w:rsidRPr="00191B3E" w:rsidRDefault="00C22276" w:rsidP="00C22276">
      <w:pPr>
        <w:pStyle w:val="ListParagraph"/>
        <w:numPr>
          <w:ilvl w:val="0"/>
          <w:numId w:val="8"/>
        </w:numPr>
        <w:jc w:val="both"/>
        <w:rPr>
          <w:rFonts w:cs="Arial"/>
        </w:rPr>
      </w:pPr>
      <w:r w:rsidRPr="00191B3E">
        <w:rPr>
          <w:rFonts w:cs="Arial"/>
        </w:rPr>
        <w:t>reduce dividend payments which are under the control of the directors;</w:t>
      </w:r>
    </w:p>
    <w:p w14:paraId="5D73266A" w14:textId="77777777" w:rsidR="00C22276" w:rsidRPr="00191B3E" w:rsidRDefault="00C22276" w:rsidP="00C22276">
      <w:pPr>
        <w:pStyle w:val="ListParagraph"/>
        <w:numPr>
          <w:ilvl w:val="0"/>
          <w:numId w:val="8"/>
        </w:numPr>
        <w:jc w:val="both"/>
        <w:rPr>
          <w:rFonts w:cs="Arial"/>
        </w:rPr>
      </w:pPr>
      <w:r w:rsidRPr="00191B3E">
        <w:rPr>
          <w:rFonts w:cs="Arial"/>
        </w:rPr>
        <w:t>negotiating with HMRC to delay the tax instalment;</w:t>
      </w:r>
    </w:p>
    <w:p w14:paraId="2595870D" w14:textId="77777777" w:rsidR="00C22276" w:rsidRPr="00191B3E" w:rsidRDefault="00C22276" w:rsidP="00C22276">
      <w:pPr>
        <w:pStyle w:val="ListParagraph"/>
        <w:numPr>
          <w:ilvl w:val="0"/>
          <w:numId w:val="8"/>
        </w:numPr>
        <w:jc w:val="both"/>
        <w:rPr>
          <w:rFonts w:cs="Arial"/>
        </w:rPr>
      </w:pPr>
      <w:r w:rsidRPr="00191B3E">
        <w:rPr>
          <w:rFonts w:cs="Arial"/>
        </w:rPr>
        <w:t>Negotiate with the supplier of the asset purchase to delay some of the payment.</w:t>
      </w:r>
    </w:p>
    <w:p w14:paraId="746ACFB1" w14:textId="77777777" w:rsidR="00C22276" w:rsidRPr="00191B3E" w:rsidRDefault="00C22276" w:rsidP="00C22276">
      <w:pPr>
        <w:pStyle w:val="ListParagraph"/>
        <w:numPr>
          <w:ilvl w:val="0"/>
          <w:numId w:val="10"/>
        </w:numPr>
        <w:jc w:val="both"/>
        <w:rPr>
          <w:rFonts w:cs="Arial"/>
        </w:rPr>
      </w:pPr>
      <w:r w:rsidRPr="00191B3E">
        <w:rPr>
          <w:rFonts w:cs="Arial"/>
        </w:rPr>
        <w:t xml:space="preserve">Restructure the company’s </w:t>
      </w:r>
      <w:proofErr w:type="gramStart"/>
      <w:r w:rsidRPr="00191B3E">
        <w:rPr>
          <w:rFonts w:cs="Arial"/>
        </w:rPr>
        <w:t>long term</w:t>
      </w:r>
      <w:proofErr w:type="gramEnd"/>
      <w:r w:rsidRPr="00191B3E">
        <w:rPr>
          <w:rFonts w:cs="Arial"/>
        </w:rPr>
        <w:t xml:space="preserve"> finance.</w:t>
      </w:r>
      <w:bookmarkStart w:id="0" w:name="_GoBack"/>
      <w:bookmarkEnd w:id="0"/>
    </w:p>
    <w:sectPr w:rsidR="00C22276" w:rsidRPr="00191B3E" w:rsidSect="005B4073">
      <w:footerReference w:type="default" r:id="rId7"/>
      <w:pgSz w:w="11906" w:h="16838"/>
      <w:pgMar w:top="1276" w:right="1133" w:bottom="1134"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606E3D" w14:textId="77777777" w:rsidR="00CD717B" w:rsidRDefault="00CD717B">
      <w:pPr>
        <w:spacing w:after="0" w:line="240" w:lineRule="auto"/>
      </w:pPr>
      <w:r>
        <w:separator/>
      </w:r>
    </w:p>
  </w:endnote>
  <w:endnote w:type="continuationSeparator" w:id="0">
    <w:p w14:paraId="71F27DF2" w14:textId="77777777" w:rsidR="00CD717B" w:rsidRDefault="00CD7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478542"/>
      <w:docPartObj>
        <w:docPartGallery w:val="Page Numbers (Bottom of Page)"/>
        <w:docPartUnique/>
      </w:docPartObj>
    </w:sdtPr>
    <w:sdtEndPr>
      <w:rPr>
        <w:noProof/>
      </w:rPr>
    </w:sdtEndPr>
    <w:sdtContent>
      <w:p w14:paraId="7E73E1D3" w14:textId="77777777" w:rsidR="00327384" w:rsidRDefault="00C038A7">
        <w:pPr>
          <w:pStyle w:val="Footer"/>
          <w:jc w:val="right"/>
        </w:pPr>
        <w:r>
          <w:fldChar w:fldCharType="begin"/>
        </w:r>
        <w:r>
          <w:instrText xml:space="preserve"> PAGE   \* MERGEFORMAT </w:instrText>
        </w:r>
        <w:r>
          <w:fldChar w:fldCharType="separate"/>
        </w:r>
        <w:r w:rsidR="00C22276">
          <w:rPr>
            <w:noProof/>
          </w:rPr>
          <w:t>1</w:t>
        </w:r>
        <w:r>
          <w:rPr>
            <w:noProof/>
          </w:rPr>
          <w:fldChar w:fldCharType="end"/>
        </w:r>
      </w:p>
    </w:sdtContent>
  </w:sdt>
  <w:p w14:paraId="3EAB6632" w14:textId="77777777" w:rsidR="00327384" w:rsidRDefault="00CD7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7FC1A" w14:textId="77777777" w:rsidR="00CD717B" w:rsidRDefault="00CD717B">
      <w:pPr>
        <w:spacing w:after="0" w:line="240" w:lineRule="auto"/>
      </w:pPr>
      <w:r>
        <w:separator/>
      </w:r>
    </w:p>
  </w:footnote>
  <w:footnote w:type="continuationSeparator" w:id="0">
    <w:p w14:paraId="37B489FD" w14:textId="77777777" w:rsidR="00CD717B" w:rsidRDefault="00CD71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30AAC"/>
    <w:multiLevelType w:val="hybridMultilevel"/>
    <w:tmpl w:val="2CDA0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4745E"/>
    <w:multiLevelType w:val="hybridMultilevel"/>
    <w:tmpl w:val="2B50097A"/>
    <w:lvl w:ilvl="0" w:tplc="04487C76">
      <w:start w:val="1"/>
      <w:numFmt w:val="bullet"/>
      <w:lvlText w:val="•"/>
      <w:lvlJc w:val="left"/>
      <w:pPr>
        <w:tabs>
          <w:tab w:val="num" w:pos="720"/>
        </w:tabs>
        <w:ind w:left="720" w:hanging="360"/>
      </w:pPr>
      <w:rPr>
        <w:rFonts w:ascii="Arial" w:hAnsi="Arial" w:hint="default"/>
      </w:rPr>
    </w:lvl>
    <w:lvl w:ilvl="1" w:tplc="316C61BC" w:tentative="1">
      <w:start w:val="1"/>
      <w:numFmt w:val="bullet"/>
      <w:lvlText w:val="•"/>
      <w:lvlJc w:val="left"/>
      <w:pPr>
        <w:tabs>
          <w:tab w:val="num" w:pos="1440"/>
        </w:tabs>
        <w:ind w:left="1440" w:hanging="360"/>
      </w:pPr>
      <w:rPr>
        <w:rFonts w:ascii="Arial" w:hAnsi="Arial" w:hint="default"/>
      </w:rPr>
    </w:lvl>
    <w:lvl w:ilvl="2" w:tplc="C9985C76" w:tentative="1">
      <w:start w:val="1"/>
      <w:numFmt w:val="bullet"/>
      <w:lvlText w:val="•"/>
      <w:lvlJc w:val="left"/>
      <w:pPr>
        <w:tabs>
          <w:tab w:val="num" w:pos="2160"/>
        </w:tabs>
        <w:ind w:left="2160" w:hanging="360"/>
      </w:pPr>
      <w:rPr>
        <w:rFonts w:ascii="Arial" w:hAnsi="Arial" w:hint="default"/>
      </w:rPr>
    </w:lvl>
    <w:lvl w:ilvl="3" w:tplc="894EE01A" w:tentative="1">
      <w:start w:val="1"/>
      <w:numFmt w:val="bullet"/>
      <w:lvlText w:val="•"/>
      <w:lvlJc w:val="left"/>
      <w:pPr>
        <w:tabs>
          <w:tab w:val="num" w:pos="2880"/>
        </w:tabs>
        <w:ind w:left="2880" w:hanging="360"/>
      </w:pPr>
      <w:rPr>
        <w:rFonts w:ascii="Arial" w:hAnsi="Arial" w:hint="default"/>
      </w:rPr>
    </w:lvl>
    <w:lvl w:ilvl="4" w:tplc="DD6C02DA" w:tentative="1">
      <w:start w:val="1"/>
      <w:numFmt w:val="bullet"/>
      <w:lvlText w:val="•"/>
      <w:lvlJc w:val="left"/>
      <w:pPr>
        <w:tabs>
          <w:tab w:val="num" w:pos="3600"/>
        </w:tabs>
        <w:ind w:left="3600" w:hanging="360"/>
      </w:pPr>
      <w:rPr>
        <w:rFonts w:ascii="Arial" w:hAnsi="Arial" w:hint="default"/>
      </w:rPr>
    </w:lvl>
    <w:lvl w:ilvl="5" w:tplc="AA12E15E" w:tentative="1">
      <w:start w:val="1"/>
      <w:numFmt w:val="bullet"/>
      <w:lvlText w:val="•"/>
      <w:lvlJc w:val="left"/>
      <w:pPr>
        <w:tabs>
          <w:tab w:val="num" w:pos="4320"/>
        </w:tabs>
        <w:ind w:left="4320" w:hanging="360"/>
      </w:pPr>
      <w:rPr>
        <w:rFonts w:ascii="Arial" w:hAnsi="Arial" w:hint="default"/>
      </w:rPr>
    </w:lvl>
    <w:lvl w:ilvl="6" w:tplc="6B065A18" w:tentative="1">
      <w:start w:val="1"/>
      <w:numFmt w:val="bullet"/>
      <w:lvlText w:val="•"/>
      <w:lvlJc w:val="left"/>
      <w:pPr>
        <w:tabs>
          <w:tab w:val="num" w:pos="5040"/>
        </w:tabs>
        <w:ind w:left="5040" w:hanging="360"/>
      </w:pPr>
      <w:rPr>
        <w:rFonts w:ascii="Arial" w:hAnsi="Arial" w:hint="default"/>
      </w:rPr>
    </w:lvl>
    <w:lvl w:ilvl="7" w:tplc="CF56CC40" w:tentative="1">
      <w:start w:val="1"/>
      <w:numFmt w:val="bullet"/>
      <w:lvlText w:val="•"/>
      <w:lvlJc w:val="left"/>
      <w:pPr>
        <w:tabs>
          <w:tab w:val="num" w:pos="5760"/>
        </w:tabs>
        <w:ind w:left="5760" w:hanging="360"/>
      </w:pPr>
      <w:rPr>
        <w:rFonts w:ascii="Arial" w:hAnsi="Arial" w:hint="default"/>
      </w:rPr>
    </w:lvl>
    <w:lvl w:ilvl="8" w:tplc="64ACA47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800008"/>
    <w:multiLevelType w:val="hybridMultilevel"/>
    <w:tmpl w:val="E2045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449FC"/>
    <w:multiLevelType w:val="hybridMultilevel"/>
    <w:tmpl w:val="3BEA0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430C8"/>
    <w:multiLevelType w:val="hybridMultilevel"/>
    <w:tmpl w:val="4D982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3718D5"/>
    <w:multiLevelType w:val="hybridMultilevel"/>
    <w:tmpl w:val="D39C8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E63E92"/>
    <w:multiLevelType w:val="hybridMultilevel"/>
    <w:tmpl w:val="74B4B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982E1F"/>
    <w:multiLevelType w:val="hybridMultilevel"/>
    <w:tmpl w:val="178EF47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541EB5"/>
    <w:multiLevelType w:val="hybridMultilevel"/>
    <w:tmpl w:val="2578B56C"/>
    <w:lvl w:ilvl="0" w:tplc="A412AF72">
      <w:start w:val="1"/>
      <w:numFmt w:val="lowerLetter"/>
      <w:lvlText w:val="(%1)"/>
      <w:lvlJc w:val="left"/>
      <w:pPr>
        <w:ind w:left="121" w:hanging="360"/>
      </w:pPr>
      <w:rPr>
        <w:rFonts w:hint="default"/>
      </w:rPr>
    </w:lvl>
    <w:lvl w:ilvl="1" w:tplc="08090019" w:tentative="1">
      <w:start w:val="1"/>
      <w:numFmt w:val="lowerLetter"/>
      <w:lvlText w:val="%2."/>
      <w:lvlJc w:val="left"/>
      <w:pPr>
        <w:ind w:left="841" w:hanging="360"/>
      </w:pPr>
    </w:lvl>
    <w:lvl w:ilvl="2" w:tplc="0809001B" w:tentative="1">
      <w:start w:val="1"/>
      <w:numFmt w:val="lowerRoman"/>
      <w:lvlText w:val="%3."/>
      <w:lvlJc w:val="right"/>
      <w:pPr>
        <w:ind w:left="1561" w:hanging="180"/>
      </w:pPr>
    </w:lvl>
    <w:lvl w:ilvl="3" w:tplc="0809000F" w:tentative="1">
      <w:start w:val="1"/>
      <w:numFmt w:val="decimal"/>
      <w:lvlText w:val="%4."/>
      <w:lvlJc w:val="left"/>
      <w:pPr>
        <w:ind w:left="2281" w:hanging="360"/>
      </w:pPr>
    </w:lvl>
    <w:lvl w:ilvl="4" w:tplc="08090019" w:tentative="1">
      <w:start w:val="1"/>
      <w:numFmt w:val="lowerLetter"/>
      <w:lvlText w:val="%5."/>
      <w:lvlJc w:val="left"/>
      <w:pPr>
        <w:ind w:left="3001" w:hanging="360"/>
      </w:pPr>
    </w:lvl>
    <w:lvl w:ilvl="5" w:tplc="0809001B" w:tentative="1">
      <w:start w:val="1"/>
      <w:numFmt w:val="lowerRoman"/>
      <w:lvlText w:val="%6."/>
      <w:lvlJc w:val="right"/>
      <w:pPr>
        <w:ind w:left="3721" w:hanging="180"/>
      </w:pPr>
    </w:lvl>
    <w:lvl w:ilvl="6" w:tplc="0809000F" w:tentative="1">
      <w:start w:val="1"/>
      <w:numFmt w:val="decimal"/>
      <w:lvlText w:val="%7."/>
      <w:lvlJc w:val="left"/>
      <w:pPr>
        <w:ind w:left="4441" w:hanging="360"/>
      </w:pPr>
    </w:lvl>
    <w:lvl w:ilvl="7" w:tplc="08090019" w:tentative="1">
      <w:start w:val="1"/>
      <w:numFmt w:val="lowerLetter"/>
      <w:lvlText w:val="%8."/>
      <w:lvlJc w:val="left"/>
      <w:pPr>
        <w:ind w:left="5161" w:hanging="360"/>
      </w:pPr>
    </w:lvl>
    <w:lvl w:ilvl="8" w:tplc="0809001B" w:tentative="1">
      <w:start w:val="1"/>
      <w:numFmt w:val="lowerRoman"/>
      <w:lvlText w:val="%9."/>
      <w:lvlJc w:val="right"/>
      <w:pPr>
        <w:ind w:left="5881" w:hanging="180"/>
      </w:pPr>
    </w:lvl>
  </w:abstractNum>
  <w:abstractNum w:abstractNumId="9" w15:restartNumberingAfterBreak="0">
    <w:nsid w:val="7AC474AC"/>
    <w:multiLevelType w:val="hybridMultilevel"/>
    <w:tmpl w:val="765C1016"/>
    <w:lvl w:ilvl="0" w:tplc="FC90C78E">
      <w:start w:val="1"/>
      <w:numFmt w:val="bullet"/>
      <w:lvlText w:val="•"/>
      <w:lvlJc w:val="left"/>
      <w:pPr>
        <w:tabs>
          <w:tab w:val="num" w:pos="720"/>
        </w:tabs>
        <w:ind w:left="720" w:hanging="360"/>
      </w:pPr>
      <w:rPr>
        <w:rFonts w:ascii="Arial" w:hAnsi="Arial" w:hint="default"/>
      </w:rPr>
    </w:lvl>
    <w:lvl w:ilvl="1" w:tplc="32D231F8">
      <w:start w:val="2339"/>
      <w:numFmt w:val="bullet"/>
      <w:lvlText w:val="–"/>
      <w:lvlJc w:val="left"/>
      <w:pPr>
        <w:tabs>
          <w:tab w:val="num" w:pos="1440"/>
        </w:tabs>
        <w:ind w:left="1440" w:hanging="360"/>
      </w:pPr>
      <w:rPr>
        <w:rFonts w:ascii="Arial" w:hAnsi="Arial" w:hint="default"/>
      </w:rPr>
    </w:lvl>
    <w:lvl w:ilvl="2" w:tplc="3CA4D908" w:tentative="1">
      <w:start w:val="1"/>
      <w:numFmt w:val="bullet"/>
      <w:lvlText w:val="•"/>
      <w:lvlJc w:val="left"/>
      <w:pPr>
        <w:tabs>
          <w:tab w:val="num" w:pos="2160"/>
        </w:tabs>
        <w:ind w:left="2160" w:hanging="360"/>
      </w:pPr>
      <w:rPr>
        <w:rFonts w:ascii="Arial" w:hAnsi="Arial" w:hint="default"/>
      </w:rPr>
    </w:lvl>
    <w:lvl w:ilvl="3" w:tplc="C8783EC4" w:tentative="1">
      <w:start w:val="1"/>
      <w:numFmt w:val="bullet"/>
      <w:lvlText w:val="•"/>
      <w:lvlJc w:val="left"/>
      <w:pPr>
        <w:tabs>
          <w:tab w:val="num" w:pos="2880"/>
        </w:tabs>
        <w:ind w:left="2880" w:hanging="360"/>
      </w:pPr>
      <w:rPr>
        <w:rFonts w:ascii="Arial" w:hAnsi="Arial" w:hint="default"/>
      </w:rPr>
    </w:lvl>
    <w:lvl w:ilvl="4" w:tplc="305CCAA4" w:tentative="1">
      <w:start w:val="1"/>
      <w:numFmt w:val="bullet"/>
      <w:lvlText w:val="•"/>
      <w:lvlJc w:val="left"/>
      <w:pPr>
        <w:tabs>
          <w:tab w:val="num" w:pos="3600"/>
        </w:tabs>
        <w:ind w:left="3600" w:hanging="360"/>
      </w:pPr>
      <w:rPr>
        <w:rFonts w:ascii="Arial" w:hAnsi="Arial" w:hint="default"/>
      </w:rPr>
    </w:lvl>
    <w:lvl w:ilvl="5" w:tplc="6F3E11BC" w:tentative="1">
      <w:start w:val="1"/>
      <w:numFmt w:val="bullet"/>
      <w:lvlText w:val="•"/>
      <w:lvlJc w:val="left"/>
      <w:pPr>
        <w:tabs>
          <w:tab w:val="num" w:pos="4320"/>
        </w:tabs>
        <w:ind w:left="4320" w:hanging="360"/>
      </w:pPr>
      <w:rPr>
        <w:rFonts w:ascii="Arial" w:hAnsi="Arial" w:hint="default"/>
      </w:rPr>
    </w:lvl>
    <w:lvl w:ilvl="6" w:tplc="B0A0694E" w:tentative="1">
      <w:start w:val="1"/>
      <w:numFmt w:val="bullet"/>
      <w:lvlText w:val="•"/>
      <w:lvlJc w:val="left"/>
      <w:pPr>
        <w:tabs>
          <w:tab w:val="num" w:pos="5040"/>
        </w:tabs>
        <w:ind w:left="5040" w:hanging="360"/>
      </w:pPr>
      <w:rPr>
        <w:rFonts w:ascii="Arial" w:hAnsi="Arial" w:hint="default"/>
      </w:rPr>
    </w:lvl>
    <w:lvl w:ilvl="7" w:tplc="400C8CCE" w:tentative="1">
      <w:start w:val="1"/>
      <w:numFmt w:val="bullet"/>
      <w:lvlText w:val="•"/>
      <w:lvlJc w:val="left"/>
      <w:pPr>
        <w:tabs>
          <w:tab w:val="num" w:pos="5760"/>
        </w:tabs>
        <w:ind w:left="5760" w:hanging="360"/>
      </w:pPr>
      <w:rPr>
        <w:rFonts w:ascii="Arial" w:hAnsi="Arial" w:hint="default"/>
      </w:rPr>
    </w:lvl>
    <w:lvl w:ilvl="8" w:tplc="4DFC4E9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9"/>
  </w:num>
  <w:num w:numId="3">
    <w:abstractNumId w:val="7"/>
  </w:num>
  <w:num w:numId="4">
    <w:abstractNumId w:val="5"/>
  </w:num>
  <w:num w:numId="5">
    <w:abstractNumId w:val="8"/>
  </w:num>
  <w:num w:numId="6">
    <w:abstractNumId w:val="4"/>
  </w:num>
  <w:num w:numId="7">
    <w:abstractNumId w:val="0"/>
  </w:num>
  <w:num w:numId="8">
    <w:abstractNumId w:val="2"/>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8A7"/>
    <w:rsid w:val="003609F1"/>
    <w:rsid w:val="005646E2"/>
    <w:rsid w:val="009152BE"/>
    <w:rsid w:val="00A124F9"/>
    <w:rsid w:val="00A81DE9"/>
    <w:rsid w:val="00C038A7"/>
    <w:rsid w:val="00C13884"/>
    <w:rsid w:val="00C22276"/>
    <w:rsid w:val="00CD717B"/>
    <w:rsid w:val="00CE6812"/>
    <w:rsid w:val="00CF6B3C"/>
    <w:rsid w:val="00D32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FD29D"/>
  <w15:docId w15:val="{9A70FC6E-2FEC-4DE9-9E66-B73A9564A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8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8A7"/>
    <w:pPr>
      <w:ind w:left="720"/>
      <w:contextualSpacing/>
    </w:pPr>
  </w:style>
  <w:style w:type="paragraph" w:styleId="Footer">
    <w:name w:val="footer"/>
    <w:basedOn w:val="Normal"/>
    <w:link w:val="FooterChar"/>
    <w:uiPriority w:val="99"/>
    <w:unhideWhenUsed/>
    <w:rsid w:val="00C03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8A7"/>
  </w:style>
  <w:style w:type="table" w:styleId="TableGrid">
    <w:name w:val="Table Grid"/>
    <w:basedOn w:val="TableNormal"/>
    <w:uiPriority w:val="59"/>
    <w:rsid w:val="00D32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518</Words>
  <Characters>2958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2</cp:revision>
  <dcterms:created xsi:type="dcterms:W3CDTF">2020-03-30T16:13:00Z</dcterms:created>
  <dcterms:modified xsi:type="dcterms:W3CDTF">2020-03-30T16:13:00Z</dcterms:modified>
</cp:coreProperties>
</file>