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34D64A91"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94499E" w:rsidRPr="0094499E">
              <w:rPr>
                <w:rFonts w:ascii="Times New Roman" w:hAnsi="Times New Roman" w:cs="Times New Roman"/>
                <w:bCs/>
                <w:color w:val="auto"/>
                <w:sz w:val="48"/>
              </w:rPr>
              <w:t>Helen Tanner</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3F7B748E"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94499E" w:rsidRPr="0094499E">
              <w:rPr>
                <w:rFonts w:ascii="Times New Roman" w:hAnsi="Times New Roman" w:cs="Times New Roman"/>
                <w:bCs/>
                <w:color w:val="auto"/>
                <w:sz w:val="48"/>
              </w:rPr>
              <w:t>helen.tanner@powys.gov.uk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35AF5DE4"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94499E" w:rsidRPr="0094499E">
              <w:rPr>
                <w:rFonts w:ascii="Times New Roman" w:hAnsi="Times New Roman" w:cs="Times New Roman"/>
                <w:bCs/>
                <w:color w:val="auto"/>
                <w:sz w:val="48"/>
              </w:rPr>
              <w:t>24</w:t>
            </w:r>
            <w:r w:rsidR="0094499E">
              <w:rPr>
                <w:rFonts w:ascii="Times New Roman" w:hAnsi="Times New Roman" w:cs="Times New Roman"/>
                <w:bCs/>
                <w:color w:val="auto"/>
                <w:sz w:val="48"/>
              </w:rPr>
              <w:t>16654</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048C9EAF"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B037B0">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r>
        <w:rPr>
          <w:b/>
          <w:color w:val="auto"/>
          <w:sz w:val="24"/>
          <w:szCs w:val="24"/>
        </w:rPr>
        <w:t>Guidance</w:t>
      </w:r>
      <w:r w:rsidR="00084DA6">
        <w:rPr>
          <w:b/>
          <w:color w:val="auto"/>
          <w:sz w:val="24"/>
          <w:szCs w:val="24"/>
        </w:rPr>
        <w:t>;</w:t>
      </w:r>
    </w:p>
    <w:p w14:paraId="104AED32" w14:textId="11F293C2"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w:t>
      </w:r>
      <w:r w:rsidR="6D1B720D" w:rsidRPr="00A5656A">
        <w:rPr>
          <w:i/>
          <w:iCs/>
          <w:sz w:val="24"/>
          <w:szCs w:val="24"/>
        </w:rPr>
        <w:t>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F8A7CA5" w14:textId="6EDC9DFB" w:rsidR="008D5999" w:rsidRDefault="008D5999" w:rsidP="00064063">
            <w:pPr>
              <w:jc w:val="both"/>
              <w:rPr>
                <w:sz w:val="24"/>
                <w:szCs w:val="24"/>
              </w:rPr>
            </w:pPr>
          </w:p>
          <w:p w14:paraId="20A5906F" w14:textId="77777777" w:rsidR="008D5999" w:rsidRDefault="008D5999" w:rsidP="00064063">
            <w:pPr>
              <w:jc w:val="both"/>
              <w:rPr>
                <w:sz w:val="24"/>
                <w:szCs w:val="24"/>
              </w:rPr>
            </w:pPr>
          </w:p>
          <w:p w14:paraId="51AF4546" w14:textId="476CB9AF"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701D8D4D" w14:textId="38C2B218" w:rsidR="00D3203C" w:rsidRDefault="00D3203C" w:rsidP="00FF7EBB">
            <w:pPr>
              <w:jc w:val="both"/>
              <w:rPr>
                <w:i/>
                <w:sz w:val="24"/>
                <w:szCs w:val="24"/>
              </w:rPr>
            </w:pPr>
          </w:p>
          <w:p w14:paraId="14924E0E" w14:textId="77777777" w:rsidR="000A5A1A" w:rsidRPr="000A5A1A" w:rsidRDefault="000A5A1A" w:rsidP="000A5A1A">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0A5A1A">
              <w:rPr>
                <w:rFonts w:ascii="Aptos" w:eastAsia="Aptos" w:hAnsi="Aptos" w:cs="Times New Roman"/>
                <w:color w:val="auto"/>
                <w:kern w:val="2"/>
                <w:sz w:val="24"/>
                <w:szCs w:val="24"/>
                <w:lang w:eastAsia="en-US"/>
                <w14:ligatures w14:val="standardContextual"/>
              </w:rPr>
              <w:t xml:space="preserve">I completed a viability assessment with a child’s social worker to determine whether the maternal aunt and uncle of a four-year-old girl could provide safe and appropriate care. This followed significant safeguarding concerns, including chronic neglect and physical harm, previously investigated under Section 47 of the Children Act 1989. In Wales, such assessments are conducted within the framework of the Social Services and Well-being (Wales) Act 2014, which placed the child’s well-being and safety at the centre of care planning. </w:t>
            </w:r>
          </w:p>
          <w:p w14:paraId="4BC92BED" w14:textId="77777777" w:rsidR="000A5A1A" w:rsidRPr="000A5A1A" w:rsidRDefault="000A5A1A" w:rsidP="000A5A1A">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0A5A1A">
              <w:rPr>
                <w:rFonts w:ascii="Aptos" w:eastAsia="Aptos" w:hAnsi="Aptos" w:cs="Times New Roman"/>
                <w:color w:val="auto"/>
                <w:kern w:val="2"/>
                <w:sz w:val="24"/>
                <w:szCs w:val="24"/>
                <w:lang w:eastAsia="en-US"/>
                <w14:ligatures w14:val="standardContextual"/>
              </w:rPr>
              <w:t xml:space="preserve">In line with the Code of Practice on Assessing Care and Support Needs (Welsh Government, 2015), the assessment was person-centred, proportionate, and focused on achieving well-being outcomes. This ensured that the family members could meet the child’s needs safely and effectively. The General Social Care Functions Code of Practice (Welsh Government, 2024) further reinforces the importance of safeguarding, dignity, and respect in all decisions made by social care professionals. Adherence to these codes underpins professional judgement and accountability. A failure to assess with due diligence and scrutiny could undermine the child’s safety and well-being and compromise the integrity of the legal framework. </w:t>
            </w:r>
          </w:p>
          <w:p w14:paraId="7FA70FD1" w14:textId="77777777" w:rsidR="000A5A1A" w:rsidRPr="000A5A1A" w:rsidRDefault="000A5A1A" w:rsidP="000A5A1A">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0A5A1A">
              <w:rPr>
                <w:rFonts w:ascii="Aptos" w:eastAsia="Aptos" w:hAnsi="Aptos" w:cs="Times New Roman"/>
                <w:color w:val="auto"/>
                <w:kern w:val="2"/>
                <w:sz w:val="24"/>
                <w:szCs w:val="24"/>
                <w:lang w:eastAsia="en-US"/>
                <w14:ligatures w14:val="standardContextual"/>
              </w:rPr>
              <w:t xml:space="preserve">The assessment was structured using the Coram BAAF Form C Wales, (Connected Persons, 2022) which provides a framework for evaluating connected persons fostering arrangements (CoramBAAF, 2022) and considered historical safeguarding information, current risks, and the </w:t>
            </w:r>
            <w:r w:rsidRPr="000A5A1A">
              <w:rPr>
                <w:rFonts w:ascii="Aptos" w:eastAsia="Aptos" w:hAnsi="Aptos" w:cs="Times New Roman"/>
                <w:color w:val="auto"/>
                <w:kern w:val="2"/>
                <w:sz w:val="24"/>
                <w:szCs w:val="24"/>
                <w:lang w:eastAsia="en-US"/>
                <w14:ligatures w14:val="standardContextual"/>
              </w:rPr>
              <w:lastRenderedPageBreak/>
              <w:t xml:space="preserve">couple’s capacity to meet the child’s individual needs. The Care Planning, Placement and Case Review (Wales) Regulations 2015 Regulation 26-28 sets out the arrangements for the placement of a child with a connected person and Schedule 5 of these regulations sets out the matters that need to be considered when assessing the suitability of a connected person. </w:t>
            </w:r>
          </w:p>
          <w:p w14:paraId="4716B445" w14:textId="77777777" w:rsidR="000A5A1A" w:rsidRPr="000A5A1A" w:rsidRDefault="000A5A1A" w:rsidP="000A5A1A">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0A5A1A">
              <w:rPr>
                <w:rFonts w:ascii="Aptos" w:eastAsia="Aptos" w:hAnsi="Aptos" w:cs="Times New Roman"/>
                <w:color w:val="auto"/>
                <w:kern w:val="2"/>
                <w:sz w:val="24"/>
                <w:szCs w:val="24"/>
                <w:lang w:eastAsia="en-US"/>
                <w14:ligatures w14:val="standardContextual"/>
              </w:rPr>
              <w:t xml:space="preserve">Consideration was given to the use of Regulation 26 of the Care planning, Placement and Case Review (Wales) Regulations 2015 which allows for the immediate placement of a child alongside temporary approval of connected carers. However, in this case there was no existing relationship with the child, and at the time their home environment was unsuitable therefore and immediate placement was not considered appropriate, but the suitability of the family members would be assessed through a full connected carers assessment. </w:t>
            </w:r>
          </w:p>
          <w:p w14:paraId="4D0E91E8" w14:textId="77777777" w:rsidR="000A5A1A" w:rsidRPr="000A5A1A" w:rsidRDefault="000A5A1A" w:rsidP="000A5A1A">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0A5A1A">
              <w:rPr>
                <w:rFonts w:ascii="Aptos" w:eastAsia="Aptos" w:hAnsi="Aptos" w:cs="Times New Roman"/>
                <w:color w:val="auto"/>
                <w:kern w:val="2"/>
                <w:sz w:val="24"/>
                <w:szCs w:val="24"/>
                <w:lang w:eastAsia="en-US"/>
                <w14:ligatures w14:val="standardContextual"/>
              </w:rPr>
              <w:t xml:space="preserve">Whilst family placements should be considered as the preferred option, it must be balanced against safeguarding legislation and the child’s best interests. The decision to place the child under Regulation 26 of the Care Planning, Placement and Case Review (Wales) Regulations 2015 must ensure that temporary placements do not compromise safety. This legislation is unique to Wales and reflects the principles of well-being, protection, and the Active Offer. Safeguarding legislation and guidance were central to the assessment process. The Children Act 1989 and 2004, the United Nations Convention on the Rights of the Child (UNCRC), and the Welsh Safeguarding Procedures (2019) informed the child’s right to safety, stability, and family life. The Working Together to Safeguard People Code of Practice (2022) reinforced the need for multi-agency collaboration, especially given that historical safeguarding concerns were present. </w:t>
            </w:r>
          </w:p>
          <w:p w14:paraId="43005F20" w14:textId="77777777" w:rsidR="000A5A1A" w:rsidRPr="000A5A1A" w:rsidRDefault="000A5A1A" w:rsidP="000A5A1A">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0A5A1A">
              <w:rPr>
                <w:rFonts w:ascii="Aptos" w:eastAsia="Aptos" w:hAnsi="Aptos" w:cs="Times New Roman"/>
                <w:color w:val="auto"/>
                <w:kern w:val="2"/>
                <w:sz w:val="24"/>
                <w:szCs w:val="24"/>
                <w:lang w:eastAsia="en-US"/>
                <w14:ligatures w14:val="standardContextual"/>
              </w:rPr>
              <w:t xml:space="preserve">This experience made me question how historical safeguarding concerns are integrated into current assessments and how they can influence decision-making. The child’s previous exposure to harm required me to critically evaluate the protective capacity of the proposed carers to meet the child’s physical and emotional needs based on her experiences of childhood trauma. </w:t>
            </w:r>
          </w:p>
          <w:p w14:paraId="004E3368" w14:textId="77777777" w:rsidR="000A5A1A" w:rsidRPr="000A5A1A" w:rsidRDefault="000A5A1A" w:rsidP="000A5A1A">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0A5A1A">
              <w:rPr>
                <w:rFonts w:ascii="Aptos" w:eastAsia="Aptos" w:hAnsi="Aptos" w:cs="Times New Roman"/>
                <w:color w:val="auto"/>
                <w:kern w:val="2"/>
                <w:sz w:val="24"/>
                <w:szCs w:val="24"/>
                <w:lang w:eastAsia="en-US"/>
                <w14:ligatures w14:val="standardContextual"/>
              </w:rPr>
              <w:t xml:space="preserve">I applied a structured approach to risk and protection within the family network, guided by The Wales Safeguarding Procedures (2019) with an emphasis on professional judgement, multi-agency collaboration, and the child’s voice. To explore the carers potential for change, I used Kolb’s Experiential Learning Theory (1984) to assess whether they had reflected on past failures and demonstrated learning that could support safer caregiving. </w:t>
            </w:r>
          </w:p>
          <w:p w14:paraId="5316DC05" w14:textId="77777777" w:rsidR="000A5A1A" w:rsidRPr="000A5A1A" w:rsidRDefault="000A5A1A" w:rsidP="000A5A1A">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0A5A1A">
              <w:rPr>
                <w:rFonts w:ascii="Aptos" w:eastAsia="Aptos" w:hAnsi="Aptos" w:cs="Times New Roman"/>
                <w:color w:val="auto"/>
                <w:kern w:val="2"/>
                <w:sz w:val="24"/>
                <w:szCs w:val="24"/>
                <w:lang w:eastAsia="en-US"/>
                <w14:ligatures w14:val="standardContextual"/>
              </w:rPr>
              <w:t xml:space="preserve">I considered how legislative frameworks guide our practice and how they must be actively applied rather than passively referenced. The Violence Against Women, Domestic Abuse and Sexual Violence (Wales) Act 2015 was also considered in relation to the couple’s ability to provide a safe, non-violent environment. I recognised that safeguarding is not just about the </w:t>
            </w:r>
            <w:r w:rsidRPr="000A5A1A">
              <w:rPr>
                <w:rFonts w:ascii="Aptos" w:eastAsia="Aptos" w:hAnsi="Aptos" w:cs="Times New Roman"/>
                <w:color w:val="auto"/>
                <w:kern w:val="2"/>
                <w:sz w:val="24"/>
                <w:szCs w:val="24"/>
                <w:lang w:eastAsia="en-US"/>
                <w14:ligatures w14:val="standardContextual"/>
              </w:rPr>
              <w:lastRenderedPageBreak/>
              <w:t xml:space="preserve">absence of risk but also about the presence of protective factors and resilience within the family system. </w:t>
            </w:r>
          </w:p>
          <w:p w14:paraId="2F039159" w14:textId="77777777" w:rsidR="000A5A1A" w:rsidRPr="000A5A1A" w:rsidRDefault="000A5A1A" w:rsidP="000A5A1A">
            <w:pPr>
              <w:overflowPunct/>
              <w:autoSpaceDE/>
              <w:autoSpaceDN/>
              <w:adjustRightInd/>
              <w:spacing w:after="160" w:line="278" w:lineRule="auto"/>
              <w:textAlignment w:val="auto"/>
              <w:rPr>
                <w:rFonts w:ascii="Aptos" w:eastAsia="Aptos" w:hAnsi="Aptos" w:cs="Times New Roman"/>
                <w:b/>
                <w:bCs/>
                <w:color w:val="EE0000"/>
                <w:kern w:val="2"/>
                <w:sz w:val="24"/>
                <w:szCs w:val="24"/>
                <w:lang w:eastAsia="en-US"/>
                <w14:ligatures w14:val="standardContextual"/>
              </w:rPr>
            </w:pPr>
            <w:r w:rsidRPr="000A5A1A">
              <w:rPr>
                <w:rFonts w:ascii="Aptos" w:eastAsia="Aptos" w:hAnsi="Aptos" w:cs="Times New Roman"/>
                <w:kern w:val="2"/>
                <w:sz w:val="24"/>
                <w:szCs w:val="24"/>
                <w:lang w:eastAsia="en-US"/>
                <w14:ligatures w14:val="standardContextual"/>
              </w:rPr>
              <w:t>. Mezirow’s Transformative Learning Theory (1991) further supported analysis of whether the carers had critically re-evaluated their beliefs and assumptions about safeguarding. The Social Services and Well-being (Wales) Act 2014 guided the assessment, reinforcing the importance of promoting well-being, preventing harm, and ensuring person-centred care. By integrating safeguarding policy with learning theory enabled a holistic and reflective assessment of the carers’ current capacity to provide a safe and nurturing environment.</w:t>
            </w:r>
          </w:p>
          <w:p w14:paraId="36EBC9EA" w14:textId="77777777" w:rsidR="000A5A1A" w:rsidRPr="000A5A1A" w:rsidRDefault="000A5A1A" w:rsidP="000A5A1A">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0A5A1A">
              <w:rPr>
                <w:rFonts w:ascii="Aptos" w:eastAsia="Aptos" w:hAnsi="Aptos" w:cs="Times New Roman"/>
                <w:color w:val="auto"/>
                <w:kern w:val="2"/>
                <w:sz w:val="24"/>
                <w:szCs w:val="24"/>
                <w:lang w:eastAsia="en-US"/>
                <w14:ligatures w14:val="standardContextual"/>
              </w:rPr>
              <w:t xml:space="preserve">Research suggests (Welsh Government Report for Placement Outcomes, 2018) that Kinship placements often have more stable and improved long term outcomes when children are placed with Kinship carers. Assessing family members comes with its challenges. Family members often have strong emotional ties to both the child and the birth parents. Safeguarding may be compromised if the person has conflicted loyalties which may lead to minimising concerns, resisting interventions or being unable to prioritise the child’s safety over family unity. I was required to navigate the family dynamics sensitively while maintaining a clear focus on the child’s welfare. Unlike foster carers, connected carers may not have actively chosen to take on the role of primary care giver. Carer motivation, willingness, and ability to provide long-term care to the child as well as their understanding of safeguarding responsibilities are all factors that needed to be considered in the assessment. </w:t>
            </w:r>
          </w:p>
          <w:p w14:paraId="0EADF3E5" w14:textId="77777777" w:rsidR="000A5A1A" w:rsidRPr="000A5A1A" w:rsidRDefault="000A5A1A" w:rsidP="000A5A1A">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0A5A1A">
              <w:rPr>
                <w:rFonts w:ascii="Aptos" w:eastAsia="Aptos" w:hAnsi="Aptos" w:cs="Times New Roman"/>
                <w:color w:val="auto"/>
                <w:kern w:val="2"/>
                <w:sz w:val="24"/>
                <w:szCs w:val="24"/>
                <w:lang w:eastAsia="en-US"/>
                <w14:ligatures w14:val="standardContextual"/>
              </w:rPr>
              <w:t>Under Article 8 of the Human Rights Act 1998, both the child and their family have a right to respect for private and family life. However, this right may be lawfully restricted when necessary to safeguard the child, particularly in cases involving abuse or neglect. My role involved ensuring that any intervention was proportionate, justified, and aligned with legal obligations. Assessing family members as potential foster carers is a complex area of practice. It requires balancing the child’s right to safety with their right to maintain family connections. Relatives may offer emotional continuity, but their existing relationships can challenge the objectivity and boundaries required in fostering. The assessment must determine whether they can prioritise the child’s safety and emotional well-being above familial loyalties, which may demand significant behavioural and relational shifts.</w:t>
            </w:r>
          </w:p>
          <w:p w14:paraId="42726285" w14:textId="77777777" w:rsidR="000A5A1A" w:rsidRPr="000A5A1A" w:rsidRDefault="000A5A1A" w:rsidP="000A5A1A">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0A5A1A">
              <w:rPr>
                <w:rFonts w:ascii="Aptos" w:eastAsia="Aptos" w:hAnsi="Aptos" w:cs="Times New Roman"/>
                <w:color w:val="auto"/>
                <w:kern w:val="2"/>
                <w:sz w:val="24"/>
                <w:szCs w:val="24"/>
                <w:lang w:eastAsia="en-US"/>
                <w14:ligatures w14:val="standardContextual"/>
              </w:rPr>
              <w:t xml:space="preserve">If it is determined that a child cannot live within their family, then permanency would need to be sought through long-term fostering or through adoption. Both options bring with them complex challenges in respect of human rights; adoption which severs the legal connection between a child and their birth parents, and long-term fostering resulting in ongoing statutory involvement. Practitioners must carefully balance these complexities. These complex decisions in respect of permanency planning are supported through Case Law, for example Re B-S (Children) 2014 which sets out the requirement for robust analysis prior to the decision to separate a child from </w:t>
            </w:r>
            <w:r w:rsidRPr="000A5A1A">
              <w:rPr>
                <w:rFonts w:ascii="Aptos" w:eastAsia="Aptos" w:hAnsi="Aptos" w:cs="Times New Roman"/>
                <w:color w:val="auto"/>
                <w:kern w:val="2"/>
                <w:sz w:val="24"/>
                <w:szCs w:val="24"/>
                <w:lang w:eastAsia="en-US"/>
                <w14:ligatures w14:val="standardContextual"/>
              </w:rPr>
              <w:lastRenderedPageBreak/>
              <w:t xml:space="preserve">their birth family. Connected carer assessments are a critical part of the decision making in respect of the permanency planning for a child. </w:t>
            </w:r>
          </w:p>
          <w:p w14:paraId="393A6959" w14:textId="77777777" w:rsidR="000A5A1A" w:rsidRPr="000A5A1A" w:rsidRDefault="000A5A1A" w:rsidP="000A5A1A">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0A5A1A">
              <w:rPr>
                <w:rFonts w:ascii="Aptos" w:eastAsia="Aptos" w:hAnsi="Aptos" w:cs="Times New Roman"/>
                <w:color w:val="auto"/>
                <w:kern w:val="2"/>
                <w:sz w:val="24"/>
                <w:szCs w:val="24"/>
                <w:lang w:eastAsia="en-US"/>
                <w14:ligatures w14:val="standardContextual"/>
              </w:rPr>
              <w:t xml:space="preserve">When evaluating the strengths of placing children with family members I considered the child’s emotional stability as children often feel more secure and less disrupted when placed with familiar people. Family carers are more likely to maintain the child’s cultural, religious, and linguistic background and remaining within the family network can reduce the impact of trauma and mitigate feelings of abandonment or loss. </w:t>
            </w:r>
          </w:p>
          <w:p w14:paraId="10E85DCA" w14:textId="77777777" w:rsidR="000A5A1A" w:rsidRPr="000A5A1A" w:rsidRDefault="000A5A1A" w:rsidP="000A5A1A">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0A5A1A">
              <w:rPr>
                <w:rFonts w:ascii="Aptos" w:eastAsia="Aptos" w:hAnsi="Aptos" w:cs="Times New Roman"/>
                <w:color w:val="auto"/>
                <w:kern w:val="2"/>
                <w:sz w:val="24"/>
                <w:szCs w:val="24"/>
                <w:lang w:eastAsia="en-US"/>
                <w14:ligatures w14:val="standardContextual"/>
              </w:rPr>
              <w:t>However, there are also vulnerabilities to consider such as the ability to transition from being a family member to a more formal role of foster care, the ability to adhere to regulatory requirements, and the ability to manage conflicting loyalties between the child and their parents. Carers parenting style and their ability to adapt, learn and develop to care for a child who has experienced trauma is an important consideration, along with the ability to meet safeguarding requirements and foster carer competencies. In the Foster Wales Good Practice Guide for the assessment of connected carers (AFKA 2025) it is highlighted that “potential kinship foster carers are often asked to engage in the assessment process at a time of grief or crisis within their family” and “many had never considered taking on a parenting role for the children concerned”.</w:t>
            </w:r>
          </w:p>
          <w:p w14:paraId="3D62DBC9" w14:textId="77777777" w:rsidR="000A5A1A" w:rsidRPr="000A5A1A" w:rsidRDefault="000A5A1A" w:rsidP="000A5A1A">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0A5A1A">
              <w:rPr>
                <w:rFonts w:ascii="Aptos" w:eastAsia="Aptos" w:hAnsi="Aptos" w:cs="Times New Roman"/>
                <w:color w:val="auto"/>
                <w:kern w:val="2"/>
                <w:sz w:val="24"/>
                <w:szCs w:val="24"/>
                <w:lang w:eastAsia="en-US"/>
                <w14:ligatures w14:val="standardContextual"/>
              </w:rPr>
              <w:t>This requires skill in understanding assessments quickly at a time when families are likely to be distressed. However, a decision to place a child prior to thorough assessment might result in the child being exposed to further harm, placement disruption and additional trauma and instability. It could also undermine trust in the fostering system and raise questions about the integrity of the assessment process. The assessment must rigorously explore whether the family member can prioritise the child’s needs above familial bonds, which may require significant shifts in behaviour, boundaries, and expectations. This is not merely a procedural task but a deeply ethical one, requiring sensitivity, professional judgement, and a clear understanding of what is in the child’s best interests.</w:t>
            </w:r>
          </w:p>
          <w:p w14:paraId="149679DA" w14:textId="77777777" w:rsidR="000A5A1A" w:rsidRPr="000A5A1A" w:rsidRDefault="000A5A1A" w:rsidP="000A5A1A">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0A5A1A">
              <w:rPr>
                <w:rFonts w:ascii="Aptos" w:eastAsia="Aptos" w:hAnsi="Aptos" w:cs="Times New Roman"/>
                <w:color w:val="auto"/>
                <w:kern w:val="2"/>
                <w:sz w:val="24"/>
                <w:szCs w:val="24"/>
                <w:lang w:eastAsia="en-US"/>
                <w14:ligatures w14:val="standardContextual"/>
              </w:rPr>
              <w:t xml:space="preserve">The primary safeguarding consideration is whether prospective carers can consistently act in the best interests of the child, even when doing so may strain or alter their relationships with other family members. This includes being able to recognise and respond to risks posed by other relatives, maintain confidentiality and professional boundaries, and accept and implement care plans that may conflict with family normality. This shift from relative to carer demands a mindset change and the development of a new set of skills which can be supported by training and supervision. The Competency Framework: Skills and Qualities for Kinship Foster carers in Wales (AFKA Cymru) is designed as a guide to support assessing social workers to make appropriate recommendations and understand where potential kinship carers may need support. If there are significant concerns about a potential foster carers ability to develop or </w:t>
            </w:r>
            <w:r w:rsidRPr="000A5A1A">
              <w:rPr>
                <w:rFonts w:ascii="Aptos" w:eastAsia="Aptos" w:hAnsi="Aptos" w:cs="Times New Roman"/>
                <w:color w:val="auto"/>
                <w:kern w:val="2"/>
                <w:sz w:val="24"/>
                <w:szCs w:val="24"/>
                <w:lang w:eastAsia="en-US"/>
                <w14:ligatures w14:val="standardContextual"/>
              </w:rPr>
              <w:lastRenderedPageBreak/>
              <w:t xml:space="preserve">maintain these skills with support, then the framework supports the evidence in deciding not to recommend approval. </w:t>
            </w:r>
          </w:p>
          <w:p w14:paraId="6BCD4CC6" w14:textId="77777777" w:rsidR="000A5A1A" w:rsidRPr="000A5A1A" w:rsidRDefault="000A5A1A" w:rsidP="000A5A1A">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0A5A1A">
              <w:rPr>
                <w:rFonts w:ascii="Aptos" w:eastAsia="Aptos" w:hAnsi="Aptos" w:cs="Times New Roman"/>
                <w:color w:val="auto"/>
                <w:kern w:val="2"/>
                <w:sz w:val="24"/>
                <w:szCs w:val="24"/>
                <w:lang w:eastAsia="en-US"/>
                <w14:ligatures w14:val="standardContextual"/>
              </w:rPr>
              <w:t xml:space="preserve">In my assessment, the primary focus was on whether the aunt and uncle could protect and keep the child safe from harm. Concerns were raised about their historical failure to safeguard the child, as they were aware of the birth parent's lifestyle, including domestic abuse but failed to raise concerns with the local authority. There was evidence domestic conflict within the aunt and uncle’s household, including police attendance at a domestic altercation, which resulted in the aunt being hospitalised. This incident was not disclosed during the initial viability assessment process raising questions about their openness and integrity. </w:t>
            </w:r>
          </w:p>
          <w:p w14:paraId="3E074B0E" w14:textId="77777777" w:rsidR="000A5A1A" w:rsidRPr="000A5A1A" w:rsidRDefault="000A5A1A" w:rsidP="000A5A1A">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0A5A1A">
              <w:rPr>
                <w:rFonts w:ascii="Aptos" w:eastAsia="Aptos" w:hAnsi="Aptos" w:cs="Times New Roman"/>
                <w:color w:val="auto"/>
                <w:kern w:val="2"/>
                <w:sz w:val="24"/>
                <w:szCs w:val="24"/>
                <w:lang w:eastAsia="en-US"/>
                <w14:ligatures w14:val="standardContextual"/>
              </w:rPr>
              <w:t xml:space="preserve"> In line with the Form C assessment guidance, a joint second opinion visit took place with a colleague to review the issues of concern and to support a balanced and comprehensive assessment. The decision to involve a colleague was made to ensure objectivity and to validate observations carer’s engagement and their ability to keep the child safe. During the visit, both my colleague and I discussed the relevant concerns. The second opinion visit allowed the opportunity to further explore the concerns and added further validity to my assessment that the couple would be unable to prioritise the child’s safety and needs over familial loyalties and relationships. Concerns were noted in their capacity, with support, to meet the fostering competencies for connected carers and their understanding of safeguarding and their ability to protect the child, given their past actions. </w:t>
            </w:r>
          </w:p>
          <w:p w14:paraId="38D72D21" w14:textId="77777777" w:rsidR="000A5A1A" w:rsidRPr="000A5A1A" w:rsidRDefault="000A5A1A" w:rsidP="000A5A1A">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0A5A1A">
              <w:rPr>
                <w:rFonts w:ascii="Aptos" w:eastAsia="Aptos" w:hAnsi="Aptos" w:cs="Times New Roman"/>
                <w:color w:val="auto"/>
                <w:kern w:val="2"/>
                <w:sz w:val="24"/>
                <w:szCs w:val="24"/>
                <w:lang w:eastAsia="en-US"/>
                <w14:ligatures w14:val="standardContextual"/>
              </w:rPr>
              <w:t>Safeguarding is a core function of my role as a social worker in the Connected Persons Team, and it involves identifying and mitigating risks, reviewing historical concerns, and ensuring the potential carers understand child protection procedures. It also involves liaising with other professionals and safeguarding partners to gather a holistic view of the carer’s capacity and the child’s safety (Welsh Government, 2025). When completing an effective safeguarding assessment, it requires me to apply a holistic approach, evaluating the person’s parenting capacity, household dynamics, and support networks. Building trust and rapport is essential, especially as kinship carers may feel scrutinised or overwhelmed. Empathy and transparency are key to engaging carers and ensuring accurate assessments (AFKA Cymru, 2018).</w:t>
            </w:r>
          </w:p>
          <w:p w14:paraId="31EB2B0C" w14:textId="77777777" w:rsidR="000A5A1A" w:rsidRPr="000A5A1A" w:rsidRDefault="000A5A1A" w:rsidP="000A5A1A">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0A5A1A">
              <w:rPr>
                <w:rFonts w:ascii="Aptos" w:eastAsia="Aptos" w:hAnsi="Aptos" w:cs="Times New Roman"/>
                <w:color w:val="auto"/>
                <w:kern w:val="2"/>
                <w:sz w:val="24"/>
                <w:szCs w:val="24"/>
                <w:lang w:eastAsia="en-US"/>
                <w14:ligatures w14:val="standardContextual"/>
              </w:rPr>
              <w:t xml:space="preserve">The Active Offer requires me to proactively offer services in Welsh, recognising that language is central to identity and emotional safety. This is especially important in safeguarding, where clear and culturally sensitive communication can impact outcomes. Providing services in Welsh is both a legal and ethical obligation under Welsh Government policy (Welsh Government, 2015). It is important to note that the framework for my involvement with the family sits within the context of Welsh legislation and regulations, however the family in this case were not of Welsh heritage and were not living in Wales. While there was still a </w:t>
            </w:r>
            <w:r w:rsidRPr="000A5A1A">
              <w:rPr>
                <w:rFonts w:ascii="Aptos" w:eastAsia="Aptos" w:hAnsi="Aptos" w:cs="Times New Roman"/>
                <w:color w:val="auto"/>
                <w:kern w:val="2"/>
                <w:sz w:val="24"/>
                <w:szCs w:val="24"/>
                <w:lang w:eastAsia="en-US"/>
                <w14:ligatures w14:val="standardContextual"/>
              </w:rPr>
              <w:lastRenderedPageBreak/>
              <w:t>requirement for me to consider the Active Offer “More than Just Words” framework of providing a service in Welsh it was not applicable in this situation. </w:t>
            </w:r>
          </w:p>
          <w:p w14:paraId="25DF3FF5" w14:textId="77777777" w:rsidR="000A5A1A" w:rsidRPr="000A5A1A" w:rsidRDefault="000A5A1A" w:rsidP="000A5A1A">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p>
          <w:p w14:paraId="00A55042" w14:textId="77777777" w:rsidR="000A5A1A" w:rsidRPr="000A5A1A" w:rsidRDefault="000A5A1A" w:rsidP="000A5A1A">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p>
          <w:p w14:paraId="61049492" w14:textId="77777777" w:rsidR="000A5A1A" w:rsidRPr="000A5A1A" w:rsidRDefault="000A5A1A" w:rsidP="000A5A1A">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0A5A1A">
              <w:rPr>
                <w:rFonts w:ascii="Aptos" w:eastAsia="Aptos" w:hAnsi="Aptos" w:cs="Times New Roman"/>
                <w:color w:val="auto"/>
                <w:kern w:val="2"/>
                <w:sz w:val="24"/>
                <w:szCs w:val="24"/>
                <w:lang w:eastAsia="en-US"/>
                <w14:ligatures w14:val="standardContextual"/>
              </w:rPr>
              <w:t>I needed to consider the family’s cultural context and ensure clear, culturally sensitive communication, as this can significantly affect outcomes (Welsh Government, 2015). Although the family was white English and living in England, I remained aware of differences in language and legal frameworks between England and Wales. For example, physical punishment of children is illegal in Wales but not in England, which is an important safeguarding consideration (Children (Abolition of Defence of Reasonable Punishment) (Wales) Act 2020)</w:t>
            </w:r>
          </w:p>
          <w:p w14:paraId="07C47F68" w14:textId="77777777" w:rsidR="000A5A1A" w:rsidRPr="000A5A1A" w:rsidRDefault="000A5A1A" w:rsidP="000A5A1A">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0A5A1A">
              <w:rPr>
                <w:rFonts w:ascii="Aptos" w:eastAsia="Aptos" w:hAnsi="Aptos" w:cs="Times New Roman"/>
                <w:color w:val="auto"/>
                <w:kern w:val="2"/>
                <w:sz w:val="24"/>
                <w:szCs w:val="24"/>
                <w:lang w:eastAsia="en-US"/>
                <w14:ligatures w14:val="standardContextual"/>
              </w:rPr>
              <w:t xml:space="preserve">When assessing a family in England as a social worker based in Wales, I drew on the Rimmer Triangle to ensure a holistic and strengths-based approach, even though the legal frameworks differ between the two countries. The Rimmer Triangle, rooted in the Social Services and Well-being (Wales) Act 2014, emphasizes the importance of understanding what matters to the family, identifying available resources, and promoting well-being through voice, choice, and control. While English assessments are guided by the Children Act 1989, the principles of the Rimmer Triangle such as focusing on strengths, community networks, and preventative support remain highly relevant and align with best practice in both contexts. By transparently applying this Welsh framework, I was able to offer a more person-centred assessment, ensuring that the family’s views and informal support systems were fully considered. </w:t>
            </w:r>
          </w:p>
          <w:p w14:paraId="185879F9" w14:textId="77777777" w:rsidR="000A5A1A" w:rsidRPr="000A5A1A" w:rsidRDefault="000A5A1A" w:rsidP="000A5A1A">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0A5A1A">
              <w:rPr>
                <w:rFonts w:ascii="Aptos" w:eastAsia="Aptos" w:hAnsi="Aptos" w:cs="Times New Roman"/>
                <w:color w:val="auto"/>
                <w:kern w:val="2"/>
                <w:sz w:val="24"/>
                <w:szCs w:val="24"/>
                <w:lang w:eastAsia="en-US"/>
                <w14:ligatures w14:val="standardContextual"/>
              </w:rPr>
              <w:t xml:space="preserve">As part of the assessment process for family members applying to become connected carers, it was essential to consider the emotional and psychological impact on the child, particularly in relation to their feelings about moving to live with their aunt and uncle. To support the prospective carers, I drew upon Attachment Theory to guide understanding and practice. Attachment Theory, originally developed by Bowlby (1969), emphasises the importance of a child forming secure emotional bonds with primary caregivers. Disruption to these bonds such as removal from birth parents can lead to attachment difficulties, including anxiety, mistrust, and behavioural changes. In this case, the child’s transition to a new caregiving environment required careful consideration of how her attachment system might be affected. Together with the potential carers, we explored the principles of Attachment Theory to help them understand how the child’s previous experiences might influence her ability to form new attachments. This included discussing the potential for ambivalent or avoidant behaviours, the importance of consistency, emotional availability, and predictability in caregiving, and strategies to create a stable and nurturing environment that supports the development of a secure attachment. This collaborative approach enabled the carers to reflect on their role not just as relatives, but as </w:t>
            </w:r>
            <w:r w:rsidRPr="000A5A1A">
              <w:rPr>
                <w:rFonts w:ascii="Aptos" w:eastAsia="Aptos" w:hAnsi="Aptos" w:cs="Times New Roman"/>
                <w:color w:val="auto"/>
                <w:kern w:val="2"/>
                <w:sz w:val="24"/>
                <w:szCs w:val="24"/>
                <w:lang w:eastAsia="en-US"/>
                <w14:ligatures w14:val="standardContextual"/>
              </w:rPr>
              <w:lastRenderedPageBreak/>
              <w:t>therapeutic caregivers, capable of responding to the child’s emotional needs with sensitivity and insight. We also considered how the carers could adapt their home environment and routines to promote attachment security. This included establishing clear boundaries and routines, responding to emotional cues with empathy, and building trust through positive interactions and attuned caregiving. By integrating Attachment Theory into the assessment process, we aimed to ensure that the carers were equipped to support the child’s emotional recovery and development, recognising that attachment is a dynamic process shaped by both past experiences and present relationships.</w:t>
            </w:r>
          </w:p>
          <w:p w14:paraId="154BF9FC" w14:textId="77777777" w:rsidR="000A5A1A" w:rsidRPr="000A5A1A" w:rsidRDefault="000A5A1A" w:rsidP="000A5A1A">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0A5A1A">
              <w:rPr>
                <w:rFonts w:ascii="Aptos" w:eastAsia="Aptos" w:hAnsi="Aptos" w:cs="Times New Roman"/>
                <w:color w:val="auto"/>
                <w:kern w:val="2"/>
                <w:sz w:val="24"/>
                <w:szCs w:val="24"/>
                <w:lang w:eastAsia="en-US"/>
                <w14:ligatures w14:val="standardContextual"/>
              </w:rPr>
              <w:t xml:space="preserve">Ecological systems theory was used to contextualise the carers' support networks and available community resources as well as writing a genogram and ecomap to visualise the family dynamics and support networks of the couple. Using Ecological Systems Theory (EST) when assessing potential connected carers provides a comprehensive framework for understanding the multiple environmental influences on caregiving capacity. Bronfenbrenner’s model identifies five nested systems—microsystem, mesosystem, exosystem, macrosystem, and chronosystem—that interact to shape individual development and relational dynamics (Bronfenbrenner, 1979). In connected care, this theory enabled me to evaluate not only the immediate caregiver-child relationship but also broader familial, social, and policy contexts that affect placement stability and child wellbeing (Hong et al., 2011). For example, children placed with relatives often benefit from continuity and emotional security, key microsystem factors, while systemic barriers such as poverty or limited access to services may influence caregiving quality at the exosystem and macrosystem levels (Saraw, 2009). EST also supports a strengths-based, dynamic approach to assessment, recognising the reciprocal nature of environmental influences and promoting interventions that are sensitive to both individual and systemic needs. This holistic perspective is particularly valuable in child welfare, where understanding the interplay between personal and contextual factors can lead to more equitable and informed decision-making (Hong et al., 2011; Saraw, 2009). Applying strength-based practice focused on the carers' resilience and willingness to engage in training and support to meet the child's needs. The three theories were applied to support the prospective carers in understanding the potential behavioural changes in the child and the importance of creating a stable environment to foster secure attachment. </w:t>
            </w:r>
          </w:p>
          <w:p w14:paraId="1EC1F8B0" w14:textId="77777777" w:rsidR="000A5A1A" w:rsidRPr="000A5A1A" w:rsidRDefault="000A5A1A" w:rsidP="000A5A1A">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0A5A1A">
              <w:rPr>
                <w:rFonts w:ascii="Aptos" w:eastAsia="Aptos" w:hAnsi="Aptos" w:cs="Times New Roman"/>
                <w:color w:val="auto"/>
                <w:kern w:val="2"/>
                <w:sz w:val="24"/>
                <w:szCs w:val="24"/>
                <w:lang w:eastAsia="en-US"/>
                <w14:ligatures w14:val="standardContextual"/>
              </w:rPr>
              <w:t xml:space="preserve">Concerns were evident in relation to the carers limited previous involvement with the child, the quality of their relationship, their ability to identify and report risks to the child when she lived with the birth mother and their motivation to care. Concerns were noted around their lifestyle and commitments, including their fact that they were also trying to conceive a child themselves and expand their family, and their desire to have another birth child. There were concerns about a historical incident of domestic abuse between the couple which they appeared vague in detail about. They had also failed to consider the impact on their own children of having a child </w:t>
            </w:r>
            <w:r w:rsidRPr="000A5A1A">
              <w:rPr>
                <w:rFonts w:ascii="Aptos" w:eastAsia="Aptos" w:hAnsi="Aptos" w:cs="Times New Roman"/>
                <w:color w:val="auto"/>
                <w:kern w:val="2"/>
                <w:sz w:val="24"/>
                <w:szCs w:val="24"/>
                <w:lang w:eastAsia="en-US"/>
                <w14:ligatures w14:val="standardContextual"/>
              </w:rPr>
              <w:lastRenderedPageBreak/>
              <w:t xml:space="preserve">who had experienced trauma living in the home. They had minimised their own children’s support needs including failing to respond appropriately to their own child’s gender identity needs. </w:t>
            </w:r>
          </w:p>
          <w:p w14:paraId="126E3E00" w14:textId="77777777" w:rsidR="000A5A1A" w:rsidRPr="000A5A1A" w:rsidRDefault="000A5A1A" w:rsidP="000A5A1A">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p>
          <w:p w14:paraId="2A4D331C" w14:textId="77777777" w:rsidR="000A5A1A" w:rsidRPr="000A5A1A" w:rsidRDefault="000A5A1A" w:rsidP="000A5A1A">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p>
          <w:p w14:paraId="6EAE79FB" w14:textId="77777777" w:rsidR="000A5A1A" w:rsidRPr="000A5A1A" w:rsidRDefault="000A5A1A" w:rsidP="000A5A1A">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p>
          <w:p w14:paraId="368A96F5" w14:textId="77777777" w:rsidR="000A5A1A" w:rsidRPr="000A5A1A" w:rsidRDefault="000A5A1A" w:rsidP="000A5A1A">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0A5A1A">
              <w:rPr>
                <w:rFonts w:ascii="Aptos" w:eastAsia="Aptos" w:hAnsi="Aptos" w:cs="Times New Roman"/>
                <w:color w:val="auto"/>
                <w:kern w:val="2"/>
                <w:sz w:val="24"/>
                <w:szCs w:val="24"/>
                <w:lang w:eastAsia="en-US"/>
                <w14:ligatures w14:val="standardContextual"/>
              </w:rPr>
              <w:t>Using Ecological Systems Theory, I considered how limited bonds and ambivalence in carers (microsystem) could affect the child’s emotional security and attachment. Lifestyle choices (mesosystem) and past safeguarding concerns (exosystem) may impact the quality of care. Carers’ attitudes toward diversity (macrosystem) and their responses to past events (chronosystem) also influence placement stability. These factors highlight potential risks to the child’s well-being, showing the value of a holistic assessment (Hong et al., 2011; Saraw, 2009). The concerns I identified suggested potential risks to the child’s emotional security, identity development, and overall wellbeing. A thorough assessment using Ecological Systems Theory helps explore these dynamics in depth, ensuring that placement decisions are grounded in a holistic understanding of the child’s needs and the carers’ capacity to meet them.</w:t>
            </w:r>
          </w:p>
          <w:p w14:paraId="7DCE09BF" w14:textId="77777777" w:rsidR="000A5A1A" w:rsidRPr="000A5A1A" w:rsidRDefault="000A5A1A" w:rsidP="000A5A1A">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0A5A1A">
              <w:rPr>
                <w:rFonts w:ascii="Aptos" w:eastAsia="Aptos" w:hAnsi="Aptos" w:cs="Times New Roman"/>
                <w:color w:val="auto"/>
                <w:kern w:val="2"/>
                <w:sz w:val="24"/>
                <w:szCs w:val="24"/>
                <w:lang w:eastAsia="en-US"/>
                <w14:ligatures w14:val="standardContextual"/>
              </w:rPr>
              <w:t>When assessing family members as potential kinship carers, I must balance my duties under the Social Services and Well-being (Wales) Act 2014 which requires me to promote the child’s well-being and safeguard their rights with the Human Rights Act 1998, particularly Article 8, which protects the right to respect for private and family life. This means my assessment must be thorough and evidence-based to justify any intervention, ensuring that I investigate concerns to protect the child while also respecting the family’s autonomy and privacy. The legal framework requires me to consider whether intervention is necessary and proportionate, and to demonstrate that I have explored all options to support family life before recommending alternative care arrangements (Social Services and Well-being (Wales) Act 2014; Human Rights Act 1998) </w:t>
            </w:r>
          </w:p>
          <w:p w14:paraId="6458CEEF" w14:textId="77777777" w:rsidR="000A5A1A" w:rsidRPr="000A5A1A" w:rsidRDefault="000A5A1A" w:rsidP="000A5A1A">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0A5A1A">
              <w:rPr>
                <w:rFonts w:ascii="Aptos" w:eastAsia="Aptos" w:hAnsi="Aptos" w:cs="Times New Roman"/>
                <w:color w:val="auto"/>
                <w:kern w:val="2"/>
                <w:sz w:val="24"/>
                <w:szCs w:val="24"/>
                <w:lang w:eastAsia="en-US"/>
                <w14:ligatures w14:val="standardContextual"/>
              </w:rPr>
              <w:t>I supported open and honest conversations with the potential carers, ensuring they understood the expectations of them if they were approved as connected carers and what support was available to them. This helped to build trust and transparency, which are key to successful placements. According to the Code of Professional Practice for Social Care Worker</w:t>
            </w:r>
            <w:r w:rsidRPr="000A5A1A">
              <w:rPr>
                <w:rFonts w:ascii="Aptos" w:eastAsia="Aptos" w:hAnsi="Aptos" w:cs="Times New Roman"/>
                <w:i/>
                <w:iCs/>
                <w:color w:val="auto"/>
                <w:kern w:val="2"/>
                <w:sz w:val="24"/>
                <w:szCs w:val="24"/>
                <w:lang w:eastAsia="en-US"/>
                <w14:ligatures w14:val="standardContextual"/>
              </w:rPr>
              <w:t>s</w:t>
            </w:r>
            <w:r w:rsidRPr="000A5A1A">
              <w:rPr>
                <w:rFonts w:ascii="Aptos" w:eastAsia="Aptos" w:hAnsi="Aptos" w:cs="Times New Roman"/>
                <w:color w:val="auto"/>
                <w:kern w:val="2"/>
                <w:sz w:val="24"/>
                <w:szCs w:val="24"/>
                <w:lang w:eastAsia="en-US"/>
                <w14:ligatures w14:val="standardContextual"/>
              </w:rPr>
              <w:t xml:space="preserve"> (Social Care Wales, 2021), practitioners must “work in partnership with individuals, carers, families, colleagues and other professionals” to promote well-being and safeguard those in their care. By working collaboratively, I was able to triangulate information, challenge any assumptions, and </w:t>
            </w:r>
            <w:r w:rsidRPr="000A5A1A">
              <w:rPr>
                <w:rFonts w:ascii="Aptos" w:eastAsia="Aptos" w:hAnsi="Aptos" w:cs="Times New Roman"/>
                <w:color w:val="auto"/>
                <w:kern w:val="2"/>
                <w:sz w:val="24"/>
                <w:szCs w:val="24"/>
                <w:lang w:eastAsia="en-US"/>
                <w14:ligatures w14:val="standardContextual"/>
              </w:rPr>
              <w:lastRenderedPageBreak/>
              <w:t>ensure that the child’s voice and best interests remained central throughout the assessment process.</w:t>
            </w:r>
          </w:p>
          <w:p w14:paraId="3E078C0E" w14:textId="77777777" w:rsidR="000A5A1A" w:rsidRPr="000A5A1A" w:rsidRDefault="000A5A1A" w:rsidP="000A5A1A">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0A5A1A">
              <w:rPr>
                <w:rFonts w:ascii="Aptos" w:eastAsia="Aptos" w:hAnsi="Aptos" w:cs="Times New Roman"/>
                <w:color w:val="auto"/>
                <w:kern w:val="2"/>
                <w:sz w:val="24"/>
                <w:szCs w:val="24"/>
                <w:lang w:eastAsia="en-US"/>
                <w14:ligatures w14:val="standardContextual"/>
              </w:rPr>
              <w:t xml:space="preserve">Professional judgments were made in what became an increasingly complex situation, balancing the child's best interests with the rights and responsibilities of the prospective carers. The process required careful navigation of conflicting rights, such as assessing the aunt and uncle as foster carers while recognising their primary identity as family members and balancing whether they were able to prioritise the child’s needs. The child’s voice was captured through those who best knew her and through the social workers direct communication with and observations of her. </w:t>
            </w:r>
          </w:p>
          <w:p w14:paraId="4294B7C6" w14:textId="77777777" w:rsidR="000A5A1A" w:rsidRPr="000A5A1A" w:rsidRDefault="000A5A1A" w:rsidP="000A5A1A">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0A5A1A">
              <w:rPr>
                <w:rFonts w:ascii="Aptos" w:eastAsia="Aptos" w:hAnsi="Aptos" w:cs="Times New Roman"/>
                <w:color w:val="auto"/>
                <w:kern w:val="2"/>
                <w:sz w:val="24"/>
                <w:szCs w:val="24"/>
                <w:lang w:eastAsia="en-US"/>
                <w14:ligatures w14:val="standardContextual"/>
              </w:rPr>
              <w:t xml:space="preserve">The integration of analysis and assessment emphasised the importance of synthesising information from various sources, including interviews, observations, historical records, and professional reports, to form a comprehensive understanding of the prospective carers’ capacity to meet the child’s needs. The assessment process involved balancing the child’s right to safety and protection with their right to family life, as outlined in Article 8 of the Human Rights Act. </w:t>
            </w:r>
          </w:p>
          <w:p w14:paraId="5E5AF3BB" w14:textId="77777777" w:rsidR="000A5A1A" w:rsidRPr="000A5A1A" w:rsidRDefault="000A5A1A" w:rsidP="000A5A1A">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0A5A1A">
              <w:rPr>
                <w:rFonts w:ascii="Aptos" w:eastAsia="Aptos" w:hAnsi="Aptos" w:cs="Times New Roman"/>
                <w:color w:val="auto"/>
                <w:kern w:val="2"/>
                <w:sz w:val="24"/>
                <w:szCs w:val="24"/>
                <w:lang w:eastAsia="en-US"/>
                <w14:ligatures w14:val="standardContextual"/>
              </w:rPr>
              <w:t>To conclude, assessing family members as potential connected carers requires a nuanced understanding of both safeguarding and human rights law. The process must be transparent, evidence-based, and child-centred, ensuring that the child’s right to safety is not overshadowed by the family’s desire to maintain relationships. My role was to advocate for the child’s best interests while respecting the legal and emotional complexities of family life. Applying safeguarding legislation and policy in Wales requires more than procedural compliance, it demands critical thinking, ethical awareness, and collaborative practice. As safeguarding evolves, as a practitioner I must remain vigilant to gaps in policy, systemic challenges, and the lived experiences of those at risk, ensuring that safeguarding remains responsive, inclusive, and effective. This assignment has demonstrated the integration of safeguarding principles, legal frameworks, and professional judgement in a complex kinship care situation. It underscored the importance of working collaboratively and reflectively within the Welsh context, while being mindful of broader UK and international interfaces.</w:t>
            </w:r>
          </w:p>
          <w:p w14:paraId="62452DBD" w14:textId="77777777" w:rsidR="000A5A1A" w:rsidRPr="000A5A1A" w:rsidRDefault="000A5A1A" w:rsidP="000A5A1A">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0A5A1A">
              <w:rPr>
                <w:rFonts w:ascii="Aptos" w:eastAsia="Aptos" w:hAnsi="Aptos" w:cs="Times New Roman"/>
                <w:color w:val="auto"/>
                <w:kern w:val="2"/>
                <w:sz w:val="24"/>
                <w:szCs w:val="24"/>
                <w:lang w:eastAsia="en-US"/>
                <w14:ligatures w14:val="standardContextual"/>
              </w:rPr>
              <w:t xml:space="preserve">Throughout the assessment process, I ensured compliance with UK GDPR, seeking appropriate consent, handling the couple’s personal and sensitive information securely and sharing it only with professionals directly involved in the child’s care. This highlighted for me the ethical responsibility I have when managing information, especially when working with vulnerable children and their families. </w:t>
            </w:r>
          </w:p>
          <w:p w14:paraId="12F89F94" w14:textId="77777777" w:rsidR="000A5A1A" w:rsidRPr="000A5A1A" w:rsidRDefault="000A5A1A" w:rsidP="000A5A1A">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0A5A1A">
              <w:rPr>
                <w:rFonts w:ascii="Aptos" w:eastAsia="Aptos" w:hAnsi="Aptos" w:cs="Times New Roman"/>
                <w:color w:val="auto"/>
                <w:kern w:val="2"/>
                <w:sz w:val="24"/>
                <w:szCs w:val="24"/>
                <w:lang w:eastAsia="en-US"/>
                <w14:ligatures w14:val="standardContextual"/>
              </w:rPr>
              <w:t xml:space="preserve">Throughout the assessment process, my primary responsibility was to safeguard the child and ensure that their needs remained central to all decision-making. This aligns with the principles </w:t>
            </w:r>
            <w:r w:rsidRPr="000A5A1A">
              <w:rPr>
                <w:rFonts w:ascii="Aptos" w:eastAsia="Aptos" w:hAnsi="Aptos" w:cs="Times New Roman"/>
                <w:color w:val="auto"/>
                <w:kern w:val="2"/>
                <w:sz w:val="24"/>
                <w:szCs w:val="24"/>
                <w:lang w:eastAsia="en-US"/>
                <w14:ligatures w14:val="standardContextual"/>
              </w:rPr>
              <w:lastRenderedPageBreak/>
              <w:t>outlined in the Social Services and Well-being (Wales) Act 2014, which places the well-being of individuals at the heart of care and support services. In practice, this meant critically evaluating whether the family member could provide a safe, stable, and nurturing environment, free from the risks associated with unresolved family dynamics or divided loyalties.</w:t>
            </w:r>
          </w:p>
          <w:p w14:paraId="670EA42A" w14:textId="77777777" w:rsidR="000A5A1A" w:rsidRPr="000A5A1A" w:rsidRDefault="000A5A1A" w:rsidP="000A5A1A">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0A5A1A">
              <w:rPr>
                <w:rFonts w:ascii="Aptos" w:eastAsia="Aptos" w:hAnsi="Aptos" w:cs="Times New Roman"/>
                <w:color w:val="auto"/>
                <w:kern w:val="2"/>
                <w:sz w:val="24"/>
                <w:szCs w:val="24"/>
                <w:lang w:eastAsia="en-US"/>
                <w14:ligatures w14:val="standardContextual"/>
              </w:rPr>
              <w:t xml:space="preserve">Safeguarding encompasses not only physical safety but also emotional security, consistency, and the ability to form healthy attachments. I had to remain professionally objective and vigilant to the possibility that familial bonds might obscure the relative’s ability to recognise and respond to the child’s trauma or behavioural needs. This required a commitment to child-centred practice and the ability to challenge assumptions where necessary. The National Occupational Standards (2011) (NOS) support the maintenance of high quality and influenced my practice in this case by reinforcing the need to have an accountable evidence base for my decision making, and to exercise professional judgement and manage ethical dilemmas and conflicts. NOS provided me with the framework by which I ensured I worked in partnership with others to consider the long-term needs of the child and used models of social work practice and person-centred practice to support my decision making. NOS also considered how practitioners should show respect for the ending of their professional involvement. In this case, the prospective carers made the decision to withdraw from the assessment process. I ensured that they were given appropriate opportunities to consider this decision and provided them with information they needed to make a private application to the Court to care for the child if they wished to do so. </w:t>
            </w:r>
          </w:p>
          <w:p w14:paraId="37BCD053" w14:textId="77777777" w:rsidR="000A5A1A" w:rsidRPr="000A5A1A" w:rsidRDefault="000A5A1A" w:rsidP="000A5A1A">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0A5A1A">
              <w:rPr>
                <w:rFonts w:ascii="Aptos" w:eastAsia="Aptos" w:hAnsi="Aptos" w:cs="Times New Roman"/>
                <w:color w:val="auto"/>
                <w:kern w:val="2"/>
                <w:sz w:val="24"/>
                <w:szCs w:val="24"/>
                <w:lang w:eastAsia="en-US"/>
                <w14:ligatures w14:val="standardContextual"/>
              </w:rPr>
              <w:t xml:space="preserve">On reflection, this case highlighted to me the importance of early family involvement and sensitive practice. The requirement for clear and open communication as well as shared decision making and the value, I have for reflective supervision in managing emotional impact and ethical dilemmas. I demonstrated the complexity of balancing legal frameworks, safeguarding principals, and the emotional needs of the child. It reinforced the importance of critical thinking, professional curiosity, and the need to challenge assumptions when assessing potential carers. The Welsh context, including regional safeguarding boards and devolved legislation, shaped the approach and outcomes of this assessment. </w:t>
            </w:r>
          </w:p>
          <w:p w14:paraId="6190DDA9" w14:textId="77777777" w:rsidR="000A5A1A" w:rsidRPr="000A5A1A" w:rsidRDefault="000A5A1A" w:rsidP="000A5A1A">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0A5A1A">
              <w:rPr>
                <w:rFonts w:ascii="Aptos" w:eastAsia="Aptos" w:hAnsi="Aptos" w:cs="Times New Roman"/>
                <w:color w:val="auto"/>
                <w:kern w:val="2"/>
                <w:sz w:val="24"/>
                <w:szCs w:val="24"/>
                <w:lang w:eastAsia="en-US"/>
                <w14:ligatures w14:val="standardContextual"/>
              </w:rPr>
              <w:t xml:space="preserve">From my professional perspective, I feel the assessment of family members must be rigorous and objective. Although I recognise the value of maintaining family connections, I believe that the child’s safety and emotional well-being must take precedence. The assessment process should explore whether the relative can make the necessary adjustments to their role, including having the ability to set appropriate boundaries, engaging with support services, and demonstrating a clear understanding of what the child’s needs are. </w:t>
            </w:r>
          </w:p>
          <w:p w14:paraId="0D94909D" w14:textId="77777777" w:rsidR="000A5A1A" w:rsidRPr="000A5A1A" w:rsidRDefault="000A5A1A" w:rsidP="000A5A1A">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0A5A1A">
              <w:rPr>
                <w:rFonts w:ascii="Aptos" w:eastAsia="Aptos" w:hAnsi="Aptos" w:cs="Times New Roman"/>
                <w:color w:val="auto"/>
                <w:kern w:val="2"/>
                <w:sz w:val="24"/>
                <w:szCs w:val="24"/>
                <w:lang w:eastAsia="en-US"/>
                <w14:ligatures w14:val="standardContextual"/>
              </w:rPr>
              <w:t xml:space="preserve">If a family member were approved without sufficient scrutiny, or if they failed to uphold safeguarding standards, the consequences could be serious. The child might experience </w:t>
            </w:r>
            <w:r w:rsidRPr="000A5A1A">
              <w:rPr>
                <w:rFonts w:ascii="Aptos" w:eastAsia="Aptos" w:hAnsi="Aptos" w:cs="Times New Roman"/>
                <w:color w:val="auto"/>
                <w:kern w:val="2"/>
                <w:sz w:val="24"/>
                <w:szCs w:val="24"/>
                <w:lang w:eastAsia="en-US"/>
                <w14:ligatures w14:val="standardContextual"/>
              </w:rPr>
              <w:lastRenderedPageBreak/>
              <w:t>further harm, and the placement could break down, leading to additional trauma and instability. Such outcomes would not only affect the child but also undermine trust in the fostering system and the integrity of the assessment process. To conclude, although family placements can often offer valuable benefits, they must be approached with caution and professionalism. The assessment must be thorough, evidence-based, and should focus on the child’s best interests. Only when a family member can demonstrate the capacity to meet the child’s needs safely and consistently should they be approved as a connected carer.</w:t>
            </w:r>
          </w:p>
          <w:p w14:paraId="177C7FF3" w14:textId="77777777" w:rsidR="000A5A1A" w:rsidRPr="000A5A1A" w:rsidRDefault="000A5A1A" w:rsidP="000A5A1A">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0A5A1A">
              <w:rPr>
                <w:rFonts w:ascii="Aptos" w:eastAsia="Aptos" w:hAnsi="Aptos" w:cs="Times New Roman"/>
                <w:color w:val="auto"/>
                <w:kern w:val="2"/>
                <w:sz w:val="24"/>
                <w:szCs w:val="24"/>
                <w:lang w:eastAsia="en-US"/>
                <w14:ligatures w14:val="standardContextual"/>
              </w:rPr>
              <w:t>Words: - 4325</w:t>
            </w:r>
          </w:p>
          <w:p w14:paraId="20370495" w14:textId="79B79501" w:rsidR="00D3203C" w:rsidRDefault="00D3203C" w:rsidP="00FF7EBB">
            <w:pPr>
              <w:jc w:val="both"/>
              <w:rPr>
                <w:i/>
                <w:sz w:val="24"/>
                <w:szCs w:val="24"/>
              </w:rPr>
            </w:pPr>
          </w:p>
          <w:p w14:paraId="12DC2F24" w14:textId="24094196" w:rsidR="00D3203C" w:rsidRDefault="00D3203C" w:rsidP="00FF7EBB">
            <w:pPr>
              <w:jc w:val="both"/>
              <w:rPr>
                <w:i/>
                <w:sz w:val="24"/>
                <w:szCs w:val="24"/>
              </w:rPr>
            </w:pPr>
          </w:p>
          <w:p w14:paraId="1225D23D" w14:textId="4FFF3138" w:rsidR="00D3203C" w:rsidRDefault="00D3203C" w:rsidP="00FF7EBB">
            <w:pPr>
              <w:jc w:val="both"/>
              <w:rPr>
                <w:i/>
                <w:sz w:val="24"/>
                <w:szCs w:val="24"/>
              </w:rPr>
            </w:pPr>
          </w:p>
          <w:p w14:paraId="0C1020FE" w14:textId="61CE561C" w:rsidR="00D3203C" w:rsidRDefault="00D3203C" w:rsidP="00FF7EBB">
            <w:pPr>
              <w:jc w:val="both"/>
              <w:rPr>
                <w:i/>
                <w:sz w:val="24"/>
                <w:szCs w:val="24"/>
              </w:rPr>
            </w:pPr>
          </w:p>
          <w:p w14:paraId="43CA65F6" w14:textId="46B65686" w:rsidR="00D3203C" w:rsidRDefault="00D3203C" w:rsidP="00FF7EBB">
            <w:pPr>
              <w:jc w:val="both"/>
              <w:rPr>
                <w:i/>
                <w:sz w:val="24"/>
                <w:szCs w:val="24"/>
              </w:rPr>
            </w:pPr>
          </w:p>
          <w:p w14:paraId="5C222972" w14:textId="259CE14B" w:rsidR="00D3203C" w:rsidRDefault="00D3203C" w:rsidP="00FF7EBB">
            <w:pPr>
              <w:jc w:val="both"/>
              <w:rPr>
                <w:i/>
                <w:sz w:val="24"/>
                <w:szCs w:val="24"/>
              </w:rPr>
            </w:pPr>
          </w:p>
          <w:p w14:paraId="0E7BBCC9" w14:textId="77777777" w:rsidR="00D3203C" w:rsidRDefault="00D3203C" w:rsidP="00FF7EBB">
            <w:pPr>
              <w:jc w:val="both"/>
              <w:rPr>
                <w:i/>
                <w:sz w:val="24"/>
                <w:szCs w:val="24"/>
              </w:rPr>
            </w:pPr>
          </w:p>
          <w:p w14:paraId="47F21B6A" w14:textId="007FFCCE" w:rsidR="007A628F" w:rsidRPr="008B28E7" w:rsidRDefault="007A628F" w:rsidP="00FF7EBB">
            <w:pPr>
              <w:jc w:val="both"/>
              <w:rPr>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65DD7A" w14:textId="77777777" w:rsidR="00076A60" w:rsidRDefault="00076A60">
      <w:r>
        <w:separator/>
      </w:r>
    </w:p>
  </w:endnote>
  <w:endnote w:type="continuationSeparator" w:id="0">
    <w:p w14:paraId="4EE68DE5" w14:textId="77777777" w:rsidR="00076A60" w:rsidRDefault="00076A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A248ED" w14:textId="77777777" w:rsidR="00076A60" w:rsidRDefault="00076A60">
      <w:r>
        <w:separator/>
      </w:r>
    </w:p>
  </w:footnote>
  <w:footnote w:type="continuationSeparator" w:id="0">
    <w:p w14:paraId="71125D2A" w14:textId="77777777" w:rsidR="00076A60" w:rsidRDefault="00076A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76A60"/>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5A1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3E71"/>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29BC"/>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2595C"/>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1EA"/>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4499E"/>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37B0"/>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912AB"/>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02C"/>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4614</Words>
  <Characters>26303</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30856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Helen Tanner</cp:lastModifiedBy>
  <cp:revision>4</cp:revision>
  <cp:lastPrinted>2020-02-11T19:20:00Z</cp:lastPrinted>
  <dcterms:created xsi:type="dcterms:W3CDTF">2025-10-02T15:27:00Z</dcterms:created>
  <dcterms:modified xsi:type="dcterms:W3CDTF">2025-10-02T16:38:00Z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