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46DB896" w14:textId="29F14E00" w:rsidR="000C5F7F" w:rsidRDefault="000C5F7F" w:rsidP="000C5F7F">
      <w:pPr>
        <w:ind w:left="49"/>
        <w:jc w:val="center"/>
      </w:pPr>
    </w:p>
    <w:p w14:paraId="304F358C" w14:textId="77777777" w:rsidR="000C5F7F" w:rsidRDefault="000C5F7F" w:rsidP="000C5F7F">
      <w:pPr>
        <w:spacing w:after="158"/>
        <w:ind w:left="49"/>
        <w:jc w:val="center"/>
      </w:pPr>
      <w:r>
        <w:rPr>
          <w:noProof/>
        </w:rPr>
        <w:drawing>
          <wp:inline distT="0" distB="0" distL="0" distR="0" wp14:anchorId="05986E48" wp14:editId="4DE6608B">
            <wp:extent cx="2589087" cy="1078002"/>
            <wp:effectExtent l="0" t="0" r="190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99327" cy="1082266"/>
                    </a:xfrm>
                    <a:prstGeom prst="rect">
                      <a:avLst/>
                    </a:prstGeom>
                    <a:noFill/>
                  </pic:spPr>
                </pic:pic>
              </a:graphicData>
            </a:graphic>
          </wp:inline>
        </w:drawing>
      </w:r>
      <w:r>
        <w:rPr>
          <w:rFonts w:ascii="Calibri" w:eastAsia="Calibri" w:hAnsi="Calibri" w:cs="Calibri"/>
        </w:rPr>
        <w:t xml:space="preserve"> </w:t>
      </w:r>
    </w:p>
    <w:p w14:paraId="69C61AA4" w14:textId="77777777" w:rsidR="000C5F7F" w:rsidRDefault="000C5F7F" w:rsidP="000C5F7F">
      <w:pPr>
        <w:ind w:left="49"/>
        <w:jc w:val="center"/>
      </w:pPr>
      <w:r>
        <w:rPr>
          <w:rFonts w:ascii="Calibri" w:eastAsia="Calibri" w:hAnsi="Calibri" w:cs="Calibri"/>
        </w:rPr>
        <w:t xml:space="preserve"> </w:t>
      </w:r>
    </w:p>
    <w:p w14:paraId="6FF8FD29" w14:textId="77777777" w:rsidR="000C5F7F" w:rsidRPr="007B138D" w:rsidRDefault="000C5F7F" w:rsidP="000C5F7F">
      <w:pPr>
        <w:spacing w:after="287"/>
        <w:ind w:left="49"/>
        <w:jc w:val="center"/>
        <w:rPr>
          <w:b/>
          <w:bCs/>
        </w:rPr>
      </w:pPr>
      <w:r w:rsidRPr="007B138D">
        <w:rPr>
          <w:rFonts w:ascii="Calibri" w:eastAsia="Calibri" w:hAnsi="Calibri" w:cs="Calibri"/>
          <w:b/>
          <w:bCs/>
        </w:rPr>
        <w:t xml:space="preserve"> </w:t>
      </w:r>
    </w:p>
    <w:p w14:paraId="3E150A33" w14:textId="79B6601B" w:rsidR="000C5F7F" w:rsidRPr="007B138D" w:rsidRDefault="00817B5E" w:rsidP="00817B5E">
      <w:pPr>
        <w:spacing w:after="157"/>
        <w:ind w:left="-284" w:right="142"/>
        <w:jc w:val="both"/>
        <w:rPr>
          <w:b/>
          <w:bCs/>
        </w:rPr>
      </w:pPr>
      <w:r w:rsidRPr="007B138D">
        <w:rPr>
          <w:b/>
          <w:bCs/>
        </w:rPr>
        <w:t>Technology advances - specifically in the areas of e-Commerce and e-Business have rendered traditional models of organisational structure and theories of management roles obsolete in the light of the changing nature of 21st century corporations in Health sector.</w:t>
      </w:r>
    </w:p>
    <w:p w14:paraId="48352D8E" w14:textId="77777777" w:rsidR="000C5F7F" w:rsidRDefault="000C5F7F" w:rsidP="000C5F7F">
      <w:pPr>
        <w:spacing w:after="42"/>
        <w:ind w:left="89"/>
        <w:jc w:val="center"/>
      </w:pPr>
      <w:r>
        <w:rPr>
          <w:sz w:val="36"/>
        </w:rPr>
        <w:t xml:space="preserve"> </w:t>
      </w:r>
    </w:p>
    <w:p w14:paraId="3B21710F" w14:textId="77777777" w:rsidR="000C5F7F" w:rsidRDefault="000C5F7F" w:rsidP="000C5F7F">
      <w:pPr>
        <w:spacing w:after="157"/>
        <w:ind w:left="2367" w:right="2358"/>
        <w:jc w:val="center"/>
      </w:pPr>
      <w:r>
        <w:t xml:space="preserve">by </w:t>
      </w:r>
    </w:p>
    <w:p w14:paraId="0CFB2970" w14:textId="77777777" w:rsidR="000C5F7F" w:rsidRDefault="000C5F7F" w:rsidP="000C5F7F">
      <w:pPr>
        <w:spacing w:after="158"/>
        <w:ind w:left="59"/>
        <w:jc w:val="center"/>
      </w:pPr>
      <w:r>
        <w:t xml:space="preserve"> </w:t>
      </w:r>
    </w:p>
    <w:p w14:paraId="1A717120" w14:textId="50E06E02" w:rsidR="000C5F7F" w:rsidRDefault="00817B5E" w:rsidP="000C5F7F">
      <w:pPr>
        <w:spacing w:after="157"/>
        <w:ind w:left="2367" w:right="2359"/>
        <w:jc w:val="center"/>
      </w:pPr>
      <w:r>
        <w:t>Gnana Sphurthi Kari</w:t>
      </w:r>
    </w:p>
    <w:p w14:paraId="49B1FD5A" w14:textId="77777777" w:rsidR="007B138D" w:rsidRDefault="007B138D" w:rsidP="000C5F7F">
      <w:pPr>
        <w:spacing w:after="157"/>
        <w:ind w:left="2367" w:right="2359"/>
        <w:jc w:val="center"/>
      </w:pPr>
    </w:p>
    <w:tbl>
      <w:tblPr>
        <w:tblStyle w:val="TableGrid"/>
        <w:tblW w:w="9292" w:type="dxa"/>
        <w:tblInd w:w="-130" w:type="dxa"/>
        <w:tblLook w:val="04A0" w:firstRow="1" w:lastRow="0" w:firstColumn="1" w:lastColumn="0" w:noHBand="0" w:noVBand="1"/>
      </w:tblPr>
      <w:tblGrid>
        <w:gridCol w:w="4909"/>
        <w:gridCol w:w="4383"/>
      </w:tblGrid>
      <w:tr w:rsidR="007B138D" w14:paraId="5010CFD4" w14:textId="77777777" w:rsidTr="007B138D">
        <w:trPr>
          <w:trHeight w:val="534"/>
        </w:trPr>
        <w:tc>
          <w:tcPr>
            <w:tcW w:w="4909" w:type="dxa"/>
            <w:shd w:val="clear" w:color="auto" w:fill="BFBFBF" w:themeFill="background1" w:themeFillShade="BF"/>
          </w:tcPr>
          <w:p w14:paraId="0FEE6654" w14:textId="11DDF439" w:rsidR="007B138D" w:rsidRDefault="007B138D" w:rsidP="000C5F7F">
            <w:pPr>
              <w:spacing w:after="158"/>
              <w:jc w:val="center"/>
            </w:pPr>
            <w:r>
              <w:t>Student ID</w:t>
            </w:r>
          </w:p>
        </w:tc>
        <w:tc>
          <w:tcPr>
            <w:tcW w:w="4383" w:type="dxa"/>
          </w:tcPr>
          <w:p w14:paraId="47D84D0D" w14:textId="38D9FBA1" w:rsidR="007B138D" w:rsidRDefault="007B138D" w:rsidP="000C5F7F">
            <w:pPr>
              <w:spacing w:after="158"/>
              <w:jc w:val="center"/>
            </w:pPr>
            <w:r>
              <w:t>2229907</w:t>
            </w:r>
          </w:p>
        </w:tc>
      </w:tr>
      <w:tr w:rsidR="007B138D" w14:paraId="1DFA0AF3" w14:textId="77777777" w:rsidTr="007B138D">
        <w:trPr>
          <w:trHeight w:val="534"/>
        </w:trPr>
        <w:tc>
          <w:tcPr>
            <w:tcW w:w="4909" w:type="dxa"/>
            <w:shd w:val="clear" w:color="auto" w:fill="BFBFBF" w:themeFill="background1" w:themeFillShade="BF"/>
          </w:tcPr>
          <w:p w14:paraId="666EBE51" w14:textId="0C586C35" w:rsidR="007B138D" w:rsidRDefault="007B138D" w:rsidP="000C5F7F">
            <w:pPr>
              <w:spacing w:after="158"/>
              <w:jc w:val="center"/>
            </w:pPr>
            <w:r>
              <w:t>Programme</w:t>
            </w:r>
          </w:p>
        </w:tc>
        <w:tc>
          <w:tcPr>
            <w:tcW w:w="4383" w:type="dxa"/>
          </w:tcPr>
          <w:p w14:paraId="41881E2A" w14:textId="59058EB9" w:rsidR="007B138D" w:rsidRDefault="007B138D" w:rsidP="007B138D">
            <w:pPr>
              <w:spacing w:after="158"/>
              <w:ind w:right="134"/>
              <w:jc w:val="center"/>
            </w:pPr>
            <w:r>
              <w:t>DBA</w:t>
            </w:r>
          </w:p>
        </w:tc>
      </w:tr>
      <w:tr w:rsidR="007B138D" w14:paraId="0FBD5AB0" w14:textId="77777777" w:rsidTr="007B138D">
        <w:trPr>
          <w:trHeight w:val="909"/>
        </w:trPr>
        <w:tc>
          <w:tcPr>
            <w:tcW w:w="4909" w:type="dxa"/>
            <w:shd w:val="clear" w:color="auto" w:fill="BFBFBF" w:themeFill="background1" w:themeFillShade="BF"/>
          </w:tcPr>
          <w:p w14:paraId="1C82D004" w14:textId="7E692444" w:rsidR="007B138D" w:rsidRDefault="007B138D" w:rsidP="000C5F7F">
            <w:pPr>
              <w:spacing w:after="158"/>
              <w:jc w:val="center"/>
            </w:pPr>
            <w:r>
              <w:t>Module</w:t>
            </w:r>
          </w:p>
        </w:tc>
        <w:tc>
          <w:tcPr>
            <w:tcW w:w="4383" w:type="dxa"/>
          </w:tcPr>
          <w:p w14:paraId="6172E4B8" w14:textId="35FC34EB" w:rsidR="007B138D" w:rsidRDefault="007B138D" w:rsidP="007B138D">
            <w:pPr>
              <w:spacing w:after="158"/>
              <w:jc w:val="center"/>
            </w:pPr>
            <w:r>
              <w:t>Visions for the Future: Theoretical Perspectives on Management</w:t>
            </w:r>
          </w:p>
        </w:tc>
      </w:tr>
      <w:tr w:rsidR="007B138D" w14:paraId="7C15ED60" w14:textId="77777777" w:rsidTr="007B138D">
        <w:trPr>
          <w:trHeight w:val="534"/>
        </w:trPr>
        <w:tc>
          <w:tcPr>
            <w:tcW w:w="4909" w:type="dxa"/>
            <w:shd w:val="clear" w:color="auto" w:fill="BFBFBF" w:themeFill="background1" w:themeFillShade="BF"/>
          </w:tcPr>
          <w:p w14:paraId="6E4CBE5E" w14:textId="28D9BEC9" w:rsidR="007B138D" w:rsidRDefault="007B138D" w:rsidP="000C5F7F">
            <w:pPr>
              <w:spacing w:after="158"/>
              <w:jc w:val="center"/>
            </w:pPr>
            <w:r>
              <w:t>Module Code</w:t>
            </w:r>
          </w:p>
        </w:tc>
        <w:tc>
          <w:tcPr>
            <w:tcW w:w="4383" w:type="dxa"/>
          </w:tcPr>
          <w:p w14:paraId="11301157" w14:textId="088F1D16" w:rsidR="007B138D" w:rsidRDefault="007B138D" w:rsidP="000C5F7F">
            <w:pPr>
              <w:spacing w:after="158"/>
              <w:jc w:val="center"/>
            </w:pPr>
            <w:r>
              <w:t>LCDB7008</w:t>
            </w:r>
          </w:p>
        </w:tc>
      </w:tr>
      <w:tr w:rsidR="007B138D" w14:paraId="716849E6" w14:textId="77777777" w:rsidTr="007B138D">
        <w:trPr>
          <w:trHeight w:val="534"/>
        </w:trPr>
        <w:tc>
          <w:tcPr>
            <w:tcW w:w="4909" w:type="dxa"/>
            <w:shd w:val="clear" w:color="auto" w:fill="BFBFBF" w:themeFill="background1" w:themeFillShade="BF"/>
          </w:tcPr>
          <w:p w14:paraId="42050D25" w14:textId="42496A8B" w:rsidR="007B138D" w:rsidRDefault="007B138D" w:rsidP="000C5F7F">
            <w:pPr>
              <w:spacing w:after="158"/>
              <w:jc w:val="center"/>
            </w:pPr>
            <w:r>
              <w:t>Lecturer</w:t>
            </w:r>
          </w:p>
        </w:tc>
        <w:tc>
          <w:tcPr>
            <w:tcW w:w="4383" w:type="dxa"/>
          </w:tcPr>
          <w:p w14:paraId="56D62C24" w14:textId="6A512F54" w:rsidR="007B138D" w:rsidRDefault="007B138D" w:rsidP="000C5F7F">
            <w:pPr>
              <w:spacing w:after="158"/>
              <w:jc w:val="center"/>
            </w:pPr>
            <w:r w:rsidRPr="007B138D">
              <w:t>Xavier Matieni</w:t>
            </w:r>
          </w:p>
        </w:tc>
      </w:tr>
    </w:tbl>
    <w:p w14:paraId="5E81F38F" w14:textId="4C514F7E" w:rsidR="000C5F7F" w:rsidRDefault="000C5F7F" w:rsidP="007B138D">
      <w:pPr>
        <w:spacing w:after="156"/>
      </w:pPr>
    </w:p>
    <w:p w14:paraId="3A69AC9C" w14:textId="77777777" w:rsidR="000C5F7F" w:rsidRDefault="000C5F7F" w:rsidP="000C5F7F">
      <w:pPr>
        <w:spacing w:after="158"/>
        <w:ind w:left="59"/>
        <w:jc w:val="center"/>
      </w:pPr>
      <w:r>
        <w:t xml:space="preserve"> </w:t>
      </w:r>
    </w:p>
    <w:p w14:paraId="45441377" w14:textId="1A1297DB" w:rsidR="000C5F7F" w:rsidRDefault="000C5F7F" w:rsidP="007B138D">
      <w:pPr>
        <w:spacing w:after="158"/>
        <w:ind w:left="59"/>
        <w:jc w:val="center"/>
      </w:pPr>
      <w:r>
        <w:t xml:space="preserve"> </w:t>
      </w:r>
    </w:p>
    <w:p w14:paraId="5FAB9F0F" w14:textId="77777777" w:rsidR="000C5F7F" w:rsidRDefault="000C5F7F" w:rsidP="000C5F7F">
      <w:pPr>
        <w:spacing w:after="169"/>
        <w:jc w:val="center"/>
        <w:rPr>
          <w:b/>
          <w:bCs/>
        </w:rPr>
      </w:pPr>
    </w:p>
    <w:p w14:paraId="5601F2B1" w14:textId="77777777" w:rsidR="000C5F7F" w:rsidRDefault="000C5F7F" w:rsidP="000C5F7F">
      <w:pPr>
        <w:spacing w:after="169"/>
        <w:jc w:val="center"/>
        <w:rPr>
          <w:b/>
          <w:bCs/>
        </w:rPr>
      </w:pPr>
    </w:p>
    <w:p w14:paraId="5660D248" w14:textId="77777777" w:rsidR="000C5F7F" w:rsidRPr="00113366" w:rsidRDefault="000C5F7F" w:rsidP="000C5F7F">
      <w:pPr>
        <w:spacing w:after="169"/>
        <w:jc w:val="center"/>
        <w:rPr>
          <w:b/>
          <w:bCs/>
        </w:rPr>
      </w:pPr>
      <w:r w:rsidRPr="00113366">
        <w:rPr>
          <w:b/>
          <w:bCs/>
        </w:rPr>
        <w:t>University of Wales Trinity Saint David – London Campus</w:t>
      </w:r>
    </w:p>
    <w:p w14:paraId="5B7005AC" w14:textId="77777777" w:rsidR="000C5F7F" w:rsidRPr="00113366" w:rsidRDefault="000C5F7F" w:rsidP="000C5F7F">
      <w:pPr>
        <w:spacing w:after="157"/>
        <w:ind w:left="2367" w:right="2357"/>
        <w:jc w:val="center"/>
        <w:rPr>
          <w:b/>
          <w:bCs/>
        </w:rPr>
      </w:pPr>
    </w:p>
    <w:p w14:paraId="73967870" w14:textId="77777777" w:rsidR="000C5F7F" w:rsidRPr="00113366" w:rsidRDefault="000C5F7F" w:rsidP="000C5F7F">
      <w:pPr>
        <w:spacing w:after="157"/>
        <w:ind w:left="2367" w:right="2357"/>
        <w:jc w:val="center"/>
        <w:rPr>
          <w:b/>
          <w:bCs/>
        </w:rPr>
      </w:pPr>
    </w:p>
    <w:p w14:paraId="6E976289" w14:textId="05277ECA" w:rsidR="000C5F7F" w:rsidRPr="00113366" w:rsidRDefault="000C5F7F" w:rsidP="000C5F7F">
      <w:pPr>
        <w:spacing w:after="157"/>
        <w:ind w:left="2367" w:right="2357"/>
        <w:jc w:val="center"/>
        <w:rPr>
          <w:b/>
          <w:bCs/>
        </w:rPr>
      </w:pPr>
      <w:r w:rsidRPr="00113366">
        <w:rPr>
          <w:b/>
          <w:bCs/>
        </w:rPr>
        <w:t>[</w:t>
      </w:r>
      <w:r w:rsidR="007B138D">
        <w:rPr>
          <w:b/>
          <w:bCs/>
        </w:rPr>
        <w:t>21</w:t>
      </w:r>
      <w:r w:rsidR="007B138D" w:rsidRPr="007B138D">
        <w:rPr>
          <w:b/>
          <w:bCs/>
          <w:vertAlign w:val="superscript"/>
        </w:rPr>
        <w:t>st</w:t>
      </w:r>
      <w:r w:rsidR="007B138D">
        <w:rPr>
          <w:b/>
          <w:bCs/>
        </w:rPr>
        <w:t xml:space="preserve"> August 2026</w:t>
      </w:r>
      <w:r w:rsidRPr="00113366">
        <w:rPr>
          <w:b/>
          <w:bCs/>
        </w:rPr>
        <w:t xml:space="preserve">] </w:t>
      </w:r>
    </w:p>
    <w:sdt>
      <w:sdtPr>
        <w:rPr>
          <w:rFonts w:asciiTheme="minorHAnsi" w:eastAsiaTheme="minorHAnsi" w:hAnsiTheme="minorHAnsi" w:cstheme="minorBidi"/>
          <w:b w:val="0"/>
          <w:bCs w:val="0"/>
          <w:color w:val="auto"/>
          <w:kern w:val="2"/>
          <w:sz w:val="24"/>
          <w:szCs w:val="24"/>
          <w:lang w:val="en-GB"/>
          <w14:ligatures w14:val="standardContextual"/>
        </w:rPr>
        <w:id w:val="1106856704"/>
        <w:docPartObj>
          <w:docPartGallery w:val="Table of Contents"/>
          <w:docPartUnique/>
        </w:docPartObj>
      </w:sdtPr>
      <w:sdtEndPr>
        <w:rPr>
          <w:noProof/>
        </w:rPr>
      </w:sdtEndPr>
      <w:sdtContent>
        <w:p w14:paraId="7C600C99" w14:textId="6BEDE87D" w:rsidR="00E1059B" w:rsidRPr="00ED07B5" w:rsidRDefault="00E1059B">
          <w:pPr>
            <w:pStyle w:val="TOCHeading"/>
            <w:rPr>
              <w:color w:val="000000" w:themeColor="text1"/>
            </w:rPr>
          </w:pPr>
          <w:r w:rsidRPr="00ED07B5">
            <w:rPr>
              <w:color w:val="000000" w:themeColor="text1"/>
            </w:rPr>
            <w:t>Table of Contents</w:t>
          </w:r>
        </w:p>
        <w:p w14:paraId="3C75D7A5" w14:textId="54AA9B12" w:rsidR="00A012B4" w:rsidRDefault="00E1059B">
          <w:pPr>
            <w:pStyle w:val="TOC1"/>
            <w:tabs>
              <w:tab w:val="left" w:pos="480"/>
              <w:tab w:val="right" w:leader="dot" w:pos="934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38203171" w:history="1">
            <w:r w:rsidR="00A012B4" w:rsidRPr="009D0D37">
              <w:rPr>
                <w:rStyle w:val="Hyperlink"/>
                <w:noProof/>
              </w:rPr>
              <w:t>1.</w:t>
            </w:r>
            <w:r w:rsidR="00A012B4">
              <w:rPr>
                <w:rFonts w:eastAsiaTheme="minorEastAsia"/>
                <w:b w:val="0"/>
                <w:bCs w:val="0"/>
                <w:i w:val="0"/>
                <w:iCs w:val="0"/>
                <w:noProof/>
                <w:lang w:eastAsia="en-GB"/>
              </w:rPr>
              <w:tab/>
            </w:r>
            <w:r w:rsidR="00A012B4" w:rsidRPr="009D0D37">
              <w:rPr>
                <w:rStyle w:val="Hyperlink"/>
                <w:noProof/>
              </w:rPr>
              <w:t>Introduction</w:t>
            </w:r>
            <w:r w:rsidR="00A012B4">
              <w:rPr>
                <w:noProof/>
                <w:webHidden/>
              </w:rPr>
              <w:tab/>
            </w:r>
            <w:r w:rsidR="00A012B4">
              <w:rPr>
                <w:noProof/>
                <w:webHidden/>
              </w:rPr>
              <w:fldChar w:fldCharType="begin"/>
            </w:r>
            <w:r w:rsidR="00A012B4">
              <w:rPr>
                <w:noProof/>
                <w:webHidden/>
              </w:rPr>
              <w:instrText xml:space="preserve"> PAGEREF _Toc238203171 \h </w:instrText>
            </w:r>
            <w:r w:rsidR="00A012B4">
              <w:rPr>
                <w:noProof/>
                <w:webHidden/>
              </w:rPr>
            </w:r>
            <w:r w:rsidR="00A012B4">
              <w:rPr>
                <w:noProof/>
                <w:webHidden/>
              </w:rPr>
              <w:fldChar w:fldCharType="separate"/>
            </w:r>
            <w:r w:rsidR="00A012B4">
              <w:rPr>
                <w:noProof/>
                <w:webHidden/>
              </w:rPr>
              <w:t>4</w:t>
            </w:r>
            <w:r w:rsidR="00A012B4">
              <w:rPr>
                <w:noProof/>
                <w:webHidden/>
              </w:rPr>
              <w:fldChar w:fldCharType="end"/>
            </w:r>
          </w:hyperlink>
        </w:p>
        <w:p w14:paraId="0FDEB767" w14:textId="55DFBC63" w:rsidR="00A012B4" w:rsidRDefault="00A012B4">
          <w:pPr>
            <w:pStyle w:val="TOC2"/>
            <w:tabs>
              <w:tab w:val="right" w:leader="dot" w:pos="9346"/>
            </w:tabs>
            <w:rPr>
              <w:rFonts w:eastAsiaTheme="minorEastAsia"/>
              <w:b w:val="0"/>
              <w:bCs w:val="0"/>
              <w:noProof/>
              <w:sz w:val="24"/>
              <w:szCs w:val="24"/>
              <w:lang w:eastAsia="en-GB"/>
            </w:rPr>
          </w:pPr>
          <w:hyperlink w:anchor="_Toc238203172" w:history="1">
            <w:r w:rsidRPr="009D0D37">
              <w:rPr>
                <w:rStyle w:val="Hyperlink"/>
                <w:noProof/>
              </w:rPr>
              <w:t>1.1 Background</w:t>
            </w:r>
            <w:r>
              <w:rPr>
                <w:noProof/>
                <w:webHidden/>
              </w:rPr>
              <w:tab/>
            </w:r>
            <w:r>
              <w:rPr>
                <w:noProof/>
                <w:webHidden/>
              </w:rPr>
              <w:fldChar w:fldCharType="begin"/>
            </w:r>
            <w:r>
              <w:rPr>
                <w:noProof/>
                <w:webHidden/>
              </w:rPr>
              <w:instrText xml:space="preserve"> PAGEREF _Toc238203172 \h </w:instrText>
            </w:r>
            <w:r>
              <w:rPr>
                <w:noProof/>
                <w:webHidden/>
              </w:rPr>
            </w:r>
            <w:r>
              <w:rPr>
                <w:noProof/>
                <w:webHidden/>
              </w:rPr>
              <w:fldChar w:fldCharType="separate"/>
            </w:r>
            <w:r>
              <w:rPr>
                <w:noProof/>
                <w:webHidden/>
              </w:rPr>
              <w:t>5</w:t>
            </w:r>
            <w:r>
              <w:rPr>
                <w:noProof/>
                <w:webHidden/>
              </w:rPr>
              <w:fldChar w:fldCharType="end"/>
            </w:r>
          </w:hyperlink>
        </w:p>
        <w:p w14:paraId="6E2E9174" w14:textId="6FAD93DE" w:rsidR="00A012B4" w:rsidRDefault="00A012B4">
          <w:pPr>
            <w:pStyle w:val="TOC2"/>
            <w:tabs>
              <w:tab w:val="right" w:leader="dot" w:pos="9346"/>
            </w:tabs>
            <w:rPr>
              <w:rFonts w:eastAsiaTheme="minorEastAsia"/>
              <w:b w:val="0"/>
              <w:bCs w:val="0"/>
              <w:noProof/>
              <w:sz w:val="24"/>
              <w:szCs w:val="24"/>
              <w:lang w:eastAsia="en-GB"/>
            </w:rPr>
          </w:pPr>
          <w:hyperlink w:anchor="_Toc238203173" w:history="1">
            <w:r w:rsidRPr="009D0D37">
              <w:rPr>
                <w:rStyle w:val="Hyperlink"/>
                <w:noProof/>
              </w:rPr>
              <w:t>1.2 Purpose of the study</w:t>
            </w:r>
            <w:r>
              <w:rPr>
                <w:noProof/>
                <w:webHidden/>
              </w:rPr>
              <w:tab/>
            </w:r>
            <w:r>
              <w:rPr>
                <w:noProof/>
                <w:webHidden/>
              </w:rPr>
              <w:fldChar w:fldCharType="begin"/>
            </w:r>
            <w:r>
              <w:rPr>
                <w:noProof/>
                <w:webHidden/>
              </w:rPr>
              <w:instrText xml:space="preserve"> PAGEREF _Toc238203173 \h </w:instrText>
            </w:r>
            <w:r>
              <w:rPr>
                <w:noProof/>
                <w:webHidden/>
              </w:rPr>
            </w:r>
            <w:r>
              <w:rPr>
                <w:noProof/>
                <w:webHidden/>
              </w:rPr>
              <w:fldChar w:fldCharType="separate"/>
            </w:r>
            <w:r>
              <w:rPr>
                <w:noProof/>
                <w:webHidden/>
              </w:rPr>
              <w:t>6</w:t>
            </w:r>
            <w:r>
              <w:rPr>
                <w:noProof/>
                <w:webHidden/>
              </w:rPr>
              <w:fldChar w:fldCharType="end"/>
            </w:r>
          </w:hyperlink>
        </w:p>
        <w:p w14:paraId="0B8F0156" w14:textId="56FB5FE0" w:rsidR="00A012B4" w:rsidRDefault="00A012B4">
          <w:pPr>
            <w:pStyle w:val="TOC1"/>
            <w:tabs>
              <w:tab w:val="left" w:pos="480"/>
              <w:tab w:val="right" w:leader="dot" w:pos="9346"/>
            </w:tabs>
            <w:rPr>
              <w:rFonts w:eastAsiaTheme="minorEastAsia"/>
              <w:b w:val="0"/>
              <w:bCs w:val="0"/>
              <w:i w:val="0"/>
              <w:iCs w:val="0"/>
              <w:noProof/>
              <w:lang w:eastAsia="en-GB"/>
            </w:rPr>
          </w:pPr>
          <w:hyperlink w:anchor="_Toc238203174" w:history="1">
            <w:r w:rsidRPr="009D0D37">
              <w:rPr>
                <w:rStyle w:val="Hyperlink"/>
                <w:noProof/>
              </w:rPr>
              <w:t>2.</w:t>
            </w:r>
            <w:r>
              <w:rPr>
                <w:rFonts w:eastAsiaTheme="minorEastAsia"/>
                <w:b w:val="0"/>
                <w:bCs w:val="0"/>
                <w:i w:val="0"/>
                <w:iCs w:val="0"/>
                <w:noProof/>
                <w:lang w:eastAsia="en-GB"/>
              </w:rPr>
              <w:tab/>
            </w:r>
            <w:r w:rsidRPr="009D0D37">
              <w:rPr>
                <w:rStyle w:val="Hyperlink"/>
                <w:noProof/>
              </w:rPr>
              <w:t>Literature Review</w:t>
            </w:r>
            <w:r>
              <w:rPr>
                <w:noProof/>
                <w:webHidden/>
              </w:rPr>
              <w:tab/>
            </w:r>
            <w:r>
              <w:rPr>
                <w:noProof/>
                <w:webHidden/>
              </w:rPr>
              <w:fldChar w:fldCharType="begin"/>
            </w:r>
            <w:r>
              <w:rPr>
                <w:noProof/>
                <w:webHidden/>
              </w:rPr>
              <w:instrText xml:space="preserve"> PAGEREF _Toc238203174 \h </w:instrText>
            </w:r>
            <w:r>
              <w:rPr>
                <w:noProof/>
                <w:webHidden/>
              </w:rPr>
            </w:r>
            <w:r>
              <w:rPr>
                <w:noProof/>
                <w:webHidden/>
              </w:rPr>
              <w:fldChar w:fldCharType="separate"/>
            </w:r>
            <w:r>
              <w:rPr>
                <w:noProof/>
                <w:webHidden/>
              </w:rPr>
              <w:t>6</w:t>
            </w:r>
            <w:r>
              <w:rPr>
                <w:noProof/>
                <w:webHidden/>
              </w:rPr>
              <w:fldChar w:fldCharType="end"/>
            </w:r>
          </w:hyperlink>
        </w:p>
        <w:p w14:paraId="0832ECD4" w14:textId="211DBC9A" w:rsidR="00A012B4" w:rsidRDefault="00A012B4">
          <w:pPr>
            <w:pStyle w:val="TOC2"/>
            <w:tabs>
              <w:tab w:val="right" w:leader="dot" w:pos="9346"/>
            </w:tabs>
            <w:rPr>
              <w:rFonts w:eastAsiaTheme="minorEastAsia"/>
              <w:b w:val="0"/>
              <w:bCs w:val="0"/>
              <w:noProof/>
              <w:sz w:val="24"/>
              <w:szCs w:val="24"/>
              <w:lang w:eastAsia="en-GB"/>
            </w:rPr>
          </w:pPr>
          <w:hyperlink w:anchor="_Toc238203175" w:history="1">
            <w:r w:rsidRPr="009D0D37">
              <w:rPr>
                <w:rStyle w:val="Hyperlink"/>
                <w:noProof/>
              </w:rPr>
              <w:t>2.1 Evolution of Technology in Business</w:t>
            </w:r>
            <w:r>
              <w:rPr>
                <w:noProof/>
                <w:webHidden/>
              </w:rPr>
              <w:tab/>
            </w:r>
            <w:r>
              <w:rPr>
                <w:noProof/>
                <w:webHidden/>
              </w:rPr>
              <w:fldChar w:fldCharType="begin"/>
            </w:r>
            <w:r>
              <w:rPr>
                <w:noProof/>
                <w:webHidden/>
              </w:rPr>
              <w:instrText xml:space="preserve"> PAGEREF _Toc238203175 \h </w:instrText>
            </w:r>
            <w:r>
              <w:rPr>
                <w:noProof/>
                <w:webHidden/>
              </w:rPr>
            </w:r>
            <w:r>
              <w:rPr>
                <w:noProof/>
                <w:webHidden/>
              </w:rPr>
              <w:fldChar w:fldCharType="separate"/>
            </w:r>
            <w:r>
              <w:rPr>
                <w:noProof/>
                <w:webHidden/>
              </w:rPr>
              <w:t>6</w:t>
            </w:r>
            <w:r>
              <w:rPr>
                <w:noProof/>
                <w:webHidden/>
              </w:rPr>
              <w:fldChar w:fldCharType="end"/>
            </w:r>
          </w:hyperlink>
        </w:p>
        <w:p w14:paraId="24B4376A" w14:textId="017CC8DF" w:rsidR="00A012B4" w:rsidRDefault="00A012B4">
          <w:pPr>
            <w:pStyle w:val="TOC2"/>
            <w:tabs>
              <w:tab w:val="right" w:leader="dot" w:pos="9346"/>
            </w:tabs>
            <w:rPr>
              <w:rFonts w:eastAsiaTheme="minorEastAsia"/>
              <w:b w:val="0"/>
              <w:bCs w:val="0"/>
              <w:noProof/>
              <w:sz w:val="24"/>
              <w:szCs w:val="24"/>
              <w:lang w:eastAsia="en-GB"/>
            </w:rPr>
          </w:pPr>
          <w:hyperlink w:anchor="_Toc238203176" w:history="1">
            <w:r w:rsidRPr="009D0D37">
              <w:rPr>
                <w:rStyle w:val="Hyperlink"/>
                <w:noProof/>
              </w:rPr>
              <w:t>2.2 The Rise of e-Commerce</w:t>
            </w:r>
            <w:r>
              <w:rPr>
                <w:noProof/>
                <w:webHidden/>
              </w:rPr>
              <w:tab/>
            </w:r>
            <w:r>
              <w:rPr>
                <w:noProof/>
                <w:webHidden/>
              </w:rPr>
              <w:fldChar w:fldCharType="begin"/>
            </w:r>
            <w:r>
              <w:rPr>
                <w:noProof/>
                <w:webHidden/>
              </w:rPr>
              <w:instrText xml:space="preserve"> PAGEREF _Toc238203176 \h </w:instrText>
            </w:r>
            <w:r>
              <w:rPr>
                <w:noProof/>
                <w:webHidden/>
              </w:rPr>
            </w:r>
            <w:r>
              <w:rPr>
                <w:noProof/>
                <w:webHidden/>
              </w:rPr>
              <w:fldChar w:fldCharType="separate"/>
            </w:r>
            <w:r>
              <w:rPr>
                <w:noProof/>
                <w:webHidden/>
              </w:rPr>
              <w:t>7</w:t>
            </w:r>
            <w:r>
              <w:rPr>
                <w:noProof/>
                <w:webHidden/>
              </w:rPr>
              <w:fldChar w:fldCharType="end"/>
            </w:r>
          </w:hyperlink>
        </w:p>
        <w:p w14:paraId="30BEB267" w14:textId="57262D60" w:rsidR="00A012B4" w:rsidRDefault="00A012B4">
          <w:pPr>
            <w:pStyle w:val="TOC2"/>
            <w:tabs>
              <w:tab w:val="right" w:leader="dot" w:pos="9346"/>
            </w:tabs>
            <w:rPr>
              <w:rFonts w:eastAsiaTheme="minorEastAsia"/>
              <w:b w:val="0"/>
              <w:bCs w:val="0"/>
              <w:noProof/>
              <w:sz w:val="24"/>
              <w:szCs w:val="24"/>
              <w:lang w:eastAsia="en-GB"/>
            </w:rPr>
          </w:pPr>
          <w:hyperlink w:anchor="_Toc238203177" w:history="1">
            <w:r w:rsidRPr="009D0D37">
              <w:rPr>
                <w:rStyle w:val="Hyperlink"/>
                <w:noProof/>
              </w:rPr>
              <w:t>2.3 The Emergence of e-Business</w:t>
            </w:r>
            <w:r>
              <w:rPr>
                <w:noProof/>
                <w:webHidden/>
              </w:rPr>
              <w:tab/>
            </w:r>
            <w:r>
              <w:rPr>
                <w:noProof/>
                <w:webHidden/>
              </w:rPr>
              <w:fldChar w:fldCharType="begin"/>
            </w:r>
            <w:r>
              <w:rPr>
                <w:noProof/>
                <w:webHidden/>
              </w:rPr>
              <w:instrText xml:space="preserve"> PAGEREF _Toc238203177 \h </w:instrText>
            </w:r>
            <w:r>
              <w:rPr>
                <w:noProof/>
                <w:webHidden/>
              </w:rPr>
            </w:r>
            <w:r>
              <w:rPr>
                <w:noProof/>
                <w:webHidden/>
              </w:rPr>
              <w:fldChar w:fldCharType="separate"/>
            </w:r>
            <w:r>
              <w:rPr>
                <w:noProof/>
                <w:webHidden/>
              </w:rPr>
              <w:t>7</w:t>
            </w:r>
            <w:r>
              <w:rPr>
                <w:noProof/>
                <w:webHidden/>
              </w:rPr>
              <w:fldChar w:fldCharType="end"/>
            </w:r>
          </w:hyperlink>
        </w:p>
        <w:p w14:paraId="1ECEEB8B" w14:textId="2D9635B9" w:rsidR="00A012B4" w:rsidRDefault="00A012B4">
          <w:pPr>
            <w:pStyle w:val="TOC2"/>
            <w:tabs>
              <w:tab w:val="right" w:leader="dot" w:pos="9346"/>
            </w:tabs>
            <w:rPr>
              <w:rFonts w:eastAsiaTheme="minorEastAsia"/>
              <w:b w:val="0"/>
              <w:bCs w:val="0"/>
              <w:noProof/>
              <w:sz w:val="24"/>
              <w:szCs w:val="24"/>
              <w:lang w:eastAsia="en-GB"/>
            </w:rPr>
          </w:pPr>
          <w:hyperlink w:anchor="_Toc238203178" w:history="1">
            <w:r w:rsidRPr="009D0D37">
              <w:rPr>
                <w:rStyle w:val="Hyperlink"/>
                <w:noProof/>
              </w:rPr>
              <w:t>2.4 Definition and Explanation of Organisational Structure</w:t>
            </w:r>
            <w:r>
              <w:rPr>
                <w:noProof/>
                <w:webHidden/>
              </w:rPr>
              <w:tab/>
            </w:r>
            <w:r>
              <w:rPr>
                <w:noProof/>
                <w:webHidden/>
              </w:rPr>
              <w:fldChar w:fldCharType="begin"/>
            </w:r>
            <w:r>
              <w:rPr>
                <w:noProof/>
                <w:webHidden/>
              </w:rPr>
              <w:instrText xml:space="preserve"> PAGEREF _Toc238203178 \h </w:instrText>
            </w:r>
            <w:r>
              <w:rPr>
                <w:noProof/>
                <w:webHidden/>
              </w:rPr>
            </w:r>
            <w:r>
              <w:rPr>
                <w:noProof/>
                <w:webHidden/>
              </w:rPr>
              <w:fldChar w:fldCharType="separate"/>
            </w:r>
            <w:r>
              <w:rPr>
                <w:noProof/>
                <w:webHidden/>
              </w:rPr>
              <w:t>8</w:t>
            </w:r>
            <w:r>
              <w:rPr>
                <w:noProof/>
                <w:webHidden/>
              </w:rPr>
              <w:fldChar w:fldCharType="end"/>
            </w:r>
          </w:hyperlink>
        </w:p>
        <w:p w14:paraId="032EE9F9" w14:textId="36D482E2" w:rsidR="00A012B4" w:rsidRDefault="00A012B4">
          <w:pPr>
            <w:pStyle w:val="TOC2"/>
            <w:tabs>
              <w:tab w:val="right" w:leader="dot" w:pos="9346"/>
            </w:tabs>
            <w:rPr>
              <w:rFonts w:eastAsiaTheme="minorEastAsia"/>
              <w:b w:val="0"/>
              <w:bCs w:val="0"/>
              <w:noProof/>
              <w:sz w:val="24"/>
              <w:szCs w:val="24"/>
              <w:lang w:eastAsia="en-GB"/>
            </w:rPr>
          </w:pPr>
          <w:hyperlink w:anchor="_Toc238203179" w:history="1">
            <w:r w:rsidRPr="009D0D37">
              <w:rPr>
                <w:rStyle w:val="Hyperlink"/>
                <w:noProof/>
              </w:rPr>
              <w:t>2.4.1 Hierarchy-Based Structures</w:t>
            </w:r>
            <w:r>
              <w:rPr>
                <w:noProof/>
                <w:webHidden/>
              </w:rPr>
              <w:tab/>
            </w:r>
            <w:r>
              <w:rPr>
                <w:noProof/>
                <w:webHidden/>
              </w:rPr>
              <w:fldChar w:fldCharType="begin"/>
            </w:r>
            <w:r>
              <w:rPr>
                <w:noProof/>
                <w:webHidden/>
              </w:rPr>
              <w:instrText xml:space="preserve"> PAGEREF _Toc238203179 \h </w:instrText>
            </w:r>
            <w:r>
              <w:rPr>
                <w:noProof/>
                <w:webHidden/>
              </w:rPr>
            </w:r>
            <w:r>
              <w:rPr>
                <w:noProof/>
                <w:webHidden/>
              </w:rPr>
              <w:fldChar w:fldCharType="separate"/>
            </w:r>
            <w:r>
              <w:rPr>
                <w:noProof/>
                <w:webHidden/>
              </w:rPr>
              <w:t>8</w:t>
            </w:r>
            <w:r>
              <w:rPr>
                <w:noProof/>
                <w:webHidden/>
              </w:rPr>
              <w:fldChar w:fldCharType="end"/>
            </w:r>
          </w:hyperlink>
        </w:p>
        <w:p w14:paraId="39D2AAF5" w14:textId="54FA2C55" w:rsidR="00A012B4" w:rsidRDefault="00A012B4">
          <w:pPr>
            <w:pStyle w:val="TOC2"/>
            <w:tabs>
              <w:tab w:val="right" w:leader="dot" w:pos="9346"/>
            </w:tabs>
            <w:rPr>
              <w:rFonts w:eastAsiaTheme="minorEastAsia"/>
              <w:b w:val="0"/>
              <w:bCs w:val="0"/>
              <w:noProof/>
              <w:sz w:val="24"/>
              <w:szCs w:val="24"/>
              <w:lang w:eastAsia="en-GB"/>
            </w:rPr>
          </w:pPr>
          <w:hyperlink w:anchor="_Toc238203180" w:history="1">
            <w:r w:rsidRPr="009D0D37">
              <w:rPr>
                <w:rStyle w:val="Hyperlink"/>
                <w:noProof/>
              </w:rPr>
              <w:t>2.4.2 Functional Structures</w:t>
            </w:r>
            <w:r>
              <w:rPr>
                <w:noProof/>
                <w:webHidden/>
              </w:rPr>
              <w:tab/>
            </w:r>
            <w:r>
              <w:rPr>
                <w:noProof/>
                <w:webHidden/>
              </w:rPr>
              <w:fldChar w:fldCharType="begin"/>
            </w:r>
            <w:r>
              <w:rPr>
                <w:noProof/>
                <w:webHidden/>
              </w:rPr>
              <w:instrText xml:space="preserve"> PAGEREF _Toc238203180 \h </w:instrText>
            </w:r>
            <w:r>
              <w:rPr>
                <w:noProof/>
                <w:webHidden/>
              </w:rPr>
            </w:r>
            <w:r>
              <w:rPr>
                <w:noProof/>
                <w:webHidden/>
              </w:rPr>
              <w:fldChar w:fldCharType="separate"/>
            </w:r>
            <w:r>
              <w:rPr>
                <w:noProof/>
                <w:webHidden/>
              </w:rPr>
              <w:t>9</w:t>
            </w:r>
            <w:r>
              <w:rPr>
                <w:noProof/>
                <w:webHidden/>
              </w:rPr>
              <w:fldChar w:fldCharType="end"/>
            </w:r>
          </w:hyperlink>
        </w:p>
        <w:p w14:paraId="61F54701" w14:textId="7E55B1E0" w:rsidR="00A012B4" w:rsidRDefault="00A012B4">
          <w:pPr>
            <w:pStyle w:val="TOC2"/>
            <w:tabs>
              <w:tab w:val="right" w:leader="dot" w:pos="9346"/>
            </w:tabs>
            <w:rPr>
              <w:rFonts w:eastAsiaTheme="minorEastAsia"/>
              <w:b w:val="0"/>
              <w:bCs w:val="0"/>
              <w:noProof/>
              <w:sz w:val="24"/>
              <w:szCs w:val="24"/>
              <w:lang w:eastAsia="en-GB"/>
            </w:rPr>
          </w:pPr>
          <w:hyperlink w:anchor="_Toc238203181" w:history="1">
            <w:r w:rsidRPr="009D0D37">
              <w:rPr>
                <w:rStyle w:val="Hyperlink"/>
                <w:noProof/>
              </w:rPr>
              <w:t>2.4.3 Divisional Structures</w:t>
            </w:r>
            <w:r>
              <w:rPr>
                <w:noProof/>
                <w:webHidden/>
              </w:rPr>
              <w:tab/>
            </w:r>
            <w:r>
              <w:rPr>
                <w:noProof/>
                <w:webHidden/>
              </w:rPr>
              <w:fldChar w:fldCharType="begin"/>
            </w:r>
            <w:r>
              <w:rPr>
                <w:noProof/>
                <w:webHidden/>
              </w:rPr>
              <w:instrText xml:space="preserve"> PAGEREF _Toc238203181 \h </w:instrText>
            </w:r>
            <w:r>
              <w:rPr>
                <w:noProof/>
                <w:webHidden/>
              </w:rPr>
            </w:r>
            <w:r>
              <w:rPr>
                <w:noProof/>
                <w:webHidden/>
              </w:rPr>
              <w:fldChar w:fldCharType="separate"/>
            </w:r>
            <w:r>
              <w:rPr>
                <w:noProof/>
                <w:webHidden/>
              </w:rPr>
              <w:t>9</w:t>
            </w:r>
            <w:r>
              <w:rPr>
                <w:noProof/>
                <w:webHidden/>
              </w:rPr>
              <w:fldChar w:fldCharType="end"/>
            </w:r>
          </w:hyperlink>
        </w:p>
        <w:p w14:paraId="19B1E594" w14:textId="6746B3FF" w:rsidR="00A012B4" w:rsidRDefault="00A012B4">
          <w:pPr>
            <w:pStyle w:val="TOC2"/>
            <w:tabs>
              <w:tab w:val="right" w:leader="dot" w:pos="9346"/>
            </w:tabs>
            <w:rPr>
              <w:rFonts w:eastAsiaTheme="minorEastAsia"/>
              <w:b w:val="0"/>
              <w:bCs w:val="0"/>
              <w:noProof/>
              <w:sz w:val="24"/>
              <w:szCs w:val="24"/>
              <w:lang w:eastAsia="en-GB"/>
            </w:rPr>
          </w:pPr>
          <w:hyperlink w:anchor="_Toc238203182" w:history="1">
            <w:r w:rsidRPr="009D0D37">
              <w:rPr>
                <w:rStyle w:val="Hyperlink"/>
                <w:noProof/>
              </w:rPr>
              <w:t>2.5. Theories of Management Roles</w:t>
            </w:r>
            <w:r>
              <w:rPr>
                <w:noProof/>
                <w:webHidden/>
              </w:rPr>
              <w:tab/>
            </w:r>
            <w:r>
              <w:rPr>
                <w:noProof/>
                <w:webHidden/>
              </w:rPr>
              <w:fldChar w:fldCharType="begin"/>
            </w:r>
            <w:r>
              <w:rPr>
                <w:noProof/>
                <w:webHidden/>
              </w:rPr>
              <w:instrText xml:space="preserve"> PAGEREF _Toc238203182 \h </w:instrText>
            </w:r>
            <w:r>
              <w:rPr>
                <w:noProof/>
                <w:webHidden/>
              </w:rPr>
            </w:r>
            <w:r>
              <w:rPr>
                <w:noProof/>
                <w:webHidden/>
              </w:rPr>
              <w:fldChar w:fldCharType="separate"/>
            </w:r>
            <w:r>
              <w:rPr>
                <w:noProof/>
                <w:webHidden/>
              </w:rPr>
              <w:t>9</w:t>
            </w:r>
            <w:r>
              <w:rPr>
                <w:noProof/>
                <w:webHidden/>
              </w:rPr>
              <w:fldChar w:fldCharType="end"/>
            </w:r>
          </w:hyperlink>
        </w:p>
        <w:p w14:paraId="58C12E0A" w14:textId="67DD87AB" w:rsidR="00A012B4" w:rsidRDefault="00A012B4">
          <w:pPr>
            <w:pStyle w:val="TOC2"/>
            <w:tabs>
              <w:tab w:val="right" w:leader="dot" w:pos="9346"/>
            </w:tabs>
            <w:rPr>
              <w:rFonts w:eastAsiaTheme="minorEastAsia"/>
              <w:b w:val="0"/>
              <w:bCs w:val="0"/>
              <w:noProof/>
              <w:sz w:val="24"/>
              <w:szCs w:val="24"/>
              <w:lang w:eastAsia="en-GB"/>
            </w:rPr>
          </w:pPr>
          <w:hyperlink w:anchor="_Toc238203183" w:history="1">
            <w:r w:rsidRPr="009D0D37">
              <w:rPr>
                <w:rStyle w:val="Hyperlink"/>
                <w:noProof/>
              </w:rPr>
              <w:t>2.5.1. Classical Management Theories</w:t>
            </w:r>
            <w:r>
              <w:rPr>
                <w:noProof/>
                <w:webHidden/>
              </w:rPr>
              <w:tab/>
            </w:r>
            <w:r>
              <w:rPr>
                <w:noProof/>
                <w:webHidden/>
              </w:rPr>
              <w:fldChar w:fldCharType="begin"/>
            </w:r>
            <w:r>
              <w:rPr>
                <w:noProof/>
                <w:webHidden/>
              </w:rPr>
              <w:instrText xml:space="preserve"> PAGEREF _Toc238203183 \h </w:instrText>
            </w:r>
            <w:r>
              <w:rPr>
                <w:noProof/>
                <w:webHidden/>
              </w:rPr>
            </w:r>
            <w:r>
              <w:rPr>
                <w:noProof/>
                <w:webHidden/>
              </w:rPr>
              <w:fldChar w:fldCharType="separate"/>
            </w:r>
            <w:r>
              <w:rPr>
                <w:noProof/>
                <w:webHidden/>
              </w:rPr>
              <w:t>9</w:t>
            </w:r>
            <w:r>
              <w:rPr>
                <w:noProof/>
                <w:webHidden/>
              </w:rPr>
              <w:fldChar w:fldCharType="end"/>
            </w:r>
          </w:hyperlink>
        </w:p>
        <w:p w14:paraId="06101638" w14:textId="060B45DF" w:rsidR="00A012B4" w:rsidRDefault="00A012B4">
          <w:pPr>
            <w:pStyle w:val="TOC2"/>
            <w:tabs>
              <w:tab w:val="right" w:leader="dot" w:pos="9346"/>
            </w:tabs>
            <w:rPr>
              <w:rFonts w:eastAsiaTheme="minorEastAsia"/>
              <w:b w:val="0"/>
              <w:bCs w:val="0"/>
              <w:noProof/>
              <w:sz w:val="24"/>
              <w:szCs w:val="24"/>
              <w:lang w:eastAsia="en-GB"/>
            </w:rPr>
          </w:pPr>
          <w:hyperlink w:anchor="_Toc238203184" w:history="1">
            <w:r w:rsidRPr="009D0D37">
              <w:rPr>
                <w:rStyle w:val="Hyperlink"/>
                <w:noProof/>
              </w:rPr>
              <w:t>2.5.2. Contemporary Management Theories</w:t>
            </w:r>
            <w:r>
              <w:rPr>
                <w:noProof/>
                <w:webHidden/>
              </w:rPr>
              <w:tab/>
            </w:r>
            <w:r>
              <w:rPr>
                <w:noProof/>
                <w:webHidden/>
              </w:rPr>
              <w:fldChar w:fldCharType="begin"/>
            </w:r>
            <w:r>
              <w:rPr>
                <w:noProof/>
                <w:webHidden/>
              </w:rPr>
              <w:instrText xml:space="preserve"> PAGEREF _Toc238203184 \h </w:instrText>
            </w:r>
            <w:r>
              <w:rPr>
                <w:noProof/>
                <w:webHidden/>
              </w:rPr>
            </w:r>
            <w:r>
              <w:rPr>
                <w:noProof/>
                <w:webHidden/>
              </w:rPr>
              <w:fldChar w:fldCharType="separate"/>
            </w:r>
            <w:r>
              <w:rPr>
                <w:noProof/>
                <w:webHidden/>
              </w:rPr>
              <w:t>10</w:t>
            </w:r>
            <w:r>
              <w:rPr>
                <w:noProof/>
                <w:webHidden/>
              </w:rPr>
              <w:fldChar w:fldCharType="end"/>
            </w:r>
          </w:hyperlink>
        </w:p>
        <w:p w14:paraId="32311AFE" w14:textId="60243450" w:rsidR="00A012B4" w:rsidRDefault="00A012B4">
          <w:pPr>
            <w:pStyle w:val="TOC2"/>
            <w:tabs>
              <w:tab w:val="right" w:leader="dot" w:pos="9346"/>
            </w:tabs>
            <w:rPr>
              <w:rFonts w:eastAsiaTheme="minorEastAsia"/>
              <w:b w:val="0"/>
              <w:bCs w:val="0"/>
              <w:noProof/>
              <w:sz w:val="24"/>
              <w:szCs w:val="24"/>
              <w:lang w:eastAsia="en-GB"/>
            </w:rPr>
          </w:pPr>
          <w:hyperlink w:anchor="_Toc238203185" w:history="1">
            <w:r w:rsidRPr="009D0D37">
              <w:rPr>
                <w:rStyle w:val="Hyperlink"/>
                <w:noProof/>
              </w:rPr>
              <w:t>2.5.3. Challenges Faced by Traditional Management Roles</w:t>
            </w:r>
            <w:r>
              <w:rPr>
                <w:noProof/>
                <w:webHidden/>
              </w:rPr>
              <w:tab/>
            </w:r>
            <w:r>
              <w:rPr>
                <w:noProof/>
                <w:webHidden/>
              </w:rPr>
              <w:fldChar w:fldCharType="begin"/>
            </w:r>
            <w:r>
              <w:rPr>
                <w:noProof/>
                <w:webHidden/>
              </w:rPr>
              <w:instrText xml:space="preserve"> PAGEREF _Toc238203185 \h </w:instrText>
            </w:r>
            <w:r>
              <w:rPr>
                <w:noProof/>
                <w:webHidden/>
              </w:rPr>
            </w:r>
            <w:r>
              <w:rPr>
                <w:noProof/>
                <w:webHidden/>
              </w:rPr>
              <w:fldChar w:fldCharType="separate"/>
            </w:r>
            <w:r>
              <w:rPr>
                <w:noProof/>
                <w:webHidden/>
              </w:rPr>
              <w:t>10</w:t>
            </w:r>
            <w:r>
              <w:rPr>
                <w:noProof/>
                <w:webHidden/>
              </w:rPr>
              <w:fldChar w:fldCharType="end"/>
            </w:r>
          </w:hyperlink>
        </w:p>
        <w:p w14:paraId="20E5420A" w14:textId="2706335E" w:rsidR="00A012B4" w:rsidRDefault="00A012B4">
          <w:pPr>
            <w:pStyle w:val="TOC2"/>
            <w:tabs>
              <w:tab w:val="right" w:leader="dot" w:pos="9346"/>
            </w:tabs>
            <w:rPr>
              <w:rFonts w:eastAsiaTheme="minorEastAsia"/>
              <w:b w:val="0"/>
              <w:bCs w:val="0"/>
              <w:noProof/>
              <w:sz w:val="24"/>
              <w:szCs w:val="24"/>
              <w:lang w:eastAsia="en-GB"/>
            </w:rPr>
          </w:pPr>
          <w:hyperlink w:anchor="_Toc238203186" w:history="1">
            <w:r w:rsidRPr="009D0D37">
              <w:rPr>
                <w:rStyle w:val="Hyperlink"/>
                <w:noProof/>
              </w:rPr>
              <w:t>2.6. Implications for Traditional Models</w:t>
            </w:r>
            <w:r>
              <w:rPr>
                <w:noProof/>
                <w:webHidden/>
              </w:rPr>
              <w:tab/>
            </w:r>
            <w:r>
              <w:rPr>
                <w:noProof/>
                <w:webHidden/>
              </w:rPr>
              <w:fldChar w:fldCharType="begin"/>
            </w:r>
            <w:r>
              <w:rPr>
                <w:noProof/>
                <w:webHidden/>
              </w:rPr>
              <w:instrText xml:space="preserve"> PAGEREF _Toc238203186 \h </w:instrText>
            </w:r>
            <w:r>
              <w:rPr>
                <w:noProof/>
                <w:webHidden/>
              </w:rPr>
            </w:r>
            <w:r>
              <w:rPr>
                <w:noProof/>
                <w:webHidden/>
              </w:rPr>
              <w:fldChar w:fldCharType="separate"/>
            </w:r>
            <w:r>
              <w:rPr>
                <w:noProof/>
                <w:webHidden/>
              </w:rPr>
              <w:t>10</w:t>
            </w:r>
            <w:r>
              <w:rPr>
                <w:noProof/>
                <w:webHidden/>
              </w:rPr>
              <w:fldChar w:fldCharType="end"/>
            </w:r>
          </w:hyperlink>
        </w:p>
        <w:p w14:paraId="16234337" w14:textId="3337D06B" w:rsidR="00A012B4" w:rsidRDefault="00A012B4">
          <w:pPr>
            <w:pStyle w:val="TOC1"/>
            <w:tabs>
              <w:tab w:val="left" w:pos="480"/>
              <w:tab w:val="right" w:leader="dot" w:pos="9346"/>
            </w:tabs>
            <w:rPr>
              <w:rFonts w:eastAsiaTheme="minorEastAsia"/>
              <w:b w:val="0"/>
              <w:bCs w:val="0"/>
              <w:i w:val="0"/>
              <w:iCs w:val="0"/>
              <w:noProof/>
              <w:lang w:eastAsia="en-GB"/>
            </w:rPr>
          </w:pPr>
          <w:hyperlink w:anchor="_Toc238203187" w:history="1">
            <w:r w:rsidRPr="009D0D37">
              <w:rPr>
                <w:rStyle w:val="Hyperlink"/>
                <w:noProof/>
              </w:rPr>
              <w:t>3.</w:t>
            </w:r>
            <w:r>
              <w:rPr>
                <w:rFonts w:eastAsiaTheme="minorEastAsia"/>
                <w:b w:val="0"/>
                <w:bCs w:val="0"/>
                <w:i w:val="0"/>
                <w:iCs w:val="0"/>
                <w:noProof/>
                <w:lang w:eastAsia="en-GB"/>
              </w:rPr>
              <w:tab/>
            </w:r>
            <w:r w:rsidRPr="009D0D37">
              <w:rPr>
                <w:rStyle w:val="Hyperlink"/>
                <w:noProof/>
              </w:rPr>
              <w:t>Changing Nature of 21st Century Corporations</w:t>
            </w:r>
            <w:r>
              <w:rPr>
                <w:noProof/>
                <w:webHidden/>
              </w:rPr>
              <w:tab/>
            </w:r>
            <w:r>
              <w:rPr>
                <w:noProof/>
                <w:webHidden/>
              </w:rPr>
              <w:fldChar w:fldCharType="begin"/>
            </w:r>
            <w:r>
              <w:rPr>
                <w:noProof/>
                <w:webHidden/>
              </w:rPr>
              <w:instrText xml:space="preserve"> PAGEREF _Toc238203187 \h </w:instrText>
            </w:r>
            <w:r>
              <w:rPr>
                <w:noProof/>
                <w:webHidden/>
              </w:rPr>
            </w:r>
            <w:r>
              <w:rPr>
                <w:noProof/>
                <w:webHidden/>
              </w:rPr>
              <w:fldChar w:fldCharType="separate"/>
            </w:r>
            <w:r>
              <w:rPr>
                <w:noProof/>
                <w:webHidden/>
              </w:rPr>
              <w:t>11</w:t>
            </w:r>
            <w:r>
              <w:rPr>
                <w:noProof/>
                <w:webHidden/>
              </w:rPr>
              <w:fldChar w:fldCharType="end"/>
            </w:r>
          </w:hyperlink>
        </w:p>
        <w:p w14:paraId="61D656B1" w14:textId="56E86091" w:rsidR="00A012B4" w:rsidRDefault="00A012B4">
          <w:pPr>
            <w:pStyle w:val="TOC2"/>
            <w:tabs>
              <w:tab w:val="right" w:leader="dot" w:pos="9346"/>
            </w:tabs>
            <w:rPr>
              <w:rFonts w:eastAsiaTheme="minorEastAsia"/>
              <w:b w:val="0"/>
              <w:bCs w:val="0"/>
              <w:noProof/>
              <w:sz w:val="24"/>
              <w:szCs w:val="24"/>
              <w:lang w:eastAsia="en-GB"/>
            </w:rPr>
          </w:pPr>
          <w:hyperlink w:anchor="_Toc238203188" w:history="1">
            <w:r w:rsidRPr="009D0D37">
              <w:rPr>
                <w:rStyle w:val="Hyperlink"/>
                <w:noProof/>
              </w:rPr>
              <w:t>3.1. Increased Connectivity and Globalization</w:t>
            </w:r>
            <w:r>
              <w:rPr>
                <w:noProof/>
                <w:webHidden/>
              </w:rPr>
              <w:tab/>
            </w:r>
            <w:r>
              <w:rPr>
                <w:noProof/>
                <w:webHidden/>
              </w:rPr>
              <w:fldChar w:fldCharType="begin"/>
            </w:r>
            <w:r>
              <w:rPr>
                <w:noProof/>
                <w:webHidden/>
              </w:rPr>
              <w:instrText xml:space="preserve"> PAGEREF _Toc238203188 \h </w:instrText>
            </w:r>
            <w:r>
              <w:rPr>
                <w:noProof/>
                <w:webHidden/>
              </w:rPr>
            </w:r>
            <w:r>
              <w:rPr>
                <w:noProof/>
                <w:webHidden/>
              </w:rPr>
              <w:fldChar w:fldCharType="separate"/>
            </w:r>
            <w:r>
              <w:rPr>
                <w:noProof/>
                <w:webHidden/>
              </w:rPr>
              <w:t>12</w:t>
            </w:r>
            <w:r>
              <w:rPr>
                <w:noProof/>
                <w:webHidden/>
              </w:rPr>
              <w:fldChar w:fldCharType="end"/>
            </w:r>
          </w:hyperlink>
        </w:p>
        <w:p w14:paraId="76C8A99A" w14:textId="072C18E6" w:rsidR="00A012B4" w:rsidRDefault="00A012B4">
          <w:pPr>
            <w:pStyle w:val="TOC2"/>
            <w:tabs>
              <w:tab w:val="right" w:leader="dot" w:pos="9346"/>
            </w:tabs>
            <w:rPr>
              <w:rFonts w:eastAsiaTheme="minorEastAsia"/>
              <w:b w:val="0"/>
              <w:bCs w:val="0"/>
              <w:noProof/>
              <w:sz w:val="24"/>
              <w:szCs w:val="24"/>
              <w:lang w:eastAsia="en-GB"/>
            </w:rPr>
          </w:pPr>
          <w:hyperlink w:anchor="_Toc238203189" w:history="1">
            <w:r w:rsidRPr="009D0D37">
              <w:rPr>
                <w:rStyle w:val="Hyperlink"/>
                <w:noProof/>
              </w:rPr>
              <w:t>3.2. Shift towards Digital Transformation</w:t>
            </w:r>
            <w:r>
              <w:rPr>
                <w:noProof/>
                <w:webHidden/>
              </w:rPr>
              <w:tab/>
            </w:r>
            <w:r>
              <w:rPr>
                <w:noProof/>
                <w:webHidden/>
              </w:rPr>
              <w:fldChar w:fldCharType="begin"/>
            </w:r>
            <w:r>
              <w:rPr>
                <w:noProof/>
                <w:webHidden/>
              </w:rPr>
              <w:instrText xml:space="preserve"> PAGEREF _Toc238203189 \h </w:instrText>
            </w:r>
            <w:r>
              <w:rPr>
                <w:noProof/>
                <w:webHidden/>
              </w:rPr>
            </w:r>
            <w:r>
              <w:rPr>
                <w:noProof/>
                <w:webHidden/>
              </w:rPr>
              <w:fldChar w:fldCharType="separate"/>
            </w:r>
            <w:r>
              <w:rPr>
                <w:noProof/>
                <w:webHidden/>
              </w:rPr>
              <w:t>13</w:t>
            </w:r>
            <w:r>
              <w:rPr>
                <w:noProof/>
                <w:webHidden/>
              </w:rPr>
              <w:fldChar w:fldCharType="end"/>
            </w:r>
          </w:hyperlink>
        </w:p>
        <w:p w14:paraId="0B1F68F7" w14:textId="15AC9BC4" w:rsidR="00A012B4" w:rsidRDefault="00A012B4">
          <w:pPr>
            <w:pStyle w:val="TOC2"/>
            <w:tabs>
              <w:tab w:val="right" w:leader="dot" w:pos="9346"/>
            </w:tabs>
            <w:rPr>
              <w:rFonts w:eastAsiaTheme="minorEastAsia"/>
              <w:b w:val="0"/>
              <w:bCs w:val="0"/>
              <w:noProof/>
              <w:sz w:val="24"/>
              <w:szCs w:val="24"/>
              <w:lang w:eastAsia="en-GB"/>
            </w:rPr>
          </w:pPr>
          <w:hyperlink w:anchor="_Toc238203190" w:history="1">
            <w:r w:rsidRPr="009D0D37">
              <w:rPr>
                <w:rStyle w:val="Hyperlink"/>
                <w:noProof/>
              </w:rPr>
              <w:t>3.3. Importance of Adaptability and Agility</w:t>
            </w:r>
            <w:r>
              <w:rPr>
                <w:noProof/>
                <w:webHidden/>
              </w:rPr>
              <w:tab/>
            </w:r>
            <w:r>
              <w:rPr>
                <w:noProof/>
                <w:webHidden/>
              </w:rPr>
              <w:fldChar w:fldCharType="begin"/>
            </w:r>
            <w:r>
              <w:rPr>
                <w:noProof/>
                <w:webHidden/>
              </w:rPr>
              <w:instrText xml:space="preserve"> PAGEREF _Toc238203190 \h </w:instrText>
            </w:r>
            <w:r>
              <w:rPr>
                <w:noProof/>
                <w:webHidden/>
              </w:rPr>
            </w:r>
            <w:r>
              <w:rPr>
                <w:noProof/>
                <w:webHidden/>
              </w:rPr>
              <w:fldChar w:fldCharType="separate"/>
            </w:r>
            <w:r>
              <w:rPr>
                <w:noProof/>
                <w:webHidden/>
              </w:rPr>
              <w:t>14</w:t>
            </w:r>
            <w:r>
              <w:rPr>
                <w:noProof/>
                <w:webHidden/>
              </w:rPr>
              <w:fldChar w:fldCharType="end"/>
            </w:r>
          </w:hyperlink>
        </w:p>
        <w:p w14:paraId="4F0A947C" w14:textId="534BFCA3" w:rsidR="00A012B4" w:rsidRDefault="00A012B4">
          <w:pPr>
            <w:pStyle w:val="TOC1"/>
            <w:tabs>
              <w:tab w:val="left" w:pos="480"/>
              <w:tab w:val="right" w:leader="dot" w:pos="9346"/>
            </w:tabs>
            <w:rPr>
              <w:rFonts w:eastAsiaTheme="minorEastAsia"/>
              <w:b w:val="0"/>
              <w:bCs w:val="0"/>
              <w:i w:val="0"/>
              <w:iCs w:val="0"/>
              <w:noProof/>
              <w:lang w:eastAsia="en-GB"/>
            </w:rPr>
          </w:pPr>
          <w:hyperlink w:anchor="_Toc238203191" w:history="1">
            <w:r w:rsidRPr="009D0D37">
              <w:rPr>
                <w:rStyle w:val="Hyperlink"/>
                <w:noProof/>
              </w:rPr>
              <w:t>4.</w:t>
            </w:r>
            <w:r>
              <w:rPr>
                <w:rFonts w:eastAsiaTheme="minorEastAsia"/>
                <w:b w:val="0"/>
                <w:bCs w:val="0"/>
                <w:i w:val="0"/>
                <w:iCs w:val="0"/>
                <w:noProof/>
                <w:lang w:eastAsia="en-GB"/>
              </w:rPr>
              <w:tab/>
            </w:r>
            <w:r w:rsidRPr="009D0D37">
              <w:rPr>
                <w:rStyle w:val="Hyperlink"/>
                <w:noProof/>
              </w:rPr>
              <w:t>Obsolescence of Traditional Organisational Structures</w:t>
            </w:r>
            <w:r>
              <w:rPr>
                <w:noProof/>
                <w:webHidden/>
              </w:rPr>
              <w:tab/>
            </w:r>
            <w:r>
              <w:rPr>
                <w:noProof/>
                <w:webHidden/>
              </w:rPr>
              <w:fldChar w:fldCharType="begin"/>
            </w:r>
            <w:r>
              <w:rPr>
                <w:noProof/>
                <w:webHidden/>
              </w:rPr>
              <w:instrText xml:space="preserve"> PAGEREF _Toc238203191 \h </w:instrText>
            </w:r>
            <w:r>
              <w:rPr>
                <w:noProof/>
                <w:webHidden/>
              </w:rPr>
            </w:r>
            <w:r>
              <w:rPr>
                <w:noProof/>
                <w:webHidden/>
              </w:rPr>
              <w:fldChar w:fldCharType="separate"/>
            </w:r>
            <w:r>
              <w:rPr>
                <w:noProof/>
                <w:webHidden/>
              </w:rPr>
              <w:t>14</w:t>
            </w:r>
            <w:r>
              <w:rPr>
                <w:noProof/>
                <w:webHidden/>
              </w:rPr>
              <w:fldChar w:fldCharType="end"/>
            </w:r>
          </w:hyperlink>
        </w:p>
        <w:p w14:paraId="63EF4132" w14:textId="04234E66" w:rsidR="00A012B4" w:rsidRDefault="00A012B4">
          <w:pPr>
            <w:pStyle w:val="TOC2"/>
            <w:tabs>
              <w:tab w:val="right" w:leader="dot" w:pos="9346"/>
            </w:tabs>
            <w:rPr>
              <w:rFonts w:eastAsiaTheme="minorEastAsia"/>
              <w:b w:val="0"/>
              <w:bCs w:val="0"/>
              <w:noProof/>
              <w:sz w:val="24"/>
              <w:szCs w:val="24"/>
              <w:lang w:eastAsia="en-GB"/>
            </w:rPr>
          </w:pPr>
          <w:hyperlink w:anchor="_Toc238203192" w:history="1">
            <w:r w:rsidRPr="009D0D37">
              <w:rPr>
                <w:rStyle w:val="Hyperlink"/>
                <w:noProof/>
              </w:rPr>
              <w:t>4.1. Hierarchical Structures vs. Flat Organisations</w:t>
            </w:r>
            <w:r>
              <w:rPr>
                <w:noProof/>
                <w:webHidden/>
              </w:rPr>
              <w:tab/>
            </w:r>
            <w:r>
              <w:rPr>
                <w:noProof/>
                <w:webHidden/>
              </w:rPr>
              <w:fldChar w:fldCharType="begin"/>
            </w:r>
            <w:r>
              <w:rPr>
                <w:noProof/>
                <w:webHidden/>
              </w:rPr>
              <w:instrText xml:space="preserve"> PAGEREF _Toc238203192 \h </w:instrText>
            </w:r>
            <w:r>
              <w:rPr>
                <w:noProof/>
                <w:webHidden/>
              </w:rPr>
            </w:r>
            <w:r>
              <w:rPr>
                <w:noProof/>
                <w:webHidden/>
              </w:rPr>
              <w:fldChar w:fldCharType="separate"/>
            </w:r>
            <w:r>
              <w:rPr>
                <w:noProof/>
                <w:webHidden/>
              </w:rPr>
              <w:t>15</w:t>
            </w:r>
            <w:r>
              <w:rPr>
                <w:noProof/>
                <w:webHidden/>
              </w:rPr>
              <w:fldChar w:fldCharType="end"/>
            </w:r>
          </w:hyperlink>
        </w:p>
        <w:p w14:paraId="6CA5076F" w14:textId="1F217026" w:rsidR="00A012B4" w:rsidRDefault="00A012B4">
          <w:pPr>
            <w:pStyle w:val="TOC2"/>
            <w:tabs>
              <w:tab w:val="right" w:leader="dot" w:pos="9346"/>
            </w:tabs>
            <w:rPr>
              <w:rFonts w:eastAsiaTheme="minorEastAsia"/>
              <w:b w:val="0"/>
              <w:bCs w:val="0"/>
              <w:noProof/>
              <w:sz w:val="24"/>
              <w:szCs w:val="24"/>
              <w:lang w:eastAsia="en-GB"/>
            </w:rPr>
          </w:pPr>
          <w:hyperlink w:anchor="_Toc238203193" w:history="1">
            <w:r w:rsidRPr="009D0D37">
              <w:rPr>
                <w:rStyle w:val="Hyperlink"/>
                <w:noProof/>
              </w:rPr>
              <w:t>4.2 Matrix Organisations and Cross-Functional Teams</w:t>
            </w:r>
            <w:r>
              <w:rPr>
                <w:noProof/>
                <w:webHidden/>
              </w:rPr>
              <w:tab/>
            </w:r>
            <w:r>
              <w:rPr>
                <w:noProof/>
                <w:webHidden/>
              </w:rPr>
              <w:fldChar w:fldCharType="begin"/>
            </w:r>
            <w:r>
              <w:rPr>
                <w:noProof/>
                <w:webHidden/>
              </w:rPr>
              <w:instrText xml:space="preserve"> PAGEREF _Toc238203193 \h </w:instrText>
            </w:r>
            <w:r>
              <w:rPr>
                <w:noProof/>
                <w:webHidden/>
              </w:rPr>
            </w:r>
            <w:r>
              <w:rPr>
                <w:noProof/>
                <w:webHidden/>
              </w:rPr>
              <w:fldChar w:fldCharType="separate"/>
            </w:r>
            <w:r>
              <w:rPr>
                <w:noProof/>
                <w:webHidden/>
              </w:rPr>
              <w:t>16</w:t>
            </w:r>
            <w:r>
              <w:rPr>
                <w:noProof/>
                <w:webHidden/>
              </w:rPr>
              <w:fldChar w:fldCharType="end"/>
            </w:r>
          </w:hyperlink>
        </w:p>
        <w:p w14:paraId="121B1939" w14:textId="5E1F6C88" w:rsidR="00A012B4" w:rsidRDefault="00A012B4">
          <w:pPr>
            <w:pStyle w:val="TOC2"/>
            <w:tabs>
              <w:tab w:val="right" w:leader="dot" w:pos="9346"/>
            </w:tabs>
            <w:rPr>
              <w:rFonts w:eastAsiaTheme="minorEastAsia"/>
              <w:b w:val="0"/>
              <w:bCs w:val="0"/>
              <w:noProof/>
              <w:sz w:val="24"/>
              <w:szCs w:val="24"/>
              <w:lang w:eastAsia="en-GB"/>
            </w:rPr>
          </w:pPr>
          <w:hyperlink w:anchor="_Toc238203194" w:history="1">
            <w:r w:rsidRPr="009D0D37">
              <w:rPr>
                <w:rStyle w:val="Hyperlink"/>
                <w:noProof/>
              </w:rPr>
              <w:t>4.3. Decentralisation and Empowerment</w:t>
            </w:r>
            <w:r>
              <w:rPr>
                <w:noProof/>
                <w:webHidden/>
              </w:rPr>
              <w:tab/>
            </w:r>
            <w:r>
              <w:rPr>
                <w:noProof/>
                <w:webHidden/>
              </w:rPr>
              <w:fldChar w:fldCharType="begin"/>
            </w:r>
            <w:r>
              <w:rPr>
                <w:noProof/>
                <w:webHidden/>
              </w:rPr>
              <w:instrText xml:space="preserve"> PAGEREF _Toc238203194 \h </w:instrText>
            </w:r>
            <w:r>
              <w:rPr>
                <w:noProof/>
                <w:webHidden/>
              </w:rPr>
            </w:r>
            <w:r>
              <w:rPr>
                <w:noProof/>
                <w:webHidden/>
              </w:rPr>
              <w:fldChar w:fldCharType="separate"/>
            </w:r>
            <w:r>
              <w:rPr>
                <w:noProof/>
                <w:webHidden/>
              </w:rPr>
              <w:t>16</w:t>
            </w:r>
            <w:r>
              <w:rPr>
                <w:noProof/>
                <w:webHidden/>
              </w:rPr>
              <w:fldChar w:fldCharType="end"/>
            </w:r>
          </w:hyperlink>
        </w:p>
        <w:p w14:paraId="34A368C3" w14:textId="14ED5F8F" w:rsidR="00A012B4" w:rsidRDefault="00A012B4">
          <w:pPr>
            <w:pStyle w:val="TOC1"/>
            <w:tabs>
              <w:tab w:val="left" w:pos="480"/>
              <w:tab w:val="right" w:leader="dot" w:pos="9346"/>
            </w:tabs>
            <w:rPr>
              <w:rFonts w:eastAsiaTheme="minorEastAsia"/>
              <w:b w:val="0"/>
              <w:bCs w:val="0"/>
              <w:i w:val="0"/>
              <w:iCs w:val="0"/>
              <w:noProof/>
              <w:lang w:eastAsia="en-GB"/>
            </w:rPr>
          </w:pPr>
          <w:hyperlink w:anchor="_Toc238203195" w:history="1">
            <w:r w:rsidRPr="009D0D37">
              <w:rPr>
                <w:rStyle w:val="Hyperlink"/>
                <w:noProof/>
              </w:rPr>
              <w:t>5.</w:t>
            </w:r>
            <w:r>
              <w:rPr>
                <w:rFonts w:eastAsiaTheme="minorEastAsia"/>
                <w:b w:val="0"/>
                <w:bCs w:val="0"/>
                <w:i w:val="0"/>
                <w:iCs w:val="0"/>
                <w:noProof/>
                <w:lang w:eastAsia="en-GB"/>
              </w:rPr>
              <w:tab/>
            </w:r>
            <w:r w:rsidRPr="009D0D37">
              <w:rPr>
                <w:rStyle w:val="Hyperlink"/>
                <w:noProof/>
              </w:rPr>
              <w:t>Redefining Management Roles</w:t>
            </w:r>
            <w:r>
              <w:rPr>
                <w:noProof/>
                <w:webHidden/>
              </w:rPr>
              <w:tab/>
            </w:r>
            <w:r>
              <w:rPr>
                <w:noProof/>
                <w:webHidden/>
              </w:rPr>
              <w:fldChar w:fldCharType="begin"/>
            </w:r>
            <w:r>
              <w:rPr>
                <w:noProof/>
                <w:webHidden/>
              </w:rPr>
              <w:instrText xml:space="preserve"> PAGEREF _Toc238203195 \h </w:instrText>
            </w:r>
            <w:r>
              <w:rPr>
                <w:noProof/>
                <w:webHidden/>
              </w:rPr>
            </w:r>
            <w:r>
              <w:rPr>
                <w:noProof/>
                <w:webHidden/>
              </w:rPr>
              <w:fldChar w:fldCharType="separate"/>
            </w:r>
            <w:r>
              <w:rPr>
                <w:noProof/>
                <w:webHidden/>
              </w:rPr>
              <w:t>17</w:t>
            </w:r>
            <w:r>
              <w:rPr>
                <w:noProof/>
                <w:webHidden/>
              </w:rPr>
              <w:fldChar w:fldCharType="end"/>
            </w:r>
          </w:hyperlink>
        </w:p>
        <w:p w14:paraId="7BF6DE7F" w14:textId="164D76E0" w:rsidR="00A012B4" w:rsidRDefault="00A012B4">
          <w:pPr>
            <w:pStyle w:val="TOC2"/>
            <w:tabs>
              <w:tab w:val="right" w:leader="dot" w:pos="9346"/>
            </w:tabs>
            <w:rPr>
              <w:rFonts w:eastAsiaTheme="minorEastAsia"/>
              <w:b w:val="0"/>
              <w:bCs w:val="0"/>
              <w:noProof/>
              <w:sz w:val="24"/>
              <w:szCs w:val="24"/>
              <w:lang w:eastAsia="en-GB"/>
            </w:rPr>
          </w:pPr>
          <w:hyperlink w:anchor="_Toc238203196" w:history="1">
            <w:r w:rsidRPr="009D0D37">
              <w:rPr>
                <w:rStyle w:val="Hyperlink"/>
                <w:rFonts w:cs="Arial"/>
                <w:noProof/>
              </w:rPr>
              <w:t>5.1</w:t>
            </w:r>
            <w:r w:rsidRPr="009D0D37">
              <w:rPr>
                <w:rStyle w:val="Hyperlink"/>
                <w:noProof/>
              </w:rPr>
              <w:t>. Transformational Leadership</w:t>
            </w:r>
            <w:r>
              <w:rPr>
                <w:noProof/>
                <w:webHidden/>
              </w:rPr>
              <w:tab/>
            </w:r>
            <w:r>
              <w:rPr>
                <w:noProof/>
                <w:webHidden/>
              </w:rPr>
              <w:fldChar w:fldCharType="begin"/>
            </w:r>
            <w:r>
              <w:rPr>
                <w:noProof/>
                <w:webHidden/>
              </w:rPr>
              <w:instrText xml:space="preserve"> PAGEREF _Toc238203196 \h </w:instrText>
            </w:r>
            <w:r>
              <w:rPr>
                <w:noProof/>
                <w:webHidden/>
              </w:rPr>
            </w:r>
            <w:r>
              <w:rPr>
                <w:noProof/>
                <w:webHidden/>
              </w:rPr>
              <w:fldChar w:fldCharType="separate"/>
            </w:r>
            <w:r>
              <w:rPr>
                <w:noProof/>
                <w:webHidden/>
              </w:rPr>
              <w:t>17</w:t>
            </w:r>
            <w:r>
              <w:rPr>
                <w:noProof/>
                <w:webHidden/>
              </w:rPr>
              <w:fldChar w:fldCharType="end"/>
            </w:r>
          </w:hyperlink>
        </w:p>
        <w:p w14:paraId="48C2B049" w14:textId="17F240A0" w:rsidR="00A012B4" w:rsidRDefault="00A012B4">
          <w:pPr>
            <w:pStyle w:val="TOC2"/>
            <w:tabs>
              <w:tab w:val="right" w:leader="dot" w:pos="9346"/>
            </w:tabs>
            <w:rPr>
              <w:rFonts w:eastAsiaTheme="minorEastAsia"/>
              <w:b w:val="0"/>
              <w:bCs w:val="0"/>
              <w:noProof/>
              <w:sz w:val="24"/>
              <w:szCs w:val="24"/>
              <w:lang w:eastAsia="en-GB"/>
            </w:rPr>
          </w:pPr>
          <w:hyperlink w:anchor="_Toc238203197" w:history="1">
            <w:r w:rsidRPr="009D0D37">
              <w:rPr>
                <w:rStyle w:val="Hyperlink"/>
                <w:noProof/>
              </w:rPr>
              <w:t>5.2. Embracing Technological Literacy</w:t>
            </w:r>
            <w:r>
              <w:rPr>
                <w:noProof/>
                <w:webHidden/>
              </w:rPr>
              <w:tab/>
            </w:r>
            <w:r>
              <w:rPr>
                <w:noProof/>
                <w:webHidden/>
              </w:rPr>
              <w:fldChar w:fldCharType="begin"/>
            </w:r>
            <w:r>
              <w:rPr>
                <w:noProof/>
                <w:webHidden/>
              </w:rPr>
              <w:instrText xml:space="preserve"> PAGEREF _Toc238203197 \h </w:instrText>
            </w:r>
            <w:r>
              <w:rPr>
                <w:noProof/>
                <w:webHidden/>
              </w:rPr>
            </w:r>
            <w:r>
              <w:rPr>
                <w:noProof/>
                <w:webHidden/>
              </w:rPr>
              <w:fldChar w:fldCharType="separate"/>
            </w:r>
            <w:r>
              <w:rPr>
                <w:noProof/>
                <w:webHidden/>
              </w:rPr>
              <w:t>18</w:t>
            </w:r>
            <w:r>
              <w:rPr>
                <w:noProof/>
                <w:webHidden/>
              </w:rPr>
              <w:fldChar w:fldCharType="end"/>
            </w:r>
          </w:hyperlink>
        </w:p>
        <w:p w14:paraId="6FF1CDFD" w14:textId="528A1CBC" w:rsidR="00A012B4" w:rsidRDefault="00A012B4">
          <w:pPr>
            <w:pStyle w:val="TOC1"/>
            <w:tabs>
              <w:tab w:val="left" w:pos="480"/>
              <w:tab w:val="right" w:leader="dot" w:pos="9346"/>
            </w:tabs>
            <w:rPr>
              <w:rFonts w:eastAsiaTheme="minorEastAsia"/>
              <w:b w:val="0"/>
              <w:bCs w:val="0"/>
              <w:i w:val="0"/>
              <w:iCs w:val="0"/>
              <w:noProof/>
              <w:lang w:eastAsia="en-GB"/>
            </w:rPr>
          </w:pPr>
          <w:hyperlink w:anchor="_Toc238203198" w:history="1">
            <w:r w:rsidRPr="009D0D37">
              <w:rPr>
                <w:rStyle w:val="Hyperlink"/>
                <w:noProof/>
              </w:rPr>
              <w:t>6.</w:t>
            </w:r>
            <w:r>
              <w:rPr>
                <w:rFonts w:eastAsiaTheme="minorEastAsia"/>
                <w:b w:val="0"/>
                <w:bCs w:val="0"/>
                <w:i w:val="0"/>
                <w:iCs w:val="0"/>
                <w:noProof/>
                <w:lang w:eastAsia="en-GB"/>
              </w:rPr>
              <w:tab/>
            </w:r>
            <w:r w:rsidRPr="009D0D37">
              <w:rPr>
                <w:rStyle w:val="Hyperlink"/>
                <w:noProof/>
              </w:rPr>
              <w:t>Challenges and Opportunities</w:t>
            </w:r>
            <w:r>
              <w:rPr>
                <w:noProof/>
                <w:webHidden/>
              </w:rPr>
              <w:tab/>
            </w:r>
            <w:r>
              <w:rPr>
                <w:noProof/>
                <w:webHidden/>
              </w:rPr>
              <w:fldChar w:fldCharType="begin"/>
            </w:r>
            <w:r>
              <w:rPr>
                <w:noProof/>
                <w:webHidden/>
              </w:rPr>
              <w:instrText xml:space="preserve"> PAGEREF _Toc238203198 \h </w:instrText>
            </w:r>
            <w:r>
              <w:rPr>
                <w:noProof/>
                <w:webHidden/>
              </w:rPr>
            </w:r>
            <w:r>
              <w:rPr>
                <w:noProof/>
                <w:webHidden/>
              </w:rPr>
              <w:fldChar w:fldCharType="separate"/>
            </w:r>
            <w:r>
              <w:rPr>
                <w:noProof/>
                <w:webHidden/>
              </w:rPr>
              <w:t>19</w:t>
            </w:r>
            <w:r>
              <w:rPr>
                <w:noProof/>
                <w:webHidden/>
              </w:rPr>
              <w:fldChar w:fldCharType="end"/>
            </w:r>
          </w:hyperlink>
        </w:p>
        <w:p w14:paraId="2A784B36" w14:textId="381344BC" w:rsidR="00A012B4" w:rsidRDefault="00A012B4">
          <w:pPr>
            <w:pStyle w:val="TOC2"/>
            <w:tabs>
              <w:tab w:val="right" w:leader="dot" w:pos="9346"/>
            </w:tabs>
            <w:rPr>
              <w:rFonts w:eastAsiaTheme="minorEastAsia"/>
              <w:b w:val="0"/>
              <w:bCs w:val="0"/>
              <w:noProof/>
              <w:sz w:val="24"/>
              <w:szCs w:val="24"/>
              <w:lang w:eastAsia="en-GB"/>
            </w:rPr>
          </w:pPr>
          <w:hyperlink w:anchor="_Toc238203199" w:history="1">
            <w:r w:rsidRPr="009D0D37">
              <w:rPr>
                <w:rStyle w:val="Hyperlink"/>
                <w:rFonts w:cs="Arial"/>
                <w:noProof/>
              </w:rPr>
              <w:t>6</w:t>
            </w:r>
            <w:r w:rsidRPr="009D0D37">
              <w:rPr>
                <w:rStyle w:val="Hyperlink"/>
                <w:noProof/>
              </w:rPr>
              <w:t>.1. Overcoming Resistance to Change</w:t>
            </w:r>
            <w:r>
              <w:rPr>
                <w:noProof/>
                <w:webHidden/>
              </w:rPr>
              <w:tab/>
            </w:r>
            <w:r>
              <w:rPr>
                <w:noProof/>
                <w:webHidden/>
              </w:rPr>
              <w:fldChar w:fldCharType="begin"/>
            </w:r>
            <w:r>
              <w:rPr>
                <w:noProof/>
                <w:webHidden/>
              </w:rPr>
              <w:instrText xml:space="preserve"> PAGEREF _Toc238203199 \h </w:instrText>
            </w:r>
            <w:r>
              <w:rPr>
                <w:noProof/>
                <w:webHidden/>
              </w:rPr>
            </w:r>
            <w:r>
              <w:rPr>
                <w:noProof/>
                <w:webHidden/>
              </w:rPr>
              <w:fldChar w:fldCharType="separate"/>
            </w:r>
            <w:r>
              <w:rPr>
                <w:noProof/>
                <w:webHidden/>
              </w:rPr>
              <w:t>19</w:t>
            </w:r>
            <w:r>
              <w:rPr>
                <w:noProof/>
                <w:webHidden/>
              </w:rPr>
              <w:fldChar w:fldCharType="end"/>
            </w:r>
          </w:hyperlink>
        </w:p>
        <w:p w14:paraId="63EA2A76" w14:textId="09CA7E11" w:rsidR="00A012B4" w:rsidRDefault="00A012B4">
          <w:pPr>
            <w:pStyle w:val="TOC2"/>
            <w:tabs>
              <w:tab w:val="right" w:leader="dot" w:pos="9346"/>
            </w:tabs>
            <w:rPr>
              <w:rFonts w:eastAsiaTheme="minorEastAsia"/>
              <w:b w:val="0"/>
              <w:bCs w:val="0"/>
              <w:noProof/>
              <w:sz w:val="24"/>
              <w:szCs w:val="24"/>
              <w:lang w:eastAsia="en-GB"/>
            </w:rPr>
          </w:pPr>
          <w:hyperlink w:anchor="_Toc238203200" w:history="1">
            <w:r w:rsidRPr="009D0D37">
              <w:rPr>
                <w:rStyle w:val="Hyperlink"/>
                <w:noProof/>
              </w:rPr>
              <w:t>6.2. Ensuring Data Security and Privacy</w:t>
            </w:r>
            <w:r>
              <w:rPr>
                <w:noProof/>
                <w:webHidden/>
              </w:rPr>
              <w:tab/>
            </w:r>
            <w:r>
              <w:rPr>
                <w:noProof/>
                <w:webHidden/>
              </w:rPr>
              <w:fldChar w:fldCharType="begin"/>
            </w:r>
            <w:r>
              <w:rPr>
                <w:noProof/>
                <w:webHidden/>
              </w:rPr>
              <w:instrText xml:space="preserve"> PAGEREF _Toc238203200 \h </w:instrText>
            </w:r>
            <w:r>
              <w:rPr>
                <w:noProof/>
                <w:webHidden/>
              </w:rPr>
            </w:r>
            <w:r>
              <w:rPr>
                <w:noProof/>
                <w:webHidden/>
              </w:rPr>
              <w:fldChar w:fldCharType="separate"/>
            </w:r>
            <w:r>
              <w:rPr>
                <w:noProof/>
                <w:webHidden/>
              </w:rPr>
              <w:t>20</w:t>
            </w:r>
            <w:r>
              <w:rPr>
                <w:noProof/>
                <w:webHidden/>
              </w:rPr>
              <w:fldChar w:fldCharType="end"/>
            </w:r>
          </w:hyperlink>
        </w:p>
        <w:p w14:paraId="296BD486" w14:textId="63EA2AE4" w:rsidR="00A012B4" w:rsidRDefault="00A012B4">
          <w:pPr>
            <w:pStyle w:val="TOC2"/>
            <w:tabs>
              <w:tab w:val="right" w:leader="dot" w:pos="9346"/>
            </w:tabs>
            <w:rPr>
              <w:rFonts w:eastAsiaTheme="minorEastAsia"/>
              <w:b w:val="0"/>
              <w:bCs w:val="0"/>
              <w:noProof/>
              <w:sz w:val="24"/>
              <w:szCs w:val="24"/>
              <w:lang w:eastAsia="en-GB"/>
            </w:rPr>
          </w:pPr>
          <w:hyperlink w:anchor="_Toc238203201" w:history="1">
            <w:r w:rsidRPr="009D0D37">
              <w:rPr>
                <w:rStyle w:val="Hyperlink"/>
                <w:noProof/>
              </w:rPr>
              <w:t>6.3. Leveraging Technology for Competitive Advantage</w:t>
            </w:r>
            <w:r>
              <w:rPr>
                <w:noProof/>
                <w:webHidden/>
              </w:rPr>
              <w:tab/>
            </w:r>
            <w:r>
              <w:rPr>
                <w:noProof/>
                <w:webHidden/>
              </w:rPr>
              <w:fldChar w:fldCharType="begin"/>
            </w:r>
            <w:r>
              <w:rPr>
                <w:noProof/>
                <w:webHidden/>
              </w:rPr>
              <w:instrText xml:space="preserve"> PAGEREF _Toc238203201 \h </w:instrText>
            </w:r>
            <w:r>
              <w:rPr>
                <w:noProof/>
                <w:webHidden/>
              </w:rPr>
            </w:r>
            <w:r>
              <w:rPr>
                <w:noProof/>
                <w:webHidden/>
              </w:rPr>
              <w:fldChar w:fldCharType="separate"/>
            </w:r>
            <w:r>
              <w:rPr>
                <w:noProof/>
                <w:webHidden/>
              </w:rPr>
              <w:t>20</w:t>
            </w:r>
            <w:r>
              <w:rPr>
                <w:noProof/>
                <w:webHidden/>
              </w:rPr>
              <w:fldChar w:fldCharType="end"/>
            </w:r>
          </w:hyperlink>
        </w:p>
        <w:p w14:paraId="28C4E27C" w14:textId="21480D6E" w:rsidR="00A012B4" w:rsidRDefault="00A012B4">
          <w:pPr>
            <w:pStyle w:val="TOC1"/>
            <w:tabs>
              <w:tab w:val="left" w:pos="480"/>
              <w:tab w:val="right" w:leader="dot" w:pos="9346"/>
            </w:tabs>
            <w:rPr>
              <w:rFonts w:eastAsiaTheme="minorEastAsia"/>
              <w:b w:val="0"/>
              <w:bCs w:val="0"/>
              <w:i w:val="0"/>
              <w:iCs w:val="0"/>
              <w:noProof/>
              <w:lang w:eastAsia="en-GB"/>
            </w:rPr>
          </w:pPr>
          <w:hyperlink w:anchor="_Toc238203202" w:history="1">
            <w:r w:rsidRPr="009D0D37">
              <w:rPr>
                <w:rStyle w:val="Hyperlink"/>
                <w:noProof/>
              </w:rPr>
              <w:t>7.</w:t>
            </w:r>
            <w:r>
              <w:rPr>
                <w:rFonts w:eastAsiaTheme="minorEastAsia"/>
                <w:b w:val="0"/>
                <w:bCs w:val="0"/>
                <w:i w:val="0"/>
                <w:iCs w:val="0"/>
                <w:noProof/>
                <w:lang w:eastAsia="en-GB"/>
              </w:rPr>
              <w:tab/>
            </w:r>
            <w:r w:rsidRPr="009D0D37">
              <w:rPr>
                <w:rStyle w:val="Hyperlink"/>
                <w:noProof/>
              </w:rPr>
              <w:t>Conclusion</w:t>
            </w:r>
            <w:r>
              <w:rPr>
                <w:noProof/>
                <w:webHidden/>
              </w:rPr>
              <w:tab/>
            </w:r>
            <w:r>
              <w:rPr>
                <w:noProof/>
                <w:webHidden/>
              </w:rPr>
              <w:fldChar w:fldCharType="begin"/>
            </w:r>
            <w:r>
              <w:rPr>
                <w:noProof/>
                <w:webHidden/>
              </w:rPr>
              <w:instrText xml:space="preserve"> PAGEREF _Toc238203202 \h </w:instrText>
            </w:r>
            <w:r>
              <w:rPr>
                <w:noProof/>
                <w:webHidden/>
              </w:rPr>
            </w:r>
            <w:r>
              <w:rPr>
                <w:noProof/>
                <w:webHidden/>
              </w:rPr>
              <w:fldChar w:fldCharType="separate"/>
            </w:r>
            <w:r>
              <w:rPr>
                <w:noProof/>
                <w:webHidden/>
              </w:rPr>
              <w:t>21</w:t>
            </w:r>
            <w:r>
              <w:rPr>
                <w:noProof/>
                <w:webHidden/>
              </w:rPr>
              <w:fldChar w:fldCharType="end"/>
            </w:r>
          </w:hyperlink>
        </w:p>
        <w:p w14:paraId="243185AA" w14:textId="5415B1BB" w:rsidR="00A012B4" w:rsidRDefault="00A012B4">
          <w:pPr>
            <w:pStyle w:val="TOC2"/>
            <w:tabs>
              <w:tab w:val="right" w:leader="dot" w:pos="9346"/>
            </w:tabs>
            <w:rPr>
              <w:rFonts w:eastAsiaTheme="minorEastAsia"/>
              <w:b w:val="0"/>
              <w:bCs w:val="0"/>
              <w:noProof/>
              <w:sz w:val="24"/>
              <w:szCs w:val="24"/>
              <w:lang w:eastAsia="en-GB"/>
            </w:rPr>
          </w:pPr>
          <w:hyperlink w:anchor="_Toc238203203" w:history="1">
            <w:r w:rsidRPr="009D0D37">
              <w:rPr>
                <w:rStyle w:val="Hyperlink"/>
                <w:noProof/>
              </w:rPr>
              <w:t>7.1. Summary of Findings</w:t>
            </w:r>
            <w:r>
              <w:rPr>
                <w:noProof/>
                <w:webHidden/>
              </w:rPr>
              <w:tab/>
            </w:r>
            <w:r>
              <w:rPr>
                <w:noProof/>
                <w:webHidden/>
              </w:rPr>
              <w:fldChar w:fldCharType="begin"/>
            </w:r>
            <w:r>
              <w:rPr>
                <w:noProof/>
                <w:webHidden/>
              </w:rPr>
              <w:instrText xml:space="preserve"> PAGEREF _Toc238203203 \h </w:instrText>
            </w:r>
            <w:r>
              <w:rPr>
                <w:noProof/>
                <w:webHidden/>
              </w:rPr>
            </w:r>
            <w:r>
              <w:rPr>
                <w:noProof/>
                <w:webHidden/>
              </w:rPr>
              <w:fldChar w:fldCharType="separate"/>
            </w:r>
            <w:r>
              <w:rPr>
                <w:noProof/>
                <w:webHidden/>
              </w:rPr>
              <w:t>23</w:t>
            </w:r>
            <w:r>
              <w:rPr>
                <w:noProof/>
                <w:webHidden/>
              </w:rPr>
              <w:fldChar w:fldCharType="end"/>
            </w:r>
          </w:hyperlink>
        </w:p>
        <w:p w14:paraId="1AE1A3B3" w14:textId="25421208" w:rsidR="00A012B4" w:rsidRDefault="00A012B4">
          <w:pPr>
            <w:pStyle w:val="TOC2"/>
            <w:tabs>
              <w:tab w:val="right" w:leader="dot" w:pos="9346"/>
            </w:tabs>
            <w:rPr>
              <w:rFonts w:eastAsiaTheme="minorEastAsia"/>
              <w:b w:val="0"/>
              <w:bCs w:val="0"/>
              <w:noProof/>
              <w:sz w:val="24"/>
              <w:szCs w:val="24"/>
              <w:lang w:eastAsia="en-GB"/>
            </w:rPr>
          </w:pPr>
          <w:hyperlink w:anchor="_Toc238203204" w:history="1">
            <w:r w:rsidRPr="009D0D37">
              <w:rPr>
                <w:rStyle w:val="Hyperlink"/>
                <w:noProof/>
              </w:rPr>
              <w:t>7.2. Implications for Future Research</w:t>
            </w:r>
            <w:r>
              <w:rPr>
                <w:noProof/>
                <w:webHidden/>
              </w:rPr>
              <w:tab/>
            </w:r>
            <w:r>
              <w:rPr>
                <w:noProof/>
                <w:webHidden/>
              </w:rPr>
              <w:fldChar w:fldCharType="begin"/>
            </w:r>
            <w:r>
              <w:rPr>
                <w:noProof/>
                <w:webHidden/>
              </w:rPr>
              <w:instrText xml:space="preserve"> PAGEREF _Toc238203204 \h </w:instrText>
            </w:r>
            <w:r>
              <w:rPr>
                <w:noProof/>
                <w:webHidden/>
              </w:rPr>
            </w:r>
            <w:r>
              <w:rPr>
                <w:noProof/>
                <w:webHidden/>
              </w:rPr>
              <w:fldChar w:fldCharType="separate"/>
            </w:r>
            <w:r>
              <w:rPr>
                <w:noProof/>
                <w:webHidden/>
              </w:rPr>
              <w:t>23</w:t>
            </w:r>
            <w:r>
              <w:rPr>
                <w:noProof/>
                <w:webHidden/>
              </w:rPr>
              <w:fldChar w:fldCharType="end"/>
            </w:r>
          </w:hyperlink>
        </w:p>
        <w:p w14:paraId="5D51D4CE" w14:textId="7622A983" w:rsidR="00A012B4" w:rsidRDefault="00A012B4">
          <w:pPr>
            <w:pStyle w:val="TOC1"/>
            <w:tabs>
              <w:tab w:val="left" w:pos="480"/>
              <w:tab w:val="right" w:leader="dot" w:pos="9346"/>
            </w:tabs>
            <w:rPr>
              <w:rFonts w:eastAsiaTheme="minorEastAsia"/>
              <w:b w:val="0"/>
              <w:bCs w:val="0"/>
              <w:i w:val="0"/>
              <w:iCs w:val="0"/>
              <w:noProof/>
              <w:lang w:eastAsia="en-GB"/>
            </w:rPr>
          </w:pPr>
          <w:hyperlink w:anchor="_Toc238203205" w:history="1">
            <w:r w:rsidRPr="009D0D37">
              <w:rPr>
                <w:rStyle w:val="Hyperlink"/>
                <w:noProof/>
              </w:rPr>
              <w:t>8.</w:t>
            </w:r>
            <w:r>
              <w:rPr>
                <w:rFonts w:eastAsiaTheme="minorEastAsia"/>
                <w:b w:val="0"/>
                <w:bCs w:val="0"/>
                <w:i w:val="0"/>
                <w:iCs w:val="0"/>
                <w:noProof/>
                <w:lang w:eastAsia="en-GB"/>
              </w:rPr>
              <w:tab/>
            </w:r>
            <w:r w:rsidRPr="009D0D37">
              <w:rPr>
                <w:rStyle w:val="Hyperlink"/>
                <w:noProof/>
              </w:rPr>
              <w:t>References</w:t>
            </w:r>
            <w:r>
              <w:rPr>
                <w:noProof/>
                <w:webHidden/>
              </w:rPr>
              <w:tab/>
            </w:r>
            <w:r>
              <w:rPr>
                <w:noProof/>
                <w:webHidden/>
              </w:rPr>
              <w:fldChar w:fldCharType="begin"/>
            </w:r>
            <w:r>
              <w:rPr>
                <w:noProof/>
                <w:webHidden/>
              </w:rPr>
              <w:instrText xml:space="preserve"> PAGEREF _Toc238203205 \h </w:instrText>
            </w:r>
            <w:r>
              <w:rPr>
                <w:noProof/>
                <w:webHidden/>
              </w:rPr>
            </w:r>
            <w:r>
              <w:rPr>
                <w:noProof/>
                <w:webHidden/>
              </w:rPr>
              <w:fldChar w:fldCharType="separate"/>
            </w:r>
            <w:r>
              <w:rPr>
                <w:noProof/>
                <w:webHidden/>
              </w:rPr>
              <w:t>25</w:t>
            </w:r>
            <w:r>
              <w:rPr>
                <w:noProof/>
                <w:webHidden/>
              </w:rPr>
              <w:fldChar w:fldCharType="end"/>
            </w:r>
          </w:hyperlink>
        </w:p>
        <w:p w14:paraId="0BD03A94" w14:textId="275DC751" w:rsidR="00E1059B" w:rsidRDefault="00E1059B">
          <w:r>
            <w:rPr>
              <w:b/>
              <w:bCs/>
              <w:noProof/>
            </w:rPr>
            <w:fldChar w:fldCharType="end"/>
          </w:r>
        </w:p>
      </w:sdtContent>
    </w:sdt>
    <w:p w14:paraId="40AC19BB" w14:textId="77777777" w:rsidR="000C5F7F" w:rsidRDefault="000C5F7F" w:rsidP="000C5F7F">
      <w:pPr>
        <w:rPr>
          <w:b/>
          <w:bCs/>
        </w:rPr>
      </w:pPr>
      <w:r>
        <w:rPr>
          <w:b/>
          <w:bCs/>
        </w:rPr>
        <w:br w:type="page"/>
      </w:r>
    </w:p>
    <w:p w14:paraId="54A4E097" w14:textId="2563ED6E" w:rsidR="000C5F7F" w:rsidRDefault="000C5F7F">
      <w:pPr>
        <w:rPr>
          <w:rFonts w:ascii="Arial" w:hAnsi="Arial" w:cs="Arial"/>
          <w:b/>
          <w:bCs/>
        </w:rPr>
      </w:pPr>
    </w:p>
    <w:p w14:paraId="6120C0EC" w14:textId="1ACB89FB" w:rsidR="00F10A6D" w:rsidRPr="00A6144D" w:rsidRDefault="00402E0E" w:rsidP="00E1059B">
      <w:pPr>
        <w:pStyle w:val="Heading1"/>
        <w:ind w:left="284" w:hanging="284"/>
        <w:rPr>
          <w:rFonts w:cs="Arial"/>
          <w:bCs/>
          <w:szCs w:val="24"/>
        </w:rPr>
      </w:pPr>
      <w:bookmarkStart w:id="0" w:name="_Toc238203171"/>
      <w:r w:rsidRPr="007B138D">
        <w:t>Introduction</w:t>
      </w:r>
      <w:bookmarkEnd w:id="0"/>
      <w:r w:rsidRPr="007B138D">
        <w:t xml:space="preserve"> </w:t>
      </w:r>
    </w:p>
    <w:p w14:paraId="4095F6F9" w14:textId="77777777" w:rsidR="00F10A6D" w:rsidRPr="00A6144D" w:rsidRDefault="00F10A6D" w:rsidP="005C12C5">
      <w:pPr>
        <w:jc w:val="both"/>
        <w:rPr>
          <w:rFonts w:ascii="Arial" w:hAnsi="Arial" w:cs="Arial"/>
        </w:rPr>
      </w:pPr>
    </w:p>
    <w:p w14:paraId="7E4392A9" w14:textId="3F3CA2AE" w:rsidR="00402E0E" w:rsidRPr="00A6144D" w:rsidRDefault="00F10A6D" w:rsidP="005C12C5">
      <w:pPr>
        <w:jc w:val="both"/>
        <w:rPr>
          <w:rFonts w:ascii="Arial" w:hAnsi="Arial" w:cs="Arial"/>
        </w:rPr>
      </w:pPr>
      <w:r w:rsidRPr="00A6144D">
        <w:rPr>
          <w:rFonts w:ascii="Arial" w:hAnsi="Arial" w:cs="Arial"/>
        </w:rPr>
        <w:t>The healthcare sector is one of the largest and most dynamic industries, driven by innovation and investment. Despite significant improvements in public health and life expectancy, challenges related to resource allocation, equity, efficiency, and service quality remain. E-commerce offers an effective solution by optimizing the use of limited resources and improving healthcare delivery</w:t>
      </w:r>
      <w:r w:rsidR="00AA29A9" w:rsidRPr="00A6144D">
        <w:rPr>
          <w:rFonts w:ascii="Arial" w:hAnsi="Arial" w:cs="Arial"/>
        </w:rPr>
        <w:t xml:space="preserve"> (</w:t>
      </w:r>
      <w:r w:rsidR="00512449" w:rsidRPr="00A6144D">
        <w:rPr>
          <w:rFonts w:ascii="Arial" w:hAnsi="Arial" w:cs="Arial"/>
        </w:rPr>
        <w:t>Ahmadova.,</w:t>
      </w:r>
      <w:r w:rsidR="00BF3B0C" w:rsidRPr="00A6144D">
        <w:rPr>
          <w:rFonts w:ascii="Arial" w:hAnsi="Arial" w:cs="Arial"/>
        </w:rPr>
        <w:t>2024). Over</w:t>
      </w:r>
      <w:r w:rsidR="00F348F6" w:rsidRPr="00A6144D">
        <w:rPr>
          <w:rFonts w:ascii="Arial" w:hAnsi="Arial" w:cs="Arial"/>
        </w:rPr>
        <w:t xml:space="preserve"> the past few decades, the landscape of global commercial exchanges has undergone significant transformation, driven by rapid advancements in information technology, communication systems, and the Internet, which have brought buyers and sellers closer together (</w:t>
      </w:r>
      <w:r w:rsidR="00EB370D" w:rsidRPr="00A6144D">
        <w:rPr>
          <w:rFonts w:ascii="Arial" w:hAnsi="Arial" w:cs="Arial"/>
        </w:rPr>
        <w:t>Santos et al.,</w:t>
      </w:r>
      <w:r w:rsidR="00A8799F" w:rsidRPr="00A6144D">
        <w:rPr>
          <w:rFonts w:ascii="Arial" w:hAnsi="Arial" w:cs="Arial"/>
        </w:rPr>
        <w:t>2023</w:t>
      </w:r>
      <w:r w:rsidR="00883D3F" w:rsidRPr="00A6144D">
        <w:rPr>
          <w:rFonts w:ascii="Arial" w:hAnsi="Arial" w:cs="Arial"/>
        </w:rPr>
        <w:t>). With</w:t>
      </w:r>
      <w:r w:rsidR="00463A4B" w:rsidRPr="00A6144D">
        <w:rPr>
          <w:rFonts w:ascii="Arial" w:hAnsi="Arial" w:cs="Arial"/>
        </w:rPr>
        <w:t xml:space="preserve"> the rapid development of e-commerce, an increasing number of enterprises are choosing to conduct their business</w:t>
      </w:r>
      <w:r w:rsidR="00F10F84" w:rsidRPr="00A6144D">
        <w:rPr>
          <w:rFonts w:ascii="Arial" w:hAnsi="Arial" w:cs="Arial"/>
        </w:rPr>
        <w:t xml:space="preserve"> </w:t>
      </w:r>
      <w:r w:rsidR="00463A4B" w:rsidRPr="00A6144D">
        <w:rPr>
          <w:rFonts w:ascii="Arial" w:hAnsi="Arial" w:cs="Arial"/>
        </w:rPr>
        <w:t xml:space="preserve">activities through e-commerce </w:t>
      </w:r>
      <w:r w:rsidR="00FE34B9" w:rsidRPr="00A6144D">
        <w:rPr>
          <w:rFonts w:ascii="Arial" w:hAnsi="Arial" w:cs="Arial"/>
        </w:rPr>
        <w:t>platforms (Volkova et al.,2021).</w:t>
      </w:r>
    </w:p>
    <w:p w14:paraId="253759EE" w14:textId="77777777" w:rsidR="00607BAC" w:rsidRPr="00A6144D" w:rsidRDefault="00607BAC" w:rsidP="005C12C5">
      <w:pPr>
        <w:jc w:val="both"/>
        <w:rPr>
          <w:rFonts w:ascii="Arial" w:hAnsi="Arial" w:cs="Arial"/>
        </w:rPr>
      </w:pPr>
    </w:p>
    <w:p w14:paraId="26BA475A" w14:textId="69AF3A42" w:rsidR="00607BAC" w:rsidRPr="00A6144D" w:rsidRDefault="00695335" w:rsidP="005C12C5">
      <w:pPr>
        <w:jc w:val="both"/>
        <w:rPr>
          <w:rFonts w:ascii="Arial" w:hAnsi="Arial" w:cs="Arial"/>
        </w:rPr>
      </w:pPr>
      <w:r w:rsidRPr="00A6144D">
        <w:rPr>
          <w:rFonts w:ascii="Arial" w:hAnsi="Arial" w:cs="Arial"/>
        </w:rPr>
        <w:t>Healthcare e-commerce refers to the use of digital platforms and electronic transactions to provide healthcare services, products, and information. It encompasses online pharmaceutical sales, telemedicine, electronic health record management, and digital patient engagement tools, including online appointment scheduling, virtual consultations, and health monitoring applications</w:t>
      </w:r>
      <w:r w:rsidR="00E14FBD" w:rsidRPr="00A6144D">
        <w:rPr>
          <w:rFonts w:ascii="Arial" w:hAnsi="Arial" w:cs="Arial"/>
        </w:rPr>
        <w:t xml:space="preserve"> (Mirzaei.,2024).</w:t>
      </w:r>
      <w:r w:rsidR="00E54318" w:rsidRPr="00A6144D">
        <w:rPr>
          <w:rFonts w:ascii="Arial" w:hAnsi="Arial" w:cs="Arial"/>
        </w:rPr>
        <w:t xml:space="preserve"> The widespread use of the Internet has </w:t>
      </w:r>
      <w:r w:rsidR="001B58BF" w:rsidRPr="00A6144D">
        <w:rPr>
          <w:rFonts w:ascii="Arial" w:hAnsi="Arial" w:cs="Arial"/>
        </w:rPr>
        <w:t>accelerated</w:t>
      </w:r>
      <w:r w:rsidR="00E54318" w:rsidRPr="00A6144D">
        <w:rPr>
          <w:rFonts w:ascii="Arial" w:hAnsi="Arial" w:cs="Arial"/>
        </w:rPr>
        <w:t xml:space="preserve"> the growth of e-commerce across various industries. Likewise, in the healthcare sector, e-commerce has become essential for enhancing service quality, reducing costs, and addressing the evolving needs and expectations of patients in hospitals, clinics, and other healthcare </w:t>
      </w:r>
      <w:r w:rsidR="00A239EF" w:rsidRPr="00A6144D">
        <w:rPr>
          <w:rFonts w:ascii="Arial" w:hAnsi="Arial" w:cs="Arial"/>
        </w:rPr>
        <w:t>settings (Shahzad et al.,2020).</w:t>
      </w:r>
    </w:p>
    <w:p w14:paraId="2AD68A6A" w14:textId="77777777" w:rsidR="005C55C1" w:rsidRPr="00A6144D" w:rsidRDefault="005C55C1" w:rsidP="005C12C5">
      <w:pPr>
        <w:jc w:val="both"/>
        <w:rPr>
          <w:rFonts w:ascii="Arial" w:hAnsi="Arial" w:cs="Arial"/>
        </w:rPr>
      </w:pPr>
    </w:p>
    <w:p w14:paraId="33653DE9" w14:textId="5EE206DA" w:rsidR="005C55C1" w:rsidRPr="00A6144D" w:rsidRDefault="005C55C1" w:rsidP="005C12C5">
      <w:pPr>
        <w:jc w:val="both"/>
        <w:rPr>
          <w:rFonts w:ascii="Arial" w:hAnsi="Arial" w:cs="Arial"/>
        </w:rPr>
      </w:pPr>
      <w:r w:rsidRPr="00A6144D">
        <w:rPr>
          <w:rFonts w:ascii="Arial" w:hAnsi="Arial" w:cs="Arial"/>
        </w:rPr>
        <w:t>The business environment of the twenty-first century has been fundamentally transformed by the widespread adoption of digital technologies across organizations. Digital transformation, defined as the integration of advanced digital technologies into business processes, strategies, and operating models, has become both a strategic necessity and a significant challenge for organizations relying on traditional business models.</w:t>
      </w:r>
      <w:r w:rsidR="00BE015B" w:rsidRPr="00A6144D">
        <w:rPr>
          <w:rFonts w:ascii="Arial" w:hAnsi="Arial" w:cs="Arial"/>
        </w:rPr>
        <w:t xml:space="preserve"> Business models that have traditionally relied on economies of scale, well-established supply chains, and standardized operations are facing growing pressure to transform in response to digital ecosystems. Organizations that do not adapt risk diminished market competitiveness, operational inefficiencies, and difficulty engaging younger, technology-oriented consumers (</w:t>
      </w:r>
      <w:r w:rsidR="00C961AB" w:rsidRPr="00A6144D">
        <w:rPr>
          <w:rFonts w:ascii="Arial" w:hAnsi="Arial" w:cs="Arial"/>
        </w:rPr>
        <w:t>Joshi et al.,</w:t>
      </w:r>
      <w:r w:rsidR="0095405D" w:rsidRPr="00A6144D">
        <w:rPr>
          <w:rFonts w:ascii="Arial" w:hAnsi="Arial" w:cs="Arial"/>
        </w:rPr>
        <w:t>2025).</w:t>
      </w:r>
    </w:p>
    <w:p w14:paraId="32BF3E6D" w14:textId="77777777" w:rsidR="001B38D4" w:rsidRPr="00A6144D" w:rsidRDefault="001B38D4" w:rsidP="005C12C5">
      <w:pPr>
        <w:jc w:val="both"/>
        <w:rPr>
          <w:rFonts w:ascii="Arial" w:hAnsi="Arial" w:cs="Arial"/>
        </w:rPr>
      </w:pPr>
    </w:p>
    <w:p w14:paraId="148E1C23" w14:textId="0922FD4D" w:rsidR="001B38D4" w:rsidRPr="00A6144D" w:rsidRDefault="001B38D4" w:rsidP="005C12C5">
      <w:pPr>
        <w:jc w:val="both"/>
        <w:rPr>
          <w:rFonts w:ascii="Arial" w:hAnsi="Arial" w:cs="Arial"/>
        </w:rPr>
      </w:pPr>
      <w:r w:rsidRPr="00A6144D">
        <w:rPr>
          <w:rFonts w:ascii="Arial" w:hAnsi="Arial" w:cs="Arial"/>
        </w:rPr>
        <w:t>This study aims to support managers in addressing the strategic challenges of digital transformation (DT) by providing insights into the shift toward more flexible organizational structures and digital business ecosystems, thereby informing organizational change and strategic decision-making (Singh et al., 2020</w:t>
      </w:r>
      <w:r w:rsidR="006A782C" w:rsidRPr="00A6144D">
        <w:rPr>
          <w:rFonts w:ascii="Arial" w:hAnsi="Arial" w:cs="Arial"/>
        </w:rPr>
        <w:t>). To analyse the changes occurring in the healthcare sector as a result of digital transformation (</w:t>
      </w:r>
      <w:r w:rsidR="00A70577" w:rsidRPr="00A6144D">
        <w:rPr>
          <w:rFonts w:ascii="Arial" w:hAnsi="Arial" w:cs="Arial"/>
        </w:rPr>
        <w:t>Stoumpos et al.,</w:t>
      </w:r>
      <w:r w:rsidR="00783D39" w:rsidRPr="00A6144D">
        <w:rPr>
          <w:rFonts w:ascii="Arial" w:hAnsi="Arial" w:cs="Arial"/>
        </w:rPr>
        <w:t>2023).</w:t>
      </w:r>
    </w:p>
    <w:p w14:paraId="4D5A102F" w14:textId="77777777" w:rsidR="00BF3B0C" w:rsidRPr="00A6144D" w:rsidRDefault="00BF3B0C" w:rsidP="005C12C5">
      <w:pPr>
        <w:jc w:val="both"/>
        <w:rPr>
          <w:rFonts w:ascii="Arial" w:hAnsi="Arial" w:cs="Arial"/>
        </w:rPr>
      </w:pPr>
    </w:p>
    <w:p w14:paraId="44E00147" w14:textId="346D9687" w:rsidR="00F93128" w:rsidRPr="00A6144D" w:rsidRDefault="009973BA" w:rsidP="005C12C5">
      <w:pPr>
        <w:jc w:val="both"/>
        <w:rPr>
          <w:rFonts w:ascii="Arial" w:hAnsi="Arial" w:cs="Arial"/>
        </w:rPr>
      </w:pPr>
      <w:r w:rsidRPr="00A6144D">
        <w:rPr>
          <w:rFonts w:ascii="Arial" w:hAnsi="Arial" w:cs="Arial"/>
        </w:rPr>
        <w:t>While digital innovation has fundamentally reshaped clinical and administrative workflows, traditional institutional structures remain far from obsolete. Because medical environments are strictly regulated and highly sensitive to risk, they still depend fundamentally on clinical hierarchies, operational standardisation, individual accountability, and structured managerial oversight.</w:t>
      </w:r>
    </w:p>
    <w:p w14:paraId="317F5522" w14:textId="77777777" w:rsidR="009973BA" w:rsidRPr="00A6144D" w:rsidRDefault="009973BA" w:rsidP="005C12C5">
      <w:pPr>
        <w:jc w:val="both"/>
        <w:rPr>
          <w:rFonts w:ascii="Arial" w:hAnsi="Arial" w:cs="Arial"/>
        </w:rPr>
      </w:pPr>
    </w:p>
    <w:p w14:paraId="0DDC914A" w14:textId="441B4D85" w:rsidR="00BF3B0C" w:rsidRPr="00A6144D" w:rsidRDefault="008873C9" w:rsidP="00E1059B">
      <w:pPr>
        <w:pStyle w:val="Heading2"/>
      </w:pPr>
      <w:bookmarkStart w:id="1" w:name="_Toc238203172"/>
      <w:r w:rsidRPr="00A6144D">
        <w:lastRenderedPageBreak/>
        <w:t>1.1</w:t>
      </w:r>
      <w:r w:rsidR="00476295" w:rsidRPr="00A6144D">
        <w:t xml:space="preserve"> </w:t>
      </w:r>
      <w:r w:rsidRPr="00A6144D">
        <w:t>Background</w:t>
      </w:r>
      <w:bookmarkEnd w:id="1"/>
      <w:r w:rsidRPr="00A6144D">
        <w:t xml:space="preserve">  </w:t>
      </w:r>
    </w:p>
    <w:p w14:paraId="4878806E" w14:textId="77777777" w:rsidR="00AB45AC" w:rsidRPr="00A6144D" w:rsidRDefault="00AB45AC" w:rsidP="005C12C5">
      <w:pPr>
        <w:jc w:val="both"/>
        <w:rPr>
          <w:rFonts w:ascii="Arial" w:hAnsi="Arial" w:cs="Arial"/>
          <w:b/>
          <w:bCs/>
        </w:rPr>
      </w:pPr>
    </w:p>
    <w:p w14:paraId="504FC1E0" w14:textId="48B3672F" w:rsidR="00444198" w:rsidRPr="00A6144D" w:rsidRDefault="00D37EBE" w:rsidP="005C12C5">
      <w:pPr>
        <w:jc w:val="both"/>
        <w:rPr>
          <w:rFonts w:ascii="Arial" w:hAnsi="Arial" w:cs="Arial"/>
        </w:rPr>
      </w:pPr>
      <w:r w:rsidRPr="00A6144D">
        <w:rPr>
          <w:rFonts w:ascii="Arial" w:hAnsi="Arial" w:cs="Arial"/>
        </w:rPr>
        <w:t>Over the past few decades, the rapid evolution and widespread adoption of digital technologies have transformed nearly every aspect of human activity. These technological developments have generated both opportunities and challenges, with their positive and negative consequences continuing to attract significant scholarly attention, particularly regarding their implications for human health (</w:t>
      </w:r>
      <w:r w:rsidR="006846C5" w:rsidRPr="00A6144D">
        <w:rPr>
          <w:rFonts w:ascii="Arial" w:hAnsi="Arial" w:cs="Arial"/>
        </w:rPr>
        <w:t>McGinnis et al.,</w:t>
      </w:r>
      <w:r w:rsidR="00A94477" w:rsidRPr="00A6144D">
        <w:rPr>
          <w:rFonts w:ascii="Arial" w:hAnsi="Arial" w:cs="Arial"/>
        </w:rPr>
        <w:t>2021).</w:t>
      </w:r>
      <w:r w:rsidR="00847307" w:rsidRPr="00A6144D">
        <w:rPr>
          <w:rFonts w:ascii="Arial" w:hAnsi="Arial" w:cs="Arial"/>
        </w:rPr>
        <w:t xml:space="preserve"> </w:t>
      </w:r>
      <w:r w:rsidR="00B006AD" w:rsidRPr="00A6144D">
        <w:rPr>
          <w:rFonts w:ascii="Arial" w:hAnsi="Arial" w:cs="Arial"/>
        </w:rPr>
        <w:t xml:space="preserve">The transition from traditional healthcare to smart healthcare represents a significant paradigm shift driven by advances in digital technologies. Smart healthcare integrates digital solutions to facilitate the seamless management and exchange of health information, connect individuals, healthcare resources, and organisations, and enable intelligent, data-driven responses to the dynamic demands of modern healthcare systems. This transformation has the potential to fundamentally reshape healthcare delivery on a global </w:t>
      </w:r>
      <w:r w:rsidR="00413300" w:rsidRPr="00A6144D">
        <w:rPr>
          <w:rFonts w:ascii="Arial" w:hAnsi="Arial" w:cs="Arial"/>
        </w:rPr>
        <w:t>scale (</w:t>
      </w:r>
      <w:r w:rsidR="00B30FDA" w:rsidRPr="00A6144D">
        <w:rPr>
          <w:rFonts w:ascii="Arial" w:hAnsi="Arial" w:cs="Arial"/>
        </w:rPr>
        <w:t>Muhammad et al.,2021).</w:t>
      </w:r>
    </w:p>
    <w:p w14:paraId="5BEA93F4" w14:textId="77777777" w:rsidR="007D4C32" w:rsidRPr="00A6144D" w:rsidRDefault="007D4C32" w:rsidP="005C12C5">
      <w:pPr>
        <w:jc w:val="both"/>
        <w:rPr>
          <w:rFonts w:ascii="Arial" w:hAnsi="Arial" w:cs="Arial"/>
        </w:rPr>
      </w:pPr>
    </w:p>
    <w:p w14:paraId="5CFB39E2" w14:textId="2E86ECD8" w:rsidR="007D4C32" w:rsidRPr="00A6144D" w:rsidRDefault="00943842" w:rsidP="005C12C5">
      <w:pPr>
        <w:jc w:val="both"/>
        <w:rPr>
          <w:rFonts w:ascii="Arial" w:hAnsi="Arial" w:cs="Arial"/>
        </w:rPr>
      </w:pPr>
      <w:r w:rsidRPr="00A6144D">
        <w:rPr>
          <w:rFonts w:ascii="Arial" w:hAnsi="Arial" w:cs="Arial"/>
        </w:rPr>
        <w:t>In recent years, the Internet has evolved into a trusted interactive platform that enables remote self-service and strengthens relationships among business partners. The expanding networked healthcare environment and eHealth are transforming healthcare delivery into a more information-driven, patient-centred, and responsive global system. These developments have also shifted the balance of power among stakeholders in the healthcare sector, including patients, healthcare providers, pharmaceutical companies, medical device manufacturers and suppliers, insurers, technology providers, and other organisations, fundamentally changing the way the entire healthcare ecosystem functions (</w:t>
      </w:r>
      <w:r w:rsidR="005A2695" w:rsidRPr="00A6144D">
        <w:rPr>
          <w:rFonts w:ascii="Arial" w:hAnsi="Arial" w:cs="Arial"/>
        </w:rPr>
        <w:t>Ahmadova.,2024).</w:t>
      </w:r>
    </w:p>
    <w:p w14:paraId="1444B925" w14:textId="77777777" w:rsidR="005A2695" w:rsidRPr="00A6144D" w:rsidRDefault="005A2695" w:rsidP="005C12C5">
      <w:pPr>
        <w:jc w:val="both"/>
        <w:rPr>
          <w:rFonts w:ascii="Arial" w:hAnsi="Arial" w:cs="Arial"/>
        </w:rPr>
      </w:pPr>
    </w:p>
    <w:p w14:paraId="27CA6C06" w14:textId="44CB68D5" w:rsidR="0059707A" w:rsidRPr="00A6144D" w:rsidRDefault="00152ECA" w:rsidP="005C12C5">
      <w:pPr>
        <w:jc w:val="both"/>
        <w:rPr>
          <w:rFonts w:ascii="Arial" w:hAnsi="Arial" w:cs="Arial"/>
        </w:rPr>
      </w:pPr>
      <w:r w:rsidRPr="00A6144D">
        <w:rPr>
          <w:rFonts w:ascii="Arial" w:hAnsi="Arial" w:cs="Arial"/>
        </w:rPr>
        <w:t xml:space="preserve">Healthcare management has evolved from conventional administrative practices to digitally driven strategic management systems that facilitate evidence-based decision-making, foster organisational innovation, and promote continuous performance </w:t>
      </w:r>
      <w:r w:rsidR="00423D9D" w:rsidRPr="00A6144D">
        <w:rPr>
          <w:rFonts w:ascii="Arial" w:hAnsi="Arial" w:cs="Arial"/>
        </w:rPr>
        <w:t>improvement (</w:t>
      </w:r>
      <w:r w:rsidR="003F6238" w:rsidRPr="00A6144D">
        <w:rPr>
          <w:rFonts w:ascii="Arial" w:hAnsi="Arial" w:cs="Arial"/>
        </w:rPr>
        <w:t xml:space="preserve">Kaur and Kaur </w:t>
      </w:r>
      <w:r w:rsidR="00266F7C" w:rsidRPr="00A6144D">
        <w:rPr>
          <w:rFonts w:ascii="Arial" w:hAnsi="Arial" w:cs="Arial"/>
        </w:rPr>
        <w:t>2026).</w:t>
      </w:r>
      <w:r w:rsidR="006B7703" w:rsidRPr="00A6144D">
        <w:rPr>
          <w:rFonts w:ascii="Arial" w:hAnsi="Arial" w:cs="Arial"/>
        </w:rPr>
        <w:t xml:space="preserve"> Organisations that seek to promote innovation should redesign their organisational structures to establish an internal environment that supports creativity and innovative practices. This requires the adoption of a more organic organisational structure characterised by decentralised decision-making to foster employee autonomy and entrepreneurial behaviour, greater flexibility and reduced formality to provide individuals with increased freedom in carrying out their responsibilities, and stronger integration to improve communication, collaboration, and diversity across work groups</w:t>
      </w:r>
      <w:r w:rsidR="003973B1" w:rsidRPr="00A6144D">
        <w:rPr>
          <w:rFonts w:ascii="Arial" w:hAnsi="Arial" w:cs="Arial"/>
        </w:rPr>
        <w:t xml:space="preserve"> (</w:t>
      </w:r>
      <w:r w:rsidR="00751BFE" w:rsidRPr="00A6144D">
        <w:rPr>
          <w:rFonts w:ascii="Arial" w:hAnsi="Arial" w:cs="Arial"/>
        </w:rPr>
        <w:t>Gaspary and Moura.,2020).</w:t>
      </w:r>
    </w:p>
    <w:p w14:paraId="6988F2B1" w14:textId="77777777" w:rsidR="00751BFE" w:rsidRPr="00A6144D" w:rsidRDefault="00751BFE" w:rsidP="005C12C5">
      <w:pPr>
        <w:jc w:val="both"/>
        <w:rPr>
          <w:rFonts w:ascii="Arial" w:hAnsi="Arial" w:cs="Arial"/>
        </w:rPr>
      </w:pPr>
    </w:p>
    <w:p w14:paraId="58795A19" w14:textId="65D29C31" w:rsidR="00751BFE" w:rsidRPr="00A6144D" w:rsidRDefault="00A64DA1" w:rsidP="005C12C5">
      <w:pPr>
        <w:jc w:val="both"/>
        <w:rPr>
          <w:rFonts w:ascii="Arial" w:hAnsi="Arial" w:cs="Arial"/>
        </w:rPr>
      </w:pPr>
      <w:r w:rsidRPr="00A6144D">
        <w:rPr>
          <w:rFonts w:ascii="Arial" w:hAnsi="Arial" w:cs="Arial"/>
        </w:rPr>
        <w:t xml:space="preserve">Although traditional approaches continue to be valuable in specific situations, the future of healthcare marketing increasingly depends on the strategic use of emerging technologies to promote patient-focused, ethical, and effective communication. The transition from conventional marketing practices to innovative, technology-based strategies represents a significant change in how healthcare organisations communicate, interact, and build relationships with patients and other key </w:t>
      </w:r>
      <w:r w:rsidR="00B73858" w:rsidRPr="00A6144D">
        <w:rPr>
          <w:rFonts w:ascii="Arial" w:hAnsi="Arial" w:cs="Arial"/>
        </w:rPr>
        <w:t>stakeholders (</w:t>
      </w:r>
      <w:r w:rsidR="005771A2" w:rsidRPr="00A6144D">
        <w:rPr>
          <w:rFonts w:ascii="Arial" w:hAnsi="Arial" w:cs="Arial"/>
        </w:rPr>
        <w:t>Basnet</w:t>
      </w:r>
      <w:r w:rsidR="00B73858" w:rsidRPr="00A6144D">
        <w:rPr>
          <w:rFonts w:ascii="Arial" w:hAnsi="Arial" w:cs="Arial"/>
        </w:rPr>
        <w:t>.,</w:t>
      </w:r>
      <w:r w:rsidR="005771A2" w:rsidRPr="00A6144D">
        <w:rPr>
          <w:rFonts w:ascii="Arial" w:hAnsi="Arial" w:cs="Arial"/>
        </w:rPr>
        <w:t>2025).</w:t>
      </w:r>
    </w:p>
    <w:p w14:paraId="493E5EB3" w14:textId="77777777" w:rsidR="00E87998" w:rsidRPr="00A6144D" w:rsidRDefault="00E87998" w:rsidP="005C12C5">
      <w:pPr>
        <w:jc w:val="both"/>
        <w:rPr>
          <w:rFonts w:ascii="Arial" w:hAnsi="Arial" w:cs="Arial"/>
        </w:rPr>
      </w:pPr>
    </w:p>
    <w:p w14:paraId="0E4EEB54" w14:textId="6FEDA5A9" w:rsidR="00E87998" w:rsidRPr="00A6144D" w:rsidRDefault="00062330" w:rsidP="005C12C5">
      <w:pPr>
        <w:jc w:val="both"/>
        <w:rPr>
          <w:rFonts w:ascii="Arial" w:hAnsi="Arial" w:cs="Arial"/>
        </w:rPr>
      </w:pPr>
      <w:r w:rsidRPr="00A6144D">
        <w:rPr>
          <w:rFonts w:ascii="Arial" w:hAnsi="Arial" w:cs="Arial"/>
        </w:rPr>
        <w:t>Digitalisation supports flexibility and decentralisation, but at the same time healthcare needs control, standardisation and accountability.</w:t>
      </w:r>
    </w:p>
    <w:p w14:paraId="66D6EC87" w14:textId="77777777" w:rsidR="003C6FA6" w:rsidRPr="00A6144D" w:rsidRDefault="003C6FA6" w:rsidP="005C12C5">
      <w:pPr>
        <w:jc w:val="both"/>
        <w:rPr>
          <w:rFonts w:ascii="Arial" w:hAnsi="Arial" w:cs="Arial"/>
        </w:rPr>
      </w:pPr>
    </w:p>
    <w:p w14:paraId="59EEC062" w14:textId="77777777" w:rsidR="00ED07B5" w:rsidRDefault="00ED07B5" w:rsidP="00E1059B">
      <w:pPr>
        <w:pStyle w:val="Heading2"/>
      </w:pPr>
    </w:p>
    <w:p w14:paraId="5E48BE38" w14:textId="6E980B19" w:rsidR="003C6FA6" w:rsidRPr="00A6144D" w:rsidRDefault="00152D5F" w:rsidP="00E1059B">
      <w:pPr>
        <w:pStyle w:val="Heading2"/>
      </w:pPr>
      <w:bookmarkStart w:id="2" w:name="_Toc238203173"/>
      <w:r w:rsidRPr="00A6144D">
        <w:t xml:space="preserve">1.2 </w:t>
      </w:r>
      <w:r w:rsidR="003C6FA6" w:rsidRPr="00A6144D">
        <w:t>Purpose of the study</w:t>
      </w:r>
      <w:bookmarkEnd w:id="2"/>
    </w:p>
    <w:p w14:paraId="07284713" w14:textId="77777777" w:rsidR="00C05963" w:rsidRPr="00A6144D" w:rsidRDefault="00C05963" w:rsidP="005C12C5">
      <w:pPr>
        <w:jc w:val="both"/>
        <w:rPr>
          <w:rFonts w:ascii="Arial" w:hAnsi="Arial" w:cs="Arial"/>
          <w:b/>
          <w:bCs/>
        </w:rPr>
      </w:pPr>
    </w:p>
    <w:p w14:paraId="3A4D4526" w14:textId="77777777" w:rsidR="0003698A" w:rsidRPr="00A6144D" w:rsidRDefault="00C05963" w:rsidP="005C12C5">
      <w:pPr>
        <w:jc w:val="both"/>
        <w:rPr>
          <w:rFonts w:ascii="Arial" w:hAnsi="Arial" w:cs="Arial"/>
        </w:rPr>
      </w:pPr>
      <w:r w:rsidRPr="00A6144D">
        <w:rPr>
          <w:rFonts w:ascii="Arial" w:hAnsi="Arial" w:cs="Arial"/>
        </w:rPr>
        <w:t>The primary purpose of the research is to assess the extent to which e-commerce and e-business</w:t>
      </w:r>
      <w:r w:rsidR="0047300D" w:rsidRPr="00A6144D">
        <w:rPr>
          <w:rFonts w:ascii="Arial" w:hAnsi="Arial" w:cs="Arial"/>
        </w:rPr>
        <w:t xml:space="preserve"> technologies have</w:t>
      </w:r>
      <w:r w:rsidRPr="00A6144D">
        <w:rPr>
          <w:rFonts w:ascii="Arial" w:hAnsi="Arial" w:cs="Arial"/>
        </w:rPr>
        <w:t xml:space="preserve"> </w:t>
      </w:r>
      <w:r w:rsidR="0067197A" w:rsidRPr="00A6144D">
        <w:rPr>
          <w:rFonts w:ascii="Arial" w:hAnsi="Arial" w:cs="Arial"/>
        </w:rPr>
        <w:t>rendered traditional organisational structures</w:t>
      </w:r>
      <w:r w:rsidR="0047300D" w:rsidRPr="00A6144D">
        <w:rPr>
          <w:rFonts w:ascii="Arial" w:hAnsi="Arial" w:cs="Arial"/>
        </w:rPr>
        <w:t xml:space="preserve"> </w:t>
      </w:r>
      <w:r w:rsidRPr="00A6144D">
        <w:rPr>
          <w:rFonts w:ascii="Arial" w:hAnsi="Arial" w:cs="Arial"/>
        </w:rPr>
        <w:t>and managerial positions in healthcare.</w:t>
      </w:r>
    </w:p>
    <w:p w14:paraId="7F81F336" w14:textId="77777777" w:rsidR="0003698A" w:rsidRPr="00A6144D" w:rsidRDefault="0003698A" w:rsidP="005C12C5">
      <w:pPr>
        <w:jc w:val="both"/>
        <w:rPr>
          <w:rFonts w:ascii="Arial" w:hAnsi="Arial" w:cs="Arial"/>
        </w:rPr>
      </w:pPr>
    </w:p>
    <w:p w14:paraId="6F9CD9CA" w14:textId="77777777" w:rsidR="0003698A" w:rsidRPr="00A6144D" w:rsidRDefault="00152D5F" w:rsidP="005C12C5">
      <w:pPr>
        <w:jc w:val="both"/>
        <w:rPr>
          <w:rFonts w:ascii="Arial" w:hAnsi="Arial" w:cs="Arial"/>
        </w:rPr>
      </w:pPr>
      <w:r w:rsidRPr="00A6144D">
        <w:rPr>
          <w:rFonts w:ascii="Arial" w:hAnsi="Arial" w:cs="Arial"/>
        </w:rPr>
        <w:t xml:space="preserve">This study </w:t>
      </w:r>
      <w:r w:rsidR="0047300D" w:rsidRPr="00A6144D">
        <w:rPr>
          <w:rFonts w:ascii="Arial" w:hAnsi="Arial" w:cs="Arial"/>
        </w:rPr>
        <w:t xml:space="preserve">also </w:t>
      </w:r>
      <w:r w:rsidRPr="00A6144D">
        <w:rPr>
          <w:rFonts w:ascii="Arial" w:hAnsi="Arial" w:cs="Arial"/>
        </w:rPr>
        <w:t>examines how advanced digital technologies are transforming healthcare delivery, administration and communication with patients. It considers the growing role of e-business and e-commerce in improving access to healthcare services, medicines, information and payment systems. It also evaluates concerns relating to data security, regulation and digital inequality to support future research and policy development (Zacharia et al., 2024).</w:t>
      </w:r>
    </w:p>
    <w:p w14:paraId="39B17278" w14:textId="77777777" w:rsidR="0003698A" w:rsidRPr="00A6144D" w:rsidRDefault="0003698A" w:rsidP="005C12C5">
      <w:pPr>
        <w:jc w:val="both"/>
        <w:rPr>
          <w:rFonts w:ascii="Arial" w:hAnsi="Arial" w:cs="Arial"/>
        </w:rPr>
      </w:pPr>
    </w:p>
    <w:p w14:paraId="644E88F2" w14:textId="6F5C0ED2" w:rsidR="004C5F54" w:rsidRPr="00A6144D" w:rsidRDefault="00152D5F" w:rsidP="005C12C5">
      <w:pPr>
        <w:jc w:val="both"/>
        <w:rPr>
          <w:rFonts w:ascii="Arial" w:hAnsi="Arial" w:cs="Arial"/>
        </w:rPr>
      </w:pPr>
      <w:r w:rsidRPr="00A6144D">
        <w:rPr>
          <w:rFonts w:ascii="Arial" w:hAnsi="Arial" w:cs="Arial"/>
        </w:rPr>
        <w:t xml:space="preserve"> Furthermore, the study explores how technological change is reshaping organisational processes and expanding the strategic responsibilities of managers in twenty-first-century businesses. Finally, it investigates how traditional hierarchical structures are evolving into more flexible and collaborative arrangements in response to continuing technological advancement.</w:t>
      </w:r>
    </w:p>
    <w:p w14:paraId="258EE316" w14:textId="77777777" w:rsidR="00152D5F" w:rsidRPr="00A6144D" w:rsidRDefault="00152D5F" w:rsidP="005C12C5">
      <w:pPr>
        <w:jc w:val="both"/>
        <w:rPr>
          <w:rFonts w:ascii="Arial" w:hAnsi="Arial" w:cs="Arial"/>
        </w:rPr>
      </w:pPr>
    </w:p>
    <w:p w14:paraId="45E398C9" w14:textId="52873624" w:rsidR="00B30FDA" w:rsidRPr="00A6144D" w:rsidRDefault="00392504" w:rsidP="00E1059B">
      <w:pPr>
        <w:pStyle w:val="Heading1"/>
        <w:tabs>
          <w:tab w:val="left" w:pos="284"/>
          <w:tab w:val="left" w:pos="426"/>
        </w:tabs>
        <w:ind w:left="426" w:hanging="437"/>
      </w:pPr>
      <w:bookmarkStart w:id="3" w:name="_Toc238203174"/>
      <w:r w:rsidRPr="00A6144D">
        <w:t>Literature Review</w:t>
      </w:r>
      <w:bookmarkEnd w:id="3"/>
    </w:p>
    <w:p w14:paraId="2706164E" w14:textId="77777777" w:rsidR="00B30FDA" w:rsidRPr="00A6144D" w:rsidRDefault="00B30FDA" w:rsidP="005C12C5">
      <w:pPr>
        <w:jc w:val="both"/>
        <w:rPr>
          <w:rFonts w:ascii="Arial" w:hAnsi="Arial" w:cs="Arial"/>
        </w:rPr>
      </w:pPr>
    </w:p>
    <w:p w14:paraId="681461CC" w14:textId="4AD1DEC7" w:rsidR="00854C52" w:rsidRPr="00A6144D" w:rsidRDefault="00476295" w:rsidP="00E1059B">
      <w:pPr>
        <w:pStyle w:val="Heading2"/>
      </w:pPr>
      <w:bookmarkStart w:id="4" w:name="_Toc238203175"/>
      <w:r w:rsidRPr="00A6144D">
        <w:t xml:space="preserve">2.1 </w:t>
      </w:r>
      <w:r w:rsidR="006B60DA" w:rsidRPr="00A6144D">
        <w:t>Evolution of Technology in Business</w:t>
      </w:r>
      <w:bookmarkEnd w:id="4"/>
      <w:r w:rsidR="006B60DA" w:rsidRPr="00A6144D">
        <w:t xml:space="preserve"> </w:t>
      </w:r>
      <w:r w:rsidR="008D358A" w:rsidRPr="00A6144D">
        <w:t xml:space="preserve"> </w:t>
      </w:r>
    </w:p>
    <w:p w14:paraId="4E31FFF5" w14:textId="77777777" w:rsidR="00AF4000" w:rsidRPr="00A6144D" w:rsidRDefault="00AF4000" w:rsidP="005C12C5">
      <w:pPr>
        <w:jc w:val="both"/>
        <w:rPr>
          <w:rFonts w:ascii="Arial" w:hAnsi="Arial" w:cs="Arial"/>
          <w:b/>
          <w:bCs/>
        </w:rPr>
      </w:pPr>
    </w:p>
    <w:p w14:paraId="3469175D" w14:textId="77777777" w:rsidR="00D1320F" w:rsidRDefault="00AF4000" w:rsidP="005C12C5">
      <w:pPr>
        <w:jc w:val="both"/>
        <w:rPr>
          <w:rFonts w:ascii="Arial" w:hAnsi="Arial" w:cs="Arial"/>
        </w:rPr>
      </w:pPr>
      <w:r w:rsidRPr="00A6144D">
        <w:rPr>
          <w:rFonts w:ascii="Arial" w:hAnsi="Arial" w:cs="Arial"/>
        </w:rPr>
        <w:t>The evolution of technology is a fundamental concern in management theory because technological change profoundly transforms societies, markets, industries, orga</w:t>
      </w:r>
      <w:r w:rsidR="00F44572" w:rsidRPr="00A6144D">
        <w:rPr>
          <w:rFonts w:ascii="Arial" w:hAnsi="Arial" w:cs="Arial"/>
        </w:rPr>
        <w:t>n</w:t>
      </w:r>
      <w:r w:rsidRPr="00A6144D">
        <w:rPr>
          <w:rFonts w:ascii="Arial" w:hAnsi="Arial" w:cs="Arial"/>
        </w:rPr>
        <w:t xml:space="preserve">isations, and </w:t>
      </w:r>
      <w:r w:rsidR="00B96BAF" w:rsidRPr="00A6144D">
        <w:rPr>
          <w:rFonts w:ascii="Arial" w:hAnsi="Arial" w:cs="Arial"/>
        </w:rPr>
        <w:t>individuals</w:t>
      </w:r>
      <w:r w:rsidR="004525D8" w:rsidRPr="00A6144D">
        <w:rPr>
          <w:rFonts w:ascii="Arial" w:hAnsi="Arial" w:cs="Arial"/>
        </w:rPr>
        <w:t xml:space="preserve">. Technology evolution is a central concern in management theory because it influences the development of industries, shapes competitive forces, enables differentiation and cost reduction, and underlies the practices of consumers and </w:t>
      </w:r>
      <w:r w:rsidR="00BB64BF" w:rsidRPr="00A6144D">
        <w:rPr>
          <w:rFonts w:ascii="Arial" w:hAnsi="Arial" w:cs="Arial"/>
        </w:rPr>
        <w:t>professionals (</w:t>
      </w:r>
      <w:r w:rsidR="00B96BAF" w:rsidRPr="00A6144D">
        <w:rPr>
          <w:rFonts w:ascii="Arial" w:hAnsi="Arial" w:cs="Arial"/>
        </w:rPr>
        <w:t>Grodal et al.,2023).</w:t>
      </w:r>
      <w:r w:rsidR="00657CAF" w:rsidRPr="00A6144D">
        <w:rPr>
          <w:rFonts w:ascii="Arial" w:hAnsi="Arial" w:cs="Arial"/>
        </w:rPr>
        <w:t xml:space="preserve"> </w:t>
      </w:r>
    </w:p>
    <w:p w14:paraId="522E4B91" w14:textId="77777777" w:rsidR="00D1320F" w:rsidRDefault="00D1320F" w:rsidP="005C12C5">
      <w:pPr>
        <w:jc w:val="both"/>
        <w:rPr>
          <w:rFonts w:ascii="Arial" w:hAnsi="Arial" w:cs="Arial"/>
        </w:rPr>
      </w:pPr>
    </w:p>
    <w:p w14:paraId="14480FC1" w14:textId="6F62EB8A" w:rsidR="00C24829" w:rsidRPr="00A6144D" w:rsidRDefault="00657CAF" w:rsidP="005C12C5">
      <w:pPr>
        <w:jc w:val="both"/>
        <w:rPr>
          <w:rFonts w:ascii="Arial" w:hAnsi="Arial" w:cs="Arial"/>
        </w:rPr>
      </w:pPr>
      <w:r w:rsidRPr="00A6144D">
        <w:rPr>
          <w:rFonts w:ascii="Arial" w:hAnsi="Arial" w:cs="Arial"/>
        </w:rPr>
        <w:t xml:space="preserve">The integration of advanced technologies such as Artificial Intelligence (AI), Machine Learning (ML), and Blockchain has transformed the modern business landscape, giving rise to a new era of next-generation business operations. This technological transformation has become increasingly significant, influencing organisational strategies, improving operational efficiency, and enhancing competitive </w:t>
      </w:r>
      <w:r w:rsidR="00600AE4" w:rsidRPr="00A6144D">
        <w:rPr>
          <w:rFonts w:ascii="Arial" w:hAnsi="Arial" w:cs="Arial"/>
        </w:rPr>
        <w:t>advantage (</w:t>
      </w:r>
      <w:r w:rsidR="00C246DA" w:rsidRPr="00A6144D">
        <w:rPr>
          <w:rFonts w:ascii="Arial" w:hAnsi="Arial" w:cs="Arial"/>
        </w:rPr>
        <w:t>Sharma</w:t>
      </w:r>
      <w:r w:rsidR="005115BE" w:rsidRPr="00A6144D">
        <w:rPr>
          <w:rFonts w:ascii="Arial" w:hAnsi="Arial" w:cs="Arial"/>
        </w:rPr>
        <w:t xml:space="preserve"> and </w:t>
      </w:r>
      <w:r w:rsidR="00F8457E" w:rsidRPr="00A6144D">
        <w:rPr>
          <w:rFonts w:ascii="Arial" w:hAnsi="Arial" w:cs="Arial"/>
        </w:rPr>
        <w:t>Singh.,</w:t>
      </w:r>
      <w:r w:rsidR="007579B3" w:rsidRPr="00A6144D">
        <w:rPr>
          <w:rFonts w:ascii="Arial" w:hAnsi="Arial" w:cs="Arial"/>
        </w:rPr>
        <w:t>202</w:t>
      </w:r>
      <w:r w:rsidR="00600AE4" w:rsidRPr="00A6144D">
        <w:rPr>
          <w:rFonts w:ascii="Arial" w:hAnsi="Arial" w:cs="Arial"/>
        </w:rPr>
        <w:t>0</w:t>
      </w:r>
      <w:r w:rsidR="007268B2" w:rsidRPr="00A6144D">
        <w:rPr>
          <w:rFonts w:ascii="Arial" w:hAnsi="Arial" w:cs="Arial"/>
        </w:rPr>
        <w:t>). The</w:t>
      </w:r>
      <w:r w:rsidR="005733A7" w:rsidRPr="00A6144D">
        <w:rPr>
          <w:rFonts w:ascii="Arial" w:hAnsi="Arial" w:cs="Arial"/>
        </w:rPr>
        <w:t xml:space="preserve"> adoption of technology enables businesses to optimise operational processes, minimise costs, and improve overall organisational </w:t>
      </w:r>
      <w:r w:rsidR="00371783" w:rsidRPr="00A6144D">
        <w:rPr>
          <w:rFonts w:ascii="Arial" w:hAnsi="Arial" w:cs="Arial"/>
        </w:rPr>
        <w:t>efficiency (Latif and Yasin</w:t>
      </w:r>
      <w:r w:rsidR="00EF3E4D" w:rsidRPr="00A6144D">
        <w:rPr>
          <w:rFonts w:ascii="Arial" w:hAnsi="Arial" w:cs="Arial"/>
        </w:rPr>
        <w:t xml:space="preserve"> et al.,2025).</w:t>
      </w:r>
      <w:r w:rsidR="00D1320F" w:rsidRPr="00D1320F">
        <w:t xml:space="preserve"> </w:t>
      </w:r>
      <w:r w:rsidR="00D1320F" w:rsidRPr="00D1320F">
        <w:rPr>
          <w:rFonts w:ascii="Arial" w:hAnsi="Arial" w:cs="Arial"/>
        </w:rPr>
        <w:t xml:space="preserve">Healthcare leaders remain responsible for ethical data use, clinical expertise, adequate technology, staff training, and safe AI </w:t>
      </w:r>
      <w:r w:rsidR="00E31F98" w:rsidRPr="00D1320F">
        <w:rPr>
          <w:rFonts w:ascii="Arial" w:hAnsi="Arial" w:cs="Arial"/>
        </w:rPr>
        <w:t>integration</w:t>
      </w:r>
      <w:r w:rsidR="00E31F98">
        <w:rPr>
          <w:rFonts w:ascii="Arial" w:hAnsi="Arial" w:cs="Arial"/>
        </w:rPr>
        <w:t xml:space="preserve"> (</w:t>
      </w:r>
      <w:r w:rsidR="00E31F98" w:rsidRPr="00E31F98">
        <w:rPr>
          <w:rFonts w:ascii="Arial" w:hAnsi="Arial" w:cs="Arial"/>
        </w:rPr>
        <w:t>Bajwa</w:t>
      </w:r>
      <w:r w:rsidR="00E31F98">
        <w:rPr>
          <w:rFonts w:ascii="Arial" w:hAnsi="Arial" w:cs="Arial"/>
        </w:rPr>
        <w:t xml:space="preserve"> et al.,2021).</w:t>
      </w:r>
    </w:p>
    <w:p w14:paraId="380FBA0A" w14:textId="77777777" w:rsidR="00E64034" w:rsidRPr="00A6144D" w:rsidRDefault="00E64034" w:rsidP="005C12C5">
      <w:pPr>
        <w:jc w:val="both"/>
        <w:rPr>
          <w:rFonts w:ascii="Arial" w:hAnsi="Arial" w:cs="Arial"/>
        </w:rPr>
      </w:pPr>
    </w:p>
    <w:p w14:paraId="1CAAF53C" w14:textId="5890A9DC" w:rsidR="001F6B63" w:rsidRDefault="00E64034" w:rsidP="005C12C5">
      <w:pPr>
        <w:jc w:val="both"/>
        <w:rPr>
          <w:rFonts w:ascii="Arial" w:hAnsi="Arial" w:cs="Arial"/>
        </w:rPr>
      </w:pPr>
      <w:r w:rsidRPr="00A6144D">
        <w:rPr>
          <w:rFonts w:ascii="Arial" w:hAnsi="Arial" w:cs="Arial"/>
        </w:rPr>
        <w:t xml:space="preserve">Advancements in healthcare technology have significantly improved the efficiency of healthcare systems, leading to better patient care, enhanced accessibility, and greater operational </w:t>
      </w:r>
      <w:r w:rsidR="003F4DFD" w:rsidRPr="00A6144D">
        <w:rPr>
          <w:rFonts w:ascii="Arial" w:hAnsi="Arial" w:cs="Arial"/>
        </w:rPr>
        <w:t>effectiveness (</w:t>
      </w:r>
      <w:r w:rsidR="00B93FF2" w:rsidRPr="00A6144D">
        <w:rPr>
          <w:rFonts w:ascii="Arial" w:hAnsi="Arial" w:cs="Arial"/>
        </w:rPr>
        <w:t>Singh et al.,2025).</w:t>
      </w:r>
      <w:r w:rsidR="00A637BC" w:rsidRPr="00A6144D">
        <w:rPr>
          <w:rFonts w:ascii="Arial" w:hAnsi="Arial" w:cs="Arial"/>
        </w:rPr>
        <w:t xml:space="preserve"> Telemedicine has been employed in healthcare for several decades, and continuous technological advancements have enhanced its functionality, security, and efficiency, enabling healthcare providers to deliver high-quality remote care to patients</w:t>
      </w:r>
      <w:r w:rsidR="00BD3379" w:rsidRPr="00A6144D">
        <w:rPr>
          <w:rFonts w:ascii="Arial" w:hAnsi="Arial" w:cs="Arial"/>
        </w:rPr>
        <w:t xml:space="preserve"> (</w:t>
      </w:r>
      <w:r w:rsidR="00727642" w:rsidRPr="00A6144D">
        <w:rPr>
          <w:rFonts w:ascii="Arial" w:hAnsi="Arial" w:cs="Arial"/>
        </w:rPr>
        <w:t>Loeb et al.,2020).</w:t>
      </w:r>
      <w:r w:rsidR="00253AA4" w:rsidRPr="00253AA4">
        <w:t xml:space="preserve"> </w:t>
      </w:r>
      <w:r w:rsidR="00253AA4" w:rsidRPr="00253AA4">
        <w:rPr>
          <w:rFonts w:ascii="Arial" w:hAnsi="Arial" w:cs="Arial"/>
        </w:rPr>
        <w:t xml:space="preserve">Telemedicine shifts healthcare </w:t>
      </w:r>
      <w:r w:rsidR="00253AA4" w:rsidRPr="00253AA4">
        <w:rPr>
          <w:rFonts w:ascii="Arial" w:hAnsi="Arial" w:cs="Arial"/>
        </w:rPr>
        <w:lastRenderedPageBreak/>
        <w:t>beyond traditional settings, requiring remote coordination and supervision while maintaining clinical governance and accountability.</w:t>
      </w:r>
      <w:r w:rsidR="00F90A5D" w:rsidRPr="00F90A5D">
        <w:t xml:space="preserve"> </w:t>
      </w:r>
      <w:r w:rsidR="00F90A5D" w:rsidRPr="00F90A5D">
        <w:rPr>
          <w:rFonts w:ascii="Arial" w:hAnsi="Arial" w:cs="Arial"/>
        </w:rPr>
        <w:t>The use of AI and telemedicine shows that healthcare technology is evolving. However, it does not prove that organisational hierarchies or traditional management roles have disappeared.</w:t>
      </w:r>
    </w:p>
    <w:p w14:paraId="3295A859" w14:textId="77777777" w:rsidR="001F6B63" w:rsidRDefault="001F6B63" w:rsidP="005C12C5">
      <w:pPr>
        <w:jc w:val="both"/>
        <w:rPr>
          <w:rFonts w:ascii="Arial" w:hAnsi="Arial" w:cs="Arial"/>
        </w:rPr>
      </w:pPr>
    </w:p>
    <w:p w14:paraId="6F896BEF" w14:textId="2E5EE281" w:rsidR="00943A03" w:rsidRPr="00A6144D" w:rsidRDefault="00A07EBD" w:rsidP="005C12C5">
      <w:pPr>
        <w:jc w:val="both"/>
        <w:rPr>
          <w:rFonts w:ascii="Arial" w:hAnsi="Arial" w:cs="Arial"/>
        </w:rPr>
      </w:pPr>
      <w:r w:rsidRPr="00A6144D">
        <w:rPr>
          <w:rFonts w:ascii="Arial" w:hAnsi="Arial" w:cs="Arial"/>
        </w:rPr>
        <w:t>The adoption of electronic communication technologies has transformed collaboration and coordination among healthcare professionals. Digital tools such as Electronic Health Records (EHRs), secure messaging systems, telemedicine platforms, and other healthcare information technologies have enhanced communication by enabling the rapid, secure, and efficient exchange of patient information among healthcare providers</w:t>
      </w:r>
      <w:r w:rsidR="00716D0F" w:rsidRPr="00A6144D">
        <w:rPr>
          <w:rFonts w:ascii="Arial" w:hAnsi="Arial" w:cs="Arial"/>
        </w:rPr>
        <w:t xml:space="preserve"> </w:t>
      </w:r>
      <w:r w:rsidRPr="00A6144D">
        <w:rPr>
          <w:rFonts w:ascii="Arial" w:hAnsi="Arial" w:cs="Arial"/>
        </w:rPr>
        <w:t>(</w:t>
      </w:r>
      <w:r w:rsidR="001040DB" w:rsidRPr="00A6144D">
        <w:rPr>
          <w:rFonts w:ascii="Arial" w:hAnsi="Arial" w:cs="Arial"/>
        </w:rPr>
        <w:t>Sharma et al.,2025).</w:t>
      </w:r>
      <w:r w:rsidR="00987153" w:rsidRPr="00A6144D">
        <w:rPr>
          <w:rFonts w:ascii="Arial" w:hAnsi="Arial" w:cs="Arial"/>
        </w:rPr>
        <w:t xml:space="preserve"> Technological advancements, including cloud computing, digital diagnostics and treatment, telehealth, and mobile health applications, have become integral to healthcare delivery, patient self-management, and biomedical </w:t>
      </w:r>
      <w:r w:rsidR="007C0F95" w:rsidRPr="00A6144D">
        <w:rPr>
          <w:rFonts w:ascii="Arial" w:hAnsi="Arial" w:cs="Arial"/>
        </w:rPr>
        <w:t>research (</w:t>
      </w:r>
      <w:r w:rsidR="00B11525" w:rsidRPr="00A6144D">
        <w:rPr>
          <w:rFonts w:ascii="Arial" w:hAnsi="Arial" w:cs="Arial"/>
        </w:rPr>
        <w:t>McGinnis et al.,</w:t>
      </w:r>
      <w:r w:rsidR="00F737BC" w:rsidRPr="00A6144D">
        <w:rPr>
          <w:rFonts w:ascii="Arial" w:hAnsi="Arial" w:cs="Arial"/>
        </w:rPr>
        <w:t>2021).</w:t>
      </w:r>
    </w:p>
    <w:p w14:paraId="340CE6D9" w14:textId="77777777" w:rsidR="00697676" w:rsidRPr="00A6144D" w:rsidRDefault="00697676" w:rsidP="005C12C5">
      <w:pPr>
        <w:jc w:val="both"/>
        <w:rPr>
          <w:rFonts w:ascii="Arial" w:hAnsi="Arial" w:cs="Arial"/>
        </w:rPr>
      </w:pPr>
    </w:p>
    <w:p w14:paraId="30E6BDCD" w14:textId="2814DFD5" w:rsidR="00697676" w:rsidRPr="00A6144D" w:rsidRDefault="00697676" w:rsidP="005C12C5">
      <w:pPr>
        <w:jc w:val="both"/>
        <w:rPr>
          <w:rFonts w:ascii="Arial" w:hAnsi="Arial" w:cs="Arial"/>
        </w:rPr>
      </w:pPr>
      <w:r w:rsidRPr="00A6144D">
        <w:rPr>
          <w:rFonts w:ascii="Arial" w:hAnsi="Arial" w:cs="Arial"/>
        </w:rPr>
        <w:t xml:space="preserve">These technologies enable secure data exchange and interoperability across the healthcare ecosystem, supporting an integrated continuum of care. They improve health outcomes by enhancing diagnostic accuracy, data-driven clinical decision-making, and precision medicine. Digital innovations also strengthen patient self-management and promote person-centred care. Furthermore, they generate high-quality evidence to support clinical practice and healthcare innovation. Collectively, these advancements enhance healthcare professionals' digital competencies while improving the quality, efficiency, and sustainability of healthcare </w:t>
      </w:r>
      <w:r w:rsidR="009E282E" w:rsidRPr="00A6144D">
        <w:rPr>
          <w:rFonts w:ascii="Arial" w:hAnsi="Arial" w:cs="Arial"/>
        </w:rPr>
        <w:t>delivery (</w:t>
      </w:r>
      <w:r w:rsidR="00D729B2" w:rsidRPr="00A6144D">
        <w:rPr>
          <w:rFonts w:ascii="Arial" w:hAnsi="Arial" w:cs="Arial"/>
        </w:rPr>
        <w:t>WHO,2025).</w:t>
      </w:r>
    </w:p>
    <w:p w14:paraId="76D0C48B" w14:textId="77777777" w:rsidR="00C24829" w:rsidRPr="00A6144D" w:rsidRDefault="00C24829" w:rsidP="005C12C5">
      <w:pPr>
        <w:jc w:val="both"/>
        <w:rPr>
          <w:rFonts w:ascii="Arial" w:hAnsi="Arial" w:cs="Arial"/>
        </w:rPr>
      </w:pPr>
    </w:p>
    <w:p w14:paraId="35E96DBF" w14:textId="0A84E760" w:rsidR="00775726" w:rsidRPr="00A6144D" w:rsidRDefault="00476295" w:rsidP="00E1059B">
      <w:pPr>
        <w:pStyle w:val="Heading2"/>
      </w:pPr>
      <w:bookmarkStart w:id="5" w:name="_Toc238203176"/>
      <w:r w:rsidRPr="00A6144D">
        <w:t xml:space="preserve">2.2 </w:t>
      </w:r>
      <w:r w:rsidR="00775726" w:rsidRPr="00A6144D">
        <w:t>The Rise of e-Commerce</w:t>
      </w:r>
      <w:bookmarkEnd w:id="5"/>
    </w:p>
    <w:p w14:paraId="116C92AB" w14:textId="77777777" w:rsidR="008631CA" w:rsidRPr="00A6144D" w:rsidRDefault="008631CA" w:rsidP="005C12C5">
      <w:pPr>
        <w:jc w:val="both"/>
        <w:rPr>
          <w:rFonts w:ascii="Arial" w:hAnsi="Arial" w:cs="Arial"/>
          <w:b/>
          <w:bCs/>
        </w:rPr>
      </w:pPr>
    </w:p>
    <w:p w14:paraId="6E2AF414" w14:textId="084B0925" w:rsidR="008631CA" w:rsidRPr="00A6144D" w:rsidRDefault="000A5483" w:rsidP="005C12C5">
      <w:pPr>
        <w:jc w:val="both"/>
        <w:rPr>
          <w:rFonts w:ascii="Arial" w:hAnsi="Arial" w:cs="Arial"/>
        </w:rPr>
      </w:pPr>
      <w:r w:rsidRPr="00A6144D">
        <w:rPr>
          <w:rFonts w:ascii="Arial" w:hAnsi="Arial" w:cs="Arial"/>
        </w:rPr>
        <w:t xml:space="preserve">E-commerce, also known as electronic commerce, involves using electronic media and the internet to conduct transactions involving goods and </w:t>
      </w:r>
      <w:r w:rsidR="00FE40B7" w:rsidRPr="00A6144D">
        <w:rPr>
          <w:rFonts w:ascii="Arial" w:hAnsi="Arial" w:cs="Arial"/>
        </w:rPr>
        <w:t>services (Jain et al.,2021).</w:t>
      </w:r>
      <w:r w:rsidR="004B2B46" w:rsidRPr="00A6144D">
        <w:rPr>
          <w:rFonts w:ascii="Arial" w:hAnsi="Arial" w:cs="Arial"/>
        </w:rPr>
        <w:t xml:space="preserve"> </w:t>
      </w:r>
      <w:r w:rsidR="00806DE3" w:rsidRPr="00A6144D">
        <w:rPr>
          <w:rFonts w:ascii="Arial" w:hAnsi="Arial" w:cs="Arial"/>
        </w:rPr>
        <w:t xml:space="preserve">Over the past decade, e-commerce has become a vital component of the global economy, driven by the internet's profound transformation of the </w:t>
      </w:r>
      <w:r w:rsidR="000713A6" w:rsidRPr="00A6144D">
        <w:rPr>
          <w:rFonts w:ascii="Arial" w:hAnsi="Arial" w:cs="Arial"/>
        </w:rPr>
        <w:t>world (</w:t>
      </w:r>
      <w:r w:rsidR="008E4CC0" w:rsidRPr="00A6144D">
        <w:rPr>
          <w:rFonts w:ascii="Arial" w:hAnsi="Arial" w:cs="Arial"/>
        </w:rPr>
        <w:t>Cumming et al.,2023)</w:t>
      </w:r>
      <w:r w:rsidR="0014346F" w:rsidRPr="00A6144D">
        <w:rPr>
          <w:rFonts w:ascii="Arial" w:hAnsi="Arial" w:cs="Arial"/>
        </w:rPr>
        <w:t>. The</w:t>
      </w:r>
      <w:r w:rsidR="004B2B46" w:rsidRPr="00A6144D">
        <w:rPr>
          <w:rFonts w:ascii="Arial" w:hAnsi="Arial" w:cs="Arial"/>
        </w:rPr>
        <w:t xml:space="preserve"> arrival of e-commerce has brought about a groundbreaking change in the retail industry, transforming how consumers engage with businesses and access goods and services.</w:t>
      </w:r>
      <w:r w:rsidR="00B5228C" w:rsidRPr="00A6144D">
        <w:rPr>
          <w:rFonts w:ascii="Arial" w:hAnsi="Arial" w:cs="Arial"/>
        </w:rPr>
        <w:t xml:space="preserve"> E-commerce began in the early internet days when entrepreneurs spotted the potential of digital platforms for business transactions.</w:t>
      </w:r>
      <w:r w:rsidR="00D745FA" w:rsidRPr="00A6144D">
        <w:rPr>
          <w:rFonts w:ascii="Arial" w:hAnsi="Arial" w:cs="Arial"/>
        </w:rPr>
        <w:t xml:space="preserve"> Pioneering companies that envisioned a digital future played a crucial role in the inception and early growth of e-</w:t>
      </w:r>
      <w:r w:rsidR="006B19EC" w:rsidRPr="00A6144D">
        <w:rPr>
          <w:rFonts w:ascii="Arial" w:hAnsi="Arial" w:cs="Arial"/>
        </w:rPr>
        <w:t>commerce (</w:t>
      </w:r>
      <w:r w:rsidR="007C7092" w:rsidRPr="00A6144D">
        <w:rPr>
          <w:rFonts w:ascii="Arial" w:hAnsi="Arial" w:cs="Arial"/>
        </w:rPr>
        <w:t>Ntumba</w:t>
      </w:r>
      <w:r w:rsidR="006B19EC" w:rsidRPr="00A6144D">
        <w:rPr>
          <w:rFonts w:ascii="Arial" w:hAnsi="Arial" w:cs="Arial"/>
        </w:rPr>
        <w:t xml:space="preserve"> et al.,2023).</w:t>
      </w:r>
      <w:r w:rsidR="00D95D94" w:rsidRPr="00A6144D">
        <w:rPr>
          <w:rFonts w:ascii="Arial" w:hAnsi="Arial" w:cs="Arial"/>
        </w:rPr>
        <w:t xml:space="preserve"> The increasing prevalence of mobile devices, particularly smartphones and tablets, has transformed e-commerce by allowing consumers to shop and conduct transactions seamlessly, regardless of time or location (Ntumba et al.,2023).</w:t>
      </w:r>
    </w:p>
    <w:p w14:paraId="7D42FBF6" w14:textId="77777777" w:rsidR="00684E61" w:rsidRPr="00A6144D" w:rsidRDefault="00684E61" w:rsidP="005C12C5">
      <w:pPr>
        <w:jc w:val="both"/>
        <w:rPr>
          <w:rFonts w:ascii="Arial" w:hAnsi="Arial" w:cs="Arial"/>
        </w:rPr>
      </w:pPr>
    </w:p>
    <w:p w14:paraId="7702170B" w14:textId="752FCCF3" w:rsidR="00684E61" w:rsidRPr="00A6144D" w:rsidRDefault="009942B0" w:rsidP="005C12C5">
      <w:pPr>
        <w:jc w:val="both"/>
        <w:rPr>
          <w:rFonts w:ascii="Arial" w:hAnsi="Arial" w:cs="Arial"/>
        </w:rPr>
      </w:pPr>
      <w:r w:rsidRPr="00A6144D">
        <w:rPr>
          <w:rFonts w:ascii="Arial" w:hAnsi="Arial" w:cs="Arial"/>
        </w:rPr>
        <w:t xml:space="preserve">The integration of e-commerce and healthcare is a growing field that leverages digital technologies to enhance service delivery and healthcare access, with the ultimate goal of managing rising </w:t>
      </w:r>
      <w:r w:rsidR="001D3485" w:rsidRPr="00A6144D">
        <w:rPr>
          <w:rFonts w:ascii="Arial" w:hAnsi="Arial" w:cs="Arial"/>
        </w:rPr>
        <w:t>costs (</w:t>
      </w:r>
      <w:r w:rsidR="00813258" w:rsidRPr="00A6144D">
        <w:rPr>
          <w:rFonts w:ascii="Arial" w:hAnsi="Arial" w:cs="Arial"/>
        </w:rPr>
        <w:t xml:space="preserve">Zacharia et </w:t>
      </w:r>
      <w:r w:rsidR="001D3485" w:rsidRPr="00A6144D">
        <w:rPr>
          <w:rFonts w:ascii="Arial" w:hAnsi="Arial" w:cs="Arial"/>
        </w:rPr>
        <w:t>al.,2024).</w:t>
      </w:r>
      <w:r w:rsidR="00DB3CBA" w:rsidRPr="00A6144D">
        <w:rPr>
          <w:rFonts w:ascii="Arial" w:hAnsi="Arial" w:cs="Arial"/>
        </w:rPr>
        <w:t xml:space="preserve"> </w:t>
      </w:r>
      <w:r w:rsidR="00B9122B" w:rsidRPr="00A6144D">
        <w:rPr>
          <w:rFonts w:ascii="Arial" w:hAnsi="Arial" w:cs="Arial"/>
        </w:rPr>
        <w:t xml:space="preserve">The growing demand in the global healthcare e-commerce market is driven by the ongoing expansion of the e-commerce sector and the increasing sales of pharmaceuticals </w:t>
      </w:r>
      <w:r w:rsidR="00203A97" w:rsidRPr="00A6144D">
        <w:rPr>
          <w:rFonts w:ascii="Arial" w:hAnsi="Arial" w:cs="Arial"/>
        </w:rPr>
        <w:t>online (</w:t>
      </w:r>
      <w:r w:rsidR="008570F7" w:rsidRPr="00A6144D">
        <w:rPr>
          <w:rFonts w:ascii="Arial" w:hAnsi="Arial" w:cs="Arial"/>
        </w:rPr>
        <w:t>Ahmadova</w:t>
      </w:r>
      <w:r w:rsidR="00203A97" w:rsidRPr="00A6144D">
        <w:rPr>
          <w:rFonts w:ascii="Arial" w:hAnsi="Arial" w:cs="Arial"/>
        </w:rPr>
        <w:t>.,2024</w:t>
      </w:r>
      <w:r w:rsidR="00BD3F70" w:rsidRPr="00A6144D">
        <w:rPr>
          <w:rFonts w:ascii="Arial" w:hAnsi="Arial" w:cs="Arial"/>
        </w:rPr>
        <w:t>). Today</w:t>
      </w:r>
      <w:r w:rsidR="00DB3CBA" w:rsidRPr="00A6144D">
        <w:rPr>
          <w:rFonts w:ascii="Arial" w:hAnsi="Arial" w:cs="Arial"/>
        </w:rPr>
        <w:t xml:space="preserve">, e-commerce goes beyond just online sales to also cover the delivery of products and services, as well as the exchange of information through online </w:t>
      </w:r>
      <w:r w:rsidR="002B041A" w:rsidRPr="00A6144D">
        <w:rPr>
          <w:rFonts w:ascii="Arial" w:hAnsi="Arial" w:cs="Arial"/>
        </w:rPr>
        <w:t>networks (</w:t>
      </w:r>
      <w:r w:rsidR="00855D6F" w:rsidRPr="00A6144D">
        <w:rPr>
          <w:rFonts w:ascii="Arial" w:hAnsi="Arial" w:cs="Arial"/>
        </w:rPr>
        <w:t>Ardalan and Abasat.,</w:t>
      </w:r>
      <w:r w:rsidR="002E0036" w:rsidRPr="00A6144D">
        <w:rPr>
          <w:rFonts w:ascii="Arial" w:hAnsi="Arial" w:cs="Arial"/>
        </w:rPr>
        <w:t>2022).</w:t>
      </w:r>
      <w:r w:rsidR="00ED15C6" w:rsidRPr="00A6144D">
        <w:rPr>
          <w:rFonts w:ascii="Arial" w:hAnsi="Arial" w:cs="Arial"/>
        </w:rPr>
        <w:t xml:space="preserve"> Several key trends, including Artificial Intelligence (AI), Blockchain, Omnichannel strategies, Augmented Reality (AR), and Virtual Reality (VR), are currently transforming the field of e-health within e-</w:t>
      </w:r>
      <w:r w:rsidR="00BD3F70" w:rsidRPr="00A6144D">
        <w:rPr>
          <w:rFonts w:ascii="Arial" w:hAnsi="Arial" w:cs="Arial"/>
        </w:rPr>
        <w:t>commerce (Ahmadova.,2024).</w:t>
      </w:r>
    </w:p>
    <w:p w14:paraId="7F81948A" w14:textId="77777777" w:rsidR="009C1529" w:rsidRPr="00A6144D" w:rsidRDefault="009C1529" w:rsidP="005C12C5">
      <w:pPr>
        <w:jc w:val="both"/>
        <w:rPr>
          <w:rFonts w:ascii="Arial" w:hAnsi="Arial" w:cs="Arial"/>
        </w:rPr>
      </w:pPr>
    </w:p>
    <w:p w14:paraId="4F104E91" w14:textId="46761591" w:rsidR="00CA48E2" w:rsidRPr="00A6144D" w:rsidRDefault="00476295" w:rsidP="00E1059B">
      <w:pPr>
        <w:pStyle w:val="Heading2"/>
      </w:pPr>
      <w:bookmarkStart w:id="6" w:name="_Toc238203177"/>
      <w:r w:rsidRPr="00A6144D">
        <w:t xml:space="preserve">2.3 </w:t>
      </w:r>
      <w:r w:rsidR="00CA48E2" w:rsidRPr="00A6144D">
        <w:t>The Emergence of e-Business</w:t>
      </w:r>
      <w:bookmarkEnd w:id="6"/>
    </w:p>
    <w:p w14:paraId="6B8FC944" w14:textId="77777777" w:rsidR="00CA48E2" w:rsidRPr="00A6144D" w:rsidRDefault="00CA48E2" w:rsidP="005C12C5">
      <w:pPr>
        <w:jc w:val="both"/>
        <w:rPr>
          <w:rFonts w:ascii="Arial" w:hAnsi="Arial" w:cs="Arial"/>
        </w:rPr>
      </w:pPr>
    </w:p>
    <w:p w14:paraId="2B616570" w14:textId="42D7598B" w:rsidR="009C1529" w:rsidRPr="00A6144D" w:rsidRDefault="00546B7D" w:rsidP="005C12C5">
      <w:pPr>
        <w:jc w:val="both"/>
        <w:rPr>
          <w:rFonts w:ascii="Arial" w:hAnsi="Arial" w:cs="Arial"/>
        </w:rPr>
      </w:pPr>
      <w:r w:rsidRPr="00A6144D">
        <w:rPr>
          <w:rFonts w:ascii="Arial" w:hAnsi="Arial" w:cs="Arial"/>
        </w:rPr>
        <w:t>Over the past decade, the business environment has undergone significant transformation driven by a series of technological innovations. Among these, the emergence of mobile data technology represents a pivotal turning point, enabling the creation of thousands of disruptive e-</w:t>
      </w:r>
      <w:r w:rsidR="000B30C5" w:rsidRPr="00A6144D">
        <w:rPr>
          <w:rFonts w:ascii="Arial" w:hAnsi="Arial" w:cs="Arial"/>
        </w:rPr>
        <w:t>businesses (</w:t>
      </w:r>
      <w:r w:rsidR="005A38B3" w:rsidRPr="00A6144D">
        <w:rPr>
          <w:rFonts w:ascii="Arial" w:hAnsi="Arial" w:cs="Arial"/>
        </w:rPr>
        <w:t>Cristofaro</w:t>
      </w:r>
      <w:r w:rsidR="000B30C5" w:rsidRPr="00A6144D">
        <w:rPr>
          <w:rFonts w:ascii="Arial" w:hAnsi="Arial" w:cs="Arial"/>
        </w:rPr>
        <w:t>.,2020). The</w:t>
      </w:r>
      <w:r w:rsidR="009C1529" w:rsidRPr="00A6144D">
        <w:rPr>
          <w:rFonts w:ascii="Arial" w:hAnsi="Arial" w:cs="Arial"/>
        </w:rPr>
        <w:t xml:space="preserve"> digital age has revolutioni</w:t>
      </w:r>
      <w:r w:rsidR="007C3E63" w:rsidRPr="00A6144D">
        <w:rPr>
          <w:rFonts w:ascii="Arial" w:hAnsi="Arial" w:cs="Arial"/>
        </w:rPr>
        <w:t>s</w:t>
      </w:r>
      <w:r w:rsidR="009C1529" w:rsidRPr="00A6144D">
        <w:rPr>
          <w:rFonts w:ascii="Arial" w:hAnsi="Arial" w:cs="Arial"/>
        </w:rPr>
        <w:t xml:space="preserve">ed businesses, leading to the emergence of e-business as an alternative to traditional methods. E-business includes online transactions, supply chain management, customer communication, and financial </w:t>
      </w:r>
      <w:r w:rsidR="00901739" w:rsidRPr="00A6144D">
        <w:rPr>
          <w:rFonts w:ascii="Arial" w:hAnsi="Arial" w:cs="Arial"/>
        </w:rPr>
        <w:t>operations (Taherdoost.,2023).</w:t>
      </w:r>
      <w:r w:rsidR="00DC26C2" w:rsidRPr="00A6144D">
        <w:rPr>
          <w:rFonts w:ascii="Arial" w:hAnsi="Arial" w:cs="Arial"/>
        </w:rPr>
        <w:t xml:space="preserve"> Recent studies highlight the ongoing development and importance of e-business in shaping contemporary </w:t>
      </w:r>
      <w:r w:rsidR="00804BFD" w:rsidRPr="00A6144D">
        <w:rPr>
          <w:rFonts w:ascii="Arial" w:hAnsi="Arial" w:cs="Arial"/>
        </w:rPr>
        <w:t>commerce (</w:t>
      </w:r>
      <w:r w:rsidR="00703D8D" w:rsidRPr="00A6144D">
        <w:rPr>
          <w:rFonts w:ascii="Arial" w:hAnsi="Arial" w:cs="Arial"/>
        </w:rPr>
        <w:t>Baskoro</w:t>
      </w:r>
      <w:r w:rsidR="00804BFD" w:rsidRPr="00A6144D">
        <w:rPr>
          <w:rFonts w:ascii="Arial" w:hAnsi="Arial" w:cs="Arial"/>
        </w:rPr>
        <w:t>.,2023).</w:t>
      </w:r>
      <w:r w:rsidR="002E6C36" w:rsidRPr="00A6144D">
        <w:rPr>
          <w:rFonts w:ascii="Arial" w:hAnsi="Arial" w:cs="Arial"/>
        </w:rPr>
        <w:t xml:space="preserve"> Recent research by Wang et al. (2022) emphasizes the crucial role of data analytics in advancing the success of e-business.</w:t>
      </w:r>
      <w:r w:rsidR="008224E5" w:rsidRPr="00A6144D">
        <w:rPr>
          <w:rFonts w:ascii="Arial" w:hAnsi="Arial" w:cs="Arial"/>
        </w:rPr>
        <w:t xml:space="preserve"> The rise of artificial intelligence (AI) technologies has significantly transformed different areas of e-business operations.</w:t>
      </w:r>
      <w:r w:rsidR="00BB2236" w:rsidRPr="00A6144D">
        <w:rPr>
          <w:rFonts w:ascii="Arial" w:hAnsi="Arial" w:cs="Arial"/>
        </w:rPr>
        <w:t xml:space="preserve"> In today's e-business environment, digital entrepreneurship and innovation serve as key drivers that reshape competitive dynamics and promote sustainable </w:t>
      </w:r>
      <w:r w:rsidR="00577ACA" w:rsidRPr="00A6144D">
        <w:rPr>
          <w:rFonts w:ascii="Arial" w:hAnsi="Arial" w:cs="Arial"/>
        </w:rPr>
        <w:t>growth (Baskoro.,2023).</w:t>
      </w:r>
    </w:p>
    <w:p w14:paraId="16159ED5" w14:textId="77777777" w:rsidR="00AE0C67" w:rsidRPr="00A6144D" w:rsidRDefault="00AE0C67" w:rsidP="005C12C5">
      <w:pPr>
        <w:jc w:val="both"/>
        <w:rPr>
          <w:rFonts w:ascii="Arial" w:hAnsi="Arial" w:cs="Arial"/>
        </w:rPr>
      </w:pPr>
    </w:p>
    <w:p w14:paraId="4975EBB8" w14:textId="1AB08D6C" w:rsidR="00AE0C67" w:rsidRPr="00A6144D" w:rsidRDefault="00AE0C67" w:rsidP="00AE0C67">
      <w:pPr>
        <w:jc w:val="both"/>
        <w:rPr>
          <w:rFonts w:ascii="Arial" w:hAnsi="Arial" w:cs="Arial"/>
        </w:rPr>
      </w:pPr>
      <w:r w:rsidRPr="00A6144D">
        <w:rPr>
          <w:rFonts w:ascii="Arial" w:hAnsi="Arial" w:cs="Arial"/>
        </w:rPr>
        <w:t>E-commerce mainly affects how patients and customers access healthcare services, whereas e-business can reshape how the organisation operates internally. As digital information is shared more quickly across departments, authority may become more distributed, decisions more data-driven and managers more focused on digital leadership, coordination and governance.</w:t>
      </w:r>
    </w:p>
    <w:p w14:paraId="0F778A4F" w14:textId="77777777" w:rsidR="00AD4891" w:rsidRPr="00A6144D" w:rsidRDefault="00AD4891" w:rsidP="005C12C5">
      <w:pPr>
        <w:jc w:val="both"/>
        <w:rPr>
          <w:rFonts w:ascii="Arial" w:hAnsi="Arial" w:cs="Arial"/>
        </w:rPr>
      </w:pPr>
    </w:p>
    <w:p w14:paraId="7367F552" w14:textId="72DA24B5" w:rsidR="00AD4891" w:rsidRPr="00A6144D" w:rsidRDefault="00476295" w:rsidP="00E1059B">
      <w:pPr>
        <w:pStyle w:val="Heading2"/>
      </w:pPr>
      <w:bookmarkStart w:id="7" w:name="_Toc238203178"/>
      <w:r w:rsidRPr="00A6144D">
        <w:t xml:space="preserve">2.4 </w:t>
      </w:r>
      <w:r w:rsidR="00AD4891" w:rsidRPr="00A6144D">
        <w:t>Definition and Explanation of Organisational Structure</w:t>
      </w:r>
      <w:bookmarkEnd w:id="7"/>
      <w:r w:rsidR="00AD4891" w:rsidRPr="00A6144D">
        <w:t xml:space="preserve">  </w:t>
      </w:r>
    </w:p>
    <w:p w14:paraId="77A39CC1" w14:textId="77777777" w:rsidR="005B5FB2" w:rsidRPr="00A6144D" w:rsidRDefault="005B5FB2" w:rsidP="005C12C5">
      <w:pPr>
        <w:jc w:val="both"/>
        <w:rPr>
          <w:rFonts w:ascii="Arial" w:hAnsi="Arial" w:cs="Arial"/>
          <w:b/>
          <w:bCs/>
        </w:rPr>
      </w:pPr>
    </w:p>
    <w:p w14:paraId="504509DD" w14:textId="3B399111" w:rsidR="005B5FB2" w:rsidRPr="00A6144D" w:rsidRDefault="0084074D" w:rsidP="005C12C5">
      <w:pPr>
        <w:jc w:val="both"/>
        <w:rPr>
          <w:rFonts w:ascii="Arial" w:hAnsi="Arial" w:cs="Arial"/>
        </w:rPr>
      </w:pPr>
      <w:r w:rsidRPr="00A6144D">
        <w:rPr>
          <w:rFonts w:ascii="Arial" w:hAnsi="Arial" w:cs="Arial"/>
        </w:rPr>
        <w:t xml:space="preserve">According to Mintzberg (1979), organisational structure provides the formal framework that defines the relationships between roles, individuals, groups, systems, and operational processes within an organisation. It establishes how work is divided into specific responsibilities and how these activities are coordinated to ensure that organisational goals are achieved efficiently and </w:t>
      </w:r>
      <w:r w:rsidR="00C45DFC" w:rsidRPr="00A6144D">
        <w:rPr>
          <w:rFonts w:ascii="Arial" w:hAnsi="Arial" w:cs="Arial"/>
        </w:rPr>
        <w:t>effectively (</w:t>
      </w:r>
      <w:r w:rsidR="008957EB" w:rsidRPr="00A6144D">
        <w:rPr>
          <w:rFonts w:ascii="Arial" w:hAnsi="Arial" w:cs="Arial"/>
        </w:rPr>
        <w:t>Ahmady</w:t>
      </w:r>
      <w:r w:rsidR="00C45DFC" w:rsidRPr="00A6144D">
        <w:rPr>
          <w:rFonts w:ascii="Arial" w:hAnsi="Arial" w:cs="Arial"/>
        </w:rPr>
        <w:t xml:space="preserve"> et al.,2016).</w:t>
      </w:r>
      <w:r w:rsidR="00F841F4" w:rsidRPr="00A6144D">
        <w:rPr>
          <w:rFonts w:ascii="Arial" w:hAnsi="Arial" w:cs="Arial"/>
        </w:rPr>
        <w:t xml:space="preserve"> In healthcare organisations, organisational structure serves as the foundation for achieving strategic and operational objectives. The selected structure influences how authority, responsibilities, and roles are distributed and coordinated across different levels of the organisation. It also establishes reporting relationships and communication channels, ensuring that information flows efficiently between departments and healthcare professionals. An effective organisational structure enhances collaboration, supports informed decision-making, and contributes to the delivery of safe, high-quality, and patient-centred healthcare </w:t>
      </w:r>
      <w:r w:rsidR="00025620" w:rsidRPr="00A6144D">
        <w:rPr>
          <w:rFonts w:ascii="Arial" w:hAnsi="Arial" w:cs="Arial"/>
        </w:rPr>
        <w:t>services (Okolie et al.,</w:t>
      </w:r>
      <w:r w:rsidR="008529C8" w:rsidRPr="00A6144D">
        <w:rPr>
          <w:rFonts w:ascii="Arial" w:hAnsi="Arial" w:cs="Arial"/>
        </w:rPr>
        <w:t>2023).</w:t>
      </w:r>
    </w:p>
    <w:p w14:paraId="1EE1B797" w14:textId="77777777" w:rsidR="00D212DD" w:rsidRPr="00A6144D" w:rsidRDefault="00D212DD" w:rsidP="00D212DD">
      <w:pPr>
        <w:jc w:val="both"/>
        <w:rPr>
          <w:rFonts w:ascii="Arial" w:hAnsi="Arial" w:cs="Arial"/>
        </w:rPr>
      </w:pPr>
    </w:p>
    <w:p w14:paraId="4E56DAA4" w14:textId="70BD07D0" w:rsidR="00D212DD" w:rsidRPr="00A6144D" w:rsidRDefault="00D212DD" w:rsidP="00D212DD">
      <w:pPr>
        <w:jc w:val="both"/>
        <w:rPr>
          <w:rFonts w:ascii="Arial" w:hAnsi="Arial" w:cs="Arial"/>
        </w:rPr>
      </w:pPr>
      <w:r w:rsidRPr="00A6144D">
        <w:rPr>
          <w:rFonts w:ascii="Arial" w:hAnsi="Arial" w:cs="Arial"/>
        </w:rPr>
        <w:t>Digitalisation has reduced the effectiveness of strict hierarchies, slow communication channels and separate ways of working. Even so, healthcare organisations still need clear authority, defined responsibilities and effective oversight to maintain safe, high-quality care.</w:t>
      </w:r>
    </w:p>
    <w:p w14:paraId="5621132D" w14:textId="77777777" w:rsidR="000F2FE0" w:rsidRPr="00A6144D" w:rsidRDefault="000F2FE0" w:rsidP="005C12C5">
      <w:pPr>
        <w:jc w:val="both"/>
        <w:rPr>
          <w:rFonts w:ascii="Arial" w:hAnsi="Arial" w:cs="Arial"/>
        </w:rPr>
      </w:pPr>
    </w:p>
    <w:p w14:paraId="129B9C49" w14:textId="1BD4C816" w:rsidR="000F2FE0" w:rsidRPr="00A6144D" w:rsidRDefault="000F2FE0" w:rsidP="005C12C5">
      <w:pPr>
        <w:jc w:val="both"/>
        <w:rPr>
          <w:rFonts w:ascii="Arial" w:hAnsi="Arial" w:cs="Arial"/>
        </w:rPr>
      </w:pPr>
      <w:r w:rsidRPr="00A6144D">
        <w:rPr>
          <w:rFonts w:ascii="Arial" w:hAnsi="Arial" w:cs="Arial"/>
        </w:rPr>
        <w:t>The following are some of the traditional models of organisational structure used across organisations:</w:t>
      </w:r>
    </w:p>
    <w:p w14:paraId="1DEBF392" w14:textId="77777777" w:rsidR="0016070E" w:rsidRPr="00A6144D" w:rsidRDefault="0016070E" w:rsidP="005C12C5">
      <w:pPr>
        <w:jc w:val="both"/>
        <w:rPr>
          <w:rFonts w:ascii="Arial" w:hAnsi="Arial" w:cs="Arial"/>
        </w:rPr>
      </w:pPr>
    </w:p>
    <w:p w14:paraId="4C71DFAE" w14:textId="60675EA1" w:rsidR="00B235A8" w:rsidRPr="00A6144D" w:rsidRDefault="00352535" w:rsidP="00E1059B">
      <w:pPr>
        <w:pStyle w:val="Heading2"/>
      </w:pPr>
      <w:bookmarkStart w:id="8" w:name="_Toc238203179"/>
      <w:r w:rsidRPr="00A6144D">
        <w:lastRenderedPageBreak/>
        <w:t xml:space="preserve">2.4.1 </w:t>
      </w:r>
      <w:r w:rsidR="00C17C51" w:rsidRPr="00A6144D">
        <w:t>Hierarchy-Based Structures</w:t>
      </w:r>
      <w:bookmarkEnd w:id="8"/>
    </w:p>
    <w:p w14:paraId="58CB8B97" w14:textId="77777777" w:rsidR="00C17C51" w:rsidRPr="00A6144D" w:rsidRDefault="00C17C51" w:rsidP="005C12C5">
      <w:pPr>
        <w:jc w:val="both"/>
        <w:rPr>
          <w:rFonts w:ascii="Arial" w:hAnsi="Arial" w:cs="Arial"/>
        </w:rPr>
      </w:pPr>
    </w:p>
    <w:p w14:paraId="1A397B9F" w14:textId="7C54FC28" w:rsidR="0016070E" w:rsidRPr="00A6144D" w:rsidRDefault="0016070E" w:rsidP="005C12C5">
      <w:pPr>
        <w:jc w:val="both"/>
        <w:rPr>
          <w:rFonts w:ascii="Arial" w:hAnsi="Arial" w:cs="Arial"/>
        </w:rPr>
      </w:pPr>
      <w:r w:rsidRPr="00A6144D">
        <w:rPr>
          <w:rFonts w:ascii="Arial" w:hAnsi="Arial" w:cs="Arial"/>
        </w:rPr>
        <w:t>Hierarchy plays a crucial role in healthcare organisations by influencing the organisation and delivery of health services, determining priorities, and guiding the allocation of care and resources. It also shapes team dynamics by defining authority and reporting relationships, which influence communication, decision-making, and collaboration among healthcare professionals</w:t>
      </w:r>
      <w:r w:rsidR="002A7CC8" w:rsidRPr="00A6144D">
        <w:rPr>
          <w:rFonts w:ascii="Arial" w:hAnsi="Arial" w:cs="Arial"/>
        </w:rPr>
        <w:t xml:space="preserve"> (Filizli and</w:t>
      </w:r>
      <w:r w:rsidR="00E4147B" w:rsidRPr="00A6144D">
        <w:rPr>
          <w:rFonts w:ascii="Arial" w:hAnsi="Arial" w:cs="Arial"/>
        </w:rPr>
        <w:t xml:space="preserve"> Onler,2020).</w:t>
      </w:r>
      <w:r w:rsidR="002A7CC8" w:rsidRPr="00A6144D">
        <w:rPr>
          <w:rFonts w:ascii="Arial" w:hAnsi="Arial" w:cs="Arial"/>
        </w:rPr>
        <w:t xml:space="preserve"> </w:t>
      </w:r>
      <w:r w:rsidR="00AE32F3" w:rsidRPr="00A6144D">
        <w:rPr>
          <w:rFonts w:ascii="Arial" w:hAnsi="Arial" w:cs="Arial"/>
        </w:rPr>
        <w:t xml:space="preserve">Johnson et al. (2020) suggest that healthcare organisations are largely organised through hierarchical structures in which leaders work within distinct functional boundaries. While these boundaries can provide role clarity, they may also contribute to the development of organisational silos that impede effective </w:t>
      </w:r>
      <w:r w:rsidR="0090063A" w:rsidRPr="00A6144D">
        <w:rPr>
          <w:rFonts w:ascii="Arial" w:hAnsi="Arial" w:cs="Arial"/>
        </w:rPr>
        <w:t>collaboration (Essex</w:t>
      </w:r>
      <w:r w:rsidR="00371B0A" w:rsidRPr="00A6144D">
        <w:rPr>
          <w:rFonts w:ascii="Arial" w:hAnsi="Arial" w:cs="Arial"/>
        </w:rPr>
        <w:t xml:space="preserve"> et al.,2023).</w:t>
      </w:r>
    </w:p>
    <w:p w14:paraId="4253C514" w14:textId="77777777" w:rsidR="004E29EF" w:rsidRPr="00A6144D" w:rsidRDefault="004E29EF" w:rsidP="005C12C5">
      <w:pPr>
        <w:jc w:val="both"/>
        <w:rPr>
          <w:rFonts w:ascii="Arial" w:hAnsi="Arial" w:cs="Arial"/>
        </w:rPr>
      </w:pPr>
    </w:p>
    <w:p w14:paraId="665DA3B3" w14:textId="66CF32DD" w:rsidR="00C56730" w:rsidRPr="00A6144D" w:rsidRDefault="00352535" w:rsidP="00E1059B">
      <w:pPr>
        <w:pStyle w:val="Heading2"/>
      </w:pPr>
      <w:bookmarkStart w:id="9" w:name="_Toc238203180"/>
      <w:r w:rsidRPr="00A6144D">
        <w:t xml:space="preserve">2.4.2 </w:t>
      </w:r>
      <w:r w:rsidR="00EB4771" w:rsidRPr="00A6144D">
        <w:t>Functional Structures</w:t>
      </w:r>
      <w:bookmarkEnd w:id="9"/>
    </w:p>
    <w:p w14:paraId="37078208" w14:textId="77777777" w:rsidR="00EB4771" w:rsidRPr="00A6144D" w:rsidRDefault="00EB4771" w:rsidP="005C12C5">
      <w:pPr>
        <w:jc w:val="both"/>
        <w:rPr>
          <w:rFonts w:ascii="Arial" w:hAnsi="Arial" w:cs="Arial"/>
        </w:rPr>
      </w:pPr>
    </w:p>
    <w:p w14:paraId="3132701A" w14:textId="5F97AB0E" w:rsidR="004E29EF" w:rsidRPr="00A6144D" w:rsidRDefault="00734324" w:rsidP="005C12C5">
      <w:pPr>
        <w:jc w:val="both"/>
        <w:rPr>
          <w:rFonts w:ascii="Arial" w:hAnsi="Arial" w:cs="Arial"/>
        </w:rPr>
      </w:pPr>
      <w:r w:rsidRPr="00A6144D">
        <w:rPr>
          <w:rFonts w:ascii="Arial" w:hAnsi="Arial" w:cs="Arial"/>
        </w:rPr>
        <w:t>In a functional structure, departments are organized based on specific roles and expertise, such as nursing, surgery, or administration. Each department has its own management, making it easier to specialize and streamline tasks. However, it can lead to “silos” that make collaboration challenging. Functional structures are ideal for hospitals offering specialized services that need focused management</w:t>
      </w:r>
      <w:r w:rsidR="00EB4771" w:rsidRPr="00A6144D">
        <w:rPr>
          <w:rFonts w:ascii="Arial" w:hAnsi="Arial" w:cs="Arial"/>
        </w:rPr>
        <w:t xml:space="preserve"> (</w:t>
      </w:r>
      <w:r w:rsidR="00B10979" w:rsidRPr="00A6144D">
        <w:rPr>
          <w:rFonts w:ascii="Arial" w:hAnsi="Arial" w:cs="Arial"/>
        </w:rPr>
        <w:t>O</w:t>
      </w:r>
      <w:r w:rsidR="000C2792" w:rsidRPr="00A6144D">
        <w:rPr>
          <w:rFonts w:ascii="Arial" w:hAnsi="Arial" w:cs="Arial"/>
        </w:rPr>
        <w:t>rganimi,2024).</w:t>
      </w:r>
      <w:r w:rsidR="00DB670C" w:rsidRPr="00A6144D">
        <w:rPr>
          <w:rFonts w:ascii="Arial" w:hAnsi="Arial" w:cs="Arial"/>
        </w:rPr>
        <w:t xml:space="preserve"> This structure is frequently seen in specialized care hospitals and organizations where clinical quality is primarily driven by deep departmental expertise. It ensures a strong operational focus within each function. However, there is a risk that departments become isolated, which can make managing cross-functional coordination, such as care transitions between surgery and post-acute nursing, more complex (</w:t>
      </w:r>
      <w:r w:rsidR="00D521DB" w:rsidRPr="00A6144D">
        <w:rPr>
          <w:rFonts w:ascii="Arial" w:hAnsi="Arial" w:cs="Arial"/>
        </w:rPr>
        <w:t>O</w:t>
      </w:r>
      <w:r w:rsidR="000E06E8" w:rsidRPr="00A6144D">
        <w:rPr>
          <w:rFonts w:ascii="Arial" w:hAnsi="Arial" w:cs="Arial"/>
        </w:rPr>
        <w:t>rgchart</w:t>
      </w:r>
      <w:r w:rsidR="00D521DB" w:rsidRPr="00A6144D">
        <w:rPr>
          <w:rFonts w:ascii="Arial" w:hAnsi="Arial" w:cs="Arial"/>
        </w:rPr>
        <w:t>,2024).</w:t>
      </w:r>
    </w:p>
    <w:p w14:paraId="5E260BF1" w14:textId="77777777" w:rsidR="00D7680F" w:rsidRPr="00A6144D" w:rsidRDefault="00D7680F" w:rsidP="005C12C5">
      <w:pPr>
        <w:jc w:val="both"/>
        <w:rPr>
          <w:rFonts w:ascii="Arial" w:hAnsi="Arial" w:cs="Arial"/>
        </w:rPr>
      </w:pPr>
    </w:p>
    <w:p w14:paraId="7C9D91AC" w14:textId="5200F4AD" w:rsidR="00D7680F" w:rsidRPr="00A6144D" w:rsidRDefault="00352535" w:rsidP="00E1059B">
      <w:pPr>
        <w:pStyle w:val="Heading2"/>
      </w:pPr>
      <w:bookmarkStart w:id="10" w:name="_Toc238203181"/>
      <w:r w:rsidRPr="00A6144D">
        <w:t xml:space="preserve">2.4.3 </w:t>
      </w:r>
      <w:r w:rsidR="00D7680F" w:rsidRPr="00A6144D">
        <w:t xml:space="preserve">Divisional </w:t>
      </w:r>
      <w:r w:rsidR="00935B6E" w:rsidRPr="00A6144D">
        <w:t>Structures</w:t>
      </w:r>
      <w:bookmarkEnd w:id="10"/>
    </w:p>
    <w:p w14:paraId="545BF193" w14:textId="77777777" w:rsidR="00D7680F" w:rsidRPr="00A6144D" w:rsidRDefault="00D7680F" w:rsidP="005C12C5">
      <w:pPr>
        <w:jc w:val="both"/>
        <w:rPr>
          <w:rFonts w:ascii="Arial" w:hAnsi="Arial" w:cs="Arial"/>
        </w:rPr>
      </w:pPr>
    </w:p>
    <w:p w14:paraId="1019F423" w14:textId="124A768B" w:rsidR="00D7680F" w:rsidRPr="00A6144D" w:rsidRDefault="00D7680F" w:rsidP="005C12C5">
      <w:pPr>
        <w:jc w:val="both"/>
        <w:rPr>
          <w:rFonts w:ascii="Arial" w:hAnsi="Arial" w:cs="Arial"/>
        </w:rPr>
      </w:pPr>
      <w:r w:rsidRPr="00A6144D">
        <w:rPr>
          <w:rFonts w:ascii="Arial" w:hAnsi="Arial" w:cs="Arial"/>
        </w:rPr>
        <w:t>According to Robbins &amp; Coulter (2018), the divisional structure is an organizational framework consisting of separate business units or divisions. Each division operates with limited autonomy under the leadership of a division manager who holds authority over the unit and is responsible for its performance. The parent corporation typically functions as an external overseer, coordinating and controlling the divisions while often providing support services such as financial and legal assistance</w:t>
      </w:r>
      <w:r w:rsidR="00935B6E" w:rsidRPr="00A6144D">
        <w:rPr>
          <w:rFonts w:ascii="Arial" w:hAnsi="Arial" w:cs="Arial"/>
        </w:rPr>
        <w:t xml:space="preserve"> (</w:t>
      </w:r>
      <w:r w:rsidR="00127BC7" w:rsidRPr="00A6144D">
        <w:rPr>
          <w:rFonts w:ascii="Arial" w:hAnsi="Arial" w:cs="Arial"/>
        </w:rPr>
        <w:t>Islami et al.</w:t>
      </w:r>
      <w:r w:rsidR="008820F5" w:rsidRPr="00A6144D">
        <w:rPr>
          <w:rFonts w:ascii="Arial" w:hAnsi="Arial" w:cs="Arial"/>
        </w:rPr>
        <w:t>,</w:t>
      </w:r>
      <w:r w:rsidR="001E5F59" w:rsidRPr="00A6144D">
        <w:rPr>
          <w:rFonts w:ascii="Arial" w:hAnsi="Arial" w:cs="Arial"/>
        </w:rPr>
        <w:t>2021</w:t>
      </w:r>
      <w:r w:rsidR="0092030D" w:rsidRPr="00A6144D">
        <w:rPr>
          <w:rFonts w:ascii="Arial" w:hAnsi="Arial" w:cs="Arial"/>
        </w:rPr>
        <w:t>).</w:t>
      </w:r>
    </w:p>
    <w:p w14:paraId="259B561D" w14:textId="77777777" w:rsidR="007D6A11" w:rsidRPr="00A6144D" w:rsidRDefault="007D6A11" w:rsidP="005C12C5">
      <w:pPr>
        <w:jc w:val="both"/>
        <w:rPr>
          <w:rFonts w:ascii="Arial" w:hAnsi="Arial" w:cs="Arial"/>
        </w:rPr>
      </w:pPr>
    </w:p>
    <w:p w14:paraId="09371DE7" w14:textId="7108299A" w:rsidR="00103CD4" w:rsidRPr="009167F1" w:rsidRDefault="005D0DA5" w:rsidP="00E1059B">
      <w:pPr>
        <w:pStyle w:val="Heading2"/>
      </w:pPr>
      <w:bookmarkStart w:id="11" w:name="_Toc238203182"/>
      <w:r w:rsidRPr="00A6144D">
        <w:t>2.5. Theories of Management Roles</w:t>
      </w:r>
      <w:bookmarkEnd w:id="11"/>
      <w:r w:rsidRPr="00A6144D">
        <w:t xml:space="preserve">  </w:t>
      </w:r>
    </w:p>
    <w:p w14:paraId="545A8CCA" w14:textId="77777777" w:rsidR="005D0DA5" w:rsidRPr="00A6144D" w:rsidRDefault="005D0DA5" w:rsidP="005C12C5">
      <w:pPr>
        <w:tabs>
          <w:tab w:val="left" w:pos="5000"/>
        </w:tabs>
        <w:jc w:val="both"/>
        <w:rPr>
          <w:rFonts w:ascii="Arial" w:hAnsi="Arial" w:cs="Arial"/>
        </w:rPr>
      </w:pPr>
    </w:p>
    <w:p w14:paraId="2268CC3F" w14:textId="0E852E84" w:rsidR="005D0DA5" w:rsidRPr="00A6144D" w:rsidRDefault="00E04360" w:rsidP="00E1059B">
      <w:pPr>
        <w:pStyle w:val="Heading2"/>
      </w:pPr>
      <w:bookmarkStart w:id="12" w:name="_Toc238203183"/>
      <w:r w:rsidRPr="00A6144D">
        <w:t xml:space="preserve">2.5.1. </w:t>
      </w:r>
      <w:r w:rsidR="008B3520" w:rsidRPr="00A6144D">
        <w:t>Classical Management Theories</w:t>
      </w:r>
      <w:bookmarkEnd w:id="12"/>
    </w:p>
    <w:p w14:paraId="1EA98788" w14:textId="77777777" w:rsidR="008B3520" w:rsidRPr="00A6144D" w:rsidRDefault="008B3520" w:rsidP="005C12C5">
      <w:pPr>
        <w:tabs>
          <w:tab w:val="left" w:pos="5000"/>
        </w:tabs>
        <w:jc w:val="both"/>
        <w:rPr>
          <w:rFonts w:ascii="Arial" w:hAnsi="Arial" w:cs="Arial"/>
          <w:b/>
          <w:bCs/>
        </w:rPr>
      </w:pPr>
    </w:p>
    <w:p w14:paraId="106BAD17" w14:textId="0AE70FEA" w:rsidR="00103CD4" w:rsidRPr="00A6144D" w:rsidRDefault="00103CD4" w:rsidP="005C12C5">
      <w:pPr>
        <w:tabs>
          <w:tab w:val="left" w:pos="5000"/>
        </w:tabs>
        <w:jc w:val="both"/>
        <w:rPr>
          <w:rFonts w:ascii="Arial" w:hAnsi="Arial" w:cs="Arial"/>
        </w:rPr>
      </w:pPr>
      <w:r w:rsidRPr="00A6144D">
        <w:rPr>
          <w:rFonts w:ascii="Arial" w:hAnsi="Arial" w:cs="Arial"/>
        </w:rPr>
        <w:t>The application of Scientific Management Theory in healthcare can be complex due to the unique nature of healthcare delivery; however, its principles remain highly relevant when implemented appropriately. Taylor's approach can support healthcare organisations in achieving managerial objectives by improving operational efficiency, standardising work processes, and optimising resource utilisation while maintaining high standards of patient care and staff satisfaction. The successful application of Scientific Management depends on healthcare managers adapting its core principles to the specific needs of healthcare settings, ensuring that improvements in efficiency do not compromise patient-</w:t>
      </w:r>
      <w:r w:rsidRPr="00A6144D">
        <w:rPr>
          <w:rFonts w:ascii="Arial" w:hAnsi="Arial" w:cs="Arial"/>
        </w:rPr>
        <w:lastRenderedPageBreak/>
        <w:t>centred care or the professional autonomy of healthcare workers. When applied thoughtfully, Taylor's principles continue to contribute to quality improvement, effective service delivery, and organisational performance in modern healthcare organisations</w:t>
      </w:r>
      <w:r w:rsidR="00D76ACC" w:rsidRPr="00A6144D">
        <w:rPr>
          <w:rFonts w:ascii="Arial" w:hAnsi="Arial" w:cs="Arial"/>
        </w:rPr>
        <w:t xml:space="preserve"> (Avadhani</w:t>
      </w:r>
      <w:r w:rsidR="00223EFF" w:rsidRPr="00A6144D">
        <w:rPr>
          <w:rFonts w:ascii="Arial" w:hAnsi="Arial" w:cs="Arial"/>
        </w:rPr>
        <w:t xml:space="preserve"> et al.,202</w:t>
      </w:r>
      <w:r w:rsidR="00935B50" w:rsidRPr="00A6144D">
        <w:rPr>
          <w:rFonts w:ascii="Arial" w:hAnsi="Arial" w:cs="Arial"/>
        </w:rPr>
        <w:t>3).</w:t>
      </w:r>
    </w:p>
    <w:p w14:paraId="1F4C09FD" w14:textId="77777777" w:rsidR="00845F81" w:rsidRPr="00A6144D" w:rsidRDefault="00845F81" w:rsidP="005C12C5">
      <w:pPr>
        <w:tabs>
          <w:tab w:val="left" w:pos="5000"/>
        </w:tabs>
        <w:jc w:val="both"/>
        <w:rPr>
          <w:rFonts w:ascii="Arial" w:hAnsi="Arial" w:cs="Arial"/>
        </w:rPr>
      </w:pPr>
    </w:p>
    <w:p w14:paraId="6D07D76B" w14:textId="228F41CA" w:rsidR="00845F81" w:rsidRPr="00A6144D" w:rsidRDefault="009F7606" w:rsidP="005C12C5">
      <w:pPr>
        <w:tabs>
          <w:tab w:val="left" w:pos="5000"/>
        </w:tabs>
        <w:jc w:val="both"/>
        <w:rPr>
          <w:rFonts w:ascii="Arial" w:hAnsi="Arial" w:cs="Arial"/>
        </w:rPr>
      </w:pPr>
      <w:r w:rsidRPr="00A6144D">
        <w:rPr>
          <w:rFonts w:ascii="Arial" w:hAnsi="Arial" w:cs="Arial"/>
        </w:rPr>
        <w:t>Henri Fayol's administrative theory emphasizes the principles of planning, organizing, commanding, coordinating, and controlling, which are reflected in healthcare through structured hospital administration, clearly defined job descriptions, and effective coordination between departments. Similarly, Max Weber's bureaucratic theory highlights the importance of a clear chain of authority, standardized procedures, and thorough documentation. These principles are evident in healthcare through medical record systems, licensing and regulatory procedures, and patient safety protocols</w:t>
      </w:r>
      <w:r w:rsidR="00913CF8" w:rsidRPr="00A6144D">
        <w:rPr>
          <w:rFonts w:ascii="Arial" w:hAnsi="Arial" w:cs="Arial"/>
        </w:rPr>
        <w:t xml:space="preserve"> </w:t>
      </w:r>
      <w:r w:rsidR="00A62957" w:rsidRPr="00A6144D">
        <w:rPr>
          <w:rFonts w:ascii="Arial" w:hAnsi="Arial" w:cs="Arial"/>
        </w:rPr>
        <w:t xml:space="preserve">(Cahyono and </w:t>
      </w:r>
      <w:r w:rsidR="00913CF8" w:rsidRPr="00A6144D">
        <w:rPr>
          <w:rFonts w:ascii="Arial" w:hAnsi="Arial" w:cs="Arial"/>
        </w:rPr>
        <w:t>Hendayana,2025).</w:t>
      </w:r>
    </w:p>
    <w:p w14:paraId="3EC2FE50" w14:textId="77777777" w:rsidR="001C55D2" w:rsidRPr="00A6144D" w:rsidRDefault="001C55D2" w:rsidP="005C12C5">
      <w:pPr>
        <w:tabs>
          <w:tab w:val="left" w:pos="5000"/>
        </w:tabs>
        <w:jc w:val="both"/>
        <w:rPr>
          <w:rFonts w:ascii="Arial" w:hAnsi="Arial" w:cs="Arial"/>
        </w:rPr>
      </w:pPr>
    </w:p>
    <w:p w14:paraId="600ECD4E" w14:textId="253404EB" w:rsidR="001C55D2" w:rsidRPr="00A6144D" w:rsidRDefault="00E04360" w:rsidP="00E1059B">
      <w:pPr>
        <w:pStyle w:val="Heading2"/>
      </w:pPr>
      <w:bookmarkStart w:id="13" w:name="_Toc238203184"/>
      <w:r w:rsidRPr="00A6144D">
        <w:t>2.5.</w:t>
      </w:r>
      <w:r w:rsidR="001C55D2" w:rsidRPr="00A6144D">
        <w:t>2</w:t>
      </w:r>
      <w:r w:rsidRPr="00A6144D">
        <w:t xml:space="preserve">. </w:t>
      </w:r>
      <w:r w:rsidR="001C55D2" w:rsidRPr="00A6144D">
        <w:t>Contemporary Management Theories</w:t>
      </w:r>
      <w:bookmarkEnd w:id="13"/>
    </w:p>
    <w:p w14:paraId="57E5689E" w14:textId="77777777" w:rsidR="00A248C5" w:rsidRPr="00A6144D" w:rsidRDefault="00A248C5" w:rsidP="005C12C5">
      <w:pPr>
        <w:tabs>
          <w:tab w:val="left" w:pos="5000"/>
        </w:tabs>
        <w:jc w:val="both"/>
        <w:rPr>
          <w:rFonts w:ascii="Arial" w:hAnsi="Arial" w:cs="Arial"/>
        </w:rPr>
      </w:pPr>
    </w:p>
    <w:p w14:paraId="5FA4424B" w14:textId="58574D13" w:rsidR="00A248C5" w:rsidRPr="00A6144D" w:rsidRDefault="00A248C5" w:rsidP="005C12C5">
      <w:pPr>
        <w:tabs>
          <w:tab w:val="left" w:pos="5000"/>
        </w:tabs>
        <w:jc w:val="both"/>
        <w:rPr>
          <w:rFonts w:ascii="Arial" w:hAnsi="Arial" w:cs="Arial"/>
        </w:rPr>
      </w:pPr>
      <w:r w:rsidRPr="00A6144D">
        <w:rPr>
          <w:rFonts w:ascii="Arial" w:hAnsi="Arial" w:cs="Arial"/>
        </w:rPr>
        <w:t>Systems Theory views healthcare organizations as complex, interconnected systems. It aids administrators in analysing patient flow, integrating electronic health records, and improving interdepartmental coordination. Contingency Theory emphasizes that decisions depend on situational factors; for example, hospitals adjust staffing and safety protocols during infectious outbreaks, and emergency departments modify triage systems based on patient volume. Total Quality Management (TQM) focuses on continuous improvement through clinical outcome audits, patient satisfaction surveys, and root cause analysis (RCA) of medical errors (Cahyono and Hendayana,2025).</w:t>
      </w:r>
    </w:p>
    <w:p w14:paraId="0E337E62" w14:textId="77777777" w:rsidR="00633655" w:rsidRPr="00A6144D" w:rsidRDefault="00633655" w:rsidP="005C12C5">
      <w:pPr>
        <w:tabs>
          <w:tab w:val="left" w:pos="5000"/>
        </w:tabs>
        <w:jc w:val="both"/>
        <w:rPr>
          <w:rFonts w:ascii="Arial" w:hAnsi="Arial" w:cs="Arial"/>
        </w:rPr>
      </w:pPr>
    </w:p>
    <w:p w14:paraId="2F17CDBC" w14:textId="3E72A4E5" w:rsidR="00633655" w:rsidRPr="00A6144D" w:rsidRDefault="00E04360" w:rsidP="00E1059B">
      <w:pPr>
        <w:pStyle w:val="Heading2"/>
      </w:pPr>
      <w:bookmarkStart w:id="14" w:name="_Toc238203185"/>
      <w:r w:rsidRPr="00A6144D">
        <w:t>2.5.</w:t>
      </w:r>
      <w:r w:rsidR="00756380" w:rsidRPr="00A6144D">
        <w:t>3. Challenges Faced by Traditional Management Roles</w:t>
      </w:r>
      <w:bookmarkEnd w:id="14"/>
    </w:p>
    <w:p w14:paraId="50786B49" w14:textId="77777777" w:rsidR="003045B8" w:rsidRPr="00A6144D" w:rsidRDefault="003045B8" w:rsidP="005C12C5">
      <w:pPr>
        <w:tabs>
          <w:tab w:val="left" w:pos="5000"/>
        </w:tabs>
        <w:jc w:val="both"/>
        <w:rPr>
          <w:rFonts w:ascii="Arial" w:hAnsi="Arial" w:cs="Arial"/>
          <w:b/>
          <w:bCs/>
        </w:rPr>
      </w:pPr>
    </w:p>
    <w:p w14:paraId="16B36427" w14:textId="35F9EC7E" w:rsidR="005E3E37" w:rsidRPr="00A6144D" w:rsidRDefault="00D22D84" w:rsidP="005C12C5">
      <w:pPr>
        <w:tabs>
          <w:tab w:val="left" w:pos="5000"/>
        </w:tabs>
        <w:jc w:val="both"/>
        <w:rPr>
          <w:rFonts w:ascii="Arial" w:hAnsi="Arial" w:cs="Arial"/>
        </w:rPr>
      </w:pPr>
      <w:r w:rsidRPr="00A6144D">
        <w:rPr>
          <w:rFonts w:ascii="Arial" w:hAnsi="Arial" w:cs="Arial"/>
        </w:rPr>
        <w:t>Major challenges within healthcare systems are often linked to outdated leadership practices, including linear thinking and a lack of preparedness for innovation. Healthcare leaders and managers continually face complex issues such as organisational culture, workforce shortages, and the integration of technological innovations (</w:t>
      </w:r>
      <w:r w:rsidR="00CC0D14" w:rsidRPr="00A6144D">
        <w:rPr>
          <w:rFonts w:ascii="Arial" w:hAnsi="Arial" w:cs="Arial"/>
        </w:rPr>
        <w:t>Ogamba and</w:t>
      </w:r>
      <w:r w:rsidR="00145955" w:rsidRPr="00A6144D">
        <w:rPr>
          <w:rFonts w:ascii="Arial" w:hAnsi="Arial" w:cs="Arial"/>
        </w:rPr>
        <w:t xml:space="preserve"> Nwaberiegwu</w:t>
      </w:r>
      <w:r w:rsidR="0058138D" w:rsidRPr="00A6144D">
        <w:rPr>
          <w:rFonts w:ascii="Arial" w:hAnsi="Arial" w:cs="Arial"/>
        </w:rPr>
        <w:t>.,2020).</w:t>
      </w:r>
    </w:p>
    <w:p w14:paraId="22BD9900" w14:textId="77777777" w:rsidR="008D6B86" w:rsidRPr="00A6144D" w:rsidRDefault="008D6B86" w:rsidP="005C12C5">
      <w:pPr>
        <w:tabs>
          <w:tab w:val="left" w:pos="5000"/>
        </w:tabs>
        <w:jc w:val="both"/>
        <w:rPr>
          <w:rFonts w:ascii="Arial" w:hAnsi="Arial" w:cs="Arial"/>
        </w:rPr>
      </w:pPr>
    </w:p>
    <w:p w14:paraId="3BCF4315" w14:textId="141154E1" w:rsidR="008D6B86" w:rsidRPr="00A6144D" w:rsidRDefault="008D6B86" w:rsidP="005C12C5">
      <w:pPr>
        <w:tabs>
          <w:tab w:val="left" w:pos="5000"/>
        </w:tabs>
        <w:jc w:val="both"/>
        <w:rPr>
          <w:rFonts w:ascii="Arial" w:hAnsi="Arial" w:cs="Arial"/>
        </w:rPr>
      </w:pPr>
      <w:r w:rsidRPr="00A6144D">
        <w:rPr>
          <w:rFonts w:ascii="Arial" w:hAnsi="Arial" w:cs="Arial"/>
        </w:rPr>
        <w:t>Taylor’s standardised approach remains useful for routine clinical and administrative tasks, but it is less suitable when professional judgement and decisions based on individual patient needs are required.</w:t>
      </w:r>
      <w:r w:rsidR="00180BFD" w:rsidRPr="00A6144D">
        <w:rPr>
          <w:rFonts w:ascii="Arial" w:hAnsi="Arial" w:cs="Arial"/>
        </w:rPr>
        <w:t xml:space="preserve"> Although Weberian bureaucracy may seem unsuitable for agile digital healthcare, bureaucratic controls remain necessary for regulation, documentation, clinical governance and patient safety. Digital healthcare therefore reshapes bureaucracy rather than removing it completely.</w:t>
      </w:r>
    </w:p>
    <w:p w14:paraId="619E5647" w14:textId="77777777" w:rsidR="00D26BCB" w:rsidRPr="00A6144D" w:rsidRDefault="00D26BCB" w:rsidP="00E1059B">
      <w:pPr>
        <w:pStyle w:val="Heading2"/>
      </w:pPr>
    </w:p>
    <w:p w14:paraId="2838576A" w14:textId="2E872946" w:rsidR="00D26BCB" w:rsidRPr="00A6144D" w:rsidRDefault="00692AAF" w:rsidP="00E1059B">
      <w:pPr>
        <w:pStyle w:val="Heading2"/>
        <w:rPr>
          <w:bCs/>
        </w:rPr>
      </w:pPr>
      <w:bookmarkStart w:id="15" w:name="_Toc238203186"/>
      <w:r w:rsidRPr="00A6144D">
        <w:rPr>
          <w:bCs/>
        </w:rPr>
        <w:t>2.6. Implications for Traditional Models</w:t>
      </w:r>
      <w:bookmarkEnd w:id="15"/>
      <w:r w:rsidRPr="00A6144D">
        <w:rPr>
          <w:bCs/>
        </w:rPr>
        <w:t xml:space="preserve">  </w:t>
      </w:r>
    </w:p>
    <w:p w14:paraId="4F8FCF61" w14:textId="77777777" w:rsidR="00692AAF" w:rsidRPr="00A6144D" w:rsidRDefault="00692AAF" w:rsidP="005C12C5">
      <w:pPr>
        <w:tabs>
          <w:tab w:val="left" w:pos="5000"/>
        </w:tabs>
        <w:jc w:val="both"/>
        <w:rPr>
          <w:rFonts w:ascii="Arial" w:hAnsi="Arial" w:cs="Arial"/>
          <w:b/>
          <w:bCs/>
        </w:rPr>
      </w:pPr>
    </w:p>
    <w:p w14:paraId="7C7F1161" w14:textId="77777777" w:rsidR="00456057" w:rsidRPr="00A6144D" w:rsidRDefault="00313573" w:rsidP="005C12C5">
      <w:pPr>
        <w:tabs>
          <w:tab w:val="left" w:pos="5000"/>
        </w:tabs>
        <w:jc w:val="both"/>
        <w:rPr>
          <w:rFonts w:ascii="Arial" w:hAnsi="Arial" w:cs="Arial"/>
        </w:rPr>
      </w:pPr>
      <w:r w:rsidRPr="00A6144D">
        <w:rPr>
          <w:rFonts w:ascii="Arial" w:hAnsi="Arial" w:cs="Arial"/>
        </w:rPr>
        <w:t>Over the past few decades, rapid technological advancements have fundamentally transformed the business environment, requiring organizations to adapt continuously to remain competitive. Traditional business models that once defined operational practices across industries are now being disrupted by digital transformation, automation, and evolving consumer expectations (Veile et al., 2022).</w:t>
      </w:r>
    </w:p>
    <w:p w14:paraId="456A6564" w14:textId="77777777" w:rsidR="00456057" w:rsidRPr="00A6144D" w:rsidRDefault="00456057" w:rsidP="005C12C5">
      <w:pPr>
        <w:tabs>
          <w:tab w:val="left" w:pos="5000"/>
        </w:tabs>
        <w:jc w:val="both"/>
        <w:rPr>
          <w:rFonts w:ascii="Arial" w:hAnsi="Arial" w:cs="Arial"/>
        </w:rPr>
      </w:pPr>
    </w:p>
    <w:p w14:paraId="1A1DC72E" w14:textId="375744A5" w:rsidR="00692AAF" w:rsidRPr="00A6144D" w:rsidRDefault="00761216" w:rsidP="005C12C5">
      <w:pPr>
        <w:tabs>
          <w:tab w:val="left" w:pos="5000"/>
        </w:tabs>
        <w:jc w:val="both"/>
        <w:rPr>
          <w:rFonts w:ascii="Arial" w:hAnsi="Arial" w:cs="Arial"/>
        </w:rPr>
      </w:pPr>
      <w:r w:rsidRPr="00A6144D">
        <w:rPr>
          <w:rFonts w:ascii="Arial" w:hAnsi="Arial" w:cs="Arial"/>
        </w:rPr>
        <w:t>The widespread adoption of mobile applications and online service platforms has enabled businesses to deliver more personalized and flexible services that better meet changing consumer needs. Studies emphasize the importance of leveraging digital technologies to enhance customer experiences, indicating that organizations must prioritize digital engagement and innovation to maintain a competitive advantage (Singh et al., 2021).</w:t>
      </w:r>
    </w:p>
    <w:p w14:paraId="03619846" w14:textId="77777777" w:rsidR="00761216" w:rsidRPr="00A6144D" w:rsidRDefault="00761216" w:rsidP="005C12C5">
      <w:pPr>
        <w:tabs>
          <w:tab w:val="left" w:pos="5000"/>
        </w:tabs>
        <w:jc w:val="both"/>
        <w:rPr>
          <w:rFonts w:ascii="Arial" w:hAnsi="Arial" w:cs="Arial"/>
        </w:rPr>
      </w:pPr>
    </w:p>
    <w:p w14:paraId="7B7A14B4" w14:textId="6BF45C3E" w:rsidR="0005137A" w:rsidRPr="00A6144D" w:rsidRDefault="00164A7B" w:rsidP="005C12C5">
      <w:pPr>
        <w:tabs>
          <w:tab w:val="left" w:pos="5000"/>
        </w:tabs>
        <w:jc w:val="both"/>
        <w:rPr>
          <w:rFonts w:ascii="Arial" w:hAnsi="Arial" w:cs="Arial"/>
        </w:rPr>
      </w:pPr>
      <w:r w:rsidRPr="00A6144D">
        <w:rPr>
          <w:rFonts w:ascii="Arial" w:hAnsi="Arial" w:cs="Arial"/>
        </w:rPr>
        <w:t>The emergence of digital technologies has fundamentally transformed the way businesses operate, creating both opportunities and challenges for organizations that have traditionally relied on established business practices. Within the service sector, technological advancements have significantly reshaped conventional service delivery models, shifting from predominantly face-to-face interactions to digitally enabled platforms and mobile applications</w:t>
      </w:r>
      <w:r w:rsidR="00BE1547" w:rsidRPr="00A6144D">
        <w:rPr>
          <w:rFonts w:ascii="Arial" w:hAnsi="Arial" w:cs="Arial"/>
        </w:rPr>
        <w:t xml:space="preserve"> (Humaira., 2024).</w:t>
      </w:r>
    </w:p>
    <w:p w14:paraId="67200342" w14:textId="77777777" w:rsidR="0005137A" w:rsidRPr="00A6144D" w:rsidRDefault="0005137A" w:rsidP="005C12C5">
      <w:pPr>
        <w:tabs>
          <w:tab w:val="left" w:pos="5000"/>
        </w:tabs>
        <w:jc w:val="both"/>
        <w:rPr>
          <w:rFonts w:ascii="Arial" w:hAnsi="Arial" w:cs="Arial"/>
        </w:rPr>
      </w:pPr>
    </w:p>
    <w:p w14:paraId="02BC4520" w14:textId="650D8A6E" w:rsidR="00761216" w:rsidRPr="00A6144D" w:rsidRDefault="004C5EC5" w:rsidP="005C12C5">
      <w:pPr>
        <w:tabs>
          <w:tab w:val="left" w:pos="5000"/>
        </w:tabs>
        <w:jc w:val="both"/>
        <w:rPr>
          <w:rFonts w:ascii="Arial" w:hAnsi="Arial" w:cs="Arial"/>
        </w:rPr>
      </w:pPr>
      <w:r w:rsidRPr="00A6144D">
        <w:rPr>
          <w:rFonts w:ascii="Arial" w:hAnsi="Arial" w:cs="Arial"/>
        </w:rPr>
        <w:t xml:space="preserve">In </w:t>
      </w:r>
      <w:r w:rsidR="003277E4" w:rsidRPr="00A6144D">
        <w:rPr>
          <w:rFonts w:ascii="Arial" w:hAnsi="Arial" w:cs="Arial"/>
        </w:rPr>
        <w:t>healthcare industry, where the adoption of telemedicine has enabled patients to access medical consultations remotely, improving both accessibility and convenience. This shift has not only redefined the delivery of healthcare services but has also enhanced patient experiences while extending the reach of healthcare providers. Overall, these developments demonstrate how digital technologies can improve service accessibility, expand market reach, and create greater value for customers</w:t>
      </w:r>
      <w:r w:rsidR="00291413" w:rsidRPr="00A6144D">
        <w:rPr>
          <w:rFonts w:ascii="Arial" w:hAnsi="Arial" w:cs="Arial"/>
        </w:rPr>
        <w:t xml:space="preserve"> (</w:t>
      </w:r>
      <w:r w:rsidR="004B792F" w:rsidRPr="00A6144D">
        <w:rPr>
          <w:rFonts w:ascii="Arial" w:hAnsi="Arial" w:cs="Arial"/>
        </w:rPr>
        <w:t>Humaira.,</w:t>
      </w:r>
      <w:r w:rsidR="007A21C5" w:rsidRPr="00A6144D">
        <w:rPr>
          <w:rFonts w:ascii="Arial" w:hAnsi="Arial" w:cs="Arial"/>
        </w:rPr>
        <w:t xml:space="preserve"> </w:t>
      </w:r>
      <w:r w:rsidR="004B792F" w:rsidRPr="00A6144D">
        <w:rPr>
          <w:rFonts w:ascii="Arial" w:hAnsi="Arial" w:cs="Arial"/>
        </w:rPr>
        <w:t>2024)</w:t>
      </w:r>
      <w:r w:rsidR="007A21C5" w:rsidRPr="00A6144D">
        <w:rPr>
          <w:rFonts w:ascii="Arial" w:hAnsi="Arial" w:cs="Arial"/>
        </w:rPr>
        <w:t>.</w:t>
      </w:r>
    </w:p>
    <w:p w14:paraId="2EC8160E" w14:textId="77777777" w:rsidR="00B10FC9" w:rsidRPr="00A6144D" w:rsidRDefault="00B10FC9" w:rsidP="005C12C5">
      <w:pPr>
        <w:tabs>
          <w:tab w:val="left" w:pos="5000"/>
        </w:tabs>
        <w:jc w:val="both"/>
        <w:rPr>
          <w:rFonts w:ascii="Arial" w:hAnsi="Arial" w:cs="Arial"/>
        </w:rPr>
      </w:pPr>
    </w:p>
    <w:p w14:paraId="2BEA7C22" w14:textId="77777777" w:rsidR="00A14FA4" w:rsidRPr="00A6144D" w:rsidRDefault="0017138F" w:rsidP="00A14FA4">
      <w:pPr>
        <w:rPr>
          <w:rFonts w:ascii="Arial" w:hAnsi="Arial" w:cs="Arial"/>
        </w:rPr>
      </w:pPr>
      <w:r w:rsidRPr="00A6144D">
        <w:rPr>
          <w:rFonts w:ascii="Arial" w:hAnsi="Arial" w:cs="Arial"/>
        </w:rPr>
        <w:t>In Max Weber's bureaucracy, managers hold authority, giving commands and expecting obedience</w:t>
      </w:r>
      <w:r w:rsidR="0023020D" w:rsidRPr="00A6144D">
        <w:rPr>
          <w:rFonts w:ascii="Arial" w:hAnsi="Arial" w:cs="Arial"/>
        </w:rPr>
        <w:t>-</w:t>
      </w:r>
      <w:r w:rsidRPr="00A6144D">
        <w:rPr>
          <w:rFonts w:ascii="Arial" w:hAnsi="Arial" w:cs="Arial"/>
        </w:rPr>
        <w:t>a reflection of middle managers' roles during the industrial age. In this model, managers embody bureaucratic control, primarily directing and monitoring their subordinates. However, as work environments grow more complex and new management philosophies and technologies arise, this traditional view of managers may no longer apply</w:t>
      </w:r>
      <w:r w:rsidR="00A14FA4" w:rsidRPr="00A6144D">
        <w:rPr>
          <w:rFonts w:ascii="Arial" w:hAnsi="Arial" w:cs="Arial"/>
        </w:rPr>
        <w:t xml:space="preserve"> (Zhang.,2021).</w:t>
      </w:r>
    </w:p>
    <w:p w14:paraId="61BF9A07" w14:textId="77777777" w:rsidR="00A14FA4" w:rsidRPr="00A6144D" w:rsidRDefault="00A14FA4" w:rsidP="005C12C5">
      <w:pPr>
        <w:tabs>
          <w:tab w:val="left" w:pos="5000"/>
        </w:tabs>
        <w:jc w:val="both"/>
        <w:rPr>
          <w:rFonts w:ascii="Arial" w:hAnsi="Arial" w:cs="Arial"/>
        </w:rPr>
      </w:pPr>
    </w:p>
    <w:p w14:paraId="0420EE70" w14:textId="2E1B20A1" w:rsidR="00B10FC9" w:rsidRPr="00A6144D" w:rsidRDefault="0017138F" w:rsidP="005C12C5">
      <w:pPr>
        <w:tabs>
          <w:tab w:val="left" w:pos="5000"/>
        </w:tabs>
        <w:jc w:val="both"/>
        <w:rPr>
          <w:rFonts w:ascii="Arial" w:hAnsi="Arial" w:cs="Arial"/>
        </w:rPr>
      </w:pPr>
      <w:r w:rsidRPr="00A6144D">
        <w:rPr>
          <w:rFonts w:ascii="Arial" w:hAnsi="Arial" w:cs="Arial"/>
        </w:rPr>
        <w:t xml:space="preserve"> Although the increasing number of managers might seem at odds with organizations moving away from bureaucracy, managers are shifting from supervisors to collaborators. This change signals a move toward greater flexibility, cross-functional teamwork, and enhanced employee engagement, aligning with modern organizational culture</w:t>
      </w:r>
      <w:r w:rsidR="0023020D" w:rsidRPr="00A6144D">
        <w:rPr>
          <w:rFonts w:ascii="Arial" w:hAnsi="Arial" w:cs="Arial"/>
        </w:rPr>
        <w:t xml:space="preserve"> (</w:t>
      </w:r>
      <w:r w:rsidR="003B5C2E" w:rsidRPr="00A6144D">
        <w:rPr>
          <w:rFonts w:ascii="Arial" w:hAnsi="Arial" w:cs="Arial"/>
        </w:rPr>
        <w:t>Zhang.,2021).</w:t>
      </w:r>
    </w:p>
    <w:p w14:paraId="59049F8B" w14:textId="77777777" w:rsidR="00FA47BC" w:rsidRPr="00A6144D" w:rsidRDefault="00FA47BC" w:rsidP="005C12C5">
      <w:pPr>
        <w:tabs>
          <w:tab w:val="left" w:pos="5000"/>
        </w:tabs>
        <w:jc w:val="both"/>
        <w:rPr>
          <w:rFonts w:ascii="Arial" w:hAnsi="Arial" w:cs="Arial"/>
        </w:rPr>
      </w:pPr>
    </w:p>
    <w:p w14:paraId="690D754B" w14:textId="2BE934A9" w:rsidR="00FA47BC" w:rsidRPr="00A6144D" w:rsidRDefault="00E83070" w:rsidP="005C12C5">
      <w:pPr>
        <w:tabs>
          <w:tab w:val="left" w:pos="5000"/>
        </w:tabs>
        <w:jc w:val="both"/>
        <w:rPr>
          <w:rFonts w:ascii="Arial" w:hAnsi="Arial" w:cs="Arial"/>
        </w:rPr>
      </w:pPr>
      <w:r w:rsidRPr="00A6144D">
        <w:rPr>
          <w:rFonts w:ascii="Arial" w:hAnsi="Arial" w:cs="Arial"/>
        </w:rPr>
        <w:t>Hence today’s healthcare manager must combine collaboration, digital leadership and change management with traditional responsibilities such as budgeting, staffing, regulation, performance and patient safety. This shows that the role is becoming broader and more integrated rather than obsolete.</w:t>
      </w:r>
    </w:p>
    <w:p w14:paraId="3B9BF629" w14:textId="77777777" w:rsidR="005C12C5" w:rsidRPr="00A6144D" w:rsidRDefault="005C12C5" w:rsidP="005C12C5">
      <w:pPr>
        <w:tabs>
          <w:tab w:val="left" w:pos="5000"/>
        </w:tabs>
        <w:jc w:val="both"/>
        <w:rPr>
          <w:rFonts w:ascii="Arial" w:hAnsi="Arial" w:cs="Arial"/>
        </w:rPr>
      </w:pPr>
    </w:p>
    <w:p w14:paraId="3B15552A" w14:textId="48E9F792" w:rsidR="005C12C5" w:rsidRPr="00A6144D" w:rsidRDefault="005C12C5" w:rsidP="00E1059B">
      <w:pPr>
        <w:pStyle w:val="Heading1"/>
        <w:ind w:left="284" w:hanging="284"/>
      </w:pPr>
      <w:bookmarkStart w:id="16" w:name="_Toc238203187"/>
      <w:r w:rsidRPr="00A6144D">
        <w:t>Changing Nature of 21st Century Corporations</w:t>
      </w:r>
      <w:bookmarkEnd w:id="16"/>
    </w:p>
    <w:p w14:paraId="1994BDF4" w14:textId="77777777" w:rsidR="00322D56" w:rsidRPr="00A6144D" w:rsidRDefault="00322D56" w:rsidP="005C12C5">
      <w:pPr>
        <w:tabs>
          <w:tab w:val="left" w:pos="5000"/>
        </w:tabs>
        <w:jc w:val="both"/>
        <w:rPr>
          <w:rFonts w:ascii="Arial" w:hAnsi="Arial" w:cs="Arial"/>
          <w:b/>
          <w:bCs/>
        </w:rPr>
      </w:pPr>
    </w:p>
    <w:p w14:paraId="3623CC45" w14:textId="664D5890" w:rsidR="00322D56" w:rsidRPr="00A6144D" w:rsidRDefault="00712D49" w:rsidP="005C12C5">
      <w:pPr>
        <w:tabs>
          <w:tab w:val="left" w:pos="5000"/>
        </w:tabs>
        <w:jc w:val="both"/>
        <w:rPr>
          <w:rFonts w:ascii="Arial" w:hAnsi="Arial" w:cs="Arial"/>
        </w:rPr>
      </w:pPr>
      <w:r w:rsidRPr="00A6144D">
        <w:rPr>
          <w:rFonts w:ascii="Arial" w:hAnsi="Arial" w:cs="Arial"/>
        </w:rPr>
        <w:t>Businesses in the 21st century operate in a fast-changing and highly competitive environment (Hallioui et al., 2022). Therefore, it is important to understand a business as a complete system made up of different parts that work together and are influenced by the environment around them. (Hallioui and Herrou, 2020b).</w:t>
      </w:r>
    </w:p>
    <w:p w14:paraId="5D020CD3" w14:textId="77777777" w:rsidR="00840764" w:rsidRPr="00A6144D" w:rsidRDefault="00840764" w:rsidP="005C12C5">
      <w:pPr>
        <w:tabs>
          <w:tab w:val="left" w:pos="5000"/>
        </w:tabs>
        <w:jc w:val="both"/>
        <w:rPr>
          <w:rFonts w:ascii="Arial" w:hAnsi="Arial" w:cs="Arial"/>
        </w:rPr>
      </w:pPr>
    </w:p>
    <w:p w14:paraId="1551AC20" w14:textId="33937DB1" w:rsidR="00840764" w:rsidRPr="00A6144D" w:rsidRDefault="00840764" w:rsidP="006B6078">
      <w:pPr>
        <w:tabs>
          <w:tab w:val="left" w:pos="5000"/>
        </w:tabs>
        <w:jc w:val="both"/>
        <w:rPr>
          <w:rFonts w:ascii="Arial" w:hAnsi="Arial" w:cs="Arial"/>
        </w:rPr>
      </w:pPr>
      <w:r w:rsidRPr="00A6144D">
        <w:rPr>
          <w:rFonts w:ascii="Arial" w:hAnsi="Arial" w:cs="Arial"/>
        </w:rPr>
        <w:t xml:space="preserve">Corejova and Chinoracky (2021) stated that digital technologies have significantly changed the way businesses carry out their daily activities. Digital technologies can </w:t>
      </w:r>
      <w:r w:rsidRPr="00A6144D">
        <w:rPr>
          <w:rFonts w:ascii="Arial" w:hAnsi="Arial" w:cs="Arial"/>
        </w:rPr>
        <w:lastRenderedPageBreak/>
        <w:t>support faster innovation, increase productivity and efficiency, and improve customer experiences. Therefore, businesses need to recognise the importance of digital transformation, identify the areas that require improvement, and develop a clear plan to successfully implement these changes (Corejova and Chinoracky et al.,2021)</w:t>
      </w:r>
    </w:p>
    <w:p w14:paraId="71794E0E" w14:textId="77777777" w:rsidR="00433F2F" w:rsidRPr="00A6144D" w:rsidRDefault="00433F2F" w:rsidP="006B6078">
      <w:pPr>
        <w:tabs>
          <w:tab w:val="left" w:pos="5000"/>
        </w:tabs>
        <w:jc w:val="both"/>
        <w:rPr>
          <w:rFonts w:ascii="Arial" w:hAnsi="Arial" w:cs="Arial"/>
        </w:rPr>
      </w:pPr>
    </w:p>
    <w:p w14:paraId="04B40BEE" w14:textId="2EF7EC41" w:rsidR="00433F2F" w:rsidRDefault="00757601" w:rsidP="005C12C5">
      <w:pPr>
        <w:tabs>
          <w:tab w:val="left" w:pos="5000"/>
        </w:tabs>
        <w:jc w:val="both"/>
        <w:rPr>
          <w:rFonts w:ascii="Arial" w:hAnsi="Arial" w:cs="Arial"/>
        </w:rPr>
      </w:pPr>
      <w:r w:rsidRPr="00A6144D">
        <w:rPr>
          <w:rFonts w:ascii="Arial" w:hAnsi="Arial" w:cs="Arial"/>
        </w:rPr>
        <w:t>Mu</w:t>
      </w:r>
      <w:r w:rsidR="00735BDC" w:rsidRPr="00A6144D">
        <w:rPr>
          <w:rFonts w:ascii="Arial" w:hAnsi="Arial" w:cs="Arial"/>
        </w:rPr>
        <w:t>mtaz et al. (2023) argue that integrating digital tools into healthcare relies heavily on stable infrastructure and stakeholder engagement. Furthermore, addressing ethical concerns and maintaining routine evaluations are critical to ensuring these technologies remain both accessible and cost-effective.</w:t>
      </w:r>
      <w:r w:rsidR="00AC3474" w:rsidRPr="00A6144D">
        <w:rPr>
          <w:rFonts w:ascii="Arial" w:hAnsi="Arial" w:cs="Arial"/>
        </w:rPr>
        <w:t xml:space="preserve"> (</w:t>
      </w:r>
      <w:r w:rsidRPr="00A6144D">
        <w:rPr>
          <w:rFonts w:ascii="Arial" w:hAnsi="Arial" w:cs="Arial"/>
        </w:rPr>
        <w:t>Mu</w:t>
      </w:r>
      <w:r w:rsidR="00AC3474" w:rsidRPr="00A6144D">
        <w:rPr>
          <w:rFonts w:ascii="Arial" w:hAnsi="Arial" w:cs="Arial"/>
        </w:rPr>
        <w:t>mtaz et al.,2023)</w:t>
      </w:r>
      <w:r w:rsidR="00DD389F">
        <w:rPr>
          <w:rFonts w:ascii="Arial" w:hAnsi="Arial" w:cs="Arial"/>
        </w:rPr>
        <w:t>.</w:t>
      </w:r>
    </w:p>
    <w:p w14:paraId="4928CBC1" w14:textId="77777777" w:rsidR="00DD389F" w:rsidRDefault="00DD389F" w:rsidP="005C12C5">
      <w:pPr>
        <w:tabs>
          <w:tab w:val="left" w:pos="5000"/>
        </w:tabs>
        <w:jc w:val="both"/>
        <w:rPr>
          <w:rFonts w:ascii="Arial" w:hAnsi="Arial" w:cs="Arial"/>
        </w:rPr>
      </w:pPr>
    </w:p>
    <w:p w14:paraId="30DE522D" w14:textId="350EB51E" w:rsidR="00DD389F" w:rsidRPr="00A6144D" w:rsidRDefault="00DD389F" w:rsidP="005C12C5">
      <w:pPr>
        <w:tabs>
          <w:tab w:val="left" w:pos="5000"/>
        </w:tabs>
        <w:jc w:val="both"/>
        <w:rPr>
          <w:rFonts w:ascii="Arial" w:hAnsi="Arial" w:cs="Arial"/>
        </w:rPr>
      </w:pPr>
      <w:r w:rsidRPr="00DD389F">
        <w:rPr>
          <w:rFonts w:ascii="Arial" w:hAnsi="Arial" w:cs="Arial"/>
        </w:rPr>
        <w:t>Digital transformation creates more flexible and collaborative organisations. Managers must lead change, build digital skills, and ensure technology is ethical, effective, and affordable.</w:t>
      </w:r>
    </w:p>
    <w:p w14:paraId="46FBE1C7" w14:textId="77777777" w:rsidR="00FF4573" w:rsidRPr="00A6144D" w:rsidRDefault="00FF4573" w:rsidP="00E1059B">
      <w:pPr>
        <w:pStyle w:val="Heading2"/>
      </w:pPr>
    </w:p>
    <w:p w14:paraId="4250235D" w14:textId="77777777" w:rsidR="00812F9B" w:rsidRPr="00A6144D" w:rsidRDefault="000327FC" w:rsidP="00E1059B">
      <w:pPr>
        <w:pStyle w:val="Heading2"/>
        <w:rPr>
          <w:bCs/>
        </w:rPr>
      </w:pPr>
      <w:bookmarkStart w:id="17" w:name="_Toc238203188"/>
      <w:r w:rsidRPr="00A6144D">
        <w:rPr>
          <w:bCs/>
        </w:rPr>
        <w:t>3.1. Increased Connectivity and Globalization</w:t>
      </w:r>
      <w:bookmarkEnd w:id="17"/>
      <w:r w:rsidRPr="00A6144D">
        <w:rPr>
          <w:bCs/>
        </w:rPr>
        <w:t xml:space="preserve"> </w:t>
      </w:r>
    </w:p>
    <w:p w14:paraId="44CBD38E" w14:textId="77777777" w:rsidR="00812F9B" w:rsidRPr="00A6144D" w:rsidRDefault="00812F9B" w:rsidP="005C12C5">
      <w:pPr>
        <w:tabs>
          <w:tab w:val="left" w:pos="5000"/>
        </w:tabs>
        <w:jc w:val="both"/>
        <w:rPr>
          <w:rFonts w:ascii="Arial" w:hAnsi="Arial" w:cs="Arial"/>
          <w:b/>
          <w:bCs/>
        </w:rPr>
      </w:pPr>
    </w:p>
    <w:p w14:paraId="19F37A22" w14:textId="03E0C88A" w:rsidR="000327FC" w:rsidRPr="00A6144D" w:rsidRDefault="00812F9B" w:rsidP="005C12C5">
      <w:pPr>
        <w:tabs>
          <w:tab w:val="left" w:pos="5000"/>
        </w:tabs>
        <w:jc w:val="both"/>
        <w:rPr>
          <w:rFonts w:ascii="Arial" w:hAnsi="Arial" w:cs="Arial"/>
        </w:rPr>
      </w:pPr>
      <w:r w:rsidRPr="00A6144D">
        <w:rPr>
          <w:rFonts w:ascii="Arial" w:hAnsi="Arial" w:cs="Arial"/>
        </w:rPr>
        <w:t>Today, globalization appears quite different, largely due to digitization transforming how business is conducted worldwide. A defining feature of 21st-century globalization, digital connectivity for cross-border transactions not only carries important information and ideas but also facilitates the movement of goods, services, finance, technology, and people (Luo.,2021</w:t>
      </w:r>
      <w:r w:rsidR="00BF451A" w:rsidRPr="00A6144D">
        <w:rPr>
          <w:rFonts w:ascii="Arial" w:hAnsi="Arial" w:cs="Arial"/>
        </w:rPr>
        <w:t>).</w:t>
      </w:r>
    </w:p>
    <w:p w14:paraId="39A05834" w14:textId="77777777" w:rsidR="00D7645C" w:rsidRPr="00A6144D" w:rsidRDefault="00D7645C" w:rsidP="005C12C5">
      <w:pPr>
        <w:tabs>
          <w:tab w:val="left" w:pos="5000"/>
        </w:tabs>
        <w:jc w:val="both"/>
        <w:rPr>
          <w:rFonts w:ascii="Arial" w:hAnsi="Arial" w:cs="Arial"/>
        </w:rPr>
      </w:pPr>
    </w:p>
    <w:p w14:paraId="7FFB970B" w14:textId="0DAF5B78" w:rsidR="001643D0" w:rsidRPr="00A6144D" w:rsidRDefault="0081770E" w:rsidP="005C12C5">
      <w:pPr>
        <w:tabs>
          <w:tab w:val="left" w:pos="5000"/>
        </w:tabs>
        <w:jc w:val="both"/>
        <w:rPr>
          <w:rFonts w:ascii="Arial" w:hAnsi="Arial" w:cs="Arial"/>
        </w:rPr>
      </w:pPr>
      <w:r w:rsidRPr="00A6144D">
        <w:rPr>
          <w:rFonts w:ascii="Arial" w:hAnsi="Arial" w:cs="Arial"/>
        </w:rPr>
        <w:t>International advancement relies heavily on global integration, as it allows for the fluid movement of commodities, expertise, and conceptual breakthroughs across national and corporate boundaries. This framework of deep integration is primarily sustained by an intersection of social relationships and technological infrastructures (Awate et al., 2025). Over the current century, the rise of the digital ecosystem has accelerated these integration patterns to a degree never seen before. Modern communication architectures have effectively built an omnipresent, interactive network where ordinary citizens, corporate entities, and state administrations communicate instantly across vast geographic distances (Autio et al., 2021).</w:t>
      </w:r>
    </w:p>
    <w:p w14:paraId="73771115" w14:textId="77777777" w:rsidR="00C45B04" w:rsidRPr="00A6144D" w:rsidRDefault="00C45B04" w:rsidP="005C12C5">
      <w:pPr>
        <w:tabs>
          <w:tab w:val="left" w:pos="5000"/>
        </w:tabs>
        <w:jc w:val="both"/>
        <w:rPr>
          <w:rFonts w:ascii="Arial" w:hAnsi="Arial" w:cs="Arial"/>
        </w:rPr>
      </w:pPr>
    </w:p>
    <w:p w14:paraId="127ADF2F" w14:textId="1469F28B" w:rsidR="00C45B04" w:rsidRPr="00A6144D" w:rsidRDefault="00551466" w:rsidP="005C12C5">
      <w:pPr>
        <w:tabs>
          <w:tab w:val="left" w:pos="5000"/>
        </w:tabs>
        <w:jc w:val="both"/>
        <w:rPr>
          <w:rFonts w:ascii="Arial" w:hAnsi="Arial" w:cs="Arial"/>
        </w:rPr>
      </w:pPr>
      <w:r w:rsidRPr="00A6144D">
        <w:rPr>
          <w:rFonts w:ascii="Arial" w:hAnsi="Arial" w:cs="Arial"/>
        </w:rPr>
        <w:t>Global</w:t>
      </w:r>
      <w:r w:rsidR="00812F9B" w:rsidRPr="00A6144D">
        <w:rPr>
          <w:rFonts w:ascii="Arial" w:hAnsi="Arial" w:cs="Arial"/>
        </w:rPr>
        <w:t xml:space="preserve"> health </w:t>
      </w:r>
      <w:r w:rsidRPr="00A6144D">
        <w:rPr>
          <w:rFonts w:ascii="Arial" w:hAnsi="Arial" w:cs="Arial"/>
        </w:rPr>
        <w:t>care has experienced a massive shift because eHealth and digital networks capitalize on our interconnected world. Technology drives globalization forward by clearing away barriers to information and offering instant communication channels. Because of this, it is now incredibly simple to link providers and patients across different time zones. An action or healthcare decision in one part of the world can now cause a ripple effect that touches distant communities. Together, technology and globalization have turned digital health into a powerful movement, completely changing the way we access, handle, and deliver medical services across the globe (Kumar et al., 2024).</w:t>
      </w:r>
      <w:r w:rsidR="00213355" w:rsidRPr="00A6144D">
        <w:rPr>
          <w:rFonts w:ascii="Arial" w:hAnsi="Arial" w:cs="Arial"/>
        </w:rPr>
        <w:t xml:space="preserve"> Globali</w:t>
      </w:r>
      <w:r w:rsidR="00812F9B" w:rsidRPr="00A6144D">
        <w:rPr>
          <w:rFonts w:ascii="Arial" w:hAnsi="Arial" w:cs="Arial"/>
        </w:rPr>
        <w:t>s</w:t>
      </w:r>
      <w:r w:rsidR="00213355" w:rsidRPr="00A6144D">
        <w:rPr>
          <w:rFonts w:ascii="Arial" w:hAnsi="Arial" w:cs="Arial"/>
        </w:rPr>
        <w:t>ation creates opportunities to equalize access to global health expertise while also questioning longstanding assumptions about the universal applicability of global health policies (</w:t>
      </w:r>
      <w:r w:rsidR="00C60EF8" w:rsidRPr="00A6144D">
        <w:rPr>
          <w:rFonts w:ascii="Arial" w:hAnsi="Arial" w:cs="Arial"/>
        </w:rPr>
        <w:t>Harris et al.,2020).</w:t>
      </w:r>
    </w:p>
    <w:p w14:paraId="353B5319" w14:textId="77777777" w:rsidR="004A071D" w:rsidRPr="00A6144D" w:rsidRDefault="004A071D" w:rsidP="005C12C5">
      <w:pPr>
        <w:tabs>
          <w:tab w:val="left" w:pos="5000"/>
        </w:tabs>
        <w:jc w:val="both"/>
        <w:rPr>
          <w:rFonts w:ascii="Arial" w:hAnsi="Arial" w:cs="Arial"/>
        </w:rPr>
      </w:pPr>
    </w:p>
    <w:p w14:paraId="686C7764" w14:textId="6B7EDB5A" w:rsidR="004A071D" w:rsidRPr="00A6144D" w:rsidRDefault="004A071D" w:rsidP="005C12C5">
      <w:pPr>
        <w:tabs>
          <w:tab w:val="left" w:pos="5000"/>
        </w:tabs>
        <w:jc w:val="both"/>
        <w:rPr>
          <w:rFonts w:ascii="Arial" w:hAnsi="Arial" w:cs="Arial"/>
        </w:rPr>
      </w:pPr>
      <w:r w:rsidRPr="00A6144D">
        <w:rPr>
          <w:rFonts w:ascii="Arial" w:hAnsi="Arial" w:cs="Arial"/>
        </w:rPr>
        <w:t>Globali</w:t>
      </w:r>
      <w:r w:rsidR="00812F9B" w:rsidRPr="00A6144D">
        <w:rPr>
          <w:rFonts w:ascii="Arial" w:hAnsi="Arial" w:cs="Arial"/>
        </w:rPr>
        <w:t>s</w:t>
      </w:r>
      <w:r w:rsidRPr="00A6144D">
        <w:rPr>
          <w:rFonts w:ascii="Arial" w:hAnsi="Arial" w:cs="Arial"/>
        </w:rPr>
        <w:t xml:space="preserve">ation affects healthcare beyond economic and technological aspects, encompassing social justice, health access, and sustainable systems. </w:t>
      </w:r>
      <w:r w:rsidR="00812F9B" w:rsidRPr="00A6144D">
        <w:rPr>
          <w:rFonts w:ascii="Arial" w:hAnsi="Arial" w:cs="Arial"/>
        </w:rPr>
        <w:t xml:space="preserve">According to Kész and Balatoni (2026), </w:t>
      </w:r>
      <w:r w:rsidRPr="00A6144D">
        <w:rPr>
          <w:rFonts w:ascii="Arial" w:hAnsi="Arial" w:cs="Arial"/>
        </w:rPr>
        <w:t xml:space="preserve">Four practical priorities emerge for policymakers, healthcare providers, regulators, and industry participants. First, supply risks can be lowered through supplier diversification, strategic stockpiling, and enhanced regional capabilities where </w:t>
      </w:r>
      <w:r w:rsidRPr="00A6144D">
        <w:rPr>
          <w:rFonts w:ascii="Arial" w:hAnsi="Arial" w:cs="Arial"/>
        </w:rPr>
        <w:lastRenderedPageBreak/>
        <w:t xml:space="preserve">possible. Second, workforce strategies should prioritize retention, skill development, and ethical international recruitment. Third, the growth of digitalization and AI requires coordinated infrastructure, clear data policies, cybersecurity safeguards, and defined accountability. Fourth, climate adaptation and sustainability need to be integrated into health system planning to ensure care continuity and long-term </w:t>
      </w:r>
      <w:r w:rsidR="00D75BAC" w:rsidRPr="00A6144D">
        <w:rPr>
          <w:rFonts w:ascii="Arial" w:hAnsi="Arial" w:cs="Arial"/>
        </w:rPr>
        <w:t>resilience (</w:t>
      </w:r>
      <w:r w:rsidR="003F06D8" w:rsidRPr="00A6144D">
        <w:rPr>
          <w:rFonts w:ascii="Arial" w:hAnsi="Arial" w:cs="Arial"/>
        </w:rPr>
        <w:t xml:space="preserve">Kész and </w:t>
      </w:r>
      <w:r w:rsidR="00D75BAC" w:rsidRPr="00A6144D">
        <w:rPr>
          <w:rFonts w:ascii="Arial" w:hAnsi="Arial" w:cs="Arial"/>
        </w:rPr>
        <w:t>Balatoni.,2026</w:t>
      </w:r>
      <w:r w:rsidR="00055CC3" w:rsidRPr="00A6144D">
        <w:rPr>
          <w:rFonts w:ascii="Arial" w:hAnsi="Arial" w:cs="Arial"/>
        </w:rPr>
        <w:t>).</w:t>
      </w:r>
    </w:p>
    <w:p w14:paraId="523ACDDC" w14:textId="77777777" w:rsidR="00812F9B" w:rsidRPr="00A6144D" w:rsidRDefault="00812F9B" w:rsidP="005C12C5">
      <w:pPr>
        <w:tabs>
          <w:tab w:val="left" w:pos="5000"/>
        </w:tabs>
        <w:jc w:val="both"/>
        <w:rPr>
          <w:rFonts w:ascii="Arial" w:hAnsi="Arial" w:cs="Arial"/>
        </w:rPr>
      </w:pPr>
    </w:p>
    <w:p w14:paraId="74198A7D" w14:textId="233A4EC5" w:rsidR="00BF451A" w:rsidRPr="00A6144D" w:rsidRDefault="00BF451A" w:rsidP="00E1059B">
      <w:pPr>
        <w:pStyle w:val="Heading2"/>
      </w:pPr>
      <w:bookmarkStart w:id="18" w:name="_Toc238203189"/>
      <w:r w:rsidRPr="00A6144D">
        <w:t>3.2. Shift towards Digital Transformation</w:t>
      </w:r>
      <w:bookmarkEnd w:id="18"/>
      <w:r w:rsidRPr="00A6144D">
        <w:t xml:space="preserve">  </w:t>
      </w:r>
    </w:p>
    <w:p w14:paraId="35C8DBF5" w14:textId="77777777" w:rsidR="00812F9B" w:rsidRPr="00A6144D" w:rsidRDefault="00812F9B" w:rsidP="005C12C5">
      <w:pPr>
        <w:tabs>
          <w:tab w:val="left" w:pos="5000"/>
        </w:tabs>
        <w:jc w:val="both"/>
        <w:rPr>
          <w:rFonts w:ascii="Arial" w:hAnsi="Arial" w:cs="Arial"/>
        </w:rPr>
      </w:pPr>
    </w:p>
    <w:p w14:paraId="29099330" w14:textId="3C8A6C80" w:rsidR="00BF451A" w:rsidRPr="00A6144D" w:rsidRDefault="0036369E" w:rsidP="005C12C5">
      <w:pPr>
        <w:tabs>
          <w:tab w:val="left" w:pos="5000"/>
        </w:tabs>
        <w:jc w:val="both"/>
        <w:rPr>
          <w:rFonts w:ascii="Arial" w:hAnsi="Arial" w:cs="Arial"/>
        </w:rPr>
      </w:pPr>
      <w:r w:rsidRPr="00A6144D">
        <w:rPr>
          <w:rFonts w:ascii="Arial" w:hAnsi="Arial" w:cs="Arial"/>
        </w:rPr>
        <w:t>The digital transformation era marks more than just the adoption of digital tools; it represents a major shift in how businesses operate and innovate in today’s digital world. This era involves a comprehensive rethinking of business models, processes, and customer engagement beyond mere digital adoption (Troise et al., 2022). Organizations now harness the full potential of digital capabilities to drive innovation, create new value, and adapt strategies to thrive in a rapidly changing digital landscape. This transformation is both a cultural and organizational shift that fundamentally reshapes how businesses function (Omol., 2023).</w:t>
      </w:r>
    </w:p>
    <w:p w14:paraId="56D6CBBD" w14:textId="77777777" w:rsidR="0036369E" w:rsidRPr="00A6144D" w:rsidRDefault="0036369E" w:rsidP="005C12C5">
      <w:pPr>
        <w:tabs>
          <w:tab w:val="left" w:pos="5000"/>
        </w:tabs>
        <w:jc w:val="both"/>
        <w:rPr>
          <w:rFonts w:ascii="Arial" w:hAnsi="Arial" w:cs="Arial"/>
        </w:rPr>
      </w:pPr>
    </w:p>
    <w:p w14:paraId="4E15B42E" w14:textId="13BBFF34" w:rsidR="0036369E" w:rsidRPr="00A6144D" w:rsidRDefault="00C365C2" w:rsidP="005C12C5">
      <w:pPr>
        <w:tabs>
          <w:tab w:val="left" w:pos="5000"/>
        </w:tabs>
        <w:jc w:val="both"/>
        <w:rPr>
          <w:rFonts w:ascii="Arial" w:hAnsi="Arial" w:cs="Arial"/>
        </w:rPr>
      </w:pPr>
      <w:r w:rsidRPr="00A6144D">
        <w:rPr>
          <w:rFonts w:ascii="Arial" w:hAnsi="Arial" w:cs="Arial"/>
        </w:rPr>
        <w:t>Digital transformation offers a way to strengthen Operational Efficiency and Agility. By leveraging digital tools, organizations can optimize supply chains, automate tasks, and streamline workflows. This results in lower costs, reduced inefficiencies, and quicker responses to market changes. Ultimately, it cultivates a flexible operational environment that enables organizations to succeed in the fast-evolving digital landscape (Grover et al., 2022).</w:t>
      </w:r>
    </w:p>
    <w:p w14:paraId="1BF8165D" w14:textId="77777777" w:rsidR="00E77185" w:rsidRPr="00A6144D" w:rsidRDefault="00E77185" w:rsidP="005C12C5">
      <w:pPr>
        <w:tabs>
          <w:tab w:val="left" w:pos="5000"/>
        </w:tabs>
        <w:jc w:val="both"/>
        <w:rPr>
          <w:rFonts w:ascii="Arial" w:hAnsi="Arial" w:cs="Arial"/>
        </w:rPr>
      </w:pPr>
    </w:p>
    <w:p w14:paraId="4073F47D" w14:textId="77777777" w:rsidR="000644B5" w:rsidRPr="00A6144D" w:rsidRDefault="0002294A" w:rsidP="005C12C5">
      <w:pPr>
        <w:tabs>
          <w:tab w:val="left" w:pos="5000"/>
        </w:tabs>
        <w:jc w:val="both"/>
        <w:rPr>
          <w:rFonts w:ascii="Arial" w:hAnsi="Arial" w:cs="Arial"/>
        </w:rPr>
      </w:pPr>
      <w:r w:rsidRPr="00A6144D">
        <w:rPr>
          <w:rFonts w:ascii="Arial" w:hAnsi="Arial" w:cs="Arial"/>
        </w:rPr>
        <w:t>According to Hermes et al.,</w:t>
      </w:r>
      <w:r w:rsidR="000644B5" w:rsidRPr="00A6144D">
        <w:rPr>
          <w:rFonts w:ascii="Arial" w:hAnsi="Arial" w:cs="Arial"/>
        </w:rPr>
        <w:t xml:space="preserve"> the emerging digital transformation of healthcare is creating a wide range of new market segments, generic roles, and value streams, while also blurring the distinction between the healthcare and information technology industries. Some roles transform existing solutions by digitalizing services and distribution, while others build on digital innovations to provide new medical procedures (Hermes et al.,2020). </w:t>
      </w:r>
    </w:p>
    <w:p w14:paraId="67778272" w14:textId="77777777" w:rsidR="000644B5" w:rsidRPr="00A6144D" w:rsidRDefault="000644B5" w:rsidP="005C12C5">
      <w:pPr>
        <w:tabs>
          <w:tab w:val="left" w:pos="5000"/>
        </w:tabs>
        <w:jc w:val="both"/>
        <w:rPr>
          <w:rFonts w:ascii="Arial" w:hAnsi="Arial" w:cs="Arial"/>
        </w:rPr>
      </w:pPr>
    </w:p>
    <w:p w14:paraId="701CF796" w14:textId="2CCCFF3E" w:rsidR="00E77185" w:rsidRPr="00A6144D" w:rsidRDefault="000567F3" w:rsidP="005C12C5">
      <w:pPr>
        <w:tabs>
          <w:tab w:val="left" w:pos="5000"/>
        </w:tabs>
        <w:jc w:val="both"/>
        <w:rPr>
          <w:rFonts w:ascii="Arial" w:hAnsi="Arial" w:cs="Arial"/>
        </w:rPr>
      </w:pPr>
      <w:r w:rsidRPr="00A6144D">
        <w:rPr>
          <w:rFonts w:ascii="Arial" w:hAnsi="Arial" w:cs="Arial"/>
        </w:rPr>
        <w:t>According to Kraus et al., greater</w:t>
      </w:r>
      <w:r w:rsidR="000644B5" w:rsidRPr="00A6144D">
        <w:rPr>
          <w:rFonts w:ascii="Arial" w:hAnsi="Arial" w:cs="Arial"/>
        </w:rPr>
        <w:t xml:space="preserve"> patient participation, together with the appropriate application of digital technologies and the use of data to support predictive care, can facilitate the transition towards digital healthcare models. Such changes can transform the way healthcare is experienced and delivered while contributing to improved outcomes for patients, healthcare providers, and </w:t>
      </w:r>
      <w:r w:rsidR="00B53267" w:rsidRPr="00A6144D">
        <w:rPr>
          <w:rFonts w:ascii="Arial" w:hAnsi="Arial" w:cs="Arial"/>
        </w:rPr>
        <w:t>insurers (Kraus et al.,20</w:t>
      </w:r>
      <w:r w:rsidR="004A4484" w:rsidRPr="00A6144D">
        <w:rPr>
          <w:rFonts w:ascii="Arial" w:hAnsi="Arial" w:cs="Arial"/>
        </w:rPr>
        <w:t>21)</w:t>
      </w:r>
    </w:p>
    <w:p w14:paraId="20BDE180" w14:textId="77777777" w:rsidR="008B697E" w:rsidRPr="00A6144D" w:rsidRDefault="008B697E" w:rsidP="005C12C5">
      <w:pPr>
        <w:tabs>
          <w:tab w:val="left" w:pos="5000"/>
        </w:tabs>
        <w:jc w:val="both"/>
        <w:rPr>
          <w:rFonts w:ascii="Arial" w:hAnsi="Arial" w:cs="Arial"/>
        </w:rPr>
      </w:pPr>
    </w:p>
    <w:p w14:paraId="361951BD" w14:textId="791CAE77" w:rsidR="009300E9" w:rsidRPr="00A6144D" w:rsidRDefault="009300E9" w:rsidP="005C12C5">
      <w:pPr>
        <w:tabs>
          <w:tab w:val="left" w:pos="5000"/>
        </w:tabs>
        <w:jc w:val="both"/>
        <w:rPr>
          <w:rFonts w:ascii="Arial" w:hAnsi="Arial" w:cs="Arial"/>
        </w:rPr>
      </w:pPr>
      <w:r w:rsidRPr="00A6144D">
        <w:rPr>
          <w:rFonts w:ascii="Arial" w:hAnsi="Arial" w:cs="Arial"/>
        </w:rPr>
        <w:t xml:space="preserve">The pandemic really shook up the healthcare sector and changed how services are run. For one, medical centers faced massive guessing games trying to predict patient volumes while managing multiple waves of the virus. It also broke the usual, steady communication between doctors and their patients. To get around this, providers rapidly switched over to phone and video setups, though the shakeup still ended up derailing the standard flow of long-term medical </w:t>
      </w:r>
      <w:r w:rsidR="00B53267" w:rsidRPr="00A6144D">
        <w:rPr>
          <w:rFonts w:ascii="Arial" w:hAnsi="Arial" w:cs="Arial"/>
        </w:rPr>
        <w:t>care (</w:t>
      </w:r>
      <w:r w:rsidR="003827F1" w:rsidRPr="00A6144D">
        <w:rPr>
          <w:rFonts w:ascii="Arial" w:hAnsi="Arial" w:cs="Arial"/>
        </w:rPr>
        <w:t xml:space="preserve">Furtner </w:t>
      </w:r>
      <w:r w:rsidR="000E427E" w:rsidRPr="00A6144D">
        <w:rPr>
          <w:rFonts w:ascii="Arial" w:hAnsi="Arial" w:cs="Arial"/>
        </w:rPr>
        <w:t>et al.,</w:t>
      </w:r>
      <w:r w:rsidR="0075527B" w:rsidRPr="00A6144D">
        <w:rPr>
          <w:rFonts w:ascii="Arial" w:hAnsi="Arial" w:cs="Arial"/>
        </w:rPr>
        <w:t>2021).</w:t>
      </w:r>
    </w:p>
    <w:p w14:paraId="0F81FAB8" w14:textId="77777777" w:rsidR="00285495" w:rsidRPr="00A6144D" w:rsidRDefault="00285495" w:rsidP="005C12C5">
      <w:pPr>
        <w:tabs>
          <w:tab w:val="left" w:pos="5000"/>
        </w:tabs>
        <w:jc w:val="both"/>
        <w:rPr>
          <w:rFonts w:ascii="Arial" w:hAnsi="Arial" w:cs="Arial"/>
        </w:rPr>
      </w:pPr>
    </w:p>
    <w:p w14:paraId="1E083915" w14:textId="1AE067A7" w:rsidR="00285495" w:rsidRPr="00A6144D" w:rsidRDefault="00285495" w:rsidP="005C12C5">
      <w:pPr>
        <w:tabs>
          <w:tab w:val="left" w:pos="5000"/>
        </w:tabs>
        <w:jc w:val="both"/>
        <w:rPr>
          <w:rFonts w:ascii="Arial" w:hAnsi="Arial" w:cs="Arial"/>
        </w:rPr>
      </w:pPr>
      <w:r w:rsidRPr="00A6144D">
        <w:rPr>
          <w:rFonts w:ascii="Arial" w:hAnsi="Arial" w:cs="Arial"/>
        </w:rPr>
        <w:t xml:space="preserve">The pandemic did not show that traditional structures had become obsolete. Instead, it demonstrated that organisations can temporarily or permanently reconfigure their existing structures when circumstances demand it. This supports contingency theory, which </w:t>
      </w:r>
      <w:r w:rsidRPr="00A6144D">
        <w:rPr>
          <w:rFonts w:ascii="Arial" w:hAnsi="Arial" w:cs="Arial"/>
        </w:rPr>
        <w:lastRenderedPageBreak/>
        <w:t>argues that no single structure is effective in every situation and that organisational design must respond to environmental conditions.</w:t>
      </w:r>
    </w:p>
    <w:p w14:paraId="53A9E317" w14:textId="77777777" w:rsidR="00853925" w:rsidRPr="00A6144D" w:rsidRDefault="00853925" w:rsidP="00E1059B">
      <w:pPr>
        <w:pStyle w:val="Heading2"/>
      </w:pPr>
    </w:p>
    <w:p w14:paraId="565EBA08" w14:textId="27B9120D" w:rsidR="00853925" w:rsidRPr="00A6144D" w:rsidRDefault="00853925" w:rsidP="00E1059B">
      <w:pPr>
        <w:pStyle w:val="Heading2"/>
        <w:rPr>
          <w:bCs/>
        </w:rPr>
      </w:pPr>
      <w:bookmarkStart w:id="19" w:name="_Toc238203190"/>
      <w:r w:rsidRPr="00A6144D">
        <w:rPr>
          <w:bCs/>
        </w:rPr>
        <w:t>3.3. Importance of Adaptability and Agility</w:t>
      </w:r>
      <w:bookmarkEnd w:id="19"/>
      <w:r w:rsidRPr="00A6144D">
        <w:rPr>
          <w:bCs/>
        </w:rPr>
        <w:t xml:space="preserve">  </w:t>
      </w:r>
      <w:r w:rsidRPr="00A6144D">
        <w:rPr>
          <w:bCs/>
        </w:rPr>
        <w:tab/>
      </w:r>
    </w:p>
    <w:p w14:paraId="5F50076B" w14:textId="77777777" w:rsidR="00853925" w:rsidRPr="00A6144D" w:rsidRDefault="00853925" w:rsidP="00853925">
      <w:pPr>
        <w:tabs>
          <w:tab w:val="left" w:pos="5000"/>
          <w:tab w:val="left" w:pos="6240"/>
        </w:tabs>
        <w:jc w:val="both"/>
        <w:rPr>
          <w:rFonts w:ascii="Arial" w:hAnsi="Arial" w:cs="Arial"/>
          <w:b/>
          <w:bCs/>
        </w:rPr>
      </w:pPr>
    </w:p>
    <w:p w14:paraId="5254D387" w14:textId="0EF9915D" w:rsidR="00831F71" w:rsidRPr="00A6144D" w:rsidRDefault="001756CC" w:rsidP="004300DC">
      <w:pPr>
        <w:tabs>
          <w:tab w:val="left" w:pos="5000"/>
          <w:tab w:val="left" w:pos="6240"/>
        </w:tabs>
        <w:jc w:val="both"/>
        <w:rPr>
          <w:rFonts w:ascii="Arial" w:hAnsi="Arial" w:cs="Arial"/>
        </w:rPr>
      </w:pPr>
      <w:r w:rsidRPr="00A6144D">
        <w:rPr>
          <w:rFonts w:ascii="Arial" w:hAnsi="Arial" w:cs="Arial"/>
        </w:rPr>
        <w:t>Healthcare providers face incredibly complex global demands that require constant evolution. Having organizational agility is crucial because it gives these systems the power to upgrade their daily procedures, especially when it comes to shifting management requirements and building better infrastructure (Akkaya &amp; Mert, 2021). Faced</w:t>
      </w:r>
      <w:r w:rsidR="00377EF0" w:rsidRPr="00A6144D">
        <w:rPr>
          <w:rFonts w:ascii="Arial" w:hAnsi="Arial" w:cs="Arial"/>
        </w:rPr>
        <w:t xml:space="preserve"> with escalating pressures from various stakeholder groups, healthcare providers are moving beyond simple adaptation toward full organizational transformation. They are leveraging strategic agility to foster sustainable renewal and address the rising demand for environmental and social responsibility. This form of agile positioning directly enhances an organization's competitive capabilities and long-term advantages (Abusalma, 2021; Ngeche and Kaluyu, 2023). </w:t>
      </w:r>
    </w:p>
    <w:p w14:paraId="2941696B" w14:textId="77777777" w:rsidR="00B44D62" w:rsidRPr="00A6144D" w:rsidRDefault="00B44D62" w:rsidP="004300DC">
      <w:pPr>
        <w:tabs>
          <w:tab w:val="left" w:pos="5000"/>
          <w:tab w:val="left" w:pos="6240"/>
        </w:tabs>
        <w:jc w:val="both"/>
        <w:rPr>
          <w:rFonts w:ascii="Arial" w:hAnsi="Arial" w:cs="Arial"/>
        </w:rPr>
      </w:pPr>
    </w:p>
    <w:p w14:paraId="3FCE53EF" w14:textId="59363740" w:rsidR="00B44D62" w:rsidRPr="00A6144D" w:rsidRDefault="00B44D62" w:rsidP="004300DC">
      <w:pPr>
        <w:tabs>
          <w:tab w:val="left" w:pos="5000"/>
          <w:tab w:val="left" w:pos="6240"/>
        </w:tabs>
        <w:jc w:val="both"/>
        <w:rPr>
          <w:rFonts w:ascii="Arial" w:hAnsi="Arial" w:cs="Arial"/>
        </w:rPr>
      </w:pPr>
      <w:r w:rsidRPr="00A6144D">
        <w:rPr>
          <w:rFonts w:ascii="Arial" w:hAnsi="Arial" w:cs="Arial"/>
        </w:rPr>
        <w:t>Modern enterprises no longer limit agility to their manufacturing or production pipelines. Instead, they embed it into their strategic planning, workforce management, and customer relations, viewing it as a core engine for corporate growth and market responsiveness (Motwani and Aakanksha, 2023).</w:t>
      </w:r>
      <w:r w:rsidR="00BE3C90" w:rsidRPr="00A6144D">
        <w:rPr>
          <w:rFonts w:ascii="Arial" w:hAnsi="Arial" w:cs="Arial"/>
        </w:rPr>
        <w:t xml:space="preserve"> While agile approaches originated in software development, they offer an adaptable alternative that fits nicely within the shifting medical sector. By focusing on iterative cycles and constant loops of feedback, agile methods accelerate project delivery and ensure consistent value creation, which can boost both patient outcomes and stakeholder satisfaction. Nevertheless, the less structured nature of an agile model can run into roadblocks in healthcare, where deeply entrenched hierarchies, massive stakeholder networks, and rigid regulatory frameworks often resist change (Morsi et al., 2024).</w:t>
      </w:r>
    </w:p>
    <w:p w14:paraId="58F22950" w14:textId="77777777" w:rsidR="001756CC" w:rsidRPr="00A6144D" w:rsidRDefault="001756CC" w:rsidP="004300DC">
      <w:pPr>
        <w:tabs>
          <w:tab w:val="left" w:pos="5000"/>
          <w:tab w:val="left" w:pos="6240"/>
        </w:tabs>
        <w:jc w:val="both"/>
        <w:rPr>
          <w:rFonts w:ascii="Arial" w:hAnsi="Arial" w:cs="Arial"/>
        </w:rPr>
      </w:pPr>
    </w:p>
    <w:p w14:paraId="53B71F69" w14:textId="0E165A94" w:rsidR="0042767A" w:rsidRPr="00A6144D" w:rsidRDefault="007D294D" w:rsidP="004300DC">
      <w:pPr>
        <w:tabs>
          <w:tab w:val="left" w:pos="5000"/>
          <w:tab w:val="left" w:pos="6240"/>
        </w:tabs>
        <w:jc w:val="both"/>
        <w:rPr>
          <w:rFonts w:ascii="Arial" w:hAnsi="Arial" w:cs="Arial"/>
        </w:rPr>
      </w:pPr>
      <w:r w:rsidRPr="00A6144D">
        <w:rPr>
          <w:rFonts w:ascii="Arial" w:hAnsi="Arial" w:cs="Arial"/>
        </w:rPr>
        <w:t xml:space="preserve">Adaptive capabilities rely on constant environmental tracking, which helps organizations identify and exploit new market opportunities while anticipating shifts in patient </w:t>
      </w:r>
      <w:r w:rsidR="004C1A6F" w:rsidRPr="00A6144D">
        <w:rPr>
          <w:rFonts w:ascii="Arial" w:hAnsi="Arial" w:cs="Arial"/>
        </w:rPr>
        <w:t>demand. Consequently</w:t>
      </w:r>
      <w:r w:rsidRPr="00A6144D">
        <w:rPr>
          <w:rFonts w:ascii="Arial" w:hAnsi="Arial" w:cs="Arial"/>
        </w:rPr>
        <w:t>, management literature increasingly views adaptability as a core corporate strategy for driving innovation and maintaining operational flexibility in volatile climates (Coghlan et al., 2020</w:t>
      </w:r>
      <w:r w:rsidR="00902711" w:rsidRPr="00A6144D">
        <w:rPr>
          <w:rFonts w:ascii="Arial" w:hAnsi="Arial" w:cs="Arial"/>
        </w:rPr>
        <w:t xml:space="preserve">). Adaptations </w:t>
      </w:r>
      <w:r w:rsidR="004F22FB" w:rsidRPr="00A6144D">
        <w:rPr>
          <w:rFonts w:ascii="Arial" w:hAnsi="Arial" w:cs="Arial"/>
        </w:rPr>
        <w:t>require</w:t>
      </w:r>
      <w:r w:rsidR="00902711" w:rsidRPr="00A6144D">
        <w:rPr>
          <w:rFonts w:ascii="Arial" w:hAnsi="Arial" w:cs="Arial"/>
        </w:rPr>
        <w:t xml:space="preserve"> balancing quick fixes and lasting overhauls. Short-term fixes act as firefighting—they keep the system intact but can trigger complex, unintended problems later. Long-term adaptation uses feedback to reorganize from the ground up, allowing for a proactive response to system flaws</w:t>
      </w:r>
      <w:r w:rsidR="004F22FB" w:rsidRPr="00A6144D">
        <w:rPr>
          <w:rFonts w:ascii="Arial" w:hAnsi="Arial" w:cs="Arial"/>
        </w:rPr>
        <w:t xml:space="preserve"> (</w:t>
      </w:r>
      <w:r w:rsidR="00F13EB4" w:rsidRPr="00A6144D">
        <w:rPr>
          <w:rFonts w:ascii="Arial" w:hAnsi="Arial" w:cs="Arial"/>
        </w:rPr>
        <w:t>Lyng et al.,2021).</w:t>
      </w:r>
    </w:p>
    <w:p w14:paraId="57CA75E9" w14:textId="77777777" w:rsidR="00B57278" w:rsidRPr="00A6144D" w:rsidRDefault="00B57278" w:rsidP="004300DC">
      <w:pPr>
        <w:tabs>
          <w:tab w:val="left" w:pos="5000"/>
          <w:tab w:val="left" w:pos="6240"/>
        </w:tabs>
        <w:jc w:val="both"/>
        <w:rPr>
          <w:rFonts w:ascii="Arial" w:hAnsi="Arial" w:cs="Arial"/>
        </w:rPr>
      </w:pPr>
    </w:p>
    <w:p w14:paraId="1C2AB71E" w14:textId="37E6A07E" w:rsidR="00000605" w:rsidRPr="00A6144D" w:rsidRDefault="00000605" w:rsidP="004300DC">
      <w:pPr>
        <w:tabs>
          <w:tab w:val="left" w:pos="5000"/>
          <w:tab w:val="left" w:pos="6240"/>
        </w:tabs>
        <w:jc w:val="both"/>
        <w:rPr>
          <w:rFonts w:ascii="Arial" w:hAnsi="Arial" w:cs="Arial"/>
        </w:rPr>
      </w:pPr>
      <w:r w:rsidRPr="00A6144D">
        <w:rPr>
          <w:rFonts w:ascii="Arial" w:hAnsi="Arial" w:cs="Arial"/>
        </w:rPr>
        <w:t>Therefore, healthcare organisations should be agile enough to respond quickly to changing patient needs, improve services and support innovation. This flexibility is most valuable in frontline decision-making, project management and cross-functional teamwork. However, hierarchy must remain in areas requiring clinical accountability, patient safety, regulatory compliance and emergency coordination.</w:t>
      </w:r>
    </w:p>
    <w:p w14:paraId="61F2F9C3" w14:textId="77777777" w:rsidR="00733898" w:rsidRPr="00A6144D" w:rsidRDefault="00733898" w:rsidP="004300DC">
      <w:pPr>
        <w:tabs>
          <w:tab w:val="left" w:pos="5000"/>
          <w:tab w:val="left" w:pos="6240"/>
        </w:tabs>
        <w:jc w:val="both"/>
        <w:rPr>
          <w:rFonts w:ascii="Arial" w:hAnsi="Arial" w:cs="Arial"/>
        </w:rPr>
      </w:pPr>
    </w:p>
    <w:p w14:paraId="54EA4699" w14:textId="6ECFAE30" w:rsidR="00654BD2" w:rsidRPr="00A6144D" w:rsidRDefault="00733898" w:rsidP="00E1059B">
      <w:pPr>
        <w:pStyle w:val="Heading1"/>
        <w:ind w:left="284" w:hanging="295"/>
      </w:pPr>
      <w:bookmarkStart w:id="20" w:name="_Toc238203191"/>
      <w:r w:rsidRPr="00A6144D">
        <w:t>Obsolescence of Traditional Organisational Structures</w:t>
      </w:r>
      <w:bookmarkEnd w:id="20"/>
      <w:r w:rsidRPr="00A6144D">
        <w:t xml:space="preserve"> </w:t>
      </w:r>
    </w:p>
    <w:p w14:paraId="229B7E07" w14:textId="77777777" w:rsidR="00654BD2" w:rsidRPr="00A6144D" w:rsidRDefault="00654BD2" w:rsidP="004300DC">
      <w:pPr>
        <w:tabs>
          <w:tab w:val="left" w:pos="5000"/>
          <w:tab w:val="left" w:pos="6240"/>
        </w:tabs>
        <w:jc w:val="both"/>
        <w:rPr>
          <w:rFonts w:ascii="Arial" w:hAnsi="Arial" w:cs="Arial"/>
          <w:b/>
          <w:bCs/>
        </w:rPr>
      </w:pPr>
    </w:p>
    <w:p w14:paraId="6B113713" w14:textId="54668282" w:rsidR="005024D3" w:rsidRPr="00A6144D" w:rsidRDefault="00170AFE" w:rsidP="004300DC">
      <w:pPr>
        <w:tabs>
          <w:tab w:val="left" w:pos="5000"/>
          <w:tab w:val="left" w:pos="6240"/>
        </w:tabs>
        <w:jc w:val="both"/>
        <w:rPr>
          <w:rFonts w:ascii="Arial" w:hAnsi="Arial" w:cs="Arial"/>
          <w:b/>
          <w:bCs/>
        </w:rPr>
      </w:pPr>
      <w:r w:rsidRPr="00A6144D">
        <w:rPr>
          <w:rFonts w:ascii="Arial" w:hAnsi="Arial" w:cs="Arial"/>
        </w:rPr>
        <w:t xml:space="preserve">The rapid advancement of digital technology </w:t>
      </w:r>
      <w:r w:rsidR="00E07C2C" w:rsidRPr="00A6144D">
        <w:rPr>
          <w:rFonts w:ascii="Arial" w:hAnsi="Arial" w:cs="Arial"/>
        </w:rPr>
        <w:t xml:space="preserve">should not be viewed merely as the adoption of new technologies. Although technology provides the foundation for transformation, its </w:t>
      </w:r>
      <w:r w:rsidR="00E07C2C" w:rsidRPr="00A6144D">
        <w:rPr>
          <w:rFonts w:ascii="Arial" w:hAnsi="Arial" w:cs="Arial"/>
        </w:rPr>
        <w:lastRenderedPageBreak/>
        <w:t>success depends substantially on an organisation’s capacity to undertake corresponding structural and cultural change. Traditional hierarchical and bureaucratic systems are often poorly aligned with the requirements of the digital era, which demand organisational flexibility, cross-functional collaboration, timely decision-making and continuous innovation (Akman et al., 2024; Shahzad et al., 2025)</w:t>
      </w:r>
      <w:r w:rsidR="00B41463" w:rsidRPr="00A6144D">
        <w:rPr>
          <w:rFonts w:ascii="Arial" w:hAnsi="Arial" w:cs="Arial"/>
        </w:rPr>
        <w:t xml:space="preserve"> providing strong evidence of their growing obsolescence</w:t>
      </w:r>
      <w:r w:rsidR="00F70D41" w:rsidRPr="00A6144D">
        <w:rPr>
          <w:rFonts w:ascii="Arial" w:hAnsi="Arial" w:cs="Arial"/>
        </w:rPr>
        <w:t>.</w:t>
      </w:r>
    </w:p>
    <w:p w14:paraId="45BD02A3" w14:textId="77777777" w:rsidR="00B57278" w:rsidRPr="00A6144D" w:rsidRDefault="00B57278" w:rsidP="004300DC">
      <w:pPr>
        <w:tabs>
          <w:tab w:val="left" w:pos="5000"/>
          <w:tab w:val="left" w:pos="6240"/>
        </w:tabs>
        <w:jc w:val="both"/>
        <w:rPr>
          <w:rFonts w:ascii="Arial" w:hAnsi="Arial" w:cs="Arial"/>
        </w:rPr>
      </w:pPr>
    </w:p>
    <w:p w14:paraId="379F0E6A" w14:textId="78D041BA" w:rsidR="003D68FA" w:rsidRPr="00A6144D" w:rsidRDefault="003D68FA" w:rsidP="004300DC">
      <w:pPr>
        <w:tabs>
          <w:tab w:val="left" w:pos="5000"/>
          <w:tab w:val="left" w:pos="6240"/>
        </w:tabs>
        <w:jc w:val="both"/>
        <w:rPr>
          <w:rFonts w:ascii="Arial" w:hAnsi="Arial" w:cs="Arial"/>
        </w:rPr>
      </w:pPr>
      <w:r w:rsidRPr="00A6144D">
        <w:rPr>
          <w:rFonts w:ascii="Arial" w:hAnsi="Arial" w:cs="Arial"/>
        </w:rPr>
        <w:t>Technological development is similarly reshaping leadership and governance practices. Traditional command-and-control approaches are increasingly giving way to connect-and-collaborate models that prioritise employee empowerment, transparency and data-informed decision-making. Such approaches can strengthen collaboration, improve workforce engagement and enhance innovation within the organisation (Mollah et al., 2024; Nuryadin et al., 2023).</w:t>
      </w:r>
      <w:r w:rsidR="00C944B5" w:rsidRPr="00A6144D">
        <w:rPr>
          <w:rFonts w:ascii="Arial" w:hAnsi="Arial" w:cs="Arial"/>
        </w:rPr>
        <w:t xml:space="preserve"> Although these approaches strengthen </w:t>
      </w:r>
      <w:r w:rsidR="002F4B58" w:rsidRPr="00A6144D">
        <w:rPr>
          <w:rFonts w:ascii="Arial" w:hAnsi="Arial" w:cs="Arial"/>
        </w:rPr>
        <w:t>Outdatedness,</w:t>
      </w:r>
      <w:r w:rsidR="00211411" w:rsidRPr="00A6144D">
        <w:rPr>
          <w:rFonts w:ascii="Arial" w:hAnsi="Arial" w:cs="Arial"/>
        </w:rPr>
        <w:t xml:space="preserve"> the evidence suggests the hybridisation of traditional and emerging practices rather than complete obsolescence</w:t>
      </w:r>
    </w:p>
    <w:p w14:paraId="4CC48813" w14:textId="77777777" w:rsidR="00B57278" w:rsidRPr="00A6144D" w:rsidRDefault="00B57278" w:rsidP="004300DC">
      <w:pPr>
        <w:tabs>
          <w:tab w:val="left" w:pos="5000"/>
          <w:tab w:val="left" w:pos="6240"/>
        </w:tabs>
        <w:jc w:val="both"/>
        <w:rPr>
          <w:rFonts w:ascii="Arial" w:hAnsi="Arial" w:cs="Arial"/>
          <w:b/>
          <w:bCs/>
        </w:rPr>
      </w:pPr>
    </w:p>
    <w:p w14:paraId="117D13EA" w14:textId="482F528B" w:rsidR="00831F71" w:rsidRPr="00A6144D" w:rsidRDefault="001C1792" w:rsidP="00E1059B">
      <w:pPr>
        <w:pStyle w:val="Heading2"/>
      </w:pPr>
      <w:bookmarkStart w:id="21" w:name="_Toc238203192"/>
      <w:r w:rsidRPr="00A6144D">
        <w:t>4.1. Hierarchical Structures vs. Flat Organisations</w:t>
      </w:r>
      <w:bookmarkEnd w:id="21"/>
      <w:r w:rsidRPr="00A6144D">
        <w:t xml:space="preserve">  </w:t>
      </w:r>
    </w:p>
    <w:p w14:paraId="7C90282B" w14:textId="77777777" w:rsidR="00156F6B" w:rsidRPr="00A6144D" w:rsidRDefault="00156F6B" w:rsidP="00603965">
      <w:pPr>
        <w:tabs>
          <w:tab w:val="left" w:pos="5000"/>
        </w:tabs>
        <w:jc w:val="both"/>
        <w:rPr>
          <w:rFonts w:ascii="Arial" w:hAnsi="Arial" w:cs="Arial"/>
          <w:b/>
          <w:bCs/>
        </w:rPr>
      </w:pPr>
    </w:p>
    <w:p w14:paraId="2112148F" w14:textId="77777777" w:rsidR="00F5797B" w:rsidRPr="00A6144D" w:rsidRDefault="00F5797B" w:rsidP="00603965">
      <w:pPr>
        <w:jc w:val="both"/>
        <w:rPr>
          <w:rFonts w:ascii="Arial" w:hAnsi="Arial" w:cs="Arial"/>
        </w:rPr>
      </w:pPr>
      <w:r w:rsidRPr="00A6144D">
        <w:rPr>
          <w:rFonts w:ascii="Arial" w:hAnsi="Arial" w:cs="Arial"/>
        </w:rPr>
        <w:t>Corporate structures vary widely, ranging from highly rigid, top-down models like military branches and government agencies to completely flat, decentralized networks such as non-profits and tech startups. An organization's position on this spectrum is shaped primarily by two factors: its external environment and its internal mission. This structure serves as the framework through which the organization aligns its tools and strategies to meet goals while adapting to market changes (Bhatt and Garge, 2023).</w:t>
      </w:r>
    </w:p>
    <w:p w14:paraId="4DAB6EDE" w14:textId="77777777" w:rsidR="00F5797B" w:rsidRPr="00A6144D" w:rsidRDefault="00F5797B" w:rsidP="00603965">
      <w:pPr>
        <w:jc w:val="both"/>
        <w:rPr>
          <w:rFonts w:ascii="Arial" w:hAnsi="Arial" w:cs="Arial"/>
        </w:rPr>
      </w:pPr>
    </w:p>
    <w:p w14:paraId="303A0464" w14:textId="36C7A731" w:rsidR="005B1E59" w:rsidRPr="00A6144D" w:rsidRDefault="00F5797B" w:rsidP="005B1E59">
      <w:pPr>
        <w:jc w:val="both"/>
        <w:rPr>
          <w:rFonts w:ascii="Arial" w:hAnsi="Arial" w:cs="Arial"/>
        </w:rPr>
      </w:pPr>
      <w:r w:rsidRPr="00A6144D">
        <w:rPr>
          <w:rFonts w:ascii="Arial" w:hAnsi="Arial" w:cs="Arial"/>
        </w:rPr>
        <w:t>Organizations with flat structures typically face fewer challenges related to employee morale, communication flow, and the high overhead costs associated with executive salaries, compared to traditional, tall hierarchical companies (Hinterdo, 2025).</w:t>
      </w:r>
      <w:r w:rsidR="005B1E59" w:rsidRPr="00A6144D">
        <w:rPr>
          <w:rFonts w:ascii="Arial" w:hAnsi="Arial" w:cs="Arial"/>
        </w:rPr>
        <w:t xml:space="preserve"> For healthcare organizations to foster an open, transparent, and blame-free culture, staff must feel valued and treated as equals, with their concerns taken seriously. A flatter structure creates an environment where raising issues is easier and less intimidating for junior staff to express their views. This approach has proven successful in healthcare and should become the standard (Fernandopulle.,2021).</w:t>
      </w:r>
    </w:p>
    <w:p w14:paraId="3CC74765" w14:textId="77777777" w:rsidR="005B1E59" w:rsidRPr="00A6144D" w:rsidRDefault="005B1E59" w:rsidP="005B1E59">
      <w:pPr>
        <w:jc w:val="both"/>
        <w:rPr>
          <w:rFonts w:ascii="Arial" w:hAnsi="Arial" w:cs="Arial"/>
        </w:rPr>
      </w:pPr>
    </w:p>
    <w:p w14:paraId="060256D5" w14:textId="4D1B5251" w:rsidR="00A54017" w:rsidRPr="00A6144D" w:rsidRDefault="00F5797B" w:rsidP="00603965">
      <w:pPr>
        <w:jc w:val="both"/>
        <w:rPr>
          <w:rFonts w:ascii="Arial" w:hAnsi="Arial" w:cs="Arial"/>
        </w:rPr>
      </w:pPr>
      <w:r w:rsidRPr="00A6144D">
        <w:rPr>
          <w:rFonts w:ascii="Arial" w:hAnsi="Arial" w:cs="Arial"/>
        </w:rPr>
        <w:t xml:space="preserve">Research by Radevic et al. highlights that a strong level of trust significantly enhances the relationship between knowledge transfer and the quality of healthcare services, as well as the connection between hierarchical organizational structure and healthcare </w:t>
      </w:r>
      <w:r w:rsidR="00225E33" w:rsidRPr="00A6144D">
        <w:rPr>
          <w:rFonts w:ascii="Arial" w:hAnsi="Arial" w:cs="Arial"/>
        </w:rPr>
        <w:t>outcomes (</w:t>
      </w:r>
      <w:r w:rsidRPr="00A6144D">
        <w:rPr>
          <w:rFonts w:ascii="Arial" w:hAnsi="Arial" w:cs="Arial"/>
        </w:rPr>
        <w:t>Radevic et al., 2021).</w:t>
      </w:r>
    </w:p>
    <w:p w14:paraId="36A20F18" w14:textId="77777777" w:rsidR="00F5797B" w:rsidRPr="00A6144D" w:rsidRDefault="00F5797B" w:rsidP="00603965">
      <w:pPr>
        <w:jc w:val="both"/>
        <w:rPr>
          <w:rFonts w:ascii="Arial" w:hAnsi="Arial" w:cs="Arial"/>
        </w:rPr>
      </w:pPr>
    </w:p>
    <w:p w14:paraId="5EF845B3" w14:textId="02F7BF38" w:rsidR="00F8448B" w:rsidRPr="00A6144D" w:rsidRDefault="00F8448B" w:rsidP="00603965">
      <w:pPr>
        <w:jc w:val="both"/>
        <w:rPr>
          <w:rFonts w:ascii="Arial" w:hAnsi="Arial" w:cs="Arial"/>
        </w:rPr>
      </w:pPr>
      <w:r w:rsidRPr="00A6144D">
        <w:rPr>
          <w:rFonts w:ascii="Arial" w:hAnsi="Arial" w:cs="Arial"/>
        </w:rPr>
        <w:t>In today’s world, organizations need to adopt a hybrid strategy that merges the stability of classic hierarchical systems with the flexibility found in flatter models, while also utilizing integrated coordination methods. This strategy enables organizations to uphold control and consistency while promoting innovation and adaptability. Moreover, investing in sophisticated coordination tools and encouraging a culture that welcomes change and ongoing improvement are essential for maintaining growth and improving organizational outcomes. By effectively combining these factors, organizations can manage the complexities of modern business landscapes and secure lasting success</w:t>
      </w:r>
      <w:r w:rsidR="0018258B" w:rsidRPr="00A6144D">
        <w:rPr>
          <w:rFonts w:ascii="Arial" w:hAnsi="Arial" w:cs="Arial"/>
        </w:rPr>
        <w:t xml:space="preserve"> </w:t>
      </w:r>
      <w:r w:rsidRPr="00A6144D">
        <w:rPr>
          <w:rFonts w:ascii="Arial" w:hAnsi="Arial" w:cs="Arial"/>
        </w:rPr>
        <w:t>(</w:t>
      </w:r>
      <w:r w:rsidR="00AC3E93" w:rsidRPr="00A6144D">
        <w:rPr>
          <w:rFonts w:ascii="Arial" w:hAnsi="Arial" w:cs="Arial"/>
        </w:rPr>
        <w:t>Caniago.,2024).</w:t>
      </w:r>
    </w:p>
    <w:p w14:paraId="60DD77ED" w14:textId="77777777" w:rsidR="00E83AB0" w:rsidRPr="00A6144D" w:rsidRDefault="00E83AB0" w:rsidP="00603965">
      <w:pPr>
        <w:jc w:val="both"/>
        <w:rPr>
          <w:rFonts w:ascii="Arial" w:hAnsi="Arial" w:cs="Arial"/>
        </w:rPr>
      </w:pPr>
    </w:p>
    <w:p w14:paraId="03170C4D" w14:textId="6597262E" w:rsidR="00E83AB0" w:rsidRPr="00A6144D" w:rsidRDefault="00E83AB0" w:rsidP="00603965">
      <w:pPr>
        <w:jc w:val="both"/>
        <w:rPr>
          <w:rFonts w:ascii="Arial" w:hAnsi="Arial" w:cs="Arial"/>
        </w:rPr>
      </w:pPr>
      <w:r w:rsidRPr="00A6144D">
        <w:rPr>
          <w:rFonts w:ascii="Arial" w:hAnsi="Arial" w:cs="Arial"/>
        </w:rPr>
        <w:lastRenderedPageBreak/>
        <w:t>Ultimately, structure should be contingent rather than universal. Hierarchy is most suitable when control, consistency, and accountability dominate; flatness is preferable when participation, trust, and adaptability are central; and a hybrid model is appropriate when the organization must achieve both sets of objectives.</w:t>
      </w:r>
    </w:p>
    <w:p w14:paraId="441EC63B" w14:textId="77777777" w:rsidR="00F8448B" w:rsidRPr="00A6144D" w:rsidRDefault="00F8448B" w:rsidP="00603965">
      <w:pPr>
        <w:jc w:val="both"/>
        <w:rPr>
          <w:rFonts w:ascii="Arial" w:hAnsi="Arial" w:cs="Arial"/>
        </w:rPr>
      </w:pPr>
    </w:p>
    <w:p w14:paraId="0A2BA5A0" w14:textId="5EE603FC" w:rsidR="0077300C" w:rsidRPr="00A6144D" w:rsidRDefault="0077300C" w:rsidP="00E1059B">
      <w:pPr>
        <w:pStyle w:val="Heading2"/>
      </w:pPr>
      <w:bookmarkStart w:id="22" w:name="_Toc238203193"/>
      <w:r w:rsidRPr="00A6144D">
        <w:t>4.2 Matrix Organisations and Cross-Functional Teams</w:t>
      </w:r>
      <w:bookmarkEnd w:id="22"/>
      <w:r w:rsidRPr="00A6144D">
        <w:t xml:space="preserve">  </w:t>
      </w:r>
    </w:p>
    <w:p w14:paraId="1FF87B6C" w14:textId="77777777" w:rsidR="0077300C" w:rsidRPr="00A6144D" w:rsidRDefault="0077300C" w:rsidP="00603965">
      <w:pPr>
        <w:jc w:val="both"/>
        <w:rPr>
          <w:rFonts w:ascii="Arial" w:hAnsi="Arial" w:cs="Arial"/>
          <w:b/>
          <w:bCs/>
        </w:rPr>
      </w:pPr>
    </w:p>
    <w:p w14:paraId="11FF8EF0" w14:textId="73F542B7" w:rsidR="0077300C" w:rsidRPr="00A6144D" w:rsidRDefault="00AE47BC" w:rsidP="00603965">
      <w:pPr>
        <w:jc w:val="both"/>
        <w:rPr>
          <w:rFonts w:ascii="Arial" w:hAnsi="Arial" w:cs="Arial"/>
        </w:rPr>
      </w:pPr>
      <w:r w:rsidRPr="00A6144D">
        <w:rPr>
          <w:rFonts w:ascii="Arial" w:hAnsi="Arial" w:cs="Arial"/>
        </w:rPr>
        <w:t>A matrix structure brings together features of functional and project-based organisational structures. It encourages collaboration, flexibility and cross-functional teamwork. This structure is particularly appropriate for organisations managing complex projects, adapting to rapid change or operating across diverse products and markets. Although it supports effective resource allocation and access to cross-functional expertise, careful management is necessary to minimise conflict and ensure that roles and responsibilities remain clear</w:t>
      </w:r>
      <w:r w:rsidR="002A3B4F" w:rsidRPr="00A6144D">
        <w:rPr>
          <w:rFonts w:ascii="Arial" w:hAnsi="Arial" w:cs="Arial"/>
        </w:rPr>
        <w:t xml:space="preserve"> </w:t>
      </w:r>
      <w:r w:rsidRPr="00A6144D">
        <w:rPr>
          <w:rFonts w:ascii="Arial" w:hAnsi="Arial" w:cs="Arial"/>
        </w:rPr>
        <w:t>(</w:t>
      </w:r>
      <w:r w:rsidR="002A3B4F" w:rsidRPr="00A6144D">
        <w:rPr>
          <w:rFonts w:ascii="Arial" w:hAnsi="Arial" w:cs="Arial"/>
        </w:rPr>
        <w:t>Jerab</w:t>
      </w:r>
      <w:r w:rsidR="002472B8" w:rsidRPr="00A6144D">
        <w:rPr>
          <w:rFonts w:ascii="Arial" w:hAnsi="Arial" w:cs="Arial"/>
        </w:rPr>
        <w:t xml:space="preserve"> and</w:t>
      </w:r>
      <w:r w:rsidR="002A3B4F" w:rsidRPr="00A6144D">
        <w:rPr>
          <w:rFonts w:ascii="Arial" w:hAnsi="Arial" w:cs="Arial"/>
        </w:rPr>
        <w:t xml:space="preserve"> </w:t>
      </w:r>
      <w:r w:rsidR="002472B8" w:rsidRPr="00A6144D">
        <w:rPr>
          <w:rFonts w:ascii="Arial" w:hAnsi="Arial" w:cs="Arial"/>
        </w:rPr>
        <w:t>M</w:t>
      </w:r>
      <w:r w:rsidR="002A3B4F" w:rsidRPr="00A6144D">
        <w:rPr>
          <w:rFonts w:ascii="Arial" w:hAnsi="Arial" w:cs="Arial"/>
        </w:rPr>
        <w:t>abrouk</w:t>
      </w:r>
      <w:r w:rsidR="002472B8" w:rsidRPr="00A6144D">
        <w:rPr>
          <w:rFonts w:ascii="Arial" w:hAnsi="Arial" w:cs="Arial"/>
        </w:rPr>
        <w:t>.,2023).</w:t>
      </w:r>
    </w:p>
    <w:p w14:paraId="278C3F34" w14:textId="77777777" w:rsidR="007C2EF3" w:rsidRPr="00A6144D" w:rsidRDefault="007C2EF3" w:rsidP="00603965">
      <w:pPr>
        <w:jc w:val="both"/>
        <w:rPr>
          <w:rFonts w:ascii="Arial" w:hAnsi="Arial" w:cs="Arial"/>
        </w:rPr>
      </w:pPr>
    </w:p>
    <w:p w14:paraId="40610409" w14:textId="3A2BF71E" w:rsidR="00A029BA" w:rsidRPr="00A6144D" w:rsidRDefault="007C2EF3" w:rsidP="00603965">
      <w:pPr>
        <w:jc w:val="both"/>
        <w:rPr>
          <w:rFonts w:ascii="Arial" w:hAnsi="Arial" w:cs="Arial"/>
        </w:rPr>
      </w:pPr>
      <w:r w:rsidRPr="00A6144D">
        <w:rPr>
          <w:rFonts w:ascii="Arial" w:hAnsi="Arial" w:cs="Arial"/>
        </w:rPr>
        <w:t>Many organisations adopt flat or matrix structures to promote cross-functional collaboration. These arrangements can reduce delays and support faster decision-making. They also provide teams with greater autonomy and responsiveness. Consequently, organisations are better positioned to innovate and adapt to changing market demands</w:t>
      </w:r>
      <w:r w:rsidR="00FF6FFF" w:rsidRPr="00A6144D">
        <w:rPr>
          <w:rFonts w:ascii="Arial" w:hAnsi="Arial" w:cs="Arial"/>
        </w:rPr>
        <w:t xml:space="preserve"> </w:t>
      </w:r>
      <w:r w:rsidR="0089688B" w:rsidRPr="00A6144D">
        <w:rPr>
          <w:rFonts w:ascii="Arial" w:hAnsi="Arial" w:cs="Arial"/>
        </w:rPr>
        <w:t>(</w:t>
      </w:r>
      <w:r w:rsidR="00E97174" w:rsidRPr="00A6144D">
        <w:rPr>
          <w:rFonts w:ascii="Arial" w:hAnsi="Arial" w:cs="Arial"/>
        </w:rPr>
        <w:t xml:space="preserve">Ahmad </w:t>
      </w:r>
      <w:r w:rsidR="00FF6FFF" w:rsidRPr="00A6144D">
        <w:rPr>
          <w:rFonts w:ascii="Arial" w:hAnsi="Arial" w:cs="Arial"/>
        </w:rPr>
        <w:t>et al.,2023</w:t>
      </w:r>
      <w:r w:rsidR="00894E5D" w:rsidRPr="00A6144D">
        <w:rPr>
          <w:rFonts w:ascii="Arial" w:hAnsi="Arial" w:cs="Arial"/>
        </w:rPr>
        <w:t>). The</w:t>
      </w:r>
      <w:r w:rsidR="00A029BA" w:rsidRPr="00A6144D">
        <w:rPr>
          <w:rFonts w:ascii="Arial" w:hAnsi="Arial" w:cs="Arial"/>
        </w:rPr>
        <w:t xml:space="preserve"> efficiency and productivity of cross-functional teams are influenced by several factors, including decision-making speed, effective resource utilisation and the timely completion of tasks. By examining these factors and addressing the associated challenges, organisations can strengthen team performance and achieve better overall </w:t>
      </w:r>
      <w:r w:rsidR="00747F90" w:rsidRPr="00A6144D">
        <w:rPr>
          <w:rFonts w:ascii="Arial" w:hAnsi="Arial" w:cs="Arial"/>
        </w:rPr>
        <w:t>outcomes (Goessens.,2024).</w:t>
      </w:r>
    </w:p>
    <w:p w14:paraId="1D2ACB11" w14:textId="77777777" w:rsidR="00894E5D" w:rsidRPr="00A6144D" w:rsidRDefault="00894E5D" w:rsidP="00603965">
      <w:pPr>
        <w:jc w:val="both"/>
        <w:rPr>
          <w:rFonts w:ascii="Arial" w:hAnsi="Arial" w:cs="Arial"/>
        </w:rPr>
      </w:pPr>
    </w:p>
    <w:p w14:paraId="27FD8D45" w14:textId="4CCA3D90" w:rsidR="00894E5D" w:rsidRPr="00A6144D" w:rsidRDefault="00894E5D" w:rsidP="00603965">
      <w:pPr>
        <w:jc w:val="both"/>
        <w:rPr>
          <w:rFonts w:ascii="Arial" w:hAnsi="Arial" w:cs="Arial"/>
        </w:rPr>
      </w:pPr>
      <w:r w:rsidRPr="00A6144D">
        <w:rPr>
          <w:rFonts w:ascii="Arial" w:hAnsi="Arial" w:cs="Arial"/>
        </w:rPr>
        <w:t>The emergence of the matrix structure represents a significant evolution in management practices, recognizing the limitations of purely differentiated structures and providing a more advanced framework for achieving integration in an increasingly complex world. Successfully implementing matrix organizations depends on the crucial roles of leadership, culture, employee skills, and complementary formal systems. Adopting a matrix structure requires a deep understanding of the organization's architecture, including its formal and informal structures, networks, culture, and the skills and capabilities of its people. By taking a holistic approach, organizations can unlock the full potential of matrix forms to drive innovation, improve efficiency, and execute strategies effectively</w:t>
      </w:r>
      <w:r w:rsidR="005A6F6F" w:rsidRPr="00A6144D">
        <w:rPr>
          <w:rFonts w:ascii="Arial" w:hAnsi="Arial" w:cs="Arial"/>
        </w:rPr>
        <w:t xml:space="preserve"> (Sytch</w:t>
      </w:r>
      <w:r w:rsidR="00A53AC7" w:rsidRPr="00A6144D">
        <w:rPr>
          <w:rFonts w:ascii="Arial" w:hAnsi="Arial" w:cs="Arial"/>
        </w:rPr>
        <w:t xml:space="preserve"> et al</w:t>
      </w:r>
      <w:r w:rsidR="005A6F6F" w:rsidRPr="00A6144D">
        <w:rPr>
          <w:rFonts w:ascii="Arial" w:hAnsi="Arial" w:cs="Arial"/>
        </w:rPr>
        <w:t>.,2026).</w:t>
      </w:r>
    </w:p>
    <w:p w14:paraId="1E5DAAFD" w14:textId="77777777" w:rsidR="008C315D" w:rsidRPr="00A6144D" w:rsidRDefault="008C315D" w:rsidP="00603965">
      <w:pPr>
        <w:jc w:val="both"/>
        <w:rPr>
          <w:rFonts w:ascii="Arial" w:hAnsi="Arial" w:cs="Arial"/>
        </w:rPr>
      </w:pPr>
    </w:p>
    <w:p w14:paraId="5873B59D" w14:textId="1F04C7B4" w:rsidR="008C315D" w:rsidRPr="00A6144D" w:rsidRDefault="008C315D" w:rsidP="00603965">
      <w:pPr>
        <w:jc w:val="both"/>
        <w:rPr>
          <w:rFonts w:ascii="Arial" w:hAnsi="Arial" w:cs="Arial"/>
        </w:rPr>
      </w:pPr>
      <w:r w:rsidRPr="00A6144D">
        <w:rPr>
          <w:rFonts w:ascii="Arial" w:hAnsi="Arial" w:cs="Arial"/>
        </w:rPr>
        <w:t>Digital healthcare requires collaboration among clinicians, IT specialists, cybersecurity professionals, administrators and data scientists, with the designated clinical leader retaining final authority when clinical judgement, technological capabilities and organisational priorities conflict.</w:t>
      </w:r>
    </w:p>
    <w:p w14:paraId="28C231BF" w14:textId="77777777" w:rsidR="00027A99" w:rsidRPr="00A6144D" w:rsidRDefault="00027A99" w:rsidP="00E1059B">
      <w:pPr>
        <w:pStyle w:val="Heading2"/>
      </w:pPr>
    </w:p>
    <w:p w14:paraId="0D7D1F5C" w14:textId="7B1183D1" w:rsidR="00027A99" w:rsidRPr="00A6144D" w:rsidRDefault="00027A99" w:rsidP="00E1059B">
      <w:pPr>
        <w:pStyle w:val="Heading2"/>
        <w:rPr>
          <w:bCs/>
        </w:rPr>
      </w:pPr>
      <w:bookmarkStart w:id="23" w:name="_Toc238203194"/>
      <w:r w:rsidRPr="00A6144D">
        <w:rPr>
          <w:bCs/>
        </w:rPr>
        <w:t>4.3. Decentralisation and Empowerment</w:t>
      </w:r>
      <w:bookmarkEnd w:id="23"/>
      <w:r w:rsidRPr="00A6144D">
        <w:rPr>
          <w:bCs/>
        </w:rPr>
        <w:t xml:space="preserve">  </w:t>
      </w:r>
    </w:p>
    <w:p w14:paraId="59D70845" w14:textId="77777777" w:rsidR="00027A99" w:rsidRPr="00A6144D" w:rsidRDefault="00027A99" w:rsidP="00603965">
      <w:pPr>
        <w:jc w:val="both"/>
        <w:rPr>
          <w:rFonts w:ascii="Arial" w:hAnsi="Arial" w:cs="Arial"/>
          <w:b/>
          <w:bCs/>
        </w:rPr>
      </w:pPr>
    </w:p>
    <w:p w14:paraId="2A4D81DB" w14:textId="5F787A89" w:rsidR="00027A99" w:rsidRPr="00A6144D" w:rsidRDefault="00A3656F" w:rsidP="00603965">
      <w:pPr>
        <w:jc w:val="both"/>
        <w:rPr>
          <w:rFonts w:ascii="Arial" w:hAnsi="Arial" w:cs="Arial"/>
        </w:rPr>
      </w:pPr>
      <w:r w:rsidRPr="00A6144D">
        <w:rPr>
          <w:rFonts w:ascii="Arial" w:hAnsi="Arial" w:cs="Arial"/>
        </w:rPr>
        <w:t>In health systems, various tasks such as decision-making, managing human resources, and handling financial resources including allocation decisions can be decentralised</w:t>
      </w:r>
      <w:r w:rsidR="00FA49F1" w:rsidRPr="00A6144D">
        <w:rPr>
          <w:rFonts w:ascii="Arial" w:hAnsi="Arial" w:cs="Arial"/>
        </w:rPr>
        <w:t xml:space="preserve"> (Brennan et al.,2020).</w:t>
      </w:r>
      <w:r w:rsidR="0001277A" w:rsidRPr="00A6144D">
        <w:rPr>
          <w:rFonts w:ascii="Arial" w:hAnsi="Arial" w:cs="Arial"/>
        </w:rPr>
        <w:t xml:space="preserve"> Management decentralization in a healthcare provider organization seeks to optimize resource use and enhance responsiveness to patients by empowering </w:t>
      </w:r>
      <w:r w:rsidR="0001277A" w:rsidRPr="00A6144D">
        <w:rPr>
          <w:rFonts w:ascii="Arial" w:hAnsi="Arial" w:cs="Arial"/>
        </w:rPr>
        <w:lastRenderedPageBreak/>
        <w:t>front-line staff to make decisions that better address customer needs and adapt flexibly to local circumstances (Ohrling et al., 2021).</w:t>
      </w:r>
    </w:p>
    <w:p w14:paraId="238241BD" w14:textId="77777777" w:rsidR="0001277A" w:rsidRPr="00A6144D" w:rsidRDefault="0001277A" w:rsidP="00603965">
      <w:pPr>
        <w:jc w:val="both"/>
        <w:rPr>
          <w:rFonts w:ascii="Arial" w:hAnsi="Arial" w:cs="Arial"/>
        </w:rPr>
      </w:pPr>
    </w:p>
    <w:p w14:paraId="4CF11633" w14:textId="09643A56" w:rsidR="00B35D86" w:rsidRPr="00A6144D" w:rsidRDefault="00967E78" w:rsidP="00603965">
      <w:pPr>
        <w:jc w:val="both"/>
        <w:rPr>
          <w:rFonts w:ascii="Arial" w:hAnsi="Arial" w:cs="Arial"/>
        </w:rPr>
      </w:pPr>
      <w:r w:rsidRPr="00A6144D">
        <w:rPr>
          <w:rFonts w:ascii="Arial" w:hAnsi="Arial" w:cs="Arial"/>
        </w:rPr>
        <w:t>Health-system decentralisation involves transferring authority and decision-making power to lower organisational or governmental levels. Although it is most directly associated with the leadership and governance building block, its influence can extend across all six components of the health system. These effects are unlikely to be consistent, as decentralisation may strengthen certain building blocks while creating challenges or adverse consequences for others</w:t>
      </w:r>
      <w:r w:rsidR="0088294A" w:rsidRPr="00A6144D">
        <w:rPr>
          <w:rFonts w:ascii="Arial" w:hAnsi="Arial" w:cs="Arial"/>
        </w:rPr>
        <w:t xml:space="preserve"> (Sapkota et al.,2023).</w:t>
      </w:r>
    </w:p>
    <w:p w14:paraId="25C134D0" w14:textId="77777777" w:rsidR="00D1586F" w:rsidRPr="00A6144D" w:rsidRDefault="00D1586F" w:rsidP="00603965">
      <w:pPr>
        <w:jc w:val="both"/>
        <w:rPr>
          <w:rFonts w:ascii="Arial" w:hAnsi="Arial" w:cs="Arial"/>
        </w:rPr>
      </w:pPr>
    </w:p>
    <w:p w14:paraId="14DCFDE4" w14:textId="503DF751" w:rsidR="00D1586F" w:rsidRPr="00A6144D" w:rsidRDefault="00D1586F" w:rsidP="00603965">
      <w:pPr>
        <w:jc w:val="both"/>
        <w:rPr>
          <w:rFonts w:ascii="Arial" w:hAnsi="Arial" w:cs="Arial"/>
        </w:rPr>
      </w:pPr>
      <w:r w:rsidRPr="00A6144D">
        <w:rPr>
          <w:rFonts w:ascii="Arial" w:hAnsi="Arial" w:cs="Arial"/>
        </w:rPr>
        <w:t xml:space="preserve">Decisions such as staff deployment, service delivery and routine budget allocation should be </w:t>
      </w:r>
      <w:r w:rsidR="00FA77E8" w:rsidRPr="00A6144D">
        <w:rPr>
          <w:rFonts w:ascii="Arial" w:hAnsi="Arial" w:cs="Arial"/>
        </w:rPr>
        <w:t>decentralised,</w:t>
      </w:r>
      <w:r w:rsidR="004B0937" w:rsidRPr="00A6144D">
        <w:rPr>
          <w:rFonts w:ascii="Arial" w:hAnsi="Arial" w:cs="Arial"/>
        </w:rPr>
        <w:t xml:space="preserve"> and </w:t>
      </w:r>
      <w:r w:rsidR="00C85CEC" w:rsidRPr="00A6144D">
        <w:rPr>
          <w:rFonts w:ascii="Arial" w:hAnsi="Arial" w:cs="Arial"/>
        </w:rPr>
        <w:t>deci</w:t>
      </w:r>
      <w:r w:rsidR="002340B7" w:rsidRPr="00A6144D">
        <w:rPr>
          <w:rFonts w:ascii="Arial" w:hAnsi="Arial" w:cs="Arial"/>
        </w:rPr>
        <w:t xml:space="preserve">sions such as national policy, standards, funding, regulation, major procurement, and emergency coordination </w:t>
      </w:r>
      <w:r w:rsidR="0001257B" w:rsidRPr="00A6144D">
        <w:rPr>
          <w:rFonts w:ascii="Arial" w:hAnsi="Arial" w:cs="Arial"/>
        </w:rPr>
        <w:t xml:space="preserve">need to be centralised </w:t>
      </w:r>
      <w:r w:rsidR="005834A6" w:rsidRPr="00A6144D">
        <w:rPr>
          <w:rFonts w:ascii="Arial" w:hAnsi="Arial" w:cs="Arial"/>
        </w:rPr>
        <w:t>to ensure consistency, efficiency, and equity.</w:t>
      </w:r>
    </w:p>
    <w:p w14:paraId="50F340F7" w14:textId="77777777" w:rsidR="00F92679" w:rsidRPr="00A6144D" w:rsidRDefault="00F92679" w:rsidP="00603965">
      <w:pPr>
        <w:jc w:val="both"/>
        <w:rPr>
          <w:rFonts w:ascii="Arial" w:hAnsi="Arial" w:cs="Arial"/>
        </w:rPr>
      </w:pPr>
    </w:p>
    <w:p w14:paraId="48F7B3F3" w14:textId="2978C8A8" w:rsidR="00F92679" w:rsidRPr="00A6144D" w:rsidRDefault="00F92679" w:rsidP="00ED07B5">
      <w:pPr>
        <w:pStyle w:val="Heading1"/>
        <w:ind w:left="284" w:hanging="284"/>
      </w:pPr>
      <w:bookmarkStart w:id="24" w:name="_Toc238203195"/>
      <w:r w:rsidRPr="00A6144D">
        <w:t>Redefining Management Roles</w:t>
      </w:r>
      <w:bookmarkEnd w:id="24"/>
      <w:r w:rsidRPr="00A6144D">
        <w:t xml:space="preserve">  </w:t>
      </w:r>
    </w:p>
    <w:p w14:paraId="1D5A4081" w14:textId="77777777" w:rsidR="00F03B18" w:rsidRPr="00A6144D" w:rsidRDefault="00F03B18" w:rsidP="00603965">
      <w:pPr>
        <w:jc w:val="both"/>
        <w:rPr>
          <w:rFonts w:ascii="Arial" w:hAnsi="Arial" w:cs="Arial"/>
          <w:b/>
          <w:bCs/>
        </w:rPr>
      </w:pPr>
    </w:p>
    <w:p w14:paraId="24314178" w14:textId="66603BB7" w:rsidR="00F03B18" w:rsidRPr="00A6144D" w:rsidRDefault="00F03B18" w:rsidP="00603965">
      <w:pPr>
        <w:jc w:val="both"/>
        <w:rPr>
          <w:rFonts w:ascii="Arial" w:hAnsi="Arial" w:cs="Arial"/>
        </w:rPr>
      </w:pPr>
      <w:r w:rsidRPr="00A6144D">
        <w:rPr>
          <w:rFonts w:ascii="Arial" w:hAnsi="Arial" w:cs="Arial"/>
        </w:rPr>
        <w:t>Employee engagement is declining globally, while burnout and intentions to leave organisations remain widespread. Ineffective management is frequently identified as an important contributing factor. Traditional management models developed during the twentieth century may no longer adequately address the expectations of a diverse, post-pandemic workforce, thereby contributing to employee stress, dissatisfaction and disengagement</w:t>
      </w:r>
      <w:r w:rsidR="003F756A" w:rsidRPr="00A6144D">
        <w:rPr>
          <w:rFonts w:ascii="Arial" w:hAnsi="Arial" w:cs="Arial"/>
        </w:rPr>
        <w:t xml:space="preserve"> (Ashley-Timms.,2025).</w:t>
      </w:r>
    </w:p>
    <w:p w14:paraId="4AD196BA" w14:textId="77777777" w:rsidR="00E87951" w:rsidRPr="00A6144D" w:rsidRDefault="00E87951" w:rsidP="00603965">
      <w:pPr>
        <w:jc w:val="both"/>
        <w:rPr>
          <w:rFonts w:ascii="Arial" w:hAnsi="Arial" w:cs="Arial"/>
        </w:rPr>
      </w:pPr>
    </w:p>
    <w:p w14:paraId="6BB585C4" w14:textId="5E15E891" w:rsidR="00E87951" w:rsidRPr="00A6144D" w:rsidRDefault="00E87951" w:rsidP="00ED07B5">
      <w:pPr>
        <w:pStyle w:val="Heading2"/>
        <w:rPr>
          <w:rFonts w:cs="Arial"/>
          <w:bCs/>
          <w:color w:val="000000"/>
          <w:szCs w:val="24"/>
        </w:rPr>
      </w:pPr>
      <w:bookmarkStart w:id="25" w:name="_Toc238203196"/>
      <w:r w:rsidRPr="00A6144D">
        <w:rPr>
          <w:rFonts w:cs="Arial"/>
          <w:bCs/>
          <w:color w:val="000000"/>
          <w:szCs w:val="24"/>
        </w:rPr>
        <w:t>5.1</w:t>
      </w:r>
      <w:r w:rsidRPr="00ED07B5">
        <w:t>. Transformational Leadership</w:t>
      </w:r>
      <w:bookmarkEnd w:id="25"/>
    </w:p>
    <w:p w14:paraId="43EF787F" w14:textId="77777777" w:rsidR="007A16DB" w:rsidRPr="00A6144D" w:rsidRDefault="007A16DB" w:rsidP="00603965">
      <w:pPr>
        <w:jc w:val="both"/>
        <w:rPr>
          <w:rFonts w:ascii="Arial" w:hAnsi="Arial" w:cs="Arial"/>
          <w:color w:val="000000"/>
        </w:rPr>
      </w:pPr>
    </w:p>
    <w:p w14:paraId="79F27CF1" w14:textId="153A0F5B" w:rsidR="00A84F08" w:rsidRPr="00A6144D" w:rsidRDefault="00C23A83" w:rsidP="00603965">
      <w:pPr>
        <w:jc w:val="both"/>
        <w:rPr>
          <w:rFonts w:ascii="Arial" w:hAnsi="Arial" w:cs="Arial"/>
          <w:color w:val="000000"/>
        </w:rPr>
      </w:pPr>
      <w:r w:rsidRPr="00A6144D">
        <w:rPr>
          <w:rFonts w:ascii="Arial" w:hAnsi="Arial" w:cs="Arial"/>
          <w:color w:val="000000"/>
        </w:rPr>
        <w:t>Transformational leadership stands out for its ability to motivate workforces and guide substantial corporate turnarounds, making it essential in highly dynamic industries. The dual pressures of global market integration and breakneck technological shifts mean modern organizations must constantly adapt and innovate. When applied effectively, this management style serves as a catalyst that triggers organizational environments focused on continuous learning and creative problem-solving</w:t>
      </w:r>
      <w:r w:rsidR="00D217B6" w:rsidRPr="00A6144D">
        <w:rPr>
          <w:rFonts w:ascii="Arial" w:hAnsi="Arial" w:cs="Arial"/>
          <w:color w:val="000000"/>
        </w:rPr>
        <w:t xml:space="preserve"> (Gupta,</w:t>
      </w:r>
      <w:r w:rsidR="00EF73D9" w:rsidRPr="00A6144D">
        <w:rPr>
          <w:rFonts w:ascii="Arial" w:hAnsi="Arial" w:cs="Arial"/>
          <w:color w:val="000000"/>
        </w:rPr>
        <w:t>2025).</w:t>
      </w:r>
    </w:p>
    <w:p w14:paraId="4E3D789F" w14:textId="77777777" w:rsidR="00EF73D9" w:rsidRPr="00A6144D" w:rsidRDefault="00EF73D9" w:rsidP="00603965">
      <w:pPr>
        <w:jc w:val="both"/>
        <w:rPr>
          <w:rFonts w:ascii="Arial" w:hAnsi="Arial" w:cs="Arial"/>
          <w:color w:val="000000"/>
        </w:rPr>
      </w:pPr>
    </w:p>
    <w:p w14:paraId="5E510064" w14:textId="653ED89F" w:rsidR="007A16DB" w:rsidRPr="00A6144D" w:rsidRDefault="007A16DB" w:rsidP="00603965">
      <w:pPr>
        <w:jc w:val="both"/>
        <w:rPr>
          <w:rFonts w:ascii="Arial" w:hAnsi="Arial" w:cs="Arial"/>
          <w:b/>
          <w:bCs/>
          <w:color w:val="000000"/>
        </w:rPr>
      </w:pPr>
      <w:r w:rsidRPr="00A6144D">
        <w:rPr>
          <w:rFonts w:ascii="Arial" w:hAnsi="Arial" w:cs="Arial"/>
          <w:color w:val="000000"/>
        </w:rPr>
        <w:t>Extensive research demonstrates that transformational leadership is inversely linked to medical errors and patient complications. This reduction occurs because visionary leaders build a proactive culture centered around hazard reduction and error prevention (Htet et al., 2024). Furthermore, these leaders actively cultivate positive workplace environments by securing highly qualified and capable staff (Yılmaz &amp; Duygulu</w:t>
      </w:r>
      <w:r w:rsidR="00414797" w:rsidRPr="00A6144D">
        <w:rPr>
          <w:rFonts w:ascii="Arial" w:hAnsi="Arial" w:cs="Arial"/>
          <w:color w:val="000000"/>
        </w:rPr>
        <w:t>.,</w:t>
      </w:r>
      <w:r w:rsidRPr="00A6144D">
        <w:rPr>
          <w:rFonts w:ascii="Arial" w:hAnsi="Arial" w:cs="Arial"/>
          <w:color w:val="000000"/>
        </w:rPr>
        <w:t xml:space="preserve"> 2021). From a broader perspective, literature indicates that such visionary management practices protect institutions from legal liabilities while significantly boosting their public profile as trusted providers of high-standard patient care (Thompson et al., 2024; Peutere et al., 2024).</w:t>
      </w:r>
    </w:p>
    <w:p w14:paraId="007ABBEA" w14:textId="77777777" w:rsidR="00E87951" w:rsidRPr="00A6144D" w:rsidRDefault="00E87951" w:rsidP="00603965">
      <w:pPr>
        <w:jc w:val="both"/>
        <w:rPr>
          <w:rFonts w:ascii="Arial" w:hAnsi="Arial" w:cs="Arial"/>
          <w:b/>
          <w:bCs/>
          <w:color w:val="000000"/>
        </w:rPr>
      </w:pPr>
    </w:p>
    <w:p w14:paraId="11262E71" w14:textId="447B44BB" w:rsidR="00E87951" w:rsidRPr="00A6144D" w:rsidRDefault="002D13FD" w:rsidP="00603965">
      <w:pPr>
        <w:jc w:val="both"/>
        <w:rPr>
          <w:rFonts w:ascii="Arial" w:hAnsi="Arial" w:cs="Arial"/>
        </w:rPr>
      </w:pPr>
      <w:r w:rsidRPr="00A6144D">
        <w:rPr>
          <w:rFonts w:ascii="Arial" w:hAnsi="Arial" w:cs="Arial"/>
        </w:rPr>
        <w:t xml:space="preserve">Zuo et al. (2024) highlight that safeguarding the retention of healthcare professionals and cultivating a workplace culture driven by innovation requires decision-makers to embrace transformational leadership and expand their absorptive capacity. The authors advocate for targeted workplace training and educational frameworks that equip health sector staff with crucial managerial and leadership competencies. Ultimately, integrating a </w:t>
      </w:r>
      <w:r w:rsidRPr="00A6144D">
        <w:rPr>
          <w:rFonts w:ascii="Arial" w:hAnsi="Arial" w:cs="Arial"/>
        </w:rPr>
        <w:lastRenderedPageBreak/>
        <w:t>transformational leadership philosophy allows healthcare organizations to secure a robust, sustainable position within the competitive global marketplace.</w:t>
      </w:r>
    </w:p>
    <w:p w14:paraId="40822D63" w14:textId="77777777" w:rsidR="007A62AA" w:rsidRPr="00A6144D" w:rsidRDefault="007A62AA" w:rsidP="00603965">
      <w:pPr>
        <w:jc w:val="both"/>
        <w:rPr>
          <w:rFonts w:ascii="Arial" w:hAnsi="Arial" w:cs="Arial"/>
        </w:rPr>
      </w:pPr>
    </w:p>
    <w:p w14:paraId="61A5FAE8" w14:textId="61568363" w:rsidR="007A62AA" w:rsidRPr="00A6144D" w:rsidRDefault="007A62AA" w:rsidP="00603965">
      <w:pPr>
        <w:jc w:val="both"/>
        <w:rPr>
          <w:rFonts w:ascii="Arial" w:hAnsi="Arial" w:cs="Arial"/>
        </w:rPr>
      </w:pPr>
      <w:r w:rsidRPr="00A6144D">
        <w:rPr>
          <w:rFonts w:ascii="Arial" w:hAnsi="Arial" w:cs="Arial"/>
        </w:rPr>
        <w:t>Transformational leaders anticipate change, communicate a shared vision and assist employees in achieving both individual and collective objectives. By developing constructive relationships with team members and encouraging them to look beyond their immediate personal interests, these leaders can strengthen organisational agility. They also prepare employees to respond effectively to emerging challenges and take advantage of potential opportunities (Busari et al., 2020; Islam et al., 2021).</w:t>
      </w:r>
    </w:p>
    <w:p w14:paraId="40CC38F2" w14:textId="77777777" w:rsidR="00EF73D9" w:rsidRPr="00A6144D" w:rsidRDefault="00EF73D9" w:rsidP="00603965">
      <w:pPr>
        <w:jc w:val="both"/>
        <w:rPr>
          <w:rFonts w:ascii="Arial" w:hAnsi="Arial" w:cs="Arial"/>
        </w:rPr>
      </w:pPr>
    </w:p>
    <w:p w14:paraId="36141B2D" w14:textId="62B181F1" w:rsidR="00F24D26" w:rsidRPr="00A6144D" w:rsidRDefault="00F24D26" w:rsidP="00603965">
      <w:pPr>
        <w:jc w:val="both"/>
        <w:rPr>
          <w:rFonts w:ascii="Arial" w:hAnsi="Arial" w:cs="Arial"/>
        </w:rPr>
      </w:pPr>
      <w:r w:rsidRPr="00A6144D">
        <w:rPr>
          <w:rFonts w:ascii="Arial" w:hAnsi="Arial" w:cs="Arial"/>
        </w:rPr>
        <w:t>Within healthcare, transformational practices directly elevate care standards, staff retention, and workplace morale. For example, a hospital administrator might spearhead a patient-first model of care by inspiring employees to adopt routines that safeguard patient safety and satisfaction. Relying on clear communication, structured feedback, and individualized mentoring allows the leader to bridge gaps among staff, driving sustained improvements that build a lasting culture of empathy and clinical excellence</w:t>
      </w:r>
      <w:r w:rsidR="00DA2F30" w:rsidRPr="00A6144D">
        <w:rPr>
          <w:rFonts w:ascii="Arial" w:hAnsi="Arial" w:cs="Arial"/>
        </w:rPr>
        <w:t xml:space="preserve"> (Gupta,2025).</w:t>
      </w:r>
    </w:p>
    <w:p w14:paraId="0619A2D0" w14:textId="77777777" w:rsidR="00E0554C" w:rsidRPr="00A6144D" w:rsidRDefault="00E0554C" w:rsidP="00603965">
      <w:pPr>
        <w:jc w:val="both"/>
        <w:rPr>
          <w:rFonts w:ascii="Arial" w:hAnsi="Arial" w:cs="Arial"/>
        </w:rPr>
      </w:pPr>
    </w:p>
    <w:p w14:paraId="14538978" w14:textId="367CC1E6" w:rsidR="00E0554C" w:rsidRPr="00A6144D" w:rsidRDefault="002E7A06" w:rsidP="00603965">
      <w:pPr>
        <w:jc w:val="both"/>
        <w:rPr>
          <w:rFonts w:ascii="Arial" w:hAnsi="Arial" w:cs="Arial"/>
        </w:rPr>
      </w:pPr>
      <w:r w:rsidRPr="00A6144D">
        <w:rPr>
          <w:rFonts w:ascii="Arial" w:hAnsi="Arial" w:cs="Arial"/>
        </w:rPr>
        <w:t xml:space="preserve">The traditional managers </w:t>
      </w:r>
      <w:r w:rsidR="00FC4CD2" w:rsidRPr="00A6144D">
        <w:rPr>
          <w:rFonts w:ascii="Arial" w:hAnsi="Arial" w:cs="Arial"/>
        </w:rPr>
        <w:t>direct</w:t>
      </w:r>
      <w:r w:rsidRPr="00A6144D">
        <w:rPr>
          <w:rFonts w:ascii="Arial" w:hAnsi="Arial" w:cs="Arial"/>
        </w:rPr>
        <w:t xml:space="preserve">, supervises, controls, </w:t>
      </w:r>
      <w:r w:rsidR="00FC4CD2" w:rsidRPr="00A6144D">
        <w:rPr>
          <w:rFonts w:ascii="Arial" w:hAnsi="Arial" w:cs="Arial"/>
        </w:rPr>
        <w:t xml:space="preserve">allocates. </w:t>
      </w:r>
      <w:r w:rsidR="0021625D" w:rsidRPr="00A6144D">
        <w:rPr>
          <w:rFonts w:ascii="Arial" w:hAnsi="Arial" w:cs="Arial"/>
        </w:rPr>
        <w:t>Whereas</w:t>
      </w:r>
      <w:r w:rsidR="00FF07C6" w:rsidRPr="00A6144D">
        <w:rPr>
          <w:rFonts w:ascii="Arial" w:hAnsi="Arial" w:cs="Arial"/>
        </w:rPr>
        <w:t xml:space="preserve"> </w:t>
      </w:r>
      <w:r w:rsidR="00FC4CD2" w:rsidRPr="00A6144D">
        <w:rPr>
          <w:rFonts w:ascii="Arial" w:hAnsi="Arial" w:cs="Arial"/>
        </w:rPr>
        <w:t>Contemporary healthcare manage</w:t>
      </w:r>
      <w:r w:rsidR="0021625D" w:rsidRPr="00A6144D">
        <w:rPr>
          <w:rFonts w:ascii="Arial" w:hAnsi="Arial" w:cs="Arial"/>
        </w:rPr>
        <w:t>rs coordinate</w:t>
      </w:r>
      <w:r w:rsidR="00FC4CD2" w:rsidRPr="00A6144D">
        <w:rPr>
          <w:rFonts w:ascii="Arial" w:hAnsi="Arial" w:cs="Arial"/>
        </w:rPr>
        <w:t>, facilitates, interprets data, leads change, develops people, manages digital systems and collaborates across professional boundaries.</w:t>
      </w:r>
      <w:r w:rsidR="000D13D9" w:rsidRPr="00A6144D">
        <w:rPr>
          <w:rFonts w:ascii="Arial" w:hAnsi="Arial" w:cs="Arial"/>
        </w:rPr>
        <w:t xml:space="preserve"> Few traditional functions have</w:t>
      </w:r>
      <w:r w:rsidR="00527B83" w:rsidRPr="00A6144D">
        <w:rPr>
          <w:rFonts w:ascii="Arial" w:hAnsi="Arial" w:cs="Arial"/>
        </w:rPr>
        <w:t xml:space="preserve"> disappeared. Instead, the contemporary manager has acquired additional </w:t>
      </w:r>
      <w:r w:rsidR="00412218" w:rsidRPr="00A6144D">
        <w:rPr>
          <w:rFonts w:ascii="Arial" w:hAnsi="Arial" w:cs="Arial"/>
        </w:rPr>
        <w:t>responsibilities. This further</w:t>
      </w:r>
      <w:r w:rsidR="00527B83" w:rsidRPr="00A6144D">
        <w:rPr>
          <w:rFonts w:ascii="Arial" w:hAnsi="Arial" w:cs="Arial"/>
        </w:rPr>
        <w:t xml:space="preserve"> supports transformation rather than obsolescence.</w:t>
      </w:r>
    </w:p>
    <w:p w14:paraId="0C38AED4" w14:textId="77777777" w:rsidR="00DA2F30" w:rsidRPr="00A6144D" w:rsidRDefault="00DA2F30" w:rsidP="00603965">
      <w:pPr>
        <w:jc w:val="both"/>
        <w:rPr>
          <w:rFonts w:ascii="Arial" w:hAnsi="Arial" w:cs="Arial"/>
        </w:rPr>
      </w:pPr>
    </w:p>
    <w:p w14:paraId="3BCA3BF5" w14:textId="12E0CF6C" w:rsidR="004747D1" w:rsidRPr="00A6144D" w:rsidRDefault="004747D1" w:rsidP="00ED07B5">
      <w:pPr>
        <w:pStyle w:val="Heading2"/>
      </w:pPr>
      <w:bookmarkStart w:id="26" w:name="_Toc238203197"/>
      <w:r w:rsidRPr="00A6144D">
        <w:t>5.2. Embracing Technological Literacy</w:t>
      </w:r>
      <w:bookmarkEnd w:id="26"/>
      <w:r w:rsidRPr="00A6144D">
        <w:t xml:space="preserve">  </w:t>
      </w:r>
    </w:p>
    <w:p w14:paraId="6F34BBDE" w14:textId="77777777" w:rsidR="004747D1" w:rsidRPr="00A6144D" w:rsidRDefault="004747D1" w:rsidP="00603965">
      <w:pPr>
        <w:jc w:val="both"/>
        <w:rPr>
          <w:rFonts w:ascii="Arial" w:hAnsi="Arial" w:cs="Arial"/>
          <w:b/>
          <w:bCs/>
        </w:rPr>
      </w:pPr>
    </w:p>
    <w:p w14:paraId="2CD8998E" w14:textId="5BA23307" w:rsidR="00FA048E" w:rsidRPr="00A6144D" w:rsidRDefault="00FA048E" w:rsidP="00603965">
      <w:pPr>
        <w:jc w:val="both"/>
        <w:rPr>
          <w:rFonts w:ascii="Arial" w:hAnsi="Arial" w:cs="Arial"/>
          <w:b/>
          <w:bCs/>
        </w:rPr>
      </w:pPr>
      <w:r w:rsidRPr="00A6144D">
        <w:rPr>
          <w:rFonts w:ascii="Arial" w:hAnsi="Arial" w:cs="Arial"/>
        </w:rPr>
        <w:t>Digital literacy refers not only to an individual’s ability to operate digital devices and technologies but also to the cognitive, learning and affective capabilities required for their effective use (Matarazzo et al., 2021). It incorporates three interrelated dimensions: knowledge, skills and attitudes (Makowska-Tłomak et al., 2023). As an important personal resource, digital literacy shapes how individuals interpret and respond to workplace pressures arising from organisational digital</w:t>
      </w:r>
      <w:r w:rsidR="002836E5" w:rsidRPr="00A6144D">
        <w:rPr>
          <w:rFonts w:ascii="Arial" w:hAnsi="Arial" w:cs="Arial"/>
        </w:rPr>
        <w:t xml:space="preserve"> </w:t>
      </w:r>
      <w:r w:rsidRPr="00A6144D">
        <w:rPr>
          <w:rFonts w:ascii="Arial" w:hAnsi="Arial" w:cs="Arial"/>
        </w:rPr>
        <w:t>technology requirements. Individuals with higher levels of digital literacy are generally better equipped to navigate digital tools, platforms and systems</w:t>
      </w:r>
      <w:r w:rsidR="00966155" w:rsidRPr="00A6144D">
        <w:rPr>
          <w:rFonts w:ascii="Arial" w:hAnsi="Arial" w:cs="Arial"/>
          <w:b/>
          <w:bCs/>
        </w:rPr>
        <w:t>.</w:t>
      </w:r>
    </w:p>
    <w:p w14:paraId="1A877B05" w14:textId="77777777" w:rsidR="004747D1" w:rsidRPr="00A6144D" w:rsidRDefault="004747D1" w:rsidP="00603965">
      <w:pPr>
        <w:jc w:val="both"/>
        <w:rPr>
          <w:rFonts w:ascii="Arial" w:hAnsi="Arial" w:cs="Arial"/>
        </w:rPr>
      </w:pPr>
    </w:p>
    <w:p w14:paraId="01B47AC7" w14:textId="1AC58D06" w:rsidR="00CE337D" w:rsidRPr="00A6144D" w:rsidRDefault="00515678" w:rsidP="00603965">
      <w:pPr>
        <w:jc w:val="both"/>
        <w:rPr>
          <w:rFonts w:ascii="Arial" w:hAnsi="Arial" w:cs="Arial"/>
        </w:rPr>
      </w:pPr>
      <w:r w:rsidRPr="00A6144D">
        <w:rPr>
          <w:rFonts w:ascii="Arial" w:hAnsi="Arial" w:cs="Arial"/>
        </w:rPr>
        <w:t>Digital literacy</w:t>
      </w:r>
      <w:r w:rsidR="00401428" w:rsidRPr="00A6144D">
        <w:rPr>
          <w:rFonts w:ascii="Arial" w:hAnsi="Arial" w:cs="Arial"/>
        </w:rPr>
        <w:t xml:space="preserve"> includes practical abilities like searching for information, choosing relevant sources, critically evaluating content, creatively presenting findings, and working effectively with others. The five key indicators of digital literacy are searching and managing information, utilizing digital tools, technical proficiency, safeguarding privacy, and distinguishing reliable information</w:t>
      </w:r>
      <w:r w:rsidR="002A7DC7" w:rsidRPr="00A6144D">
        <w:rPr>
          <w:rFonts w:ascii="Arial" w:hAnsi="Arial" w:cs="Arial"/>
        </w:rPr>
        <w:t>. Information and communication technology (ICT) literacy, which is a part of digital literacy, centers on the ability to use digital tools for accessing and managing information, recognizing information needs, and assessing the quality of information</w:t>
      </w:r>
      <w:r w:rsidR="00761F2C" w:rsidRPr="00A6144D">
        <w:rPr>
          <w:rFonts w:ascii="Arial" w:hAnsi="Arial" w:cs="Arial"/>
        </w:rPr>
        <w:t xml:space="preserve"> </w:t>
      </w:r>
      <w:r w:rsidR="00401428" w:rsidRPr="00A6144D">
        <w:rPr>
          <w:rFonts w:ascii="Arial" w:hAnsi="Arial" w:cs="Arial"/>
        </w:rPr>
        <w:t>(Dolatabadi et al., 2024).</w:t>
      </w:r>
    </w:p>
    <w:p w14:paraId="2EEB284E" w14:textId="77777777" w:rsidR="00723728" w:rsidRPr="00A6144D" w:rsidRDefault="00723728" w:rsidP="00603965">
      <w:pPr>
        <w:jc w:val="both"/>
        <w:rPr>
          <w:rFonts w:ascii="Arial" w:hAnsi="Arial" w:cs="Arial"/>
        </w:rPr>
      </w:pPr>
    </w:p>
    <w:p w14:paraId="09D955A1" w14:textId="5CEA8E34" w:rsidR="004516F9" w:rsidRPr="00A6144D" w:rsidRDefault="00723728" w:rsidP="00603965">
      <w:pPr>
        <w:jc w:val="both"/>
        <w:rPr>
          <w:rFonts w:ascii="Arial" w:hAnsi="Arial" w:cs="Arial"/>
        </w:rPr>
      </w:pPr>
      <w:r w:rsidRPr="00A6144D">
        <w:rPr>
          <w:rFonts w:ascii="Arial" w:hAnsi="Arial" w:cs="Arial"/>
        </w:rPr>
        <w:t xml:space="preserve">Effective interaction among professionals is particularly important during healthcare digitalization. However, specialists possess varying levels of digital skills and abilities. Therefore, enhancing the computer literacy of medical and pharmaceutical workers is essential to ensure proper clinical trial management, boost their motivation for self-improvement, and upgrade workplace equipment with personal computers. Optimal </w:t>
      </w:r>
      <w:r w:rsidRPr="00A6144D">
        <w:rPr>
          <w:rFonts w:ascii="Arial" w:hAnsi="Arial" w:cs="Arial"/>
        </w:rPr>
        <w:lastRenderedPageBreak/>
        <w:t>organizational decisions can be made by standardizing digital literacy requirements, creating and implementing focused educational programs, and improving the technical infrastructure of medical institutions</w:t>
      </w:r>
      <w:r w:rsidR="006237F4" w:rsidRPr="00A6144D">
        <w:rPr>
          <w:rFonts w:ascii="Arial" w:hAnsi="Arial" w:cs="Arial"/>
        </w:rPr>
        <w:t xml:space="preserve"> </w:t>
      </w:r>
      <w:r w:rsidR="00802C4F" w:rsidRPr="00A6144D">
        <w:rPr>
          <w:rFonts w:ascii="Arial" w:hAnsi="Arial" w:cs="Arial"/>
        </w:rPr>
        <w:t>(Sokolova et al.,20</w:t>
      </w:r>
      <w:r w:rsidR="006237F4" w:rsidRPr="00A6144D">
        <w:rPr>
          <w:rFonts w:ascii="Arial" w:hAnsi="Arial" w:cs="Arial"/>
        </w:rPr>
        <w:t>25).</w:t>
      </w:r>
    </w:p>
    <w:p w14:paraId="13D77FE9" w14:textId="77777777" w:rsidR="004516F9" w:rsidRPr="00A6144D" w:rsidRDefault="004516F9" w:rsidP="00603965">
      <w:pPr>
        <w:jc w:val="both"/>
        <w:rPr>
          <w:rFonts w:ascii="Arial" w:hAnsi="Arial" w:cs="Arial"/>
        </w:rPr>
      </w:pPr>
    </w:p>
    <w:p w14:paraId="7A62F875" w14:textId="34DD34B9" w:rsidR="004516F9" w:rsidRPr="00A6144D" w:rsidRDefault="004516F9" w:rsidP="00603965">
      <w:pPr>
        <w:jc w:val="both"/>
        <w:rPr>
          <w:rFonts w:ascii="Arial" w:hAnsi="Arial" w:cs="Arial"/>
        </w:rPr>
      </w:pPr>
      <w:r w:rsidRPr="00A6144D">
        <w:rPr>
          <w:rFonts w:ascii="Arial" w:hAnsi="Arial" w:cs="Arial"/>
        </w:rPr>
        <w:t>Digital literacy and skills are increasingly essential across various healthcare professions, becoming vital transversal competencies. These abilities encompass a set of attitudes, values, and methods that can easily transfer from one professional area to another. As digital technology and healthcare services continue to advance rapidly, it is necessary to continuously update digital literacy and skills to avoid or reduce the risks of digital exclusion.</w:t>
      </w:r>
      <w:r w:rsidR="00ED4478" w:rsidRPr="00A6144D">
        <w:rPr>
          <w:rFonts w:ascii="Arial" w:hAnsi="Arial" w:cs="Arial"/>
        </w:rPr>
        <w:t xml:space="preserve"> Ensuring broad digital literacy, skills, and connectivity in today’s digital environment poses a major challenge for all stakeholders, especially in delivering accessible healthcare services that are vital for personal well-being and a strong economy</w:t>
      </w:r>
      <w:r w:rsidR="00CD4B61" w:rsidRPr="00A6144D">
        <w:rPr>
          <w:rFonts w:ascii="Arial" w:hAnsi="Arial" w:cs="Arial"/>
        </w:rPr>
        <w:t xml:space="preserve"> (Bejaković and </w:t>
      </w:r>
      <w:r w:rsidR="00145E12" w:rsidRPr="00A6144D">
        <w:rPr>
          <w:rFonts w:ascii="Arial" w:hAnsi="Arial" w:cs="Arial"/>
        </w:rPr>
        <w:t>Mrnjavac.,2024).</w:t>
      </w:r>
    </w:p>
    <w:p w14:paraId="50CE854A" w14:textId="77777777" w:rsidR="004C1ADD" w:rsidRPr="00A6144D" w:rsidRDefault="004C1ADD" w:rsidP="00603965">
      <w:pPr>
        <w:jc w:val="both"/>
        <w:rPr>
          <w:rFonts w:ascii="Arial" w:hAnsi="Arial" w:cs="Arial"/>
        </w:rPr>
      </w:pPr>
    </w:p>
    <w:p w14:paraId="25F4A654" w14:textId="67CA265E" w:rsidR="004C1ADD" w:rsidRPr="00A6144D" w:rsidRDefault="006C11FB" w:rsidP="00603965">
      <w:pPr>
        <w:jc w:val="both"/>
        <w:rPr>
          <w:rFonts w:ascii="Arial" w:hAnsi="Arial" w:cs="Arial"/>
        </w:rPr>
      </w:pPr>
      <w:r w:rsidRPr="00A6144D">
        <w:rPr>
          <w:rFonts w:ascii="Arial" w:hAnsi="Arial" w:cs="Arial"/>
        </w:rPr>
        <w:t>Therefore, d</w:t>
      </w:r>
      <w:r w:rsidR="004C1ADD" w:rsidRPr="00A6144D">
        <w:rPr>
          <w:rFonts w:ascii="Arial" w:hAnsi="Arial" w:cs="Arial"/>
        </w:rPr>
        <w:t>igital literacy has emerged as an essential managerial competency, enabling managers to assess digital information, guide technology implementation, manage cybersecurity risks and lead technology-enabled teams.</w:t>
      </w:r>
      <w:r w:rsidR="00EE6E98" w:rsidRPr="00A6144D">
        <w:rPr>
          <w:rFonts w:ascii="Arial" w:hAnsi="Arial" w:cs="Arial"/>
        </w:rPr>
        <w:t xml:space="preserve"> The literature indicates that technological literacy does not replace traditional managerial competencies; rather, it complements and extends them.</w:t>
      </w:r>
    </w:p>
    <w:p w14:paraId="10D32080" w14:textId="77777777" w:rsidR="00515678" w:rsidRPr="00A6144D" w:rsidRDefault="00515678" w:rsidP="00603965">
      <w:pPr>
        <w:jc w:val="both"/>
        <w:rPr>
          <w:rFonts w:ascii="Arial" w:hAnsi="Arial" w:cs="Arial"/>
        </w:rPr>
      </w:pPr>
    </w:p>
    <w:p w14:paraId="4751A9BE" w14:textId="1FCC3127" w:rsidR="00A85AD6" w:rsidRPr="00A6144D" w:rsidRDefault="00EF3F67" w:rsidP="00ED07B5">
      <w:pPr>
        <w:pStyle w:val="Heading1"/>
        <w:ind w:left="284" w:hanging="284"/>
      </w:pPr>
      <w:bookmarkStart w:id="27" w:name="_Toc238203198"/>
      <w:r w:rsidRPr="00A6144D">
        <w:t>Challenges and Opportunities</w:t>
      </w:r>
      <w:bookmarkEnd w:id="27"/>
    </w:p>
    <w:p w14:paraId="67187CE4" w14:textId="77777777" w:rsidR="00DB67C7" w:rsidRPr="00A6144D" w:rsidRDefault="00DB67C7" w:rsidP="00603965">
      <w:pPr>
        <w:jc w:val="both"/>
        <w:rPr>
          <w:rFonts w:ascii="Arial" w:hAnsi="Arial" w:cs="Arial"/>
          <w:b/>
          <w:bCs/>
        </w:rPr>
      </w:pPr>
    </w:p>
    <w:p w14:paraId="01ED4408" w14:textId="788CCD39" w:rsidR="008D47DF" w:rsidRPr="00A6144D" w:rsidRDefault="008D47DF" w:rsidP="00603965">
      <w:pPr>
        <w:jc w:val="both"/>
        <w:rPr>
          <w:rFonts w:ascii="Arial" w:hAnsi="Arial" w:cs="Arial"/>
        </w:rPr>
      </w:pPr>
      <w:r w:rsidRPr="00A6144D">
        <w:rPr>
          <w:rFonts w:ascii="Arial" w:hAnsi="Arial" w:cs="Arial"/>
        </w:rPr>
        <w:t>Rapid advances in digital and information technologies have significantly transformed the structures and capabilities of electronic businesses. Improvements in information and communication technologies, the expansion of e-commerce and the adoption of innovative digital tools have created unprecedented opportunities for business development and growth. However, operating in this increasingly complex environment also presents substantial challenges, requiring organisations to develop innovative strategies and sustainable solutions</w:t>
      </w:r>
      <w:r w:rsidR="00357216" w:rsidRPr="00A6144D">
        <w:rPr>
          <w:rFonts w:ascii="Arial" w:hAnsi="Arial" w:cs="Arial"/>
        </w:rPr>
        <w:t xml:space="preserve"> </w:t>
      </w:r>
      <w:r w:rsidRPr="00A6144D">
        <w:rPr>
          <w:rFonts w:ascii="Arial" w:hAnsi="Arial" w:cs="Arial"/>
        </w:rPr>
        <w:t>(</w:t>
      </w:r>
      <w:r w:rsidR="00A73CC6" w:rsidRPr="00A6144D">
        <w:rPr>
          <w:rFonts w:ascii="Arial" w:hAnsi="Arial" w:cs="Arial"/>
        </w:rPr>
        <w:t>Arabiun and</w:t>
      </w:r>
      <w:r w:rsidR="00357216" w:rsidRPr="00A6144D">
        <w:rPr>
          <w:rFonts w:ascii="Arial" w:hAnsi="Arial" w:cs="Arial"/>
        </w:rPr>
        <w:t xml:space="preserve"> Moghadasi.,</w:t>
      </w:r>
      <w:r w:rsidR="00421A4A" w:rsidRPr="00A6144D">
        <w:rPr>
          <w:rFonts w:ascii="Arial" w:hAnsi="Arial" w:cs="Arial"/>
        </w:rPr>
        <w:t>2024</w:t>
      </w:r>
      <w:r w:rsidR="00357216" w:rsidRPr="00A6144D">
        <w:rPr>
          <w:rFonts w:ascii="Arial" w:hAnsi="Arial" w:cs="Arial"/>
        </w:rPr>
        <w:t>).</w:t>
      </w:r>
    </w:p>
    <w:p w14:paraId="68516ECC" w14:textId="77777777" w:rsidR="00C55FE6" w:rsidRPr="00A6144D" w:rsidRDefault="00C55FE6" w:rsidP="00603965">
      <w:pPr>
        <w:jc w:val="both"/>
        <w:rPr>
          <w:rFonts w:ascii="Arial" w:hAnsi="Arial" w:cs="Arial"/>
          <w:b/>
          <w:bCs/>
        </w:rPr>
      </w:pPr>
    </w:p>
    <w:p w14:paraId="498E2D4F" w14:textId="77777777" w:rsidR="00E00425" w:rsidRPr="00A6144D" w:rsidRDefault="005F2252" w:rsidP="00ED07B5">
      <w:pPr>
        <w:pStyle w:val="Heading2"/>
        <w:rPr>
          <w:rFonts w:cs="Arial"/>
          <w:bCs/>
          <w:szCs w:val="24"/>
        </w:rPr>
      </w:pPr>
      <w:bookmarkStart w:id="28" w:name="_Toc238203199"/>
      <w:r w:rsidRPr="00A6144D">
        <w:rPr>
          <w:rFonts w:cs="Arial"/>
          <w:bCs/>
          <w:szCs w:val="24"/>
        </w:rPr>
        <w:t>6</w:t>
      </w:r>
      <w:r w:rsidRPr="00ED07B5">
        <w:t>.1. Overcoming Resistance to Change</w:t>
      </w:r>
      <w:bookmarkEnd w:id="28"/>
      <w:r w:rsidRPr="00A6144D">
        <w:rPr>
          <w:rFonts w:cs="Arial"/>
          <w:bCs/>
          <w:szCs w:val="24"/>
        </w:rPr>
        <w:t xml:space="preserve"> </w:t>
      </w:r>
    </w:p>
    <w:p w14:paraId="4A4554E9" w14:textId="40B70D83" w:rsidR="00C55FE6" w:rsidRPr="00A6144D" w:rsidRDefault="005F2252" w:rsidP="00603965">
      <w:pPr>
        <w:jc w:val="both"/>
        <w:rPr>
          <w:rFonts w:ascii="Arial" w:hAnsi="Arial" w:cs="Arial"/>
          <w:b/>
          <w:bCs/>
        </w:rPr>
      </w:pPr>
      <w:r w:rsidRPr="00A6144D">
        <w:rPr>
          <w:rFonts w:ascii="Arial" w:hAnsi="Arial" w:cs="Arial"/>
          <w:b/>
          <w:bCs/>
        </w:rPr>
        <w:t xml:space="preserve"> </w:t>
      </w:r>
    </w:p>
    <w:p w14:paraId="0A821248" w14:textId="77777777" w:rsidR="009D2D9F" w:rsidRPr="00A6144D" w:rsidRDefault="00E00425" w:rsidP="00603965">
      <w:pPr>
        <w:jc w:val="both"/>
        <w:rPr>
          <w:rFonts w:ascii="Arial" w:hAnsi="Arial" w:cs="Arial"/>
        </w:rPr>
      </w:pPr>
      <w:r w:rsidRPr="00A6144D">
        <w:rPr>
          <w:rFonts w:ascii="Arial" w:hAnsi="Arial" w:cs="Arial"/>
        </w:rPr>
        <w:t>Innovation drives progress, but it often encounters a persistent challenge in resistance. This resistance arises from various factors, such as fear of change, unwillingness to give up control, and deep-rooted cognitive biases (Xue et al., 2024</w:t>
      </w:r>
      <w:r w:rsidR="002971A7" w:rsidRPr="00A6144D">
        <w:rPr>
          <w:rFonts w:ascii="Arial" w:hAnsi="Arial" w:cs="Arial"/>
        </w:rPr>
        <w:t>). Employee</w:t>
      </w:r>
      <w:r w:rsidR="00C55FE6" w:rsidRPr="00A6144D">
        <w:rPr>
          <w:rFonts w:ascii="Arial" w:hAnsi="Arial" w:cs="Arial"/>
        </w:rPr>
        <w:t xml:space="preserve"> involvement is an effective strategy for addressing the psychological factors that contribute to resistance toward adopting innovations. When employees participate in the innovation process, they feel valued and empowered, which boosts their motivation to embrace change. This approach also helps identify potential obstacles and generate ideas for improvement. Research indicates that employee involvement has a positive impact on attitudes toward change and innovation (Arifin, 2020).</w:t>
      </w:r>
    </w:p>
    <w:p w14:paraId="23AE6EA6" w14:textId="77777777" w:rsidR="009D2D9F" w:rsidRPr="00A6144D" w:rsidRDefault="009D2D9F" w:rsidP="00603965">
      <w:pPr>
        <w:jc w:val="both"/>
        <w:rPr>
          <w:rFonts w:ascii="Arial" w:hAnsi="Arial" w:cs="Arial"/>
        </w:rPr>
      </w:pPr>
    </w:p>
    <w:p w14:paraId="3F3B00C0" w14:textId="07ACA06D" w:rsidR="00C55FE6" w:rsidRPr="00A6144D" w:rsidRDefault="00C55FE6" w:rsidP="00603965">
      <w:pPr>
        <w:jc w:val="both"/>
        <w:rPr>
          <w:rFonts w:ascii="Arial" w:hAnsi="Arial" w:cs="Arial"/>
        </w:rPr>
      </w:pPr>
      <w:r w:rsidRPr="00A6144D">
        <w:rPr>
          <w:rFonts w:ascii="Arial" w:hAnsi="Arial" w:cs="Arial"/>
        </w:rPr>
        <w:t>One method to engage employees is participatory design, where they take part in designing and developing the innovation, leading to greater satisfaction and commitment. Another method involves training and development programs that equip employees with the skills and knowledge needed for adoption, increasing their confidence and reducing resistance to change (Baranga et al., 2020).</w:t>
      </w:r>
    </w:p>
    <w:p w14:paraId="180350BD" w14:textId="77777777" w:rsidR="005F4589" w:rsidRPr="00A6144D" w:rsidRDefault="005F4589" w:rsidP="00603965">
      <w:pPr>
        <w:jc w:val="both"/>
        <w:rPr>
          <w:rFonts w:ascii="Arial" w:hAnsi="Arial" w:cs="Arial"/>
        </w:rPr>
      </w:pPr>
    </w:p>
    <w:p w14:paraId="6A1B0053" w14:textId="77777777" w:rsidR="009D2D9F" w:rsidRPr="00A6144D" w:rsidRDefault="00E73787" w:rsidP="00603965">
      <w:pPr>
        <w:jc w:val="both"/>
        <w:rPr>
          <w:rFonts w:ascii="Arial" w:hAnsi="Arial" w:cs="Arial"/>
        </w:rPr>
      </w:pPr>
      <w:r w:rsidRPr="00A6144D">
        <w:rPr>
          <w:rFonts w:ascii="Arial" w:hAnsi="Arial" w:cs="Arial"/>
        </w:rPr>
        <w:lastRenderedPageBreak/>
        <w:t>Organizational changes in healthcare are more likely to succeed when healthcare professionals can actively participate in the change process, feel adequately prepared, and understand the value of the change, especially its benefits for patients. While changes in healthcare organizations are inevitable, the methods used to implement these changes can vary in effectiveness</w:t>
      </w:r>
      <w:r w:rsidR="00D2361B" w:rsidRPr="00A6144D">
        <w:rPr>
          <w:rFonts w:ascii="Arial" w:hAnsi="Arial" w:cs="Arial"/>
        </w:rPr>
        <w:t xml:space="preserve"> (Nilsen et al.,2020).</w:t>
      </w:r>
      <w:r w:rsidR="00EE345F" w:rsidRPr="00A6144D">
        <w:rPr>
          <w:rFonts w:ascii="Arial" w:hAnsi="Arial" w:cs="Arial"/>
        </w:rPr>
        <w:t xml:space="preserve"> </w:t>
      </w:r>
    </w:p>
    <w:p w14:paraId="75738406" w14:textId="77777777" w:rsidR="009D2D9F" w:rsidRPr="00A6144D" w:rsidRDefault="009D2D9F" w:rsidP="00603965">
      <w:pPr>
        <w:jc w:val="both"/>
        <w:rPr>
          <w:rFonts w:ascii="Arial" w:hAnsi="Arial" w:cs="Arial"/>
        </w:rPr>
      </w:pPr>
    </w:p>
    <w:p w14:paraId="0BE335C3" w14:textId="28E85E39" w:rsidR="005F4589" w:rsidRPr="00A6144D" w:rsidRDefault="00EE345F" w:rsidP="00603965">
      <w:pPr>
        <w:jc w:val="both"/>
        <w:rPr>
          <w:rFonts w:ascii="Arial" w:hAnsi="Arial" w:cs="Arial"/>
        </w:rPr>
      </w:pPr>
      <w:r w:rsidRPr="00A6144D">
        <w:rPr>
          <w:rFonts w:ascii="Arial" w:hAnsi="Arial" w:cs="Arial"/>
        </w:rPr>
        <w:t xml:space="preserve">Effective communication, strong leadership support, and empowering employees help reduce resistance at every stage. Innovation committees, mentors, and change advocates offer guidance to employees throughout their innovation process. This research ultimately emphasizes that resistance to innovation can be overcome. By carefully identifying the causes of resistance and implementing strategies suited to each stage, organizations can break down barriers to innovation and foster a culture that welcomes, rather than resists, new </w:t>
      </w:r>
      <w:r w:rsidR="00B82CC0" w:rsidRPr="00A6144D">
        <w:rPr>
          <w:rFonts w:ascii="Arial" w:hAnsi="Arial" w:cs="Arial"/>
        </w:rPr>
        <w:t>ideas ((Xue et al., 2024).</w:t>
      </w:r>
      <w:r w:rsidR="009D2D9F" w:rsidRPr="00A6144D">
        <w:rPr>
          <w:rFonts w:ascii="Arial" w:hAnsi="Arial" w:cs="Arial"/>
        </w:rPr>
        <w:t xml:space="preserve"> Therefore, as managers become increasingly responsible for enabling technological adoption rather than simply issuing instructions, their role is shifting from traditional command-and-control towards leading organisational change.</w:t>
      </w:r>
    </w:p>
    <w:p w14:paraId="22E159EE" w14:textId="77777777" w:rsidR="009347AC" w:rsidRPr="00A6144D" w:rsidRDefault="009347AC" w:rsidP="00ED07B5">
      <w:pPr>
        <w:pStyle w:val="Heading2"/>
      </w:pPr>
    </w:p>
    <w:p w14:paraId="546D9940" w14:textId="01793096" w:rsidR="009347AC" w:rsidRPr="00A6144D" w:rsidRDefault="009347AC" w:rsidP="00ED07B5">
      <w:pPr>
        <w:pStyle w:val="Heading2"/>
        <w:rPr>
          <w:bCs/>
        </w:rPr>
      </w:pPr>
      <w:bookmarkStart w:id="29" w:name="_Toc238203200"/>
      <w:r w:rsidRPr="00A6144D">
        <w:rPr>
          <w:bCs/>
        </w:rPr>
        <w:t>6.2. Ensuring Data Security and Privacy</w:t>
      </w:r>
      <w:bookmarkEnd w:id="29"/>
    </w:p>
    <w:p w14:paraId="2499F09E" w14:textId="77777777" w:rsidR="00515678" w:rsidRPr="00A6144D" w:rsidRDefault="00515678" w:rsidP="00603965">
      <w:pPr>
        <w:jc w:val="both"/>
        <w:rPr>
          <w:rFonts w:ascii="Arial" w:hAnsi="Arial" w:cs="Arial"/>
        </w:rPr>
      </w:pPr>
    </w:p>
    <w:p w14:paraId="540C59B6" w14:textId="6C4BECB2" w:rsidR="00620A70" w:rsidRPr="00A6144D" w:rsidRDefault="000253BA" w:rsidP="00603965">
      <w:pPr>
        <w:jc w:val="both"/>
        <w:rPr>
          <w:rFonts w:ascii="Arial" w:hAnsi="Arial" w:cs="Arial"/>
        </w:rPr>
      </w:pPr>
      <w:r w:rsidRPr="00A6144D">
        <w:rPr>
          <w:rFonts w:ascii="Arial" w:hAnsi="Arial" w:cs="Arial"/>
        </w:rPr>
        <w:t>Consumer trust in e-commerce is steadily eroding, primarily because outdated regulatory policies and weak consumer protection frameworks cannot keep up with the shifting expectations of today’s digital shopper. This trust deficit directly restricts the market's growth potential. To turn this around, platforms must master data protection through advanced encryption—the mathematical process of converting sensitive information into unreadable data formats to block unauthorized access. Consistently deploying these robust cryptographic tools throughout payment workflows helps digital storefronts intercept data breaches, secure financial assets, and retain customer confidence</w:t>
      </w:r>
      <w:r w:rsidR="00FE28F5" w:rsidRPr="00A6144D">
        <w:rPr>
          <w:rFonts w:ascii="Arial" w:hAnsi="Arial" w:cs="Arial"/>
        </w:rPr>
        <w:t xml:space="preserve"> </w:t>
      </w:r>
      <w:r w:rsidR="006270F7" w:rsidRPr="00A6144D">
        <w:rPr>
          <w:rFonts w:ascii="Arial" w:hAnsi="Arial" w:cs="Arial"/>
        </w:rPr>
        <w:t>(</w:t>
      </w:r>
      <w:r w:rsidR="00FE28F5" w:rsidRPr="00A6144D">
        <w:rPr>
          <w:rFonts w:ascii="Arial" w:hAnsi="Arial" w:cs="Arial"/>
        </w:rPr>
        <w:t>Morić et al.,2024).</w:t>
      </w:r>
    </w:p>
    <w:p w14:paraId="6E897AE6" w14:textId="77777777" w:rsidR="00620A70" w:rsidRPr="00A6144D" w:rsidRDefault="00620A70" w:rsidP="00603965">
      <w:pPr>
        <w:jc w:val="both"/>
        <w:rPr>
          <w:rFonts w:ascii="Arial" w:hAnsi="Arial" w:cs="Arial"/>
        </w:rPr>
      </w:pPr>
    </w:p>
    <w:p w14:paraId="35EC558C" w14:textId="0D4A228E" w:rsidR="009347AC" w:rsidRPr="00A6144D" w:rsidRDefault="000253BA" w:rsidP="00603965">
      <w:pPr>
        <w:jc w:val="both"/>
        <w:rPr>
          <w:rFonts w:ascii="Arial" w:hAnsi="Arial" w:cs="Arial"/>
        </w:rPr>
      </w:pPr>
      <w:r w:rsidRPr="00A6144D">
        <w:rPr>
          <w:rFonts w:ascii="Arial" w:hAnsi="Arial" w:cs="Arial"/>
        </w:rPr>
        <w:t>However, deep security is only half the battle; long-term consumer loyalty relies heavily on operational transparency. E-commerce businesses must look beyond back-end defensive measures and actively communicate their security frameworks to users. Providing consistent updates regarding security upgrades and emerging digital hazards builds a collaborative, well-informed relationship with the user base. Ultimately, this transparency rewards businesses with repeat customers and higher retention. Moving forward, platforms must proactively educate consumers on safe browsing habits while establishing a feedback system that shows users how their privacy inputs are implemented. By staying ahead of compliance mandates and anticipating future regulatory updates, digital marketplaces can safely unlock their next phase of growth</w:t>
      </w:r>
      <w:r w:rsidR="00DB375E" w:rsidRPr="00A6144D">
        <w:rPr>
          <w:rFonts w:ascii="Arial" w:hAnsi="Arial" w:cs="Arial"/>
        </w:rPr>
        <w:t xml:space="preserve"> (Morić et al.,2024</w:t>
      </w:r>
      <w:r w:rsidR="009D2D9F" w:rsidRPr="00A6144D">
        <w:rPr>
          <w:rFonts w:ascii="Arial" w:hAnsi="Arial" w:cs="Arial"/>
        </w:rPr>
        <w:t>). Therefore</w:t>
      </w:r>
      <w:r w:rsidR="00094F41" w:rsidRPr="00A6144D">
        <w:rPr>
          <w:rFonts w:ascii="Arial" w:hAnsi="Arial" w:cs="Arial"/>
        </w:rPr>
        <w:t>,</w:t>
      </w:r>
      <w:r w:rsidR="007122FB" w:rsidRPr="00A6144D">
        <w:rPr>
          <w:rFonts w:ascii="Arial" w:hAnsi="Arial" w:cs="Arial"/>
        </w:rPr>
        <w:t xml:space="preserve"> technology does not necessarily decrease the need for management. Instead, its implementation often introduces greater complexity and expands the scope of managerial responsibilities.</w:t>
      </w:r>
    </w:p>
    <w:p w14:paraId="438FC10C" w14:textId="77777777" w:rsidR="00605A27" w:rsidRPr="00A6144D" w:rsidRDefault="00605A27" w:rsidP="00603965">
      <w:pPr>
        <w:jc w:val="both"/>
        <w:rPr>
          <w:rFonts w:ascii="Arial" w:hAnsi="Arial" w:cs="Arial"/>
        </w:rPr>
      </w:pPr>
    </w:p>
    <w:p w14:paraId="475AF93A" w14:textId="607CB471" w:rsidR="00605A27" w:rsidRPr="00A6144D" w:rsidRDefault="00D72C5F" w:rsidP="00ED07B5">
      <w:pPr>
        <w:pStyle w:val="Heading2"/>
      </w:pPr>
      <w:bookmarkStart w:id="30" w:name="_Toc238203201"/>
      <w:r w:rsidRPr="00A6144D">
        <w:t>6.3. Leveraging Technology for Competitive Advantage</w:t>
      </w:r>
      <w:bookmarkEnd w:id="30"/>
      <w:r w:rsidRPr="00A6144D">
        <w:t xml:space="preserve">  </w:t>
      </w:r>
    </w:p>
    <w:p w14:paraId="398D53BC" w14:textId="77777777" w:rsidR="005F2252" w:rsidRPr="00A6144D" w:rsidRDefault="005F2252" w:rsidP="00603965">
      <w:pPr>
        <w:jc w:val="both"/>
        <w:rPr>
          <w:rFonts w:ascii="Arial" w:hAnsi="Arial" w:cs="Arial"/>
        </w:rPr>
      </w:pPr>
    </w:p>
    <w:p w14:paraId="52D49295" w14:textId="77777777" w:rsidR="00733918" w:rsidRPr="00A6144D" w:rsidRDefault="009D7459" w:rsidP="00603965">
      <w:pPr>
        <w:jc w:val="both"/>
        <w:rPr>
          <w:rFonts w:ascii="Arial" w:hAnsi="Arial" w:cs="Arial"/>
        </w:rPr>
      </w:pPr>
      <w:r w:rsidRPr="00A6144D">
        <w:rPr>
          <w:rFonts w:ascii="Arial" w:hAnsi="Arial" w:cs="Arial"/>
        </w:rPr>
        <w:t xml:space="preserve">In an increasingly dynamic business environment, organisations across industries are seeking effective strategies to strengthen their competitive position and achieve sustainable growth. The strategic use of technology has become a significant source of </w:t>
      </w:r>
      <w:r w:rsidRPr="00A6144D">
        <w:rPr>
          <w:rFonts w:ascii="Arial" w:hAnsi="Arial" w:cs="Arial"/>
        </w:rPr>
        <w:lastRenderedPageBreak/>
        <w:t xml:space="preserve">competitive advantage. As digital transformation reshapes industries and challenges established business models, organisations must adopt appropriate technologies to remain successful in a rapidly evolving and interconnected global </w:t>
      </w:r>
      <w:r w:rsidR="007871C9" w:rsidRPr="00A6144D">
        <w:rPr>
          <w:rFonts w:ascii="Arial" w:hAnsi="Arial" w:cs="Arial"/>
        </w:rPr>
        <w:t>marketplace (</w:t>
      </w:r>
      <w:r w:rsidR="00D80FA0" w:rsidRPr="00A6144D">
        <w:rPr>
          <w:rFonts w:ascii="Arial" w:hAnsi="Arial" w:cs="Arial"/>
        </w:rPr>
        <w:t xml:space="preserve">Michael and </w:t>
      </w:r>
      <w:r w:rsidR="007871C9" w:rsidRPr="00A6144D">
        <w:rPr>
          <w:rFonts w:ascii="Arial" w:hAnsi="Arial" w:cs="Arial"/>
        </w:rPr>
        <w:t>Olayide.,</w:t>
      </w:r>
      <w:r w:rsidR="007B76FB" w:rsidRPr="00A6144D">
        <w:rPr>
          <w:rFonts w:ascii="Arial" w:hAnsi="Arial" w:cs="Arial"/>
        </w:rPr>
        <w:t>2024).</w:t>
      </w:r>
    </w:p>
    <w:p w14:paraId="1799E849" w14:textId="77777777" w:rsidR="00733918" w:rsidRPr="00A6144D" w:rsidRDefault="00733918" w:rsidP="00603965">
      <w:pPr>
        <w:jc w:val="both"/>
        <w:rPr>
          <w:rFonts w:ascii="Arial" w:hAnsi="Arial" w:cs="Arial"/>
        </w:rPr>
      </w:pPr>
    </w:p>
    <w:p w14:paraId="01189393" w14:textId="4008405C" w:rsidR="00314CAF" w:rsidRPr="00A6144D" w:rsidRDefault="00314CAF" w:rsidP="00603965">
      <w:pPr>
        <w:jc w:val="both"/>
        <w:rPr>
          <w:rFonts w:ascii="Arial" w:hAnsi="Arial" w:cs="Arial"/>
        </w:rPr>
      </w:pPr>
      <w:r w:rsidRPr="00A6144D">
        <w:rPr>
          <w:rFonts w:ascii="Arial" w:hAnsi="Arial" w:cs="Arial"/>
        </w:rPr>
        <w:t xml:space="preserve">E-commerce excellence depends on the strategic use of technology and innovation to streamline operations, exploit market opportunities and deliver superior customer value. Although the digital marketplace creates considerable growth opportunities, it also exposes organisations to cybersecurity, regulatory and supply-chain risks. Proactive management of these challenges can strengthen competitiveness and support sustained organisational </w:t>
      </w:r>
      <w:r w:rsidR="00CC61CC" w:rsidRPr="00A6144D">
        <w:rPr>
          <w:rFonts w:ascii="Arial" w:hAnsi="Arial" w:cs="Arial"/>
        </w:rPr>
        <w:t>growth (</w:t>
      </w:r>
      <w:r w:rsidR="00893208" w:rsidRPr="00A6144D">
        <w:rPr>
          <w:rFonts w:ascii="Arial" w:hAnsi="Arial" w:cs="Arial"/>
        </w:rPr>
        <w:t>Syahnur.,</w:t>
      </w:r>
      <w:r w:rsidR="00CC61CC" w:rsidRPr="00A6144D">
        <w:rPr>
          <w:rFonts w:ascii="Arial" w:hAnsi="Arial" w:cs="Arial"/>
        </w:rPr>
        <w:t>2024).</w:t>
      </w:r>
    </w:p>
    <w:p w14:paraId="55BAB8B4" w14:textId="77777777" w:rsidR="00DA2F30" w:rsidRPr="00A6144D" w:rsidRDefault="00DA2F30" w:rsidP="00603965">
      <w:pPr>
        <w:jc w:val="both"/>
        <w:rPr>
          <w:rFonts w:ascii="Arial" w:hAnsi="Arial" w:cs="Arial"/>
        </w:rPr>
      </w:pPr>
    </w:p>
    <w:p w14:paraId="7A36FE0F" w14:textId="48363625" w:rsidR="00CC61CC" w:rsidRPr="00A6144D" w:rsidRDefault="004A6C90" w:rsidP="00603965">
      <w:pPr>
        <w:jc w:val="both"/>
        <w:rPr>
          <w:rFonts w:ascii="Arial" w:hAnsi="Arial" w:cs="Arial"/>
        </w:rPr>
      </w:pPr>
      <w:r w:rsidRPr="00A6144D">
        <w:rPr>
          <w:rFonts w:ascii="Arial" w:hAnsi="Arial" w:cs="Arial"/>
        </w:rPr>
        <w:t>Extending the discussion of competitive advantage to different industries, healthcare presents distinct opportunities and challenges for organisations seeking to differentiate themselves (Aman et al., 2024).</w:t>
      </w:r>
      <w:r w:rsidR="00FE454C" w:rsidRPr="00A6144D">
        <w:rPr>
          <w:rFonts w:ascii="Arial" w:hAnsi="Arial" w:cs="Arial"/>
        </w:rPr>
        <w:t xml:space="preserve"> </w:t>
      </w:r>
      <w:r w:rsidR="00D86FB7" w:rsidRPr="00A6144D">
        <w:rPr>
          <w:rFonts w:ascii="Arial" w:hAnsi="Arial" w:cs="Arial"/>
        </w:rPr>
        <w:t>Best practices provide valuable guidance for organisations seeking to use disruptive innovation as a source of competitive advantage</w:t>
      </w:r>
      <w:r w:rsidR="00971C09" w:rsidRPr="00A6144D">
        <w:rPr>
          <w:rFonts w:ascii="Arial" w:hAnsi="Arial" w:cs="Arial"/>
        </w:rPr>
        <w:t xml:space="preserve"> (Kang</w:t>
      </w:r>
      <w:r w:rsidR="00BB32C3" w:rsidRPr="00A6144D">
        <w:rPr>
          <w:rFonts w:ascii="Arial" w:hAnsi="Arial" w:cs="Arial"/>
        </w:rPr>
        <w:t>.,2024</w:t>
      </w:r>
      <w:r w:rsidR="005719D0" w:rsidRPr="00A6144D">
        <w:rPr>
          <w:rFonts w:ascii="Arial" w:hAnsi="Arial" w:cs="Arial"/>
        </w:rPr>
        <w:t>). A</w:t>
      </w:r>
      <w:r w:rsidR="00D86FB7" w:rsidRPr="00A6144D">
        <w:rPr>
          <w:rFonts w:ascii="Arial" w:hAnsi="Arial" w:cs="Arial"/>
        </w:rPr>
        <w:t xml:space="preserve"> leading healthcare organisation, has expanded its telehealth services through advanced communication technologies, enabling patients to access consultations and other medical services remotely while reducing reliance on physical clinical facilities. Organisations must therefore understand how technology aligns with their strategic objectives if they are to use it effectively in developing and sustaining competitive advantage (Mayo Clinic Staff, 2022).</w:t>
      </w:r>
    </w:p>
    <w:p w14:paraId="7B5204E1" w14:textId="77777777" w:rsidR="00407195" w:rsidRPr="00A6144D" w:rsidRDefault="00407195" w:rsidP="00603965">
      <w:pPr>
        <w:jc w:val="both"/>
        <w:rPr>
          <w:rFonts w:ascii="Arial" w:hAnsi="Arial" w:cs="Arial"/>
        </w:rPr>
      </w:pPr>
    </w:p>
    <w:p w14:paraId="44C9A406" w14:textId="71DAF036" w:rsidR="00407195" w:rsidRDefault="00407195" w:rsidP="00C149EC">
      <w:pPr>
        <w:jc w:val="both"/>
        <w:rPr>
          <w:rFonts w:ascii="Arial" w:hAnsi="Arial" w:cs="Arial"/>
        </w:rPr>
      </w:pPr>
      <w:r w:rsidRPr="00A6144D">
        <w:rPr>
          <w:rFonts w:ascii="Arial" w:hAnsi="Arial" w:cs="Arial"/>
        </w:rPr>
        <w:t>Technology creates value when it aligns with organisational strategies, supports innovation, streamlines operations, exploits market opportunities, and delivers superior customer value while effectively managing cybersecurity and regulatory risks.</w:t>
      </w:r>
      <w:r w:rsidR="00965A7F" w:rsidRPr="00A6144D">
        <w:rPr>
          <w:rFonts w:ascii="Arial" w:hAnsi="Arial" w:cs="Arial"/>
        </w:rPr>
        <w:t xml:space="preserve"> Management value relies on great guidance, true ownership, inspired staff, constant training, and clear metrics tying tech budgets directly to commercial success.</w:t>
      </w:r>
    </w:p>
    <w:p w14:paraId="674023AA" w14:textId="77777777" w:rsidR="00375E17" w:rsidRPr="00A6144D" w:rsidRDefault="00375E17" w:rsidP="00C149EC">
      <w:pPr>
        <w:jc w:val="both"/>
        <w:rPr>
          <w:rFonts w:ascii="Arial" w:hAnsi="Arial" w:cs="Arial"/>
        </w:rPr>
      </w:pPr>
    </w:p>
    <w:p w14:paraId="0E768A0B" w14:textId="1FEAC066" w:rsidR="007B44AB" w:rsidRPr="00A6144D" w:rsidRDefault="00E02BEF" w:rsidP="00ED07B5">
      <w:pPr>
        <w:pStyle w:val="Heading1"/>
        <w:ind w:left="284" w:hanging="284"/>
      </w:pPr>
      <w:bookmarkStart w:id="31" w:name="_Toc238203202"/>
      <w:r w:rsidRPr="00A6144D">
        <w:t>Conclusion</w:t>
      </w:r>
      <w:bookmarkEnd w:id="31"/>
    </w:p>
    <w:p w14:paraId="34DB2A28" w14:textId="77777777" w:rsidR="00733918" w:rsidRPr="00A6144D" w:rsidRDefault="00733918" w:rsidP="00603965">
      <w:pPr>
        <w:jc w:val="both"/>
        <w:rPr>
          <w:rFonts w:ascii="Arial" w:hAnsi="Arial" w:cs="Arial"/>
          <w:b/>
          <w:bCs/>
        </w:rPr>
      </w:pPr>
    </w:p>
    <w:p w14:paraId="019ED436" w14:textId="77777777" w:rsidR="00AF34AA" w:rsidRPr="00A6144D" w:rsidRDefault="009956A6" w:rsidP="00603965">
      <w:pPr>
        <w:jc w:val="both"/>
        <w:rPr>
          <w:rFonts w:ascii="Arial" w:hAnsi="Arial" w:cs="Arial"/>
        </w:rPr>
      </w:pPr>
      <w:r w:rsidRPr="00A6144D">
        <w:rPr>
          <w:rFonts w:ascii="Arial" w:hAnsi="Arial" w:cs="Arial"/>
        </w:rPr>
        <w:t>In the coming years, electronic commerce is projected to become one of the most prominent sectors within electronic business. The rapid advancement of e-commerce has significantly benefited the transaction industry by swiftly creating new markets and overcoming traditional boundaries (Jain, 2021). In the healthcare sector, e-commerce has led to improvements in service quality, financial performance, and the overall delivery of healthcare services. To make the most of these benefits, it is recommended that health centers invest in suitable hardware and software, allowing for the smooth implementation of e-commerce and E-health initiatives, and helping staff to become comfortable and proficient with these systems (Ardalan and Mirzaei, 2022).</w:t>
      </w:r>
      <w:r w:rsidR="007B44AB" w:rsidRPr="00A6144D">
        <w:rPr>
          <w:rFonts w:ascii="Arial" w:hAnsi="Arial" w:cs="Arial"/>
        </w:rPr>
        <w:t xml:space="preserve"> </w:t>
      </w:r>
    </w:p>
    <w:p w14:paraId="38E220F5" w14:textId="77777777" w:rsidR="00AF34AA" w:rsidRPr="00A6144D" w:rsidRDefault="00AF34AA" w:rsidP="00603965">
      <w:pPr>
        <w:jc w:val="both"/>
        <w:rPr>
          <w:rFonts w:ascii="Arial" w:hAnsi="Arial" w:cs="Arial"/>
        </w:rPr>
      </w:pPr>
    </w:p>
    <w:p w14:paraId="2795CC35" w14:textId="54224467" w:rsidR="004176AC" w:rsidRPr="00A6144D" w:rsidRDefault="00B93DB9" w:rsidP="00603965">
      <w:pPr>
        <w:jc w:val="both"/>
        <w:rPr>
          <w:rFonts w:ascii="Arial" w:hAnsi="Arial" w:cs="Arial"/>
        </w:rPr>
      </w:pPr>
      <w:r w:rsidRPr="00A6144D">
        <w:rPr>
          <w:rFonts w:ascii="Arial" w:hAnsi="Arial" w:cs="Arial"/>
        </w:rPr>
        <w:t>Advancements like artificial intelligence, blockchain, and the Internet of Things have enabled e-businesses to introduce innovative solutions and stand out in a highly competitive environment. Emphasizing customer-focused strategies, embracing new technologies, and maintaining organizational flexibility are essential for achieving lasting competitive advantage in today’s digital landscape (Baskoro, 2024).</w:t>
      </w:r>
      <w:r w:rsidR="00521267" w:rsidRPr="00A6144D">
        <w:rPr>
          <w:rFonts w:ascii="Arial" w:hAnsi="Arial" w:cs="Arial"/>
        </w:rPr>
        <w:t xml:space="preserve"> Therefore, e-commerce and e-business have significantly reshaped the healthcare sector.</w:t>
      </w:r>
    </w:p>
    <w:p w14:paraId="653BF4F2" w14:textId="77777777" w:rsidR="004176AC" w:rsidRPr="00A6144D" w:rsidRDefault="004176AC" w:rsidP="00603965">
      <w:pPr>
        <w:jc w:val="both"/>
        <w:rPr>
          <w:rFonts w:ascii="Arial" w:hAnsi="Arial" w:cs="Arial"/>
        </w:rPr>
      </w:pPr>
    </w:p>
    <w:p w14:paraId="746A6F8C" w14:textId="02CCF3E8" w:rsidR="007B44AB" w:rsidRPr="00A6144D" w:rsidRDefault="00CC32AB" w:rsidP="00603965">
      <w:pPr>
        <w:jc w:val="both"/>
        <w:rPr>
          <w:rFonts w:ascii="Arial" w:hAnsi="Arial" w:cs="Arial"/>
        </w:rPr>
      </w:pPr>
      <w:r w:rsidRPr="00A6144D">
        <w:rPr>
          <w:rFonts w:ascii="Arial" w:hAnsi="Arial" w:cs="Arial"/>
        </w:rPr>
        <w:lastRenderedPageBreak/>
        <w:t xml:space="preserve">The advancement of healthcare marketing and organizational transparency depends on the purposeful integration of cutting-edge digital technologies, responsible data practices, comprehensive reporting, and automation powered by artificial intelligence. For healthcare organizations to remain competitive and sustainable, it is essential to adopt these innovations while ensuring their strategies contribute to human wellbeing through trustworthy, clear, and engaging </w:t>
      </w:r>
      <w:r w:rsidR="004176AC" w:rsidRPr="00A6144D">
        <w:rPr>
          <w:rFonts w:ascii="Arial" w:hAnsi="Arial" w:cs="Arial"/>
        </w:rPr>
        <w:t>communication (</w:t>
      </w:r>
      <w:r w:rsidR="0054181F" w:rsidRPr="00A6144D">
        <w:rPr>
          <w:rFonts w:ascii="Arial" w:hAnsi="Arial" w:cs="Arial"/>
        </w:rPr>
        <w:t>Pathak</w:t>
      </w:r>
      <w:r w:rsidR="006A24B7" w:rsidRPr="00A6144D">
        <w:rPr>
          <w:rFonts w:ascii="Arial" w:hAnsi="Arial" w:cs="Arial"/>
        </w:rPr>
        <w:t>.,2025)</w:t>
      </w:r>
    </w:p>
    <w:p w14:paraId="036C5426" w14:textId="77777777" w:rsidR="00DA368D" w:rsidRPr="00A6144D" w:rsidRDefault="00DA368D" w:rsidP="00603965">
      <w:pPr>
        <w:jc w:val="both"/>
        <w:rPr>
          <w:rFonts w:ascii="Arial" w:hAnsi="Arial" w:cs="Arial"/>
        </w:rPr>
      </w:pPr>
    </w:p>
    <w:p w14:paraId="01D640D5" w14:textId="465169F1" w:rsidR="00DA368D" w:rsidRPr="00A6144D" w:rsidRDefault="00DA368D" w:rsidP="00603965">
      <w:pPr>
        <w:jc w:val="both"/>
        <w:rPr>
          <w:rFonts w:ascii="Arial" w:hAnsi="Arial" w:cs="Arial"/>
        </w:rPr>
      </w:pPr>
      <w:r w:rsidRPr="00A6144D">
        <w:rPr>
          <w:rFonts w:ascii="Arial" w:hAnsi="Arial" w:cs="Arial"/>
        </w:rPr>
        <w:t>Grasping digitalisation in healthcare involves not only digitizing information but also establishing suitable criteria for ongoing progress. To gain a comprehensive understanding of digital health transformation, it is important to explore how digitalisation impacts management from the perspective of various stakeholders. Advancing telemedicine, improving digital security, and strengthening technological information systems will all play key roles in achieving widespread acceptance of digital health transformation among all parties involved (Stoumpos et al., 2023).</w:t>
      </w:r>
    </w:p>
    <w:p w14:paraId="641833DC" w14:textId="77777777" w:rsidR="00DA368D" w:rsidRPr="00A6144D" w:rsidRDefault="00DA368D" w:rsidP="008364EC">
      <w:pPr>
        <w:jc w:val="both"/>
        <w:rPr>
          <w:rFonts w:ascii="Arial" w:hAnsi="Arial" w:cs="Arial"/>
        </w:rPr>
      </w:pPr>
    </w:p>
    <w:p w14:paraId="51BCAB85" w14:textId="447F5622" w:rsidR="00AF34AA" w:rsidRPr="00A6144D" w:rsidRDefault="004A3F0E" w:rsidP="008364EC">
      <w:pPr>
        <w:jc w:val="both"/>
        <w:rPr>
          <w:rFonts w:ascii="Arial" w:hAnsi="Arial" w:cs="Arial"/>
        </w:rPr>
      </w:pPr>
      <w:r w:rsidRPr="00A6144D">
        <w:rPr>
          <w:rFonts w:ascii="Arial" w:hAnsi="Arial" w:cs="Arial"/>
        </w:rPr>
        <w:t>Organizations that utilize technologies like e-commerce platforms, automation, and data analytics are better positioned to respond to changing customer demands and increasing competition (Humaira, 2024</w:t>
      </w:r>
      <w:r w:rsidR="001E6860" w:rsidRPr="00A6144D">
        <w:rPr>
          <w:rFonts w:ascii="Arial" w:hAnsi="Arial" w:cs="Arial"/>
        </w:rPr>
        <w:t>). In</w:t>
      </w:r>
      <w:r w:rsidR="000B4274" w:rsidRPr="00A6144D">
        <w:rPr>
          <w:rFonts w:ascii="Arial" w:hAnsi="Arial" w:cs="Arial"/>
        </w:rPr>
        <w:t xml:space="preserve"> health sector, a divisional organizational structure is organized around distinct business units or sectors. Each sector operates with a certain degree of independence and is overseen by a division manager, who holds decision-making authority for that unit and is accountable for its operations and outcomes (Esad et al., 2022).</w:t>
      </w:r>
    </w:p>
    <w:p w14:paraId="39D9331B" w14:textId="77777777" w:rsidR="003B73A2" w:rsidRPr="00A6144D" w:rsidRDefault="003B73A2" w:rsidP="002916C1">
      <w:pPr>
        <w:jc w:val="both"/>
        <w:rPr>
          <w:rFonts w:ascii="Arial" w:hAnsi="Arial" w:cs="Arial"/>
        </w:rPr>
      </w:pPr>
    </w:p>
    <w:p w14:paraId="66FB2015" w14:textId="524B511E" w:rsidR="00490C50" w:rsidRPr="00A6144D" w:rsidRDefault="003B73A2" w:rsidP="008364EC">
      <w:pPr>
        <w:jc w:val="both"/>
        <w:rPr>
          <w:rFonts w:ascii="Arial" w:hAnsi="Arial" w:cs="Arial"/>
        </w:rPr>
      </w:pPr>
      <w:r w:rsidRPr="00A6144D">
        <w:rPr>
          <w:rFonts w:ascii="Arial" w:hAnsi="Arial" w:cs="Arial"/>
        </w:rPr>
        <w:t>Hierarchies can be found in virtually all human organizations, taking forms that range from centralized to decentralized, steep to flat, and rigid to flexible. In particular, most large and complex healthcare organizations are structured with hierarchical management systems</w:t>
      </w:r>
      <w:r w:rsidR="00A94DE7" w:rsidRPr="00A6144D">
        <w:rPr>
          <w:rFonts w:ascii="Arial" w:hAnsi="Arial" w:cs="Arial"/>
        </w:rPr>
        <w:t xml:space="preserve"> </w:t>
      </w:r>
      <w:r w:rsidRPr="00A6144D">
        <w:rPr>
          <w:rFonts w:ascii="Arial" w:hAnsi="Arial" w:cs="Arial"/>
        </w:rPr>
        <w:t>(</w:t>
      </w:r>
      <w:r w:rsidR="00A94DE7" w:rsidRPr="00A6144D">
        <w:rPr>
          <w:rFonts w:ascii="Arial" w:hAnsi="Arial" w:cs="Arial"/>
        </w:rPr>
        <w:t>Essex et al.,2023</w:t>
      </w:r>
      <w:r w:rsidR="00CC617A" w:rsidRPr="00A6144D">
        <w:rPr>
          <w:rFonts w:ascii="Arial" w:hAnsi="Arial" w:cs="Arial"/>
        </w:rPr>
        <w:t>). Hence</w:t>
      </w:r>
      <w:r w:rsidR="00FC722F" w:rsidRPr="00A6144D">
        <w:rPr>
          <w:rFonts w:ascii="Arial" w:hAnsi="Arial" w:cs="Arial"/>
        </w:rPr>
        <w:t>, they have reshaped rather than replaced traditional organisational structures, with hierarchies increasingly combined with flatter, matrix-based, networked and decentralised arrangements.</w:t>
      </w:r>
    </w:p>
    <w:p w14:paraId="54538C52" w14:textId="77777777" w:rsidR="00CC617A" w:rsidRPr="00A6144D" w:rsidRDefault="00CC617A" w:rsidP="008364EC">
      <w:pPr>
        <w:jc w:val="both"/>
        <w:rPr>
          <w:rFonts w:ascii="Arial" w:hAnsi="Arial" w:cs="Arial"/>
        </w:rPr>
      </w:pPr>
    </w:p>
    <w:p w14:paraId="0DACF4CD" w14:textId="1626BBB1" w:rsidR="000B4274" w:rsidRPr="00A6144D" w:rsidRDefault="000B4274" w:rsidP="008364EC">
      <w:pPr>
        <w:jc w:val="both"/>
        <w:rPr>
          <w:rFonts w:ascii="Arial" w:hAnsi="Arial" w:cs="Arial"/>
        </w:rPr>
      </w:pPr>
      <w:r w:rsidRPr="00A6144D">
        <w:rPr>
          <w:rFonts w:ascii="Arial" w:hAnsi="Arial" w:cs="Arial"/>
        </w:rPr>
        <w:t>Applying management theories is essential for improving quality, safety, efficiency, and sustainability in healthcare organizations. Classical theories provide structural stability and promote standardization, behavioural theories strengthen motivation, collaboration, and leadership, and contemporary theories foster adaptability, innovation, and ongoing development (Cahyono and Hendayana.,2025).</w:t>
      </w:r>
    </w:p>
    <w:p w14:paraId="3F380AC7" w14:textId="77777777" w:rsidR="000B4274" w:rsidRPr="00A6144D" w:rsidRDefault="000B4274" w:rsidP="008364EC">
      <w:pPr>
        <w:jc w:val="both"/>
        <w:rPr>
          <w:rFonts w:ascii="Arial" w:hAnsi="Arial" w:cs="Arial"/>
        </w:rPr>
      </w:pPr>
    </w:p>
    <w:p w14:paraId="19F294CB" w14:textId="0E0C6BD6" w:rsidR="00B11E78" w:rsidRPr="00A6144D" w:rsidRDefault="00B11E78" w:rsidP="008364EC">
      <w:pPr>
        <w:jc w:val="both"/>
        <w:rPr>
          <w:rFonts w:ascii="Arial" w:hAnsi="Arial" w:cs="Arial"/>
        </w:rPr>
      </w:pPr>
      <w:r w:rsidRPr="00A6144D">
        <w:rPr>
          <w:rFonts w:ascii="Arial" w:hAnsi="Arial" w:cs="Arial"/>
        </w:rPr>
        <w:t>Effective leadership offers strong support to staff, and organizations with flat structures tend to experience more positive outcomes than those with traditional hierarchical models.</w:t>
      </w:r>
      <w:r w:rsidR="007D4986" w:rsidRPr="00A6144D">
        <w:rPr>
          <w:rFonts w:ascii="Arial" w:hAnsi="Arial" w:cs="Arial"/>
        </w:rPr>
        <w:t xml:space="preserve"> When several levels of middle management separate frontline staff from top decision-makers, it can slow down the pace at which changes are carried out (Fernandopulle, 2021).</w:t>
      </w:r>
      <w:r w:rsidR="008364EC" w:rsidRPr="00A6144D">
        <w:rPr>
          <w:rFonts w:ascii="Arial" w:hAnsi="Arial" w:cs="Arial"/>
        </w:rPr>
        <w:t xml:space="preserve"> Policy makers and leaders are advised to practice transformational leadership and strengthen their organizations’ ability to absorb new knowledge. These efforts can help cultivate an entrepreneurial mindset and increase the likelihood that healthcare staff remain in their roles (Zuo, 2024).</w:t>
      </w:r>
      <w:r w:rsidR="00CB33C3" w:rsidRPr="00A6144D">
        <w:rPr>
          <w:rFonts w:ascii="Arial" w:hAnsi="Arial" w:cs="Arial"/>
        </w:rPr>
        <w:t xml:space="preserve"> Therefore, managers remain responsible for coordination, accountability and performance while taking on additional duties in digital leadership, collaboration, innovation, data governance and change management.</w:t>
      </w:r>
    </w:p>
    <w:p w14:paraId="0961F2D1" w14:textId="77777777" w:rsidR="000B4274" w:rsidRPr="00A6144D" w:rsidRDefault="000B4274" w:rsidP="00603965">
      <w:pPr>
        <w:jc w:val="both"/>
        <w:rPr>
          <w:rFonts w:ascii="Arial" w:hAnsi="Arial" w:cs="Arial"/>
        </w:rPr>
      </w:pPr>
    </w:p>
    <w:p w14:paraId="5EE6AAB6" w14:textId="792BBAF3" w:rsidR="00EB1F5B" w:rsidRPr="00A6144D" w:rsidRDefault="002C0B3C" w:rsidP="00603965">
      <w:pPr>
        <w:jc w:val="both"/>
        <w:rPr>
          <w:rFonts w:ascii="Arial" w:hAnsi="Arial" w:cs="Arial"/>
        </w:rPr>
      </w:pPr>
      <w:r w:rsidRPr="00A6144D">
        <w:rPr>
          <w:rFonts w:ascii="Arial" w:hAnsi="Arial" w:cs="Arial"/>
        </w:rPr>
        <w:t xml:space="preserve">When organizations find the right equilibrium between formal structures and creative flexibility, they are better able to unlock the innovative abilities of their staff and sustain </w:t>
      </w:r>
      <w:r w:rsidRPr="00A6144D">
        <w:rPr>
          <w:rFonts w:ascii="Arial" w:hAnsi="Arial" w:cs="Arial"/>
        </w:rPr>
        <w:lastRenderedPageBreak/>
        <w:t>their competitiveness in a swiftly changing business world (Hinterdorfer, 2025).</w:t>
      </w:r>
      <w:r w:rsidR="00B02062" w:rsidRPr="00A6144D">
        <w:rPr>
          <w:rFonts w:ascii="Arial" w:hAnsi="Arial" w:cs="Arial"/>
        </w:rPr>
        <w:t xml:space="preserve"> When organizations treat technology as a key driver and commit to developing their digital strengths, they are better prepared to excel in the modern digital landscape and secure lasting success (Michael and Olayide, 2024).</w:t>
      </w:r>
    </w:p>
    <w:p w14:paraId="25B10834" w14:textId="77777777" w:rsidR="00E02BEF" w:rsidRPr="00A6144D" w:rsidRDefault="00E02BEF" w:rsidP="00603965">
      <w:pPr>
        <w:jc w:val="both"/>
        <w:rPr>
          <w:rFonts w:ascii="Arial" w:hAnsi="Arial" w:cs="Arial"/>
          <w:b/>
          <w:bCs/>
        </w:rPr>
      </w:pPr>
    </w:p>
    <w:p w14:paraId="44BF756B" w14:textId="43F3B2D1" w:rsidR="00E02BEF" w:rsidRPr="00A6144D" w:rsidRDefault="00882BF3" w:rsidP="00ED07B5">
      <w:pPr>
        <w:pStyle w:val="Heading2"/>
      </w:pPr>
      <w:bookmarkStart w:id="32" w:name="_Toc238203203"/>
      <w:r w:rsidRPr="00A6144D">
        <w:t>7.1. Summary of Findings</w:t>
      </w:r>
      <w:bookmarkEnd w:id="32"/>
    </w:p>
    <w:p w14:paraId="5A412A3A" w14:textId="77777777" w:rsidR="001C46CC" w:rsidRPr="00A6144D" w:rsidRDefault="001C46CC" w:rsidP="00603965">
      <w:pPr>
        <w:jc w:val="both"/>
        <w:rPr>
          <w:rFonts w:ascii="Arial" w:hAnsi="Arial" w:cs="Arial"/>
          <w:b/>
          <w:bCs/>
        </w:rPr>
      </w:pPr>
    </w:p>
    <w:p w14:paraId="4A01BECC" w14:textId="71DCD990" w:rsidR="006602A1" w:rsidRPr="00A6144D" w:rsidRDefault="006B37A6" w:rsidP="00603965">
      <w:pPr>
        <w:jc w:val="both"/>
        <w:rPr>
          <w:rFonts w:ascii="Arial" w:hAnsi="Arial" w:cs="Arial"/>
        </w:rPr>
      </w:pPr>
      <w:r w:rsidRPr="00A6144D">
        <w:rPr>
          <w:rFonts w:ascii="Arial" w:hAnsi="Arial" w:cs="Arial"/>
        </w:rPr>
        <w:t>The reviewed literature shows that e</w:t>
      </w:r>
      <w:r w:rsidR="006602A1" w:rsidRPr="00A6144D">
        <w:rPr>
          <w:rFonts w:ascii="Arial" w:hAnsi="Arial" w:cs="Arial"/>
        </w:rPr>
        <w:t xml:space="preserve">-commerce now plays a crucial role in healthcare, helping to improve service quality, lower costs, and meet the changing needs and expectations of patients in settings like hospitals and clinics (Shahzad et al., 2020). With the rise of digital business, entrepreneurship and innovation are reshaping competition and encouraging sustainable growth (Baskoro, 2023). </w:t>
      </w:r>
    </w:p>
    <w:p w14:paraId="55B9C0B3" w14:textId="77777777" w:rsidR="008D6D6E" w:rsidRPr="00A6144D" w:rsidRDefault="008D6D6E" w:rsidP="00603965">
      <w:pPr>
        <w:jc w:val="both"/>
        <w:rPr>
          <w:rFonts w:ascii="Arial" w:hAnsi="Arial" w:cs="Arial"/>
        </w:rPr>
      </w:pPr>
    </w:p>
    <w:p w14:paraId="1D8C6659" w14:textId="688FD0AB" w:rsidR="00492C55" w:rsidRPr="00A6144D" w:rsidRDefault="00911503" w:rsidP="00603965">
      <w:pPr>
        <w:jc w:val="both"/>
        <w:rPr>
          <w:rFonts w:ascii="Arial" w:hAnsi="Arial" w:cs="Arial"/>
        </w:rPr>
      </w:pPr>
      <w:r w:rsidRPr="00A6144D">
        <w:rPr>
          <w:rFonts w:ascii="Arial" w:hAnsi="Arial" w:cs="Arial"/>
        </w:rPr>
        <w:t>The literature also indicates that digital transformation, automation and evolving consumer expectations are reshaping traditional business models and established operational practices across industries (Veile et al., 2022). The</w:t>
      </w:r>
      <w:r w:rsidR="006602A1" w:rsidRPr="00A6144D">
        <w:rPr>
          <w:rFonts w:ascii="Arial" w:hAnsi="Arial" w:cs="Arial"/>
        </w:rPr>
        <w:t xml:space="preserve"> adoption of digital technologies has fundamentally changed how organizations operate in the twenty-first century (Joshi et al., 2025). These advancements enable faster innovation, boost productivity and efficiency, and enhance customer experiences (Corejova &amp; Chinoracky et al., 2021). Digital transformation helps organizations strengthen operational efficiency and become more agile (Grover et al., 2022). </w:t>
      </w:r>
    </w:p>
    <w:p w14:paraId="28F1569C" w14:textId="77777777" w:rsidR="00911503" w:rsidRPr="00A6144D" w:rsidRDefault="00911503" w:rsidP="00603965">
      <w:pPr>
        <w:jc w:val="both"/>
        <w:rPr>
          <w:rFonts w:ascii="Arial" w:hAnsi="Arial" w:cs="Arial"/>
        </w:rPr>
      </w:pPr>
    </w:p>
    <w:p w14:paraId="5C6C544B" w14:textId="14D54A83" w:rsidR="006602A1" w:rsidRPr="00A6144D" w:rsidRDefault="00F559D3" w:rsidP="00603965">
      <w:pPr>
        <w:jc w:val="both"/>
        <w:rPr>
          <w:rFonts w:ascii="Arial" w:hAnsi="Arial" w:cs="Arial"/>
        </w:rPr>
      </w:pPr>
      <w:r w:rsidRPr="00A6144D">
        <w:rPr>
          <w:rFonts w:ascii="Arial" w:hAnsi="Arial" w:cs="Arial"/>
        </w:rPr>
        <w:t xml:space="preserve">The literature further suggests that </w:t>
      </w:r>
      <w:r w:rsidR="007D134C" w:rsidRPr="00A6144D">
        <w:rPr>
          <w:rFonts w:ascii="Arial" w:hAnsi="Arial" w:cs="Arial"/>
        </w:rPr>
        <w:t>contemporary organisations can succeed by integrating traditional hierarchies with flatter, more flexible structures and coordinated working practices (Caniago, 2024</w:t>
      </w:r>
      <w:r w:rsidR="00911503" w:rsidRPr="00A6144D">
        <w:rPr>
          <w:rFonts w:ascii="Arial" w:hAnsi="Arial" w:cs="Arial"/>
        </w:rPr>
        <w:t>). In</w:t>
      </w:r>
      <w:r w:rsidR="006602A1" w:rsidRPr="00A6144D">
        <w:rPr>
          <w:rFonts w:ascii="Arial" w:hAnsi="Arial" w:cs="Arial"/>
        </w:rPr>
        <w:t xml:space="preserve"> healthcare, these transformational approaches raise standards of care, improve staff retention, and boost workplace morale (Gupta et al., 2025). Successful organizational change depends on healthcare professionals being involved in the process, feeling prepared, and understanding how the changes will benefit patients (Nilsen et al., 2020).</w:t>
      </w:r>
    </w:p>
    <w:p w14:paraId="13916829" w14:textId="77777777" w:rsidR="009167F1" w:rsidRDefault="009167F1" w:rsidP="00603965">
      <w:pPr>
        <w:jc w:val="both"/>
        <w:rPr>
          <w:rFonts w:ascii="Arial" w:hAnsi="Arial" w:cs="Arial"/>
        </w:rPr>
      </w:pPr>
    </w:p>
    <w:p w14:paraId="3D582273" w14:textId="49350F1B" w:rsidR="00882BF3" w:rsidRPr="00A6144D" w:rsidRDefault="00BC347F" w:rsidP="00ED07B5">
      <w:pPr>
        <w:pStyle w:val="Heading2"/>
      </w:pPr>
      <w:bookmarkStart w:id="33" w:name="_Toc238203204"/>
      <w:r w:rsidRPr="00A6144D">
        <w:t>7.2. Implications for Future Research</w:t>
      </w:r>
      <w:bookmarkEnd w:id="33"/>
    </w:p>
    <w:p w14:paraId="653C9A03" w14:textId="01603F4E" w:rsidR="003A29F3" w:rsidRPr="00A6144D" w:rsidRDefault="00CD4B61" w:rsidP="00603965">
      <w:pPr>
        <w:jc w:val="both"/>
        <w:rPr>
          <w:rFonts w:ascii="Arial" w:hAnsi="Arial" w:cs="Arial"/>
        </w:rPr>
      </w:pPr>
      <w:r w:rsidRPr="00A6144D">
        <w:rPr>
          <w:rFonts w:ascii="Arial" w:hAnsi="Arial" w:cs="Arial"/>
        </w:rPr>
        <w:t xml:space="preserve"> </w:t>
      </w:r>
    </w:p>
    <w:p w14:paraId="0CCAADA6" w14:textId="73DB253C" w:rsidR="00012347" w:rsidRPr="00A6144D" w:rsidRDefault="005F574F" w:rsidP="000446EA">
      <w:pPr>
        <w:jc w:val="both"/>
        <w:rPr>
          <w:rFonts w:ascii="Arial" w:hAnsi="Arial" w:cs="Arial"/>
        </w:rPr>
      </w:pPr>
      <w:r w:rsidRPr="00A6144D">
        <w:rPr>
          <w:rFonts w:ascii="Arial" w:hAnsi="Arial" w:cs="Arial"/>
        </w:rPr>
        <w:t>Global collaboration and continuous technological progress will clearly influence the future direction of research in this field. Scholars</w:t>
      </w:r>
      <w:r w:rsidR="00012347" w:rsidRPr="00A6144D">
        <w:rPr>
          <w:rFonts w:ascii="Arial" w:hAnsi="Arial" w:cs="Arial"/>
        </w:rPr>
        <w:t xml:space="preserve"> are encouraged to address existing gaps in core areas like e-health and consumer behaviour, while also investigating how new technologies can be utilized to tackle critical issues such as data security, privacy, and the scalability of healthcare services. These findings provide important guidance for future research, policy formulation, and industry innovation, supporting stakeholders as they adapt to the fast-paced developments at the intersection of e-commerce and healthcare (Zacharia, 2024).</w:t>
      </w:r>
    </w:p>
    <w:p w14:paraId="55304D7E" w14:textId="77777777" w:rsidR="005326D5" w:rsidRPr="00A6144D" w:rsidRDefault="005326D5" w:rsidP="000446EA">
      <w:pPr>
        <w:jc w:val="both"/>
        <w:rPr>
          <w:rFonts w:ascii="Arial" w:hAnsi="Arial" w:cs="Arial"/>
        </w:rPr>
      </w:pPr>
    </w:p>
    <w:p w14:paraId="3C2B2348" w14:textId="77777777" w:rsidR="00C95588" w:rsidRDefault="005326D5" w:rsidP="000446EA">
      <w:pPr>
        <w:jc w:val="both"/>
        <w:rPr>
          <w:rFonts w:ascii="Arial" w:hAnsi="Arial" w:cs="Arial"/>
        </w:rPr>
      </w:pPr>
      <w:r w:rsidRPr="00A6144D">
        <w:rPr>
          <w:rFonts w:ascii="Arial" w:hAnsi="Arial" w:cs="Arial"/>
        </w:rPr>
        <w:t>Emerging technologies and events such as the COVID-19 pandemic have significantly reshaped the research environment, highlighting the need for ongoing flexibility in research methods. Moving forward, it will be important for studies to explore how tools like blockchain and artificial intelligence can improve healthcare delivery, as well as how these innovations can be integrated into current e-commerce frameworks (Zacharia, 2024).</w:t>
      </w:r>
      <w:r w:rsidR="0065632B" w:rsidRPr="00A6144D">
        <w:rPr>
          <w:rFonts w:ascii="Arial" w:hAnsi="Arial" w:cs="Arial"/>
        </w:rPr>
        <w:t xml:space="preserve"> </w:t>
      </w:r>
    </w:p>
    <w:p w14:paraId="25F359DE" w14:textId="77777777" w:rsidR="00C95588" w:rsidRDefault="00C95588" w:rsidP="000446EA">
      <w:pPr>
        <w:jc w:val="both"/>
        <w:rPr>
          <w:rFonts w:ascii="Arial" w:hAnsi="Arial" w:cs="Arial"/>
        </w:rPr>
      </w:pPr>
    </w:p>
    <w:p w14:paraId="50C9DBD3" w14:textId="5DF548B6" w:rsidR="005326D5" w:rsidRPr="00A6144D" w:rsidRDefault="0065632B" w:rsidP="000446EA">
      <w:pPr>
        <w:jc w:val="both"/>
        <w:rPr>
          <w:rFonts w:ascii="Arial" w:hAnsi="Arial" w:cs="Arial"/>
        </w:rPr>
      </w:pPr>
      <w:r w:rsidRPr="00A6144D">
        <w:rPr>
          <w:rFonts w:ascii="Arial" w:hAnsi="Arial" w:cs="Arial"/>
        </w:rPr>
        <w:lastRenderedPageBreak/>
        <w:t>Future studies could investigate whether AI-assisted decision-making limits managerial autonomy or places greater responsibility on managers to interpret and oversee algorithmic outcomes.</w:t>
      </w:r>
      <w:r w:rsidR="00B15CCB" w:rsidRPr="00A6144D">
        <w:rPr>
          <w:rFonts w:ascii="Arial" w:hAnsi="Arial" w:cs="Arial"/>
        </w:rPr>
        <w:t xml:space="preserve"> Furthermore, future studies could also examine how hybrid organisational structures balance professional autonomy, digital integration and hierarchical accountability in healthcare.</w:t>
      </w:r>
    </w:p>
    <w:p w14:paraId="7C13C2D0" w14:textId="77777777" w:rsidR="005C0794" w:rsidRPr="00A6144D" w:rsidRDefault="005C0794" w:rsidP="000446EA">
      <w:pPr>
        <w:jc w:val="both"/>
        <w:rPr>
          <w:rFonts w:ascii="Arial" w:hAnsi="Arial" w:cs="Arial"/>
        </w:rPr>
      </w:pPr>
    </w:p>
    <w:p w14:paraId="481BA489" w14:textId="77777777" w:rsidR="005C0794" w:rsidRPr="00A6144D" w:rsidRDefault="005C0794" w:rsidP="000446EA">
      <w:pPr>
        <w:jc w:val="both"/>
        <w:rPr>
          <w:rFonts w:ascii="Arial" w:hAnsi="Arial" w:cs="Arial"/>
        </w:rPr>
      </w:pPr>
    </w:p>
    <w:p w14:paraId="4E46BE43" w14:textId="77777777" w:rsidR="005C0794" w:rsidRPr="00A6144D" w:rsidRDefault="005C0794" w:rsidP="000446EA">
      <w:pPr>
        <w:jc w:val="both"/>
        <w:rPr>
          <w:rFonts w:ascii="Arial" w:hAnsi="Arial" w:cs="Arial"/>
        </w:rPr>
      </w:pPr>
    </w:p>
    <w:p w14:paraId="4CCDF8B3" w14:textId="77777777" w:rsidR="005C0794" w:rsidRPr="00A6144D" w:rsidRDefault="005C0794" w:rsidP="000446EA">
      <w:pPr>
        <w:jc w:val="both"/>
        <w:rPr>
          <w:rFonts w:ascii="Arial" w:hAnsi="Arial" w:cs="Arial"/>
        </w:rPr>
      </w:pPr>
    </w:p>
    <w:p w14:paraId="4009802D" w14:textId="77777777" w:rsidR="005C0794" w:rsidRPr="00A6144D" w:rsidRDefault="005C0794" w:rsidP="000446EA">
      <w:pPr>
        <w:jc w:val="both"/>
        <w:rPr>
          <w:rFonts w:ascii="Arial" w:hAnsi="Arial" w:cs="Arial"/>
        </w:rPr>
      </w:pPr>
    </w:p>
    <w:p w14:paraId="258991AC" w14:textId="77777777" w:rsidR="005C0794" w:rsidRPr="00A6144D" w:rsidRDefault="005C0794" w:rsidP="000446EA">
      <w:pPr>
        <w:jc w:val="both"/>
        <w:rPr>
          <w:rFonts w:ascii="Arial" w:hAnsi="Arial" w:cs="Arial"/>
        </w:rPr>
      </w:pPr>
    </w:p>
    <w:p w14:paraId="67091356" w14:textId="77777777" w:rsidR="005C0794" w:rsidRDefault="005C0794" w:rsidP="000446EA">
      <w:pPr>
        <w:jc w:val="both"/>
        <w:rPr>
          <w:rFonts w:ascii="Arial" w:hAnsi="Arial" w:cs="Arial"/>
        </w:rPr>
      </w:pPr>
    </w:p>
    <w:p w14:paraId="58577469" w14:textId="77777777" w:rsidR="00242681" w:rsidRDefault="00242681" w:rsidP="000446EA">
      <w:pPr>
        <w:jc w:val="both"/>
        <w:rPr>
          <w:rFonts w:ascii="Arial" w:hAnsi="Arial" w:cs="Arial"/>
        </w:rPr>
      </w:pPr>
    </w:p>
    <w:p w14:paraId="2ED529A1" w14:textId="77777777" w:rsidR="00242681" w:rsidRDefault="00242681" w:rsidP="000446EA">
      <w:pPr>
        <w:jc w:val="both"/>
        <w:rPr>
          <w:rFonts w:ascii="Arial" w:hAnsi="Arial" w:cs="Arial"/>
        </w:rPr>
      </w:pPr>
    </w:p>
    <w:p w14:paraId="2FCDB09F" w14:textId="77777777" w:rsidR="00242681" w:rsidRDefault="00242681" w:rsidP="000446EA">
      <w:pPr>
        <w:jc w:val="both"/>
        <w:rPr>
          <w:rFonts w:ascii="Arial" w:hAnsi="Arial" w:cs="Arial"/>
        </w:rPr>
      </w:pPr>
    </w:p>
    <w:p w14:paraId="19B40FBA" w14:textId="77777777" w:rsidR="00242681" w:rsidRDefault="00242681" w:rsidP="000446EA">
      <w:pPr>
        <w:jc w:val="both"/>
        <w:rPr>
          <w:rFonts w:ascii="Arial" w:hAnsi="Arial" w:cs="Arial"/>
        </w:rPr>
      </w:pPr>
    </w:p>
    <w:p w14:paraId="4FDF7733" w14:textId="77777777" w:rsidR="00242681" w:rsidRDefault="00242681" w:rsidP="000446EA">
      <w:pPr>
        <w:jc w:val="both"/>
        <w:rPr>
          <w:rFonts w:ascii="Arial" w:hAnsi="Arial" w:cs="Arial"/>
        </w:rPr>
      </w:pPr>
    </w:p>
    <w:p w14:paraId="79858AC7" w14:textId="77777777" w:rsidR="00242681" w:rsidRDefault="00242681" w:rsidP="000446EA">
      <w:pPr>
        <w:jc w:val="both"/>
        <w:rPr>
          <w:rFonts w:ascii="Arial" w:hAnsi="Arial" w:cs="Arial"/>
        </w:rPr>
      </w:pPr>
    </w:p>
    <w:p w14:paraId="4A480CE3" w14:textId="77777777" w:rsidR="00242681" w:rsidRDefault="00242681" w:rsidP="000446EA">
      <w:pPr>
        <w:jc w:val="both"/>
        <w:rPr>
          <w:rFonts w:ascii="Arial" w:hAnsi="Arial" w:cs="Arial"/>
        </w:rPr>
      </w:pPr>
    </w:p>
    <w:p w14:paraId="65614C73" w14:textId="77777777" w:rsidR="00242681" w:rsidRDefault="00242681" w:rsidP="000446EA">
      <w:pPr>
        <w:jc w:val="both"/>
        <w:rPr>
          <w:rFonts w:ascii="Arial" w:hAnsi="Arial" w:cs="Arial"/>
        </w:rPr>
      </w:pPr>
    </w:p>
    <w:p w14:paraId="105D18CE" w14:textId="77777777" w:rsidR="00242681" w:rsidRDefault="00242681" w:rsidP="000446EA">
      <w:pPr>
        <w:jc w:val="both"/>
        <w:rPr>
          <w:rFonts w:ascii="Arial" w:hAnsi="Arial" w:cs="Arial"/>
        </w:rPr>
      </w:pPr>
    </w:p>
    <w:p w14:paraId="6D4ED1E5" w14:textId="77777777" w:rsidR="00242681" w:rsidRDefault="00242681" w:rsidP="000446EA">
      <w:pPr>
        <w:jc w:val="both"/>
        <w:rPr>
          <w:rFonts w:ascii="Arial" w:hAnsi="Arial" w:cs="Arial"/>
        </w:rPr>
      </w:pPr>
    </w:p>
    <w:p w14:paraId="733F5D56" w14:textId="77777777" w:rsidR="00242681" w:rsidRDefault="00242681" w:rsidP="000446EA">
      <w:pPr>
        <w:jc w:val="both"/>
        <w:rPr>
          <w:rFonts w:ascii="Arial" w:hAnsi="Arial" w:cs="Arial"/>
        </w:rPr>
      </w:pPr>
    </w:p>
    <w:p w14:paraId="6F8426E8" w14:textId="77777777" w:rsidR="00242681" w:rsidRDefault="00242681" w:rsidP="000446EA">
      <w:pPr>
        <w:jc w:val="both"/>
        <w:rPr>
          <w:rFonts w:ascii="Arial" w:hAnsi="Arial" w:cs="Arial"/>
        </w:rPr>
      </w:pPr>
    </w:p>
    <w:p w14:paraId="09E8E1AA" w14:textId="77777777" w:rsidR="00242681" w:rsidRDefault="00242681" w:rsidP="000446EA">
      <w:pPr>
        <w:jc w:val="both"/>
        <w:rPr>
          <w:rFonts w:ascii="Arial" w:hAnsi="Arial" w:cs="Arial"/>
        </w:rPr>
      </w:pPr>
    </w:p>
    <w:p w14:paraId="37F0ED76" w14:textId="77777777" w:rsidR="00242681" w:rsidRDefault="00242681" w:rsidP="000446EA">
      <w:pPr>
        <w:jc w:val="both"/>
        <w:rPr>
          <w:rFonts w:ascii="Arial" w:hAnsi="Arial" w:cs="Arial"/>
        </w:rPr>
      </w:pPr>
    </w:p>
    <w:p w14:paraId="199B650F" w14:textId="77777777" w:rsidR="00242681" w:rsidRDefault="00242681" w:rsidP="000446EA">
      <w:pPr>
        <w:jc w:val="both"/>
        <w:rPr>
          <w:rFonts w:ascii="Arial" w:hAnsi="Arial" w:cs="Arial"/>
        </w:rPr>
      </w:pPr>
    </w:p>
    <w:p w14:paraId="5BA3F8A6" w14:textId="77777777" w:rsidR="00242681" w:rsidRDefault="00242681" w:rsidP="000446EA">
      <w:pPr>
        <w:jc w:val="both"/>
        <w:rPr>
          <w:rFonts w:ascii="Arial" w:hAnsi="Arial" w:cs="Arial"/>
        </w:rPr>
      </w:pPr>
    </w:p>
    <w:p w14:paraId="4E6FDAF0" w14:textId="7F44EDB1" w:rsidR="00DD0AA1" w:rsidRDefault="00DD0AA1">
      <w:pPr>
        <w:rPr>
          <w:rFonts w:ascii="Arial" w:hAnsi="Arial" w:cs="Arial"/>
        </w:rPr>
      </w:pPr>
      <w:r>
        <w:rPr>
          <w:rFonts w:ascii="Arial" w:hAnsi="Arial" w:cs="Arial"/>
        </w:rPr>
        <w:br w:type="page"/>
      </w:r>
    </w:p>
    <w:p w14:paraId="563A925D" w14:textId="77777777" w:rsidR="00DD0AA1" w:rsidRPr="00A6144D" w:rsidRDefault="00DD0AA1" w:rsidP="00DD0AA1">
      <w:pPr>
        <w:jc w:val="both"/>
        <w:rPr>
          <w:rFonts w:ascii="Arial" w:hAnsi="Arial" w:cs="Arial"/>
        </w:rPr>
      </w:pPr>
    </w:p>
    <w:p w14:paraId="200DE89B" w14:textId="77777777" w:rsidR="00DD0AA1" w:rsidRPr="00A6144D" w:rsidRDefault="00DD0AA1" w:rsidP="00ED07B5">
      <w:pPr>
        <w:pStyle w:val="Heading1"/>
        <w:ind w:left="284" w:hanging="284"/>
      </w:pPr>
      <w:bookmarkStart w:id="34" w:name="_Toc238203205"/>
      <w:r w:rsidRPr="00A6144D">
        <w:t>References</w:t>
      </w:r>
      <w:bookmarkEnd w:id="34"/>
    </w:p>
    <w:p w14:paraId="50A14E96" w14:textId="77777777" w:rsidR="00DD0AA1" w:rsidRPr="00A6144D" w:rsidRDefault="00DD0AA1" w:rsidP="00DD0AA1">
      <w:pPr>
        <w:jc w:val="both"/>
        <w:rPr>
          <w:rFonts w:ascii="Arial" w:hAnsi="Arial" w:cs="Arial"/>
        </w:rPr>
      </w:pPr>
    </w:p>
    <w:p w14:paraId="03C1A80F" w14:textId="27F35DEA" w:rsidR="0023602E" w:rsidRPr="0023602E" w:rsidRDefault="00DD0AA1" w:rsidP="00C2335E">
      <w:pPr>
        <w:jc w:val="both"/>
        <w:rPr>
          <w:rFonts w:ascii="Arial" w:hAnsi="Arial" w:cs="Arial"/>
        </w:rPr>
      </w:pPr>
      <w:r w:rsidRPr="00A6144D">
        <w:rPr>
          <w:rFonts w:ascii="Arial" w:hAnsi="Arial" w:cs="Arial"/>
        </w:rPr>
        <w:t>Abusalma, A. (2021) ‘Strategic agility and its impact on competitive capabilities in healthcare industry’, Management Science Letters, 11(9), pp. 2371–2376. Available at: https://doi.org/10.5267/j.msl.2021.5.004.</w:t>
      </w:r>
      <w:r w:rsidR="0023602E" w:rsidRPr="0023602E">
        <w:t xml:space="preserve"> </w:t>
      </w:r>
      <w:r w:rsidR="0023602E" w:rsidRPr="0023602E">
        <w:rPr>
          <w:rFonts w:ascii="Arial" w:hAnsi="Arial" w:cs="Arial"/>
        </w:rPr>
        <w:t xml:space="preserve">(Accessed: </w:t>
      </w:r>
      <w:r w:rsidR="008810E5">
        <w:rPr>
          <w:rFonts w:ascii="Arial" w:hAnsi="Arial" w:cs="Arial"/>
        </w:rPr>
        <w:t>01</w:t>
      </w:r>
      <w:r w:rsidR="0023602E" w:rsidRPr="0023602E">
        <w:rPr>
          <w:rFonts w:ascii="Arial" w:hAnsi="Arial" w:cs="Arial"/>
        </w:rPr>
        <w:t xml:space="preserve"> August 2026).</w:t>
      </w:r>
    </w:p>
    <w:p w14:paraId="4C1F1680" w14:textId="77777777" w:rsidR="00DD0AA1" w:rsidRPr="00A6144D" w:rsidRDefault="00DD0AA1" w:rsidP="00C2335E">
      <w:pPr>
        <w:jc w:val="both"/>
        <w:rPr>
          <w:rFonts w:ascii="Arial" w:hAnsi="Arial" w:cs="Arial"/>
        </w:rPr>
      </w:pPr>
    </w:p>
    <w:p w14:paraId="48901897" w14:textId="0EEE0FB2" w:rsidR="008810E5" w:rsidRPr="008810E5" w:rsidRDefault="00DD0AA1" w:rsidP="00C2335E">
      <w:pPr>
        <w:jc w:val="both"/>
        <w:rPr>
          <w:rFonts w:ascii="Arial" w:hAnsi="Arial" w:cs="Arial"/>
        </w:rPr>
      </w:pPr>
      <w:r w:rsidRPr="00A6144D">
        <w:rPr>
          <w:rFonts w:ascii="Arial" w:hAnsi="Arial" w:cs="Arial"/>
        </w:rPr>
        <w:t>Ahmadova, T. (2024) ‘The importance of e-commerce in healthcare’, The Scientific Heritage, 135, pp. 3–7. Available at: https://doi.org/10.5281/zenodo.11044674.</w:t>
      </w:r>
      <w:r w:rsidR="008810E5" w:rsidRPr="008810E5">
        <w:t xml:space="preserve"> </w:t>
      </w:r>
      <w:r w:rsidR="008810E5" w:rsidRPr="008810E5">
        <w:rPr>
          <w:rFonts w:ascii="Arial" w:hAnsi="Arial" w:cs="Arial"/>
        </w:rPr>
        <w:t xml:space="preserve">(Accessed: </w:t>
      </w:r>
      <w:r w:rsidR="008810E5">
        <w:rPr>
          <w:rFonts w:ascii="Arial" w:hAnsi="Arial" w:cs="Arial"/>
        </w:rPr>
        <w:t>03</w:t>
      </w:r>
      <w:r w:rsidR="008810E5" w:rsidRPr="008810E5">
        <w:rPr>
          <w:rFonts w:ascii="Arial" w:hAnsi="Arial" w:cs="Arial"/>
        </w:rPr>
        <w:t xml:space="preserve"> August 2026).</w:t>
      </w:r>
    </w:p>
    <w:p w14:paraId="5FAF03A4" w14:textId="5B0C3DC8" w:rsidR="00DD0AA1" w:rsidRPr="00A6144D" w:rsidRDefault="00DD0AA1" w:rsidP="00DD0AA1">
      <w:pPr>
        <w:jc w:val="both"/>
        <w:rPr>
          <w:rFonts w:ascii="Arial" w:hAnsi="Arial" w:cs="Arial"/>
        </w:rPr>
      </w:pPr>
    </w:p>
    <w:p w14:paraId="5DDCD370" w14:textId="265A668C" w:rsidR="008810E5" w:rsidRPr="00A6144D" w:rsidRDefault="00DD0AA1" w:rsidP="008810E5">
      <w:pPr>
        <w:jc w:val="both"/>
        <w:rPr>
          <w:rFonts w:ascii="Arial" w:hAnsi="Arial" w:cs="Arial"/>
        </w:rPr>
      </w:pPr>
      <w:r w:rsidRPr="00A6144D">
        <w:rPr>
          <w:rFonts w:ascii="Arial" w:hAnsi="Arial" w:cs="Arial"/>
        </w:rPr>
        <w:t>Ahmady, G.A., Mehrpour, M. and Nikooravesh, A. (2016) ‘Organizational structure’, Procedia – Social and Behavioral Sciences, 230, pp. 455–462. Available at: https://doi.org/10.1016/j.sbspro.2016.09.057.</w:t>
      </w:r>
      <w:r w:rsidR="008810E5" w:rsidRPr="008810E5">
        <w:rPr>
          <w:rFonts w:ascii="Arial" w:hAnsi="Arial" w:cs="Arial"/>
        </w:rPr>
        <w:t xml:space="preserve"> </w:t>
      </w:r>
      <w:r w:rsidR="008810E5" w:rsidRPr="00A6144D">
        <w:rPr>
          <w:rFonts w:ascii="Arial" w:hAnsi="Arial" w:cs="Arial"/>
        </w:rPr>
        <w:t xml:space="preserve">(Accessed: </w:t>
      </w:r>
      <w:r w:rsidR="008810E5">
        <w:rPr>
          <w:rFonts w:ascii="Arial" w:hAnsi="Arial" w:cs="Arial"/>
        </w:rPr>
        <w:t xml:space="preserve">03 </w:t>
      </w:r>
      <w:r w:rsidR="008810E5" w:rsidRPr="00A6144D">
        <w:rPr>
          <w:rFonts w:ascii="Arial" w:hAnsi="Arial" w:cs="Arial"/>
        </w:rPr>
        <w:t>August 2026).</w:t>
      </w:r>
    </w:p>
    <w:p w14:paraId="19F0DE1F" w14:textId="050D8FB5" w:rsidR="00DD0AA1" w:rsidRPr="00A6144D" w:rsidRDefault="00DD0AA1" w:rsidP="00DD0AA1">
      <w:pPr>
        <w:jc w:val="both"/>
        <w:rPr>
          <w:rFonts w:ascii="Arial" w:hAnsi="Arial" w:cs="Arial"/>
        </w:rPr>
      </w:pPr>
    </w:p>
    <w:p w14:paraId="560EBFCE" w14:textId="5CD145C7" w:rsidR="008810E5" w:rsidRPr="00A6144D" w:rsidRDefault="00DD0AA1" w:rsidP="008810E5">
      <w:pPr>
        <w:jc w:val="both"/>
        <w:rPr>
          <w:rFonts w:ascii="Arial" w:hAnsi="Arial" w:cs="Arial"/>
        </w:rPr>
      </w:pPr>
      <w:r w:rsidRPr="00A6144D">
        <w:rPr>
          <w:rFonts w:ascii="Arial" w:hAnsi="Arial" w:cs="Arial"/>
        </w:rPr>
        <w:t xml:space="preserve">Akkaya, B. and Mert, G. (2022) ‘Organizational agility, competitive capabilities, and the performance of health care organizations during the COVID-19 pandemic’, Central European Management Journal, 30(2), pp. 2–25. Available at: </w:t>
      </w:r>
      <w:r w:rsidRPr="00AB7DE2">
        <w:rPr>
          <w:rFonts w:ascii="Arial" w:hAnsi="Arial" w:cs="Arial"/>
        </w:rPr>
        <w:t>chrome-extension://efaidnbmnnnibpcajpcglclefindmkaj/file:///Users/sphurthi/Downloads/Organizational_Agility_Competitive_%20(3).pdf</w:t>
      </w:r>
      <w:r w:rsidR="008810E5">
        <w:rPr>
          <w:rFonts w:ascii="Arial" w:hAnsi="Arial" w:cs="Arial"/>
        </w:rPr>
        <w:t>.</w:t>
      </w:r>
      <w:r w:rsidR="008810E5" w:rsidRPr="008810E5">
        <w:rPr>
          <w:rFonts w:ascii="Arial" w:hAnsi="Arial" w:cs="Arial"/>
        </w:rPr>
        <w:t xml:space="preserve"> </w:t>
      </w:r>
      <w:r w:rsidR="008810E5" w:rsidRPr="00A6144D">
        <w:rPr>
          <w:rFonts w:ascii="Arial" w:hAnsi="Arial" w:cs="Arial"/>
        </w:rPr>
        <w:t xml:space="preserve">(Accessed: </w:t>
      </w:r>
      <w:r w:rsidR="008810E5">
        <w:rPr>
          <w:rFonts w:ascii="Arial" w:hAnsi="Arial" w:cs="Arial"/>
        </w:rPr>
        <w:t xml:space="preserve">04 </w:t>
      </w:r>
      <w:r w:rsidR="008810E5" w:rsidRPr="00A6144D">
        <w:rPr>
          <w:rFonts w:ascii="Arial" w:hAnsi="Arial" w:cs="Arial"/>
        </w:rPr>
        <w:t>August 2026).</w:t>
      </w:r>
    </w:p>
    <w:p w14:paraId="0EE12F3C" w14:textId="77777777" w:rsidR="008810E5" w:rsidRPr="00A6144D" w:rsidRDefault="008810E5" w:rsidP="008810E5">
      <w:pPr>
        <w:jc w:val="both"/>
        <w:rPr>
          <w:rFonts w:ascii="Arial" w:hAnsi="Arial" w:cs="Arial"/>
        </w:rPr>
      </w:pPr>
    </w:p>
    <w:p w14:paraId="3BF43937" w14:textId="17FB34EF" w:rsidR="008810E5" w:rsidRPr="00A6144D" w:rsidRDefault="00DD0AA1" w:rsidP="008810E5">
      <w:pPr>
        <w:jc w:val="both"/>
        <w:rPr>
          <w:rFonts w:ascii="Arial" w:hAnsi="Arial" w:cs="Arial"/>
        </w:rPr>
      </w:pPr>
      <w:r w:rsidRPr="00A6144D">
        <w:rPr>
          <w:rFonts w:ascii="Arial" w:hAnsi="Arial" w:cs="Arial"/>
        </w:rPr>
        <w:t xml:space="preserve">Akman, A.Z., Erdirençelebi, M. and Çini, M.A. (2024) ‘The interaction between digital transformation and organizational culture in Society 5.0 structuring in Turkey’, International Journal of Organizational Leadership, 13(3), pp. 486–506. Available at: </w:t>
      </w:r>
      <w:r w:rsidRPr="006273A4">
        <w:rPr>
          <w:rFonts w:ascii="Arial" w:hAnsi="Arial" w:cs="Arial"/>
          <w:lang w:val="en-US"/>
        </w:rPr>
        <w:t>https://www.researchgate.net/publication/384332972_The_Interaction_Between_Digital_Transformation_and_Organizational_Culture_in_Society_50_Structuring_in_Turkey</w:t>
      </w:r>
      <w:r w:rsidR="008810E5">
        <w:rPr>
          <w:rFonts w:ascii="Arial" w:hAnsi="Arial" w:cs="Arial"/>
          <w:lang w:val="en-US"/>
        </w:rPr>
        <w:t>.</w:t>
      </w:r>
      <w:r w:rsidR="008810E5" w:rsidRPr="008810E5">
        <w:rPr>
          <w:rFonts w:ascii="Arial" w:hAnsi="Arial" w:cs="Arial"/>
        </w:rPr>
        <w:t xml:space="preserve"> </w:t>
      </w:r>
      <w:r w:rsidR="008810E5" w:rsidRPr="00A6144D">
        <w:rPr>
          <w:rFonts w:ascii="Arial" w:hAnsi="Arial" w:cs="Arial"/>
        </w:rPr>
        <w:t xml:space="preserve">(Accessed: </w:t>
      </w:r>
      <w:r w:rsidR="00DE6AE4">
        <w:rPr>
          <w:rFonts w:ascii="Arial" w:hAnsi="Arial" w:cs="Arial"/>
        </w:rPr>
        <w:t>04</w:t>
      </w:r>
      <w:r w:rsidR="008810E5" w:rsidRPr="00A6144D">
        <w:rPr>
          <w:rFonts w:ascii="Arial" w:hAnsi="Arial" w:cs="Arial"/>
        </w:rPr>
        <w:t xml:space="preserve"> August 2026).</w:t>
      </w:r>
    </w:p>
    <w:p w14:paraId="2343C554" w14:textId="77777777" w:rsidR="008810E5" w:rsidRPr="00A6144D" w:rsidRDefault="008810E5" w:rsidP="008810E5">
      <w:pPr>
        <w:jc w:val="both"/>
        <w:rPr>
          <w:rFonts w:ascii="Arial" w:hAnsi="Arial" w:cs="Arial"/>
        </w:rPr>
      </w:pPr>
    </w:p>
    <w:p w14:paraId="4C84CA4E" w14:textId="44C928A9" w:rsidR="00C2335E" w:rsidRPr="00A6144D" w:rsidRDefault="00DD0AA1" w:rsidP="00C2335E">
      <w:pPr>
        <w:jc w:val="both"/>
        <w:rPr>
          <w:rFonts w:ascii="Arial" w:hAnsi="Arial" w:cs="Arial"/>
        </w:rPr>
      </w:pPr>
      <w:r w:rsidRPr="00A6144D">
        <w:rPr>
          <w:rFonts w:ascii="Arial" w:hAnsi="Arial" w:cs="Arial"/>
        </w:rPr>
        <w:t>Aman, A., Gupta, H., Kharub, M. and McDermott, O. (2024) ‘Enablers for implementing big data analytics in the healthcare industry: Prioritization, classification, and implications for sustainable competitive advantages’, IEEE Transactions on Engineering Management, 71, pp. 11565–11584. Available at: https://doi.org/10.1109/TEM.2024.3416409.</w:t>
      </w:r>
      <w:r w:rsidR="00C2335E" w:rsidRPr="00C2335E">
        <w:rPr>
          <w:rFonts w:ascii="Arial" w:hAnsi="Arial" w:cs="Arial"/>
        </w:rPr>
        <w:t xml:space="preserve"> </w:t>
      </w:r>
      <w:r w:rsidR="00C2335E" w:rsidRPr="00A6144D">
        <w:rPr>
          <w:rFonts w:ascii="Arial" w:hAnsi="Arial" w:cs="Arial"/>
        </w:rPr>
        <w:t xml:space="preserve">(Accessed: </w:t>
      </w:r>
      <w:r w:rsidR="00C2335E">
        <w:rPr>
          <w:rFonts w:ascii="Arial" w:hAnsi="Arial" w:cs="Arial"/>
        </w:rPr>
        <w:t xml:space="preserve">05 </w:t>
      </w:r>
      <w:r w:rsidR="00C2335E" w:rsidRPr="00A6144D">
        <w:rPr>
          <w:rFonts w:ascii="Arial" w:hAnsi="Arial" w:cs="Arial"/>
        </w:rPr>
        <w:t>August 2026).</w:t>
      </w:r>
    </w:p>
    <w:p w14:paraId="1D51EA9B" w14:textId="77777777" w:rsidR="00C2335E" w:rsidRPr="00A6144D" w:rsidRDefault="00C2335E" w:rsidP="00C2335E">
      <w:pPr>
        <w:jc w:val="both"/>
        <w:rPr>
          <w:rFonts w:ascii="Arial" w:hAnsi="Arial" w:cs="Arial"/>
        </w:rPr>
      </w:pPr>
    </w:p>
    <w:p w14:paraId="5A4343C4" w14:textId="64FD342B" w:rsidR="00C2335E" w:rsidRPr="00A6144D" w:rsidRDefault="00DD0AA1" w:rsidP="00C2335E">
      <w:pPr>
        <w:jc w:val="both"/>
        <w:rPr>
          <w:rFonts w:ascii="Arial" w:hAnsi="Arial" w:cs="Arial"/>
        </w:rPr>
      </w:pPr>
      <w:r w:rsidRPr="00A6144D">
        <w:rPr>
          <w:rFonts w:ascii="Arial" w:hAnsi="Arial" w:cs="Arial"/>
        </w:rPr>
        <w:t>Arabiun, A. and Moghadasi, A. (2024) ‘Challenges and opportunities for e-commerce businesses in the digital transformation era’, paper presented at the 3rd International Conference on Humanities, Educational Sciences, Law and Social Sciences. Available at:</w:t>
      </w:r>
      <w:r w:rsidRPr="00DF6B13">
        <w:rPr>
          <w:rFonts w:ascii="Arial" w:hAnsi="Arial" w:cs="Arial"/>
        </w:rPr>
        <w:t xml:space="preserve"> https://www.researchgate.net/publication/380185692_Challenges_and_Opportunities_for_E-commerce_Businesses_in_the_Digital_Transformation_Era</w:t>
      </w:r>
      <w:r w:rsidR="00C2335E">
        <w:rPr>
          <w:rFonts w:ascii="Arial" w:hAnsi="Arial" w:cs="Arial"/>
        </w:rPr>
        <w:t>.</w:t>
      </w:r>
      <w:r w:rsidR="00C2335E" w:rsidRPr="00C2335E">
        <w:rPr>
          <w:rFonts w:ascii="Arial" w:hAnsi="Arial" w:cs="Arial"/>
        </w:rPr>
        <w:t xml:space="preserve"> </w:t>
      </w:r>
      <w:r w:rsidR="00C2335E" w:rsidRPr="00A6144D">
        <w:rPr>
          <w:rFonts w:ascii="Arial" w:hAnsi="Arial" w:cs="Arial"/>
        </w:rPr>
        <w:t xml:space="preserve">(Accessed: </w:t>
      </w:r>
      <w:r w:rsidR="00C2335E">
        <w:rPr>
          <w:rFonts w:ascii="Arial" w:hAnsi="Arial" w:cs="Arial"/>
        </w:rPr>
        <w:t xml:space="preserve">05 </w:t>
      </w:r>
      <w:r w:rsidR="00C2335E" w:rsidRPr="00A6144D">
        <w:rPr>
          <w:rFonts w:ascii="Arial" w:hAnsi="Arial" w:cs="Arial"/>
        </w:rPr>
        <w:t>August 2026).</w:t>
      </w:r>
    </w:p>
    <w:p w14:paraId="618BA326" w14:textId="77777777" w:rsidR="00C2335E" w:rsidRPr="00A6144D" w:rsidRDefault="00C2335E" w:rsidP="00C2335E">
      <w:pPr>
        <w:jc w:val="both"/>
        <w:rPr>
          <w:rFonts w:ascii="Arial" w:hAnsi="Arial" w:cs="Arial"/>
        </w:rPr>
      </w:pPr>
    </w:p>
    <w:p w14:paraId="29DEE6B6" w14:textId="65F41DC8" w:rsidR="00C2335E" w:rsidRPr="00A6144D" w:rsidRDefault="00DD0AA1" w:rsidP="00C2335E">
      <w:pPr>
        <w:jc w:val="both"/>
        <w:rPr>
          <w:rFonts w:ascii="Arial" w:hAnsi="Arial" w:cs="Arial"/>
        </w:rPr>
      </w:pPr>
      <w:r w:rsidRPr="00A6144D">
        <w:rPr>
          <w:rFonts w:ascii="Arial" w:hAnsi="Arial" w:cs="Arial"/>
        </w:rPr>
        <w:t xml:space="preserve">Arifin, K. (2020) ‘Factors influencing employee attitudes toward organizational change: Literature review’, in Proceedings of the 5th ASEAN Conference on Psychology, Counselling, and Humanities (ACPCH 2019). Paris: Atlantis Press. Available at: </w:t>
      </w:r>
      <w:r w:rsidRPr="00BE50FD">
        <w:rPr>
          <w:rFonts w:ascii="Arial" w:hAnsi="Arial" w:cs="Arial"/>
        </w:rPr>
        <w:t>chrome-extension://efaidnbmnnnibpcajpcglclefindmkaj/file:///Users/sphurthi/Downloads/125932590%20(1).pdf</w:t>
      </w:r>
      <w:r w:rsidR="00C2335E">
        <w:rPr>
          <w:rFonts w:ascii="Arial" w:hAnsi="Arial" w:cs="Arial"/>
        </w:rPr>
        <w:t>.</w:t>
      </w:r>
      <w:r w:rsidR="00C2335E" w:rsidRPr="00C2335E">
        <w:rPr>
          <w:rFonts w:ascii="Arial" w:hAnsi="Arial" w:cs="Arial"/>
        </w:rPr>
        <w:t xml:space="preserve"> </w:t>
      </w:r>
      <w:r w:rsidR="00C2335E" w:rsidRPr="00A6144D">
        <w:rPr>
          <w:rFonts w:ascii="Arial" w:hAnsi="Arial" w:cs="Arial"/>
        </w:rPr>
        <w:t xml:space="preserve">(Accessed: </w:t>
      </w:r>
      <w:r w:rsidR="00C2335E">
        <w:rPr>
          <w:rFonts w:ascii="Arial" w:hAnsi="Arial" w:cs="Arial"/>
        </w:rPr>
        <w:t xml:space="preserve">06 </w:t>
      </w:r>
      <w:r w:rsidR="00C2335E" w:rsidRPr="00A6144D">
        <w:rPr>
          <w:rFonts w:ascii="Arial" w:hAnsi="Arial" w:cs="Arial"/>
        </w:rPr>
        <w:t>August 2026).</w:t>
      </w:r>
    </w:p>
    <w:p w14:paraId="67458BF0" w14:textId="77777777" w:rsidR="00C2335E" w:rsidRPr="00A6144D" w:rsidRDefault="00C2335E" w:rsidP="00C2335E">
      <w:pPr>
        <w:jc w:val="both"/>
        <w:rPr>
          <w:rFonts w:ascii="Arial" w:hAnsi="Arial" w:cs="Arial"/>
        </w:rPr>
      </w:pPr>
    </w:p>
    <w:p w14:paraId="02677A33" w14:textId="0A1F8F4C" w:rsidR="00C2335E" w:rsidRPr="00A6144D" w:rsidRDefault="00DD0AA1" w:rsidP="00C2335E">
      <w:pPr>
        <w:jc w:val="both"/>
        <w:rPr>
          <w:rFonts w:ascii="Arial" w:hAnsi="Arial" w:cs="Arial"/>
        </w:rPr>
      </w:pPr>
      <w:r w:rsidRPr="00A6144D">
        <w:rPr>
          <w:rFonts w:ascii="Arial" w:hAnsi="Arial" w:cs="Arial"/>
        </w:rPr>
        <w:lastRenderedPageBreak/>
        <w:t>Ashja Ardalan, S. and Mirzaei, A. (2022) ‘Factors affecting the acceptance of e-commerce in hospitals: A narrative review’, Annals of Military and Health Sciences Research, 20(3), e128432. Available at: https://doi.org/10.5812/amh-128432.</w:t>
      </w:r>
      <w:r w:rsidR="00C2335E" w:rsidRPr="00C2335E">
        <w:rPr>
          <w:rFonts w:ascii="Arial" w:hAnsi="Arial" w:cs="Arial"/>
        </w:rPr>
        <w:t xml:space="preserve"> </w:t>
      </w:r>
      <w:r w:rsidR="00C2335E" w:rsidRPr="00A6144D">
        <w:rPr>
          <w:rFonts w:ascii="Arial" w:hAnsi="Arial" w:cs="Arial"/>
        </w:rPr>
        <w:t xml:space="preserve">(Accessed: </w:t>
      </w:r>
      <w:r w:rsidR="00C2335E">
        <w:rPr>
          <w:rFonts w:ascii="Arial" w:hAnsi="Arial" w:cs="Arial"/>
        </w:rPr>
        <w:t>06</w:t>
      </w:r>
      <w:r w:rsidR="00C2335E" w:rsidRPr="00A6144D">
        <w:rPr>
          <w:rFonts w:ascii="Arial" w:hAnsi="Arial" w:cs="Arial"/>
        </w:rPr>
        <w:t xml:space="preserve"> August 2026).</w:t>
      </w:r>
    </w:p>
    <w:p w14:paraId="56C795B2" w14:textId="77777777" w:rsidR="00C2335E" w:rsidRPr="00A6144D" w:rsidRDefault="00C2335E" w:rsidP="00C2335E">
      <w:pPr>
        <w:jc w:val="both"/>
        <w:rPr>
          <w:rFonts w:ascii="Arial" w:hAnsi="Arial" w:cs="Arial"/>
        </w:rPr>
      </w:pPr>
    </w:p>
    <w:p w14:paraId="6C5EAA2D" w14:textId="065B2783" w:rsidR="00DD0AA1" w:rsidRPr="00A6144D" w:rsidRDefault="00DD0AA1" w:rsidP="00DD0AA1">
      <w:pPr>
        <w:jc w:val="both"/>
        <w:rPr>
          <w:rFonts w:ascii="Arial" w:hAnsi="Arial" w:cs="Arial"/>
        </w:rPr>
      </w:pPr>
      <w:r w:rsidRPr="00A6144D">
        <w:rPr>
          <w:rFonts w:ascii="Arial" w:hAnsi="Arial" w:cs="Arial"/>
        </w:rPr>
        <w:t xml:space="preserve">Ashley-Timms, D. and Ashley-Timms, L. (2025) ‘Redefining the purpose of management for the 21st century’, Global Focus, 17 June. Available at: https://globalfocusmagazine.com/redefining-the-purpose-of-management-for-the-21st-century/ (Accessed: </w:t>
      </w:r>
      <w:r w:rsidR="00C2335E">
        <w:rPr>
          <w:rFonts w:ascii="Arial" w:hAnsi="Arial" w:cs="Arial"/>
        </w:rPr>
        <w:t>07</w:t>
      </w:r>
      <w:r w:rsidRPr="00A6144D">
        <w:rPr>
          <w:rFonts w:ascii="Arial" w:hAnsi="Arial" w:cs="Arial"/>
        </w:rPr>
        <w:t xml:space="preserve"> August 2026).</w:t>
      </w:r>
    </w:p>
    <w:p w14:paraId="06B37CE2" w14:textId="77777777" w:rsidR="00DD0AA1" w:rsidRPr="00A6144D" w:rsidRDefault="00DD0AA1" w:rsidP="00DD0AA1">
      <w:pPr>
        <w:jc w:val="both"/>
        <w:rPr>
          <w:rFonts w:ascii="Arial" w:hAnsi="Arial" w:cs="Arial"/>
        </w:rPr>
      </w:pPr>
    </w:p>
    <w:p w14:paraId="48E8F637" w14:textId="7EB710A6" w:rsidR="00894758" w:rsidRPr="00A6144D" w:rsidRDefault="00DD0AA1" w:rsidP="00894758">
      <w:pPr>
        <w:jc w:val="both"/>
        <w:rPr>
          <w:rFonts w:ascii="Arial" w:hAnsi="Arial" w:cs="Arial"/>
        </w:rPr>
      </w:pPr>
      <w:r w:rsidRPr="00A6144D">
        <w:rPr>
          <w:rFonts w:ascii="Arial" w:hAnsi="Arial" w:cs="Arial"/>
        </w:rPr>
        <w:t>Autio, E., Mudambi, R. and Yoo, Y. (2021) ‘Digitalization and globalization in a turbulent world: Centrifugal and centripetal forces’, Global Strategy Journal, 11(1), pp. 3–16. Available at: https://doi.org/10.1002/gsj.1396.</w:t>
      </w:r>
      <w:r w:rsidR="00894758" w:rsidRPr="00894758">
        <w:rPr>
          <w:rFonts w:ascii="Arial" w:hAnsi="Arial" w:cs="Arial"/>
        </w:rPr>
        <w:t xml:space="preserve"> </w:t>
      </w:r>
      <w:r w:rsidR="00894758" w:rsidRPr="00A6144D">
        <w:rPr>
          <w:rFonts w:ascii="Arial" w:hAnsi="Arial" w:cs="Arial"/>
        </w:rPr>
        <w:t xml:space="preserve">(Accessed: </w:t>
      </w:r>
      <w:r w:rsidR="00A42696">
        <w:rPr>
          <w:rFonts w:ascii="Arial" w:hAnsi="Arial" w:cs="Arial"/>
        </w:rPr>
        <w:t>07</w:t>
      </w:r>
      <w:r w:rsidR="00894758" w:rsidRPr="00A6144D">
        <w:rPr>
          <w:rFonts w:ascii="Arial" w:hAnsi="Arial" w:cs="Arial"/>
        </w:rPr>
        <w:t xml:space="preserve"> August 2026).</w:t>
      </w:r>
    </w:p>
    <w:p w14:paraId="2C3A6975" w14:textId="77777777" w:rsidR="00894758" w:rsidRPr="00A6144D" w:rsidRDefault="00894758" w:rsidP="00894758">
      <w:pPr>
        <w:jc w:val="both"/>
        <w:rPr>
          <w:rFonts w:ascii="Arial" w:hAnsi="Arial" w:cs="Arial"/>
        </w:rPr>
      </w:pPr>
    </w:p>
    <w:p w14:paraId="22B88C6C" w14:textId="459D6B4B" w:rsidR="00DD0AA1" w:rsidRPr="00A6144D" w:rsidRDefault="00DD0AA1" w:rsidP="00DD0AA1">
      <w:pPr>
        <w:jc w:val="both"/>
        <w:rPr>
          <w:rFonts w:ascii="Arial" w:hAnsi="Arial" w:cs="Arial"/>
        </w:rPr>
      </w:pPr>
      <w:r w:rsidRPr="00A6144D">
        <w:rPr>
          <w:rFonts w:ascii="Arial" w:hAnsi="Arial" w:cs="Arial"/>
        </w:rPr>
        <w:t xml:space="preserve">Avadhani, C.L., Udayasuriyan, G. and Rao, K.V. (2023) ‘Scientific management tools and its relevance in healthcare sector in the present scenario’, International Journal of Advanced Multidisciplinary Research and Studies, 3(1), pp. 571–580. Available at: https://www.multiresearchjournal.com/arclist/list-2023.3.1/id-874 (Accessed: </w:t>
      </w:r>
      <w:r w:rsidR="00A42696">
        <w:rPr>
          <w:rFonts w:ascii="Arial" w:hAnsi="Arial" w:cs="Arial"/>
        </w:rPr>
        <w:t xml:space="preserve">08 </w:t>
      </w:r>
      <w:r w:rsidRPr="00A6144D">
        <w:rPr>
          <w:rFonts w:ascii="Arial" w:hAnsi="Arial" w:cs="Arial"/>
        </w:rPr>
        <w:t>August 2026).</w:t>
      </w:r>
    </w:p>
    <w:p w14:paraId="1CEFC3BC" w14:textId="77777777" w:rsidR="00DD0AA1" w:rsidRPr="00A6144D" w:rsidRDefault="00DD0AA1" w:rsidP="00DD0AA1">
      <w:pPr>
        <w:jc w:val="both"/>
        <w:rPr>
          <w:rFonts w:ascii="Arial" w:hAnsi="Arial" w:cs="Arial"/>
        </w:rPr>
      </w:pPr>
    </w:p>
    <w:p w14:paraId="3534B520" w14:textId="06817515" w:rsidR="00DD0AA1" w:rsidRPr="00A6144D" w:rsidRDefault="00DD0AA1" w:rsidP="00DD0AA1">
      <w:pPr>
        <w:jc w:val="both"/>
        <w:rPr>
          <w:rFonts w:ascii="Arial" w:hAnsi="Arial" w:cs="Arial"/>
        </w:rPr>
      </w:pPr>
      <w:r w:rsidRPr="00A6144D">
        <w:rPr>
          <w:rFonts w:ascii="Arial" w:hAnsi="Arial" w:cs="Arial"/>
        </w:rPr>
        <w:t>Baranga, L., Baranga, S.-M. and Nitu, V. (2020) ‘Social responsibility versus managerial performance as a psychological strategy in human resource management’, in Panagoret, I. and Gorghiu, G. (eds.) International Conference Globalization, Innovation and Development: Trends and Prospects. Iași: Editura Lumen, pp. 308–316. Available at: https://doi.org/10.18662/lumproc/gidtp2018/34.</w:t>
      </w:r>
      <w:r w:rsidR="00A42696" w:rsidRPr="00A42696">
        <w:rPr>
          <w:rFonts w:ascii="Arial" w:hAnsi="Arial" w:cs="Arial"/>
        </w:rPr>
        <w:t xml:space="preserve"> </w:t>
      </w:r>
      <w:r w:rsidR="00A42696" w:rsidRPr="00A6144D">
        <w:rPr>
          <w:rFonts w:ascii="Arial" w:hAnsi="Arial" w:cs="Arial"/>
        </w:rPr>
        <w:t xml:space="preserve">(Accessed: </w:t>
      </w:r>
      <w:r w:rsidR="00A42696">
        <w:rPr>
          <w:rFonts w:ascii="Arial" w:hAnsi="Arial" w:cs="Arial"/>
        </w:rPr>
        <w:t>10</w:t>
      </w:r>
      <w:r w:rsidR="00A42696" w:rsidRPr="00A6144D">
        <w:rPr>
          <w:rFonts w:ascii="Arial" w:hAnsi="Arial" w:cs="Arial"/>
        </w:rPr>
        <w:t xml:space="preserve"> August 2026).</w:t>
      </w:r>
    </w:p>
    <w:p w14:paraId="42155E72" w14:textId="77777777" w:rsidR="00DD0AA1" w:rsidRPr="00A6144D" w:rsidRDefault="00DD0AA1" w:rsidP="00DD0AA1">
      <w:pPr>
        <w:jc w:val="both"/>
        <w:rPr>
          <w:rFonts w:ascii="Arial" w:hAnsi="Arial" w:cs="Arial"/>
        </w:rPr>
      </w:pPr>
    </w:p>
    <w:p w14:paraId="1CF6C009" w14:textId="72C24C3B" w:rsidR="00A42696" w:rsidRPr="00A6144D" w:rsidRDefault="00DD0AA1" w:rsidP="00A42696">
      <w:pPr>
        <w:jc w:val="both"/>
        <w:rPr>
          <w:rFonts w:ascii="Arial" w:hAnsi="Arial" w:cs="Arial"/>
        </w:rPr>
      </w:pPr>
      <w:r w:rsidRPr="00A6144D">
        <w:rPr>
          <w:rFonts w:ascii="Arial" w:hAnsi="Arial" w:cs="Arial"/>
        </w:rPr>
        <w:t>Baskoro, T. (2024) ‘Digital disruption: Landscape of e-business for competitive advantage’, Advances in Business &amp; Industrial Marketing Research, 2(1), pp. 1–14. Available at: https://doi.org/10.60079/abim.v2i1.218.</w:t>
      </w:r>
      <w:r w:rsidR="00A42696" w:rsidRPr="00A6144D">
        <w:rPr>
          <w:rFonts w:ascii="Arial" w:hAnsi="Arial" w:cs="Arial"/>
        </w:rPr>
        <w:t xml:space="preserve">(Accessed: </w:t>
      </w:r>
      <w:r w:rsidR="00A42696">
        <w:rPr>
          <w:rFonts w:ascii="Arial" w:hAnsi="Arial" w:cs="Arial"/>
        </w:rPr>
        <w:t>08</w:t>
      </w:r>
      <w:r w:rsidR="00A42696" w:rsidRPr="00A6144D">
        <w:rPr>
          <w:rFonts w:ascii="Arial" w:hAnsi="Arial" w:cs="Arial"/>
        </w:rPr>
        <w:t xml:space="preserve"> August 2026).</w:t>
      </w:r>
    </w:p>
    <w:p w14:paraId="33A29902" w14:textId="77777777" w:rsidR="00DD0AA1" w:rsidRPr="00A6144D" w:rsidRDefault="00DD0AA1" w:rsidP="00DD0AA1">
      <w:pPr>
        <w:jc w:val="both"/>
        <w:rPr>
          <w:rFonts w:ascii="Arial" w:hAnsi="Arial" w:cs="Arial"/>
        </w:rPr>
      </w:pPr>
    </w:p>
    <w:p w14:paraId="7FD4AE3A" w14:textId="77777777" w:rsidR="00DD0AA1" w:rsidRPr="00A6144D" w:rsidRDefault="00DD0AA1" w:rsidP="00DD0AA1">
      <w:pPr>
        <w:jc w:val="both"/>
        <w:rPr>
          <w:rFonts w:ascii="Arial" w:hAnsi="Arial" w:cs="Arial"/>
        </w:rPr>
      </w:pPr>
      <w:r w:rsidRPr="00A6144D">
        <w:rPr>
          <w:rFonts w:ascii="Arial" w:hAnsi="Arial" w:cs="Arial"/>
        </w:rPr>
        <w:t>Basnet, R. (2025) ‘Healthcare marketing strategies: Traditional techniques, trends of today and technology for tomorrow’, Insight: Journal of National Open College, p. 24 ff. Available at: https://noc.edu.np/wp-content/uploads/2025/07/Insight-Journal-of-National-Open-College.pdf (Accessed: 20 August 2026).</w:t>
      </w:r>
    </w:p>
    <w:p w14:paraId="1D2CD25F" w14:textId="77777777" w:rsidR="00DD0AA1" w:rsidRPr="00A6144D" w:rsidRDefault="00DD0AA1" w:rsidP="00DD0AA1">
      <w:pPr>
        <w:jc w:val="both"/>
        <w:rPr>
          <w:rFonts w:ascii="Arial" w:hAnsi="Arial" w:cs="Arial"/>
        </w:rPr>
      </w:pPr>
    </w:p>
    <w:p w14:paraId="519A9FF0" w14:textId="2EF93AFB" w:rsidR="00F51C18" w:rsidRPr="00A6144D" w:rsidRDefault="00DD0AA1" w:rsidP="00F51C18">
      <w:pPr>
        <w:jc w:val="both"/>
        <w:rPr>
          <w:rFonts w:ascii="Arial" w:hAnsi="Arial" w:cs="Arial"/>
        </w:rPr>
      </w:pPr>
      <w:r w:rsidRPr="00A6144D">
        <w:rPr>
          <w:rFonts w:ascii="Arial" w:hAnsi="Arial" w:cs="Arial"/>
        </w:rPr>
        <w:t xml:space="preserve">Bejaković, P. and Mrnjavac, Ž. (2024) ‘The characteristics and role of digital literacy in an effective health protection’, Heliyon, 10(8), e29737. Available at: </w:t>
      </w:r>
      <w:r w:rsidRPr="002714AA">
        <w:rPr>
          <w:rFonts w:ascii="Arial" w:hAnsi="Arial" w:cs="Arial"/>
        </w:rPr>
        <w:t>https://www.cell.com/heliyon/fulltext/S2405-8440(24)05768-2</w:t>
      </w:r>
      <w:r w:rsidR="00F51C18">
        <w:rPr>
          <w:rFonts w:ascii="Arial" w:hAnsi="Arial" w:cs="Arial"/>
        </w:rPr>
        <w:t xml:space="preserve"> </w:t>
      </w:r>
      <w:r w:rsidR="00F51C18" w:rsidRPr="00A6144D">
        <w:rPr>
          <w:rFonts w:ascii="Arial" w:hAnsi="Arial" w:cs="Arial"/>
        </w:rPr>
        <w:t xml:space="preserve">(Accessed: </w:t>
      </w:r>
      <w:r w:rsidR="00F51C18">
        <w:rPr>
          <w:rFonts w:ascii="Arial" w:hAnsi="Arial" w:cs="Arial"/>
        </w:rPr>
        <w:t>11</w:t>
      </w:r>
      <w:r w:rsidR="00F51C18" w:rsidRPr="00A6144D">
        <w:rPr>
          <w:rFonts w:ascii="Arial" w:hAnsi="Arial" w:cs="Arial"/>
        </w:rPr>
        <w:t xml:space="preserve"> August 2026).</w:t>
      </w:r>
    </w:p>
    <w:p w14:paraId="21516958" w14:textId="77777777" w:rsidR="00DD0AA1" w:rsidRDefault="00DD0AA1" w:rsidP="00DD0AA1">
      <w:pPr>
        <w:jc w:val="both"/>
        <w:rPr>
          <w:rFonts w:ascii="Arial" w:hAnsi="Arial" w:cs="Arial"/>
        </w:rPr>
      </w:pPr>
    </w:p>
    <w:p w14:paraId="1E997EDE" w14:textId="0CA956C3" w:rsidR="00F51C18" w:rsidRPr="00A6144D" w:rsidRDefault="00DD0AA1" w:rsidP="00F51C18">
      <w:pPr>
        <w:jc w:val="both"/>
        <w:rPr>
          <w:rFonts w:ascii="Arial" w:hAnsi="Arial" w:cs="Arial"/>
        </w:rPr>
      </w:pPr>
      <w:r w:rsidRPr="00A6144D">
        <w:rPr>
          <w:rFonts w:ascii="Arial" w:hAnsi="Arial" w:cs="Arial"/>
        </w:rPr>
        <w:t xml:space="preserve">Bhatt, R.M. and Garge, D. (2023) ‘Efficiency in emergency: A perception study of hierarchical versus flat organizational structures for joint disaster response in the Bay of Bengal region’, Strategic Analysis, 47(1), pp. 61–78. Available at: </w:t>
      </w:r>
      <w:r w:rsidRPr="006E541D">
        <w:rPr>
          <w:rFonts w:ascii="Arial" w:hAnsi="Arial" w:cs="Arial"/>
        </w:rPr>
        <w:t>chrome-extension://efaidnbmnnnibpcajpcglclefindmkaj/https://www.researchgate.net/profile/Rajat_Bhatt5/publication/369036633_Efficiency_in_Emergency_A_Perception_Study_of_Hierarchical_Versus_Flat_Organizational_Structures_for_Joint_Disaster_Response_in_the_Bay_of_Bengal_Region/links/6406b7170cf1030a567cfbcb/Efficiency-in-Emergency-A-Perception-Study-of-Hierarchical-Versus-Flat-Organizational-Structures-for-Joint-Disaster-Response-in-the-Bay-of-Bengal-Region.pdf</w:t>
      </w:r>
      <w:r w:rsidR="00F51C18">
        <w:rPr>
          <w:rFonts w:ascii="Arial" w:hAnsi="Arial" w:cs="Arial"/>
        </w:rPr>
        <w:t xml:space="preserve"> </w:t>
      </w:r>
      <w:r w:rsidR="00F51C18" w:rsidRPr="00A6144D">
        <w:rPr>
          <w:rFonts w:ascii="Arial" w:hAnsi="Arial" w:cs="Arial"/>
        </w:rPr>
        <w:t xml:space="preserve">(Accessed: </w:t>
      </w:r>
      <w:r w:rsidR="00F51C18">
        <w:rPr>
          <w:rFonts w:ascii="Arial" w:hAnsi="Arial" w:cs="Arial"/>
        </w:rPr>
        <w:t>13</w:t>
      </w:r>
      <w:r w:rsidR="00F51C18" w:rsidRPr="00A6144D">
        <w:rPr>
          <w:rFonts w:ascii="Arial" w:hAnsi="Arial" w:cs="Arial"/>
        </w:rPr>
        <w:t xml:space="preserve"> August 2026).</w:t>
      </w:r>
    </w:p>
    <w:p w14:paraId="01A4C758" w14:textId="77777777" w:rsidR="00F51C18" w:rsidRPr="00A6144D" w:rsidRDefault="00F51C18" w:rsidP="00F51C18">
      <w:pPr>
        <w:jc w:val="both"/>
        <w:rPr>
          <w:rFonts w:ascii="Arial" w:hAnsi="Arial" w:cs="Arial"/>
        </w:rPr>
      </w:pPr>
    </w:p>
    <w:p w14:paraId="657F90E5" w14:textId="77777777" w:rsidR="00DD0AA1" w:rsidRPr="00A6144D" w:rsidRDefault="00DD0AA1" w:rsidP="00DD0AA1">
      <w:pPr>
        <w:jc w:val="both"/>
        <w:rPr>
          <w:rFonts w:ascii="Arial" w:hAnsi="Arial" w:cs="Arial"/>
        </w:rPr>
      </w:pPr>
    </w:p>
    <w:p w14:paraId="69E68DE9" w14:textId="25E9AF48" w:rsidR="00DD0AA1" w:rsidRPr="00A6144D" w:rsidRDefault="00DD0AA1" w:rsidP="00DD0AA1">
      <w:pPr>
        <w:jc w:val="both"/>
        <w:rPr>
          <w:rFonts w:ascii="Arial" w:hAnsi="Arial" w:cs="Arial"/>
        </w:rPr>
      </w:pPr>
      <w:r w:rsidRPr="00A6144D">
        <w:rPr>
          <w:rFonts w:ascii="Arial" w:hAnsi="Arial" w:cs="Arial"/>
        </w:rPr>
        <w:lastRenderedPageBreak/>
        <w:t>Brennan, E. and Abimbola, S. (2020) ‘Understanding and progressing health system decentralisation in Myanmar’, Global Security: Health, Science and Policy, 5(1), pp. 17–27. Available at: https://doi.org/10.1080/23779497.2020.1782247.</w:t>
      </w:r>
      <w:r w:rsidR="00F51C18" w:rsidRPr="00F51C18">
        <w:rPr>
          <w:rFonts w:ascii="Arial" w:hAnsi="Arial" w:cs="Arial"/>
        </w:rPr>
        <w:t xml:space="preserve"> </w:t>
      </w:r>
      <w:r w:rsidR="00F51C18" w:rsidRPr="00A6144D">
        <w:rPr>
          <w:rFonts w:ascii="Arial" w:hAnsi="Arial" w:cs="Arial"/>
        </w:rPr>
        <w:t xml:space="preserve">(Accessed: </w:t>
      </w:r>
      <w:r w:rsidR="00AA5295">
        <w:rPr>
          <w:rFonts w:ascii="Arial" w:hAnsi="Arial" w:cs="Arial"/>
        </w:rPr>
        <w:t xml:space="preserve">14 </w:t>
      </w:r>
      <w:r w:rsidR="00F51C18" w:rsidRPr="00A6144D">
        <w:rPr>
          <w:rFonts w:ascii="Arial" w:hAnsi="Arial" w:cs="Arial"/>
        </w:rPr>
        <w:t>August 2026).</w:t>
      </w:r>
    </w:p>
    <w:p w14:paraId="4CDF12FD" w14:textId="77777777" w:rsidR="00DD0AA1" w:rsidRPr="00A6144D" w:rsidRDefault="00DD0AA1" w:rsidP="00DD0AA1">
      <w:pPr>
        <w:jc w:val="both"/>
        <w:rPr>
          <w:rFonts w:ascii="Arial" w:hAnsi="Arial" w:cs="Arial"/>
        </w:rPr>
      </w:pPr>
    </w:p>
    <w:p w14:paraId="24E84A9B" w14:textId="1AA54AEE" w:rsidR="00DD0AA1" w:rsidRPr="00A6144D" w:rsidRDefault="00DD0AA1" w:rsidP="00DD0AA1">
      <w:pPr>
        <w:jc w:val="both"/>
        <w:rPr>
          <w:rFonts w:ascii="Arial" w:hAnsi="Arial" w:cs="Arial"/>
        </w:rPr>
      </w:pPr>
      <w:r w:rsidRPr="00A6144D">
        <w:rPr>
          <w:rFonts w:ascii="Arial" w:hAnsi="Arial" w:cs="Arial"/>
        </w:rPr>
        <w:t>Busari, A.H., Khan, S.N., Abdullah, S.M. and Mughal, Y.H. (2020) ‘Transformational leadership style, followership, and factors of employees’ reactions towards organizational change’, Journal of Asia Business Studies, 14(2), pp. 181–209. Available at: https://doi.org/10.1108/JABS-03-2018-0083.</w:t>
      </w:r>
      <w:r w:rsidR="00AA5295" w:rsidRPr="00AA5295">
        <w:rPr>
          <w:rFonts w:ascii="Arial" w:hAnsi="Arial" w:cs="Arial"/>
        </w:rPr>
        <w:t xml:space="preserve"> </w:t>
      </w:r>
      <w:r w:rsidR="00AA5295" w:rsidRPr="00A6144D">
        <w:rPr>
          <w:rFonts w:ascii="Arial" w:hAnsi="Arial" w:cs="Arial"/>
        </w:rPr>
        <w:t xml:space="preserve">(Accessed: </w:t>
      </w:r>
      <w:r w:rsidR="00AA5295">
        <w:rPr>
          <w:rFonts w:ascii="Arial" w:hAnsi="Arial" w:cs="Arial"/>
        </w:rPr>
        <w:t>09</w:t>
      </w:r>
      <w:r w:rsidR="00AA5295" w:rsidRPr="00A6144D">
        <w:rPr>
          <w:rFonts w:ascii="Arial" w:hAnsi="Arial" w:cs="Arial"/>
        </w:rPr>
        <w:t xml:space="preserve"> August 2026).</w:t>
      </w:r>
    </w:p>
    <w:p w14:paraId="7E82D5DA" w14:textId="77777777" w:rsidR="00DD0AA1" w:rsidRPr="00A6144D" w:rsidRDefault="00DD0AA1" w:rsidP="00DD0AA1">
      <w:pPr>
        <w:jc w:val="both"/>
        <w:rPr>
          <w:rFonts w:ascii="Arial" w:hAnsi="Arial" w:cs="Arial"/>
        </w:rPr>
      </w:pPr>
    </w:p>
    <w:p w14:paraId="7C52F936" w14:textId="747DE37C" w:rsidR="00DD0AA1" w:rsidRPr="00A6144D" w:rsidRDefault="00DD0AA1" w:rsidP="00DD0AA1">
      <w:pPr>
        <w:jc w:val="both"/>
        <w:rPr>
          <w:rFonts w:ascii="Arial" w:hAnsi="Arial" w:cs="Arial"/>
        </w:rPr>
      </w:pPr>
      <w:r w:rsidRPr="00A6144D">
        <w:rPr>
          <w:rFonts w:ascii="Arial" w:hAnsi="Arial" w:cs="Arial"/>
        </w:rPr>
        <w:t>Cahyono, W.D. and Hendayana, Y. (2025) ‘Application of management theory in healthcare service’, Jurnal Ekonomi Manajemen Sistem Informasi, 7(2), pp. 1374–1377. Available at: https://doi.org/10.38035/jemsi.v7i2.6911.</w:t>
      </w:r>
      <w:r w:rsidR="00AA5295" w:rsidRPr="00AA5295">
        <w:rPr>
          <w:rFonts w:ascii="Arial" w:hAnsi="Arial" w:cs="Arial"/>
        </w:rPr>
        <w:t xml:space="preserve"> </w:t>
      </w:r>
      <w:r w:rsidR="00AA5295" w:rsidRPr="00A6144D">
        <w:rPr>
          <w:rFonts w:ascii="Arial" w:hAnsi="Arial" w:cs="Arial"/>
        </w:rPr>
        <w:t xml:space="preserve">(Accessed: </w:t>
      </w:r>
      <w:r w:rsidR="00AA5295">
        <w:rPr>
          <w:rFonts w:ascii="Arial" w:hAnsi="Arial" w:cs="Arial"/>
        </w:rPr>
        <w:t xml:space="preserve">15 </w:t>
      </w:r>
      <w:r w:rsidR="00AA5295" w:rsidRPr="00A6144D">
        <w:rPr>
          <w:rFonts w:ascii="Arial" w:hAnsi="Arial" w:cs="Arial"/>
        </w:rPr>
        <w:t>August 2026).</w:t>
      </w:r>
    </w:p>
    <w:p w14:paraId="162F97E9" w14:textId="77777777" w:rsidR="00DD0AA1" w:rsidRPr="00A6144D" w:rsidRDefault="00DD0AA1" w:rsidP="00DD0AA1">
      <w:pPr>
        <w:jc w:val="both"/>
        <w:rPr>
          <w:rFonts w:ascii="Arial" w:hAnsi="Arial" w:cs="Arial"/>
        </w:rPr>
      </w:pPr>
    </w:p>
    <w:p w14:paraId="4957F5DF" w14:textId="5CDBD65D" w:rsidR="00AA5295" w:rsidRPr="00A6144D" w:rsidRDefault="00DD0AA1" w:rsidP="00AA5295">
      <w:pPr>
        <w:jc w:val="both"/>
        <w:rPr>
          <w:rFonts w:ascii="Arial" w:hAnsi="Arial" w:cs="Arial"/>
        </w:rPr>
      </w:pPr>
      <w:r w:rsidRPr="00A6144D">
        <w:rPr>
          <w:rFonts w:ascii="Arial" w:hAnsi="Arial" w:cs="Arial"/>
        </w:rPr>
        <w:t xml:space="preserve">Caniago, A. (2024) ‘Analysis of organizational structure and integrated coordination on organizational growth’, Asian Journal of Management, Entrepreneurship and Social Science, 4(3), pp. 1387–1400. Available at: </w:t>
      </w:r>
      <w:r w:rsidRPr="00485177">
        <w:rPr>
          <w:rFonts w:ascii="Arial" w:hAnsi="Arial" w:cs="Arial"/>
        </w:rPr>
        <w:t>chrome-extension://efaidnbmnnnibpcajpcglclefindmkaj/file:///Users/sphurthi/Downloads/907-Article%20Text-3411-1-10-20240729%20(2).pdf</w:t>
      </w:r>
      <w:r w:rsidR="00AA5295">
        <w:rPr>
          <w:rFonts w:ascii="Arial" w:hAnsi="Arial" w:cs="Arial"/>
        </w:rPr>
        <w:t xml:space="preserve"> </w:t>
      </w:r>
      <w:r w:rsidR="00AA5295" w:rsidRPr="00A6144D">
        <w:rPr>
          <w:rFonts w:ascii="Arial" w:hAnsi="Arial" w:cs="Arial"/>
        </w:rPr>
        <w:t xml:space="preserve">(Accessed: </w:t>
      </w:r>
      <w:r w:rsidR="00AA5295">
        <w:rPr>
          <w:rFonts w:ascii="Arial" w:hAnsi="Arial" w:cs="Arial"/>
        </w:rPr>
        <w:t>09</w:t>
      </w:r>
      <w:r w:rsidR="00AA5295" w:rsidRPr="00A6144D">
        <w:rPr>
          <w:rFonts w:ascii="Arial" w:hAnsi="Arial" w:cs="Arial"/>
        </w:rPr>
        <w:t xml:space="preserve"> August 2026).</w:t>
      </w:r>
    </w:p>
    <w:p w14:paraId="47873F72" w14:textId="77777777" w:rsidR="00DD0AA1" w:rsidRPr="00485177" w:rsidRDefault="00DD0AA1" w:rsidP="00DD0AA1">
      <w:pPr>
        <w:jc w:val="both"/>
        <w:rPr>
          <w:rFonts w:ascii="Arial" w:hAnsi="Arial" w:cs="Arial"/>
        </w:rPr>
      </w:pPr>
    </w:p>
    <w:p w14:paraId="78BBA298" w14:textId="20D56DE9" w:rsidR="00AA5295" w:rsidRPr="00A6144D" w:rsidRDefault="00DD0AA1" w:rsidP="00AA5295">
      <w:pPr>
        <w:jc w:val="both"/>
        <w:rPr>
          <w:rFonts w:ascii="Arial" w:hAnsi="Arial" w:cs="Arial"/>
        </w:rPr>
      </w:pPr>
      <w:r w:rsidRPr="00A6144D">
        <w:rPr>
          <w:rFonts w:ascii="Arial" w:hAnsi="Arial" w:cs="Arial"/>
        </w:rPr>
        <w:t>Corejova, T. and Chinoracky, R. (2021) ‘Assessing the potential for digital transformation’, Sustainability, 13(19), 11040. Available at: https://doi.org/10.3390/su131911040.</w:t>
      </w:r>
      <w:r w:rsidR="00AA5295" w:rsidRPr="00AA5295">
        <w:rPr>
          <w:rFonts w:ascii="Arial" w:hAnsi="Arial" w:cs="Arial"/>
        </w:rPr>
        <w:t xml:space="preserve"> </w:t>
      </w:r>
      <w:r w:rsidR="00AA5295" w:rsidRPr="00A6144D">
        <w:rPr>
          <w:rFonts w:ascii="Arial" w:hAnsi="Arial" w:cs="Arial"/>
        </w:rPr>
        <w:t xml:space="preserve">(Accessed: </w:t>
      </w:r>
      <w:r w:rsidR="00AA5295">
        <w:rPr>
          <w:rFonts w:ascii="Arial" w:hAnsi="Arial" w:cs="Arial"/>
        </w:rPr>
        <w:t>16</w:t>
      </w:r>
      <w:r w:rsidR="00AA5295" w:rsidRPr="00A6144D">
        <w:rPr>
          <w:rFonts w:ascii="Arial" w:hAnsi="Arial" w:cs="Arial"/>
        </w:rPr>
        <w:t xml:space="preserve"> August 2026).</w:t>
      </w:r>
    </w:p>
    <w:p w14:paraId="6A5796F4" w14:textId="77777777" w:rsidR="00DD0AA1" w:rsidRPr="00A6144D" w:rsidRDefault="00DD0AA1" w:rsidP="00DD0AA1">
      <w:pPr>
        <w:jc w:val="both"/>
        <w:rPr>
          <w:rFonts w:ascii="Arial" w:hAnsi="Arial" w:cs="Arial"/>
        </w:rPr>
      </w:pPr>
    </w:p>
    <w:p w14:paraId="36E63DA4" w14:textId="6D899883" w:rsidR="00AA5295" w:rsidRPr="00A6144D" w:rsidRDefault="00DD0AA1" w:rsidP="00AA5295">
      <w:pPr>
        <w:jc w:val="both"/>
        <w:rPr>
          <w:rFonts w:ascii="Arial" w:hAnsi="Arial" w:cs="Arial"/>
        </w:rPr>
      </w:pPr>
      <w:r w:rsidRPr="00A6144D">
        <w:rPr>
          <w:rFonts w:ascii="Arial" w:hAnsi="Arial" w:cs="Arial"/>
        </w:rPr>
        <w:t>Cristofaro, M. (2020) ‘E-business evolution: An analysis of mobile applications’ business models’, Technology Analysis &amp; Strategic Management, 32(1), pp. 88–103. Available at: https://doi.org/10.1080/09537325.2019.1634804.</w:t>
      </w:r>
      <w:r w:rsidR="00AA5295" w:rsidRPr="00AA5295">
        <w:rPr>
          <w:rFonts w:ascii="Arial" w:hAnsi="Arial" w:cs="Arial"/>
        </w:rPr>
        <w:t xml:space="preserve"> </w:t>
      </w:r>
      <w:r w:rsidR="00AA5295" w:rsidRPr="00A6144D">
        <w:rPr>
          <w:rFonts w:ascii="Arial" w:hAnsi="Arial" w:cs="Arial"/>
        </w:rPr>
        <w:t xml:space="preserve">(Accessed: </w:t>
      </w:r>
      <w:r w:rsidR="00AA5295">
        <w:rPr>
          <w:rFonts w:ascii="Arial" w:hAnsi="Arial" w:cs="Arial"/>
        </w:rPr>
        <w:t>09</w:t>
      </w:r>
      <w:r w:rsidR="00AA5295" w:rsidRPr="00A6144D">
        <w:rPr>
          <w:rFonts w:ascii="Arial" w:hAnsi="Arial" w:cs="Arial"/>
        </w:rPr>
        <w:t xml:space="preserve"> August 2026).</w:t>
      </w:r>
    </w:p>
    <w:p w14:paraId="6A61C284" w14:textId="77777777" w:rsidR="00DD0AA1" w:rsidRPr="00A6144D" w:rsidRDefault="00DD0AA1" w:rsidP="00DD0AA1">
      <w:pPr>
        <w:jc w:val="both"/>
        <w:rPr>
          <w:rFonts w:ascii="Arial" w:hAnsi="Arial" w:cs="Arial"/>
        </w:rPr>
      </w:pPr>
    </w:p>
    <w:p w14:paraId="52ACC590" w14:textId="2A04F9E4" w:rsidR="00AA5295" w:rsidRPr="00A6144D" w:rsidRDefault="00DD0AA1" w:rsidP="00AA5295">
      <w:pPr>
        <w:jc w:val="both"/>
        <w:rPr>
          <w:rFonts w:ascii="Arial" w:hAnsi="Arial" w:cs="Arial"/>
        </w:rPr>
      </w:pPr>
      <w:r w:rsidRPr="00A6144D">
        <w:rPr>
          <w:rFonts w:ascii="Arial" w:hAnsi="Arial" w:cs="Arial"/>
        </w:rPr>
        <w:t>Cumming, D., Johan, S., Khan, Z. and Meyer, M. (2023) ‘E-commerce policy and international business’, Management International Review, 63(1), pp. 3–25. Available at: https://doi.org/10.1007/s11575-022-00489-8.</w:t>
      </w:r>
      <w:r w:rsidR="00AA5295" w:rsidRPr="00AA5295">
        <w:rPr>
          <w:rFonts w:ascii="Arial" w:hAnsi="Arial" w:cs="Arial"/>
        </w:rPr>
        <w:t xml:space="preserve"> </w:t>
      </w:r>
      <w:r w:rsidR="00AA5295" w:rsidRPr="00A6144D">
        <w:rPr>
          <w:rFonts w:ascii="Arial" w:hAnsi="Arial" w:cs="Arial"/>
        </w:rPr>
        <w:t xml:space="preserve">(Accessed: </w:t>
      </w:r>
      <w:r w:rsidR="00AA5295">
        <w:rPr>
          <w:rFonts w:ascii="Arial" w:hAnsi="Arial" w:cs="Arial"/>
        </w:rPr>
        <w:t>10</w:t>
      </w:r>
      <w:r w:rsidR="00AA5295" w:rsidRPr="00A6144D">
        <w:rPr>
          <w:rFonts w:ascii="Arial" w:hAnsi="Arial" w:cs="Arial"/>
        </w:rPr>
        <w:t xml:space="preserve"> August 2026).</w:t>
      </w:r>
    </w:p>
    <w:p w14:paraId="448A0B7F" w14:textId="77777777" w:rsidR="00DD0AA1" w:rsidRPr="00A6144D" w:rsidRDefault="00DD0AA1" w:rsidP="00DD0AA1">
      <w:pPr>
        <w:jc w:val="both"/>
        <w:rPr>
          <w:rFonts w:ascii="Arial" w:hAnsi="Arial" w:cs="Arial"/>
        </w:rPr>
      </w:pPr>
    </w:p>
    <w:p w14:paraId="7EE7E35F" w14:textId="2949E31F" w:rsidR="00DD0AA1" w:rsidRPr="00EB6F2D" w:rsidRDefault="00DD0AA1" w:rsidP="00EB6F2D">
      <w:pPr>
        <w:jc w:val="both"/>
        <w:rPr>
          <w:rFonts w:ascii="Arial" w:hAnsi="Arial" w:cs="Arial"/>
        </w:rPr>
      </w:pPr>
      <w:r w:rsidRPr="00A6144D">
        <w:rPr>
          <w:rFonts w:ascii="Arial" w:hAnsi="Arial" w:cs="Arial"/>
        </w:rPr>
        <w:t xml:space="preserve">Davari Dolatabadi, N., Shahi, M. and Charaki, F.Z. (2025) ‘The role of digital literacy on entrepreneurial intentions among health information technology students at Hormozgan University of Medical Sciences in 2024: A descriptive-analytical cross-sectional study’, Journal of Modern Medical Information Sciences, 10(4), pp. 425–438 [in Persian]. Available at: </w:t>
      </w:r>
      <w:r w:rsidRPr="00235C22">
        <w:rPr>
          <w:rFonts w:ascii="Arial" w:hAnsi="Arial" w:cs="Arial"/>
          <w:lang w:val="en-US"/>
        </w:rPr>
        <w:t>chrome-extension://efaidnbmnnnibpcajpcglclefindmkaj/https://jmis.hums.ac.ir/article-1-573-en.pdf</w:t>
      </w:r>
      <w:r w:rsidR="00AA5295">
        <w:rPr>
          <w:rFonts w:ascii="Arial" w:hAnsi="Arial" w:cs="Arial"/>
          <w:lang w:val="en-US"/>
        </w:rPr>
        <w:t xml:space="preserve"> </w:t>
      </w:r>
      <w:r w:rsidR="00AA5295" w:rsidRPr="00A6144D">
        <w:rPr>
          <w:rFonts w:ascii="Arial" w:hAnsi="Arial" w:cs="Arial"/>
        </w:rPr>
        <w:t xml:space="preserve">(Accessed: </w:t>
      </w:r>
      <w:r w:rsidR="00AA5295">
        <w:rPr>
          <w:rFonts w:ascii="Arial" w:hAnsi="Arial" w:cs="Arial"/>
        </w:rPr>
        <w:t xml:space="preserve">11 </w:t>
      </w:r>
      <w:r w:rsidR="00AA5295" w:rsidRPr="00A6144D">
        <w:rPr>
          <w:rFonts w:ascii="Arial" w:hAnsi="Arial" w:cs="Arial"/>
        </w:rPr>
        <w:t>August 2026).</w:t>
      </w:r>
    </w:p>
    <w:p w14:paraId="210AA45B" w14:textId="77777777" w:rsidR="00DD0AA1" w:rsidRPr="00A6144D" w:rsidRDefault="00DD0AA1" w:rsidP="00DD0AA1">
      <w:pPr>
        <w:jc w:val="both"/>
        <w:rPr>
          <w:rFonts w:ascii="Arial" w:hAnsi="Arial" w:cs="Arial"/>
        </w:rPr>
      </w:pPr>
    </w:p>
    <w:p w14:paraId="2FE4A634" w14:textId="636789FD" w:rsidR="00AA5295" w:rsidRPr="00A6144D" w:rsidRDefault="00DD0AA1" w:rsidP="00AA5295">
      <w:pPr>
        <w:jc w:val="both"/>
        <w:rPr>
          <w:rFonts w:ascii="Arial" w:hAnsi="Arial" w:cs="Arial"/>
        </w:rPr>
      </w:pPr>
      <w:r w:rsidRPr="00A6144D">
        <w:rPr>
          <w:rFonts w:ascii="Arial" w:hAnsi="Arial" w:cs="Arial"/>
        </w:rPr>
        <w:t>Essex, R., Kennedy, J., Miller, D. and Jameson, J. (2023) ‘A scoping review exploring the impact and negotiation of hierarchy in healthcare organisations’, Nursing Inquiry, 30(4), e12571. Available at: https://doi.org/10.1111/nin.12571.</w:t>
      </w:r>
      <w:r w:rsidR="00AA5295" w:rsidRPr="00AA5295">
        <w:rPr>
          <w:rFonts w:ascii="Arial" w:hAnsi="Arial" w:cs="Arial"/>
        </w:rPr>
        <w:t xml:space="preserve"> </w:t>
      </w:r>
      <w:r w:rsidR="00AA5295" w:rsidRPr="00A6144D">
        <w:rPr>
          <w:rFonts w:ascii="Arial" w:hAnsi="Arial" w:cs="Arial"/>
        </w:rPr>
        <w:t xml:space="preserve">(Accessed: </w:t>
      </w:r>
      <w:r w:rsidR="009C5A8E">
        <w:rPr>
          <w:rFonts w:ascii="Arial" w:hAnsi="Arial" w:cs="Arial"/>
        </w:rPr>
        <w:t xml:space="preserve">08 </w:t>
      </w:r>
      <w:r w:rsidR="00AA5295" w:rsidRPr="00A6144D">
        <w:rPr>
          <w:rFonts w:ascii="Arial" w:hAnsi="Arial" w:cs="Arial"/>
        </w:rPr>
        <w:t>August 2026).</w:t>
      </w:r>
    </w:p>
    <w:p w14:paraId="080FF6FA" w14:textId="77777777" w:rsidR="00DD0AA1" w:rsidRPr="00A6144D" w:rsidRDefault="00DD0AA1" w:rsidP="00DD0AA1">
      <w:pPr>
        <w:jc w:val="both"/>
        <w:rPr>
          <w:rFonts w:ascii="Arial" w:hAnsi="Arial" w:cs="Arial"/>
        </w:rPr>
      </w:pPr>
    </w:p>
    <w:p w14:paraId="11C7257A" w14:textId="386B7A25" w:rsidR="009C5A8E" w:rsidRPr="00A6144D" w:rsidRDefault="00DD0AA1" w:rsidP="009C5A8E">
      <w:pPr>
        <w:jc w:val="both"/>
        <w:rPr>
          <w:rFonts w:ascii="Arial" w:hAnsi="Arial" w:cs="Arial"/>
        </w:rPr>
      </w:pPr>
      <w:r w:rsidRPr="00A6144D">
        <w:rPr>
          <w:rFonts w:ascii="Arial" w:hAnsi="Arial" w:cs="Arial"/>
        </w:rPr>
        <w:t>Fernandopulle, N. (2021) ‘To what extent does hierarchical leadership affect health care outcomes?’, Medical Journal of the Islamic Republic of Iran, 35, 117. Available at:</w:t>
      </w:r>
      <w:r w:rsidRPr="002E1823">
        <w:t xml:space="preserve"> </w:t>
      </w:r>
      <w:r w:rsidRPr="002E1823">
        <w:rPr>
          <w:rFonts w:ascii="Arial" w:hAnsi="Arial" w:cs="Arial"/>
        </w:rPr>
        <w:t>https://pmc.ncbi.nlm.nih.gov/articles/PMC8683790/</w:t>
      </w:r>
      <w:r w:rsidR="009C5A8E">
        <w:rPr>
          <w:rFonts w:ascii="Arial" w:hAnsi="Arial" w:cs="Arial"/>
        </w:rPr>
        <w:t xml:space="preserve"> </w:t>
      </w:r>
      <w:r w:rsidR="009C5A8E" w:rsidRPr="00A6144D">
        <w:rPr>
          <w:rFonts w:ascii="Arial" w:hAnsi="Arial" w:cs="Arial"/>
        </w:rPr>
        <w:t xml:space="preserve">(Accessed: </w:t>
      </w:r>
      <w:r w:rsidR="009C5A8E">
        <w:rPr>
          <w:rFonts w:ascii="Arial" w:hAnsi="Arial" w:cs="Arial"/>
        </w:rPr>
        <w:t xml:space="preserve">14 </w:t>
      </w:r>
      <w:r w:rsidR="009C5A8E" w:rsidRPr="00A6144D">
        <w:rPr>
          <w:rFonts w:ascii="Arial" w:hAnsi="Arial" w:cs="Arial"/>
        </w:rPr>
        <w:t>August 2026).</w:t>
      </w:r>
    </w:p>
    <w:p w14:paraId="67827C9B" w14:textId="2694F1B0" w:rsidR="00DD0AA1" w:rsidRPr="002E1823" w:rsidRDefault="00DD0AA1" w:rsidP="00DD0AA1">
      <w:pPr>
        <w:rPr>
          <w:rFonts w:ascii="Arial" w:hAnsi="Arial" w:cs="Arial"/>
        </w:rPr>
      </w:pPr>
    </w:p>
    <w:p w14:paraId="13F33176" w14:textId="77777777" w:rsidR="00DD0AA1" w:rsidRPr="00A6144D" w:rsidRDefault="00DD0AA1" w:rsidP="00DD0AA1">
      <w:pPr>
        <w:jc w:val="both"/>
        <w:rPr>
          <w:rFonts w:ascii="Arial" w:hAnsi="Arial" w:cs="Arial"/>
        </w:rPr>
      </w:pPr>
    </w:p>
    <w:p w14:paraId="53A42015" w14:textId="4F745D6E" w:rsidR="009C5A8E" w:rsidRPr="00A6144D" w:rsidRDefault="00DD0AA1" w:rsidP="009C5A8E">
      <w:pPr>
        <w:jc w:val="both"/>
        <w:rPr>
          <w:rFonts w:ascii="Arial" w:hAnsi="Arial" w:cs="Arial"/>
        </w:rPr>
      </w:pPr>
      <w:r w:rsidRPr="00A6144D">
        <w:rPr>
          <w:rFonts w:ascii="Arial" w:hAnsi="Arial" w:cs="Arial"/>
        </w:rPr>
        <w:lastRenderedPageBreak/>
        <w:t>Filizli, G. and Önler, E. (2020) ‘Nurse–physician collaboration in surgical units: A questionnaire study’, Journal of Interprofessional Education &amp; Practice, 21, 100386. Available at: https://doi.org/10.1016/j.xjep.2020.100386.</w:t>
      </w:r>
      <w:r w:rsidR="009C5A8E" w:rsidRPr="009C5A8E">
        <w:rPr>
          <w:rFonts w:ascii="Arial" w:hAnsi="Arial" w:cs="Arial"/>
        </w:rPr>
        <w:t xml:space="preserve"> </w:t>
      </w:r>
      <w:r w:rsidR="009C5A8E" w:rsidRPr="00A6144D">
        <w:rPr>
          <w:rFonts w:ascii="Arial" w:hAnsi="Arial" w:cs="Arial"/>
        </w:rPr>
        <w:t xml:space="preserve">(Accessed: </w:t>
      </w:r>
      <w:r w:rsidR="009C5A8E">
        <w:rPr>
          <w:rFonts w:ascii="Arial" w:hAnsi="Arial" w:cs="Arial"/>
        </w:rPr>
        <w:t>11</w:t>
      </w:r>
      <w:r w:rsidR="009C5A8E" w:rsidRPr="00A6144D">
        <w:rPr>
          <w:rFonts w:ascii="Arial" w:hAnsi="Arial" w:cs="Arial"/>
        </w:rPr>
        <w:t xml:space="preserve"> August 2026).</w:t>
      </w:r>
    </w:p>
    <w:p w14:paraId="3A586574" w14:textId="77777777" w:rsidR="00DD0AA1" w:rsidRPr="00A6144D" w:rsidRDefault="00DD0AA1" w:rsidP="00DD0AA1">
      <w:pPr>
        <w:jc w:val="both"/>
        <w:rPr>
          <w:rFonts w:ascii="Arial" w:hAnsi="Arial" w:cs="Arial"/>
        </w:rPr>
      </w:pPr>
    </w:p>
    <w:p w14:paraId="6C38EB2E" w14:textId="236DF69C" w:rsidR="00DD0AA1" w:rsidRPr="00A6144D" w:rsidRDefault="00DD0AA1" w:rsidP="00DD0AA1">
      <w:pPr>
        <w:jc w:val="both"/>
        <w:rPr>
          <w:rFonts w:ascii="Arial" w:hAnsi="Arial" w:cs="Arial"/>
        </w:rPr>
      </w:pPr>
      <w:r w:rsidRPr="00A6144D">
        <w:rPr>
          <w:rFonts w:ascii="Arial" w:hAnsi="Arial" w:cs="Arial"/>
        </w:rPr>
        <w:t>Furtner, D., Shinde, S.P., Singh, M., Wong, C.H. and Setia, S. (2022) ‘Digital transformation in medical affairs sparked by the pandemic: Insights and learnings from the COVID-19 era and beyond’, Pharmaceutical Medicine, 36(1), pp. 1–10. Available at: https://doi.org/10.1007/s40290-021-00412-w.</w:t>
      </w:r>
      <w:r w:rsidR="009C5A8E" w:rsidRPr="009C5A8E">
        <w:rPr>
          <w:rFonts w:ascii="Arial" w:hAnsi="Arial" w:cs="Arial"/>
        </w:rPr>
        <w:t xml:space="preserve"> </w:t>
      </w:r>
      <w:r w:rsidR="009C5A8E" w:rsidRPr="00A6144D">
        <w:rPr>
          <w:rFonts w:ascii="Arial" w:hAnsi="Arial" w:cs="Arial"/>
        </w:rPr>
        <w:t xml:space="preserve">(Accessed: </w:t>
      </w:r>
      <w:r w:rsidR="009C5A8E">
        <w:rPr>
          <w:rFonts w:ascii="Arial" w:hAnsi="Arial" w:cs="Arial"/>
        </w:rPr>
        <w:t>02</w:t>
      </w:r>
      <w:r w:rsidR="009C5A8E" w:rsidRPr="00A6144D">
        <w:rPr>
          <w:rFonts w:ascii="Arial" w:hAnsi="Arial" w:cs="Arial"/>
        </w:rPr>
        <w:t xml:space="preserve"> August 2026).</w:t>
      </w:r>
    </w:p>
    <w:p w14:paraId="5EA32DF5" w14:textId="77777777" w:rsidR="00DD0AA1" w:rsidRPr="00A6144D" w:rsidRDefault="00DD0AA1" w:rsidP="00DD0AA1">
      <w:pPr>
        <w:jc w:val="both"/>
        <w:rPr>
          <w:rFonts w:ascii="Arial" w:hAnsi="Arial" w:cs="Arial"/>
        </w:rPr>
      </w:pPr>
    </w:p>
    <w:p w14:paraId="25E99AE7" w14:textId="77E8EF32" w:rsidR="009C5A8E" w:rsidRPr="00A6144D" w:rsidRDefault="00DD0AA1" w:rsidP="009C5A8E">
      <w:pPr>
        <w:jc w:val="both"/>
        <w:rPr>
          <w:rFonts w:ascii="Arial" w:hAnsi="Arial" w:cs="Arial"/>
        </w:rPr>
      </w:pPr>
      <w:r w:rsidRPr="00A6144D">
        <w:rPr>
          <w:rFonts w:ascii="Arial" w:hAnsi="Arial" w:cs="Arial"/>
        </w:rPr>
        <w:t>Gaspary, E., de Moura, G.L. and Wegner, D. (2020) ‘How does the organisational structure influence a work environment for innovation?’, International Journal of Entrepreneurship and Innovation Management, 24(2/3), pp. 132–153. Available at:</w:t>
      </w:r>
      <w:r w:rsidRPr="00E95982">
        <w:t xml:space="preserve"> </w:t>
      </w:r>
      <w:r w:rsidRPr="00E95982">
        <w:rPr>
          <w:rFonts w:ascii="Arial" w:hAnsi="Arial" w:cs="Arial"/>
        </w:rPr>
        <w:t>chrome-extension://efaidnbmnnnibpcajpcglclefindmkaj/https://www.researchgate.net/profile/Douglas-Wegner/publication/323811586_How_does_the_organisational_structure_influence_a_work_environment_for_innovation/links/5e5dbb74a6fdccbeba146b8f/How-does-the-organisational-structure-influence-a-work-environment-for-innovation.pdf</w:t>
      </w:r>
      <w:r w:rsidRPr="00A6144D">
        <w:rPr>
          <w:rFonts w:ascii="Arial" w:hAnsi="Arial" w:cs="Arial"/>
        </w:rPr>
        <w:t>.</w:t>
      </w:r>
      <w:r w:rsidR="009C5A8E" w:rsidRPr="009C5A8E">
        <w:rPr>
          <w:rFonts w:ascii="Arial" w:hAnsi="Arial" w:cs="Arial"/>
        </w:rPr>
        <w:t xml:space="preserve"> </w:t>
      </w:r>
      <w:r w:rsidR="009C5A8E" w:rsidRPr="00A6144D">
        <w:rPr>
          <w:rFonts w:ascii="Arial" w:hAnsi="Arial" w:cs="Arial"/>
        </w:rPr>
        <w:t xml:space="preserve">(Accessed: </w:t>
      </w:r>
      <w:r w:rsidR="009C5A8E">
        <w:rPr>
          <w:rFonts w:ascii="Arial" w:hAnsi="Arial" w:cs="Arial"/>
        </w:rPr>
        <w:t xml:space="preserve">06 </w:t>
      </w:r>
      <w:r w:rsidR="009C5A8E" w:rsidRPr="00A6144D">
        <w:rPr>
          <w:rFonts w:ascii="Arial" w:hAnsi="Arial" w:cs="Arial"/>
        </w:rPr>
        <w:t>August 2026).</w:t>
      </w:r>
    </w:p>
    <w:p w14:paraId="34276FA3" w14:textId="77777777" w:rsidR="00DD0AA1" w:rsidRPr="00A6144D" w:rsidRDefault="00DD0AA1" w:rsidP="00DD0AA1">
      <w:pPr>
        <w:jc w:val="both"/>
        <w:rPr>
          <w:rFonts w:ascii="Arial" w:hAnsi="Arial" w:cs="Arial"/>
        </w:rPr>
      </w:pPr>
    </w:p>
    <w:p w14:paraId="67F293C2" w14:textId="77777777" w:rsidR="00DD0AA1" w:rsidRPr="00A6144D" w:rsidRDefault="00DD0AA1" w:rsidP="00DD0AA1">
      <w:pPr>
        <w:jc w:val="both"/>
        <w:rPr>
          <w:rFonts w:ascii="Arial" w:hAnsi="Arial" w:cs="Arial"/>
        </w:rPr>
      </w:pPr>
      <w:r w:rsidRPr="00A6144D">
        <w:rPr>
          <w:rFonts w:ascii="Arial" w:hAnsi="Arial" w:cs="Arial"/>
        </w:rPr>
        <w:t>Goessens, M.G.M. (2025) Optimizing cross-functional team performance and collaboration in innovation-driven environments. Master’s thesis. Eindhoven University of Technology. Available at: https://research.tue.nl/files/359541392/Master_Thesis_Max_Goessens.pdf (Accessed: 20 August 2026).</w:t>
      </w:r>
    </w:p>
    <w:p w14:paraId="601B679F" w14:textId="77777777" w:rsidR="00DD0AA1" w:rsidRPr="00A6144D" w:rsidRDefault="00DD0AA1" w:rsidP="00DD0AA1">
      <w:pPr>
        <w:jc w:val="both"/>
        <w:rPr>
          <w:rFonts w:ascii="Arial" w:hAnsi="Arial" w:cs="Arial"/>
        </w:rPr>
      </w:pPr>
    </w:p>
    <w:p w14:paraId="1663190E" w14:textId="77777777" w:rsidR="00DD0AA1" w:rsidRPr="00A6144D" w:rsidRDefault="00DD0AA1" w:rsidP="00DD0AA1">
      <w:pPr>
        <w:jc w:val="both"/>
        <w:rPr>
          <w:rFonts w:ascii="Arial" w:hAnsi="Arial" w:cs="Arial"/>
        </w:rPr>
      </w:pPr>
      <w:r w:rsidRPr="00A6144D">
        <w:rPr>
          <w:rFonts w:ascii="Arial" w:hAnsi="Arial" w:cs="Arial"/>
        </w:rPr>
        <w:t xml:space="preserve">Grodal, S., Krabbe, A.D. and Chang-Zunino, M. (2023) ‘The evolution of technology’, Academy of Management Annals, 17(1), pp. 141–180. Available at: </w:t>
      </w:r>
      <w:r w:rsidRPr="00F87ACF">
        <w:rPr>
          <w:rFonts w:ascii="Arial" w:hAnsi="Arial" w:cs="Arial"/>
        </w:rPr>
        <w:t>https://research-ebsco-com.uwtsd.idm.oclc.org/c/onvpsy/search/details/ss5dp3uqgr?request-context=plink&amp;db=bth</w:t>
      </w:r>
    </w:p>
    <w:p w14:paraId="72C4DCD7" w14:textId="6CE2B247" w:rsidR="00DD0AA1" w:rsidRPr="00A6144D" w:rsidRDefault="00DD0AA1" w:rsidP="00DD0AA1">
      <w:pPr>
        <w:jc w:val="both"/>
        <w:rPr>
          <w:rFonts w:ascii="Arial" w:hAnsi="Arial" w:cs="Arial"/>
        </w:rPr>
      </w:pPr>
      <w:r w:rsidRPr="00A6144D">
        <w:rPr>
          <w:rFonts w:ascii="Arial" w:hAnsi="Arial" w:cs="Arial"/>
        </w:rPr>
        <w:t>Gupta, P. (2025) ‘Transformational leadership: Inspiring change and innovation’, International Journal of Science and Research, 14(2), pp. 504–509. Available at: https://doi.org/10.21275/MR25206180024.</w:t>
      </w:r>
      <w:r w:rsidR="00471F45" w:rsidRPr="00471F45">
        <w:rPr>
          <w:rFonts w:ascii="Arial" w:hAnsi="Arial" w:cs="Arial"/>
        </w:rPr>
        <w:t xml:space="preserve"> </w:t>
      </w:r>
      <w:r w:rsidR="00471F45" w:rsidRPr="00A6144D">
        <w:rPr>
          <w:rFonts w:ascii="Arial" w:hAnsi="Arial" w:cs="Arial"/>
        </w:rPr>
        <w:t xml:space="preserve">(Accessed: </w:t>
      </w:r>
      <w:r w:rsidR="00471F45">
        <w:rPr>
          <w:rFonts w:ascii="Arial" w:hAnsi="Arial" w:cs="Arial"/>
        </w:rPr>
        <w:t>13</w:t>
      </w:r>
      <w:r w:rsidR="00471F45" w:rsidRPr="00A6144D">
        <w:rPr>
          <w:rFonts w:ascii="Arial" w:hAnsi="Arial" w:cs="Arial"/>
        </w:rPr>
        <w:t xml:space="preserve"> August 2026).</w:t>
      </w:r>
    </w:p>
    <w:p w14:paraId="05590B23" w14:textId="77777777" w:rsidR="00DD0AA1" w:rsidRPr="00A6144D" w:rsidRDefault="00DD0AA1" w:rsidP="00DD0AA1">
      <w:pPr>
        <w:jc w:val="both"/>
        <w:rPr>
          <w:rFonts w:ascii="Arial" w:hAnsi="Arial" w:cs="Arial"/>
        </w:rPr>
      </w:pPr>
    </w:p>
    <w:p w14:paraId="440CE7E6" w14:textId="77777777" w:rsidR="00DD0AA1" w:rsidRPr="00A6144D" w:rsidRDefault="00DD0AA1" w:rsidP="00DD0AA1">
      <w:pPr>
        <w:jc w:val="both"/>
        <w:rPr>
          <w:rFonts w:ascii="Arial" w:hAnsi="Arial" w:cs="Arial"/>
        </w:rPr>
      </w:pPr>
      <w:r w:rsidRPr="00A6144D">
        <w:rPr>
          <w:rFonts w:ascii="Arial" w:hAnsi="Arial" w:cs="Arial"/>
        </w:rPr>
        <w:t>Hallioui, A. and Herrou, B. (2020) ‘System analysis: A literature review’, in Proceedings of the 5th North American International Conference on Industrial Engineering and Operations Management, Detroit, Michigan, 10–14 August. Available at: https://www.researchgate.net/publication/344867156_System_Analysis_A_Literature_Review (Accessed: 20 August 2026).</w:t>
      </w:r>
    </w:p>
    <w:p w14:paraId="3E294682" w14:textId="77777777" w:rsidR="00DD0AA1" w:rsidRPr="00A6144D" w:rsidRDefault="00DD0AA1" w:rsidP="00DD0AA1">
      <w:pPr>
        <w:jc w:val="both"/>
        <w:rPr>
          <w:rFonts w:ascii="Arial" w:hAnsi="Arial" w:cs="Arial"/>
        </w:rPr>
      </w:pPr>
    </w:p>
    <w:p w14:paraId="30513122" w14:textId="02390092" w:rsidR="00471F45" w:rsidRPr="00A6144D" w:rsidRDefault="00DD0AA1" w:rsidP="00471F45">
      <w:pPr>
        <w:jc w:val="both"/>
        <w:rPr>
          <w:rFonts w:ascii="Arial" w:hAnsi="Arial" w:cs="Arial"/>
        </w:rPr>
      </w:pPr>
      <w:r w:rsidRPr="00A6144D">
        <w:rPr>
          <w:rFonts w:ascii="Arial" w:hAnsi="Arial" w:cs="Arial"/>
        </w:rPr>
        <w:t>Hallioui, A., Herrou, B., Santos, R.S., Katina, P.F., Khadiri, H. and Egbue, O. (2022) ‘Systems theory and evidence-based decision-making as keys for arbitrating between optimal production and efficient maintenance: A case study’, Discrete Dynamics in Nature and Society, 2022, 7660082. Available at: https://doi.org/10.1155/2022/7660082.</w:t>
      </w:r>
      <w:r w:rsidR="00471F45">
        <w:rPr>
          <w:rFonts w:ascii="Arial" w:hAnsi="Arial" w:cs="Arial"/>
        </w:rPr>
        <w:t xml:space="preserve"> </w:t>
      </w:r>
      <w:r w:rsidR="00471F45" w:rsidRPr="00A6144D">
        <w:rPr>
          <w:rFonts w:ascii="Arial" w:hAnsi="Arial" w:cs="Arial"/>
        </w:rPr>
        <w:t xml:space="preserve">(Accessed: </w:t>
      </w:r>
      <w:r w:rsidR="00471F45">
        <w:rPr>
          <w:rFonts w:ascii="Arial" w:hAnsi="Arial" w:cs="Arial"/>
        </w:rPr>
        <w:t>9</w:t>
      </w:r>
      <w:r w:rsidR="00471F45" w:rsidRPr="00A6144D">
        <w:rPr>
          <w:rFonts w:ascii="Arial" w:hAnsi="Arial" w:cs="Arial"/>
        </w:rPr>
        <w:t xml:space="preserve"> August 2026).</w:t>
      </w:r>
    </w:p>
    <w:p w14:paraId="4548606A" w14:textId="77777777" w:rsidR="00DD0AA1" w:rsidRPr="00A6144D" w:rsidRDefault="00DD0AA1" w:rsidP="00DD0AA1">
      <w:pPr>
        <w:jc w:val="both"/>
        <w:rPr>
          <w:rFonts w:ascii="Arial" w:hAnsi="Arial" w:cs="Arial"/>
        </w:rPr>
      </w:pPr>
    </w:p>
    <w:p w14:paraId="6D57F2E4" w14:textId="6B6D7AE6" w:rsidR="00471F45" w:rsidRPr="00A6144D" w:rsidRDefault="00DD0AA1" w:rsidP="00471F45">
      <w:pPr>
        <w:jc w:val="both"/>
        <w:rPr>
          <w:rFonts w:ascii="Arial" w:hAnsi="Arial" w:cs="Arial"/>
        </w:rPr>
      </w:pPr>
      <w:r w:rsidRPr="00A6144D">
        <w:rPr>
          <w:rFonts w:ascii="Arial" w:hAnsi="Arial" w:cs="Arial"/>
        </w:rPr>
        <w:t>Harris, M., Dadwal, V. and Syed, S.B. (2020) ‘Review of the reverse innovation series in globalization and health – where are we and what else is needed?’, Globalization and Health, 16, 26. Available at: https://doi.org/10.1186/s12992-020-00555-6.</w:t>
      </w:r>
      <w:r w:rsidR="00471F45" w:rsidRPr="00471F45">
        <w:rPr>
          <w:rFonts w:ascii="Arial" w:hAnsi="Arial" w:cs="Arial"/>
        </w:rPr>
        <w:t xml:space="preserve"> </w:t>
      </w:r>
      <w:r w:rsidR="00471F45" w:rsidRPr="00A6144D">
        <w:rPr>
          <w:rFonts w:ascii="Arial" w:hAnsi="Arial" w:cs="Arial"/>
        </w:rPr>
        <w:t xml:space="preserve">(Accessed: </w:t>
      </w:r>
      <w:r w:rsidR="00471F45">
        <w:rPr>
          <w:rFonts w:ascii="Arial" w:hAnsi="Arial" w:cs="Arial"/>
        </w:rPr>
        <w:t xml:space="preserve">10 </w:t>
      </w:r>
      <w:r w:rsidR="00471F45" w:rsidRPr="00A6144D">
        <w:rPr>
          <w:rFonts w:ascii="Arial" w:hAnsi="Arial" w:cs="Arial"/>
        </w:rPr>
        <w:t>August 2026).</w:t>
      </w:r>
    </w:p>
    <w:p w14:paraId="2D3CD2F9" w14:textId="77777777" w:rsidR="00DD0AA1" w:rsidRPr="00A6144D" w:rsidRDefault="00DD0AA1" w:rsidP="00DD0AA1">
      <w:pPr>
        <w:jc w:val="both"/>
        <w:rPr>
          <w:rFonts w:ascii="Arial" w:hAnsi="Arial" w:cs="Arial"/>
        </w:rPr>
      </w:pPr>
    </w:p>
    <w:p w14:paraId="117652E2" w14:textId="77777777" w:rsidR="00DD0AA1" w:rsidRPr="00A6144D" w:rsidRDefault="00DD0AA1" w:rsidP="00DD0AA1">
      <w:pPr>
        <w:jc w:val="both"/>
        <w:rPr>
          <w:rFonts w:ascii="Arial" w:hAnsi="Arial" w:cs="Arial"/>
        </w:rPr>
      </w:pPr>
      <w:r w:rsidRPr="00A6144D">
        <w:rPr>
          <w:rFonts w:ascii="Arial" w:hAnsi="Arial" w:cs="Arial"/>
        </w:rPr>
        <w:t>Hinterdorfer, T. (2025) Exploring the relationship between organizational structure and creativity: On the example of a hierarchical organizational framework. Master’s thesis. Johannes Kepler University Linz. Available at: https://epub.jku.at/obvulihs/content/titleinfo/11759710/full.pdf (Accessed: 20 August 2026).</w:t>
      </w:r>
    </w:p>
    <w:p w14:paraId="035652F7" w14:textId="77777777" w:rsidR="00DD0AA1" w:rsidRPr="00A6144D" w:rsidRDefault="00DD0AA1" w:rsidP="00DD0AA1">
      <w:pPr>
        <w:jc w:val="both"/>
        <w:rPr>
          <w:rFonts w:ascii="Arial" w:hAnsi="Arial" w:cs="Arial"/>
        </w:rPr>
      </w:pPr>
    </w:p>
    <w:p w14:paraId="21B97D50" w14:textId="77777777" w:rsidR="00DD0AA1" w:rsidRPr="00A6144D" w:rsidRDefault="00DD0AA1" w:rsidP="00DD0AA1">
      <w:pPr>
        <w:jc w:val="both"/>
        <w:rPr>
          <w:rFonts w:ascii="Arial" w:hAnsi="Arial" w:cs="Arial"/>
        </w:rPr>
      </w:pPr>
      <w:r w:rsidRPr="00A6144D">
        <w:rPr>
          <w:rFonts w:ascii="Arial" w:hAnsi="Arial" w:cs="Arial"/>
        </w:rPr>
        <w:t>Humaira, J.A. (2024) ‘Analysis of the impact of technological changes on traditional business model’, Inspirasi &amp; Strategi (INSPIRAT): Jurnal Kebijakan Publik &amp; Bisnis, 15(1), pp. 18–26. Available at: https://www.ejournal.isha.or.id/index.php/Inspirat/article/view/338 (Accessed: 20 August 2026).</w:t>
      </w:r>
    </w:p>
    <w:p w14:paraId="640926A6" w14:textId="77777777" w:rsidR="00DD0AA1" w:rsidRPr="00A6144D" w:rsidRDefault="00DD0AA1" w:rsidP="00DD0AA1">
      <w:pPr>
        <w:jc w:val="both"/>
        <w:rPr>
          <w:rFonts w:ascii="Arial" w:hAnsi="Arial" w:cs="Arial"/>
        </w:rPr>
      </w:pPr>
    </w:p>
    <w:p w14:paraId="46E25384" w14:textId="67447FD9" w:rsidR="00471F45" w:rsidRPr="00A6144D" w:rsidRDefault="00DD0AA1" w:rsidP="00471F45">
      <w:pPr>
        <w:jc w:val="both"/>
        <w:rPr>
          <w:rFonts w:ascii="Arial" w:hAnsi="Arial" w:cs="Arial"/>
        </w:rPr>
      </w:pPr>
      <w:r w:rsidRPr="00A6144D">
        <w:rPr>
          <w:rFonts w:ascii="Arial" w:hAnsi="Arial" w:cs="Arial"/>
        </w:rPr>
        <w:t>Htet, H.Y., Abhicharttibutra, K. and Wichaikum, O.-A. (2024) ‘Factors predicting proactive work behaviors among nurses: A descriptive predictive study’, International Nursing Review, 71(1), pp. 101–107. Available at: https://doi.org/10.1111/inr.12856.</w:t>
      </w:r>
      <w:r w:rsidR="00471F45" w:rsidRPr="00471F45">
        <w:rPr>
          <w:rFonts w:ascii="Arial" w:hAnsi="Arial" w:cs="Arial"/>
        </w:rPr>
        <w:t xml:space="preserve"> </w:t>
      </w:r>
      <w:r w:rsidR="00471F45" w:rsidRPr="00A6144D">
        <w:rPr>
          <w:rFonts w:ascii="Arial" w:hAnsi="Arial" w:cs="Arial"/>
        </w:rPr>
        <w:t xml:space="preserve">(Accessed: </w:t>
      </w:r>
      <w:r w:rsidR="00471F45">
        <w:rPr>
          <w:rFonts w:ascii="Arial" w:hAnsi="Arial" w:cs="Arial"/>
        </w:rPr>
        <w:t>17</w:t>
      </w:r>
      <w:r w:rsidR="00471F45" w:rsidRPr="00A6144D">
        <w:rPr>
          <w:rFonts w:ascii="Arial" w:hAnsi="Arial" w:cs="Arial"/>
        </w:rPr>
        <w:t xml:space="preserve"> August 2026).</w:t>
      </w:r>
    </w:p>
    <w:p w14:paraId="4E1C9E2C" w14:textId="7A2DC22E" w:rsidR="00DD0AA1" w:rsidRPr="00A6144D" w:rsidRDefault="00DD0AA1" w:rsidP="00DD0AA1">
      <w:pPr>
        <w:jc w:val="both"/>
        <w:rPr>
          <w:rFonts w:ascii="Arial" w:hAnsi="Arial" w:cs="Arial"/>
        </w:rPr>
      </w:pPr>
    </w:p>
    <w:p w14:paraId="49E9A15E" w14:textId="70EBC580" w:rsidR="00471F45" w:rsidRPr="00A6144D" w:rsidRDefault="00DD0AA1" w:rsidP="00471F45">
      <w:pPr>
        <w:jc w:val="both"/>
        <w:rPr>
          <w:rFonts w:ascii="Arial" w:hAnsi="Arial" w:cs="Arial"/>
        </w:rPr>
      </w:pPr>
      <w:r w:rsidRPr="00A6144D">
        <w:rPr>
          <w:rFonts w:ascii="Arial" w:hAnsi="Arial" w:cs="Arial"/>
        </w:rPr>
        <w:t>Islam, M.N., Furuoka, F. and Idris, A. (2021) ‘Mapping the relationship between transformational leadership, trust in leadership and employee championing behavior during organizational change’, Asia Pacific Management Review, 26(2), pp. 95–102. Available at: https://doi.org/10.1016/j.apmrv.2020.09.002.</w:t>
      </w:r>
      <w:r w:rsidR="00471F45" w:rsidRPr="00471F45">
        <w:rPr>
          <w:rFonts w:ascii="Arial" w:hAnsi="Arial" w:cs="Arial"/>
        </w:rPr>
        <w:t xml:space="preserve"> </w:t>
      </w:r>
      <w:r w:rsidR="00471F45" w:rsidRPr="00A6144D">
        <w:rPr>
          <w:rFonts w:ascii="Arial" w:hAnsi="Arial" w:cs="Arial"/>
        </w:rPr>
        <w:t xml:space="preserve">(Accessed: </w:t>
      </w:r>
      <w:r w:rsidR="001D3B24">
        <w:rPr>
          <w:rFonts w:ascii="Arial" w:hAnsi="Arial" w:cs="Arial"/>
        </w:rPr>
        <w:t>12</w:t>
      </w:r>
      <w:r w:rsidR="00471F45" w:rsidRPr="00A6144D">
        <w:rPr>
          <w:rFonts w:ascii="Arial" w:hAnsi="Arial" w:cs="Arial"/>
        </w:rPr>
        <w:t xml:space="preserve"> August 2026).</w:t>
      </w:r>
    </w:p>
    <w:p w14:paraId="2C375EC8" w14:textId="149450AD" w:rsidR="00DD0AA1" w:rsidRPr="00A6144D" w:rsidRDefault="00DD0AA1" w:rsidP="00DD0AA1">
      <w:pPr>
        <w:jc w:val="both"/>
        <w:rPr>
          <w:rFonts w:ascii="Arial" w:hAnsi="Arial" w:cs="Arial"/>
        </w:rPr>
      </w:pPr>
    </w:p>
    <w:p w14:paraId="0C3DAE65" w14:textId="77777777" w:rsidR="00DD0AA1" w:rsidRPr="00A6144D" w:rsidRDefault="00DD0AA1" w:rsidP="00DD0AA1">
      <w:pPr>
        <w:jc w:val="both"/>
        <w:rPr>
          <w:rFonts w:ascii="Arial" w:hAnsi="Arial" w:cs="Arial"/>
        </w:rPr>
      </w:pPr>
      <w:r w:rsidRPr="00A6144D">
        <w:rPr>
          <w:rFonts w:ascii="Arial" w:hAnsi="Arial" w:cs="Arial"/>
        </w:rPr>
        <w:t>Islami, E., Sejdiu, L., Hajdini, A. and Imeri, V. (2021) ‘The role of departmentalization, divisional structure and strategic business units (SBUs) in enterprises in Kosovo’, Calitatea, 22(183), pp. 18–22. Available at: https://www.proquest.com/docview/2549088584 (Accessed: 20 August 2026).</w:t>
      </w:r>
    </w:p>
    <w:p w14:paraId="355801C1" w14:textId="77777777" w:rsidR="00DD0AA1" w:rsidRPr="00A6144D" w:rsidRDefault="00DD0AA1" w:rsidP="00DD0AA1">
      <w:pPr>
        <w:jc w:val="both"/>
        <w:rPr>
          <w:rFonts w:ascii="Arial" w:hAnsi="Arial" w:cs="Arial"/>
        </w:rPr>
      </w:pPr>
    </w:p>
    <w:p w14:paraId="6E445047" w14:textId="19F87BAA" w:rsidR="001D3B24" w:rsidRPr="00A6144D" w:rsidRDefault="00DD0AA1" w:rsidP="001D3B24">
      <w:pPr>
        <w:jc w:val="both"/>
        <w:rPr>
          <w:rFonts w:ascii="Arial" w:hAnsi="Arial" w:cs="Arial"/>
        </w:rPr>
      </w:pPr>
      <w:r w:rsidRPr="00A6144D">
        <w:rPr>
          <w:rFonts w:ascii="Arial" w:hAnsi="Arial" w:cs="Arial"/>
        </w:rPr>
        <w:t xml:space="preserve">Jain, V., Malviya, B. and Arya, S. (2021) ‘An overview of electronic commerce (e-Commerce)’, Journal of Contemporary Issues in Business and Government, 27(3), pp. 665–670. Available at: </w:t>
      </w:r>
      <w:r w:rsidRPr="00C40AAD">
        <w:rPr>
          <w:rFonts w:ascii="Arial" w:hAnsi="Arial" w:cs="Arial"/>
        </w:rPr>
        <w:t>chrome-extension://efaidnbmnnnibpcajpcglclefindmkaj/https://www.annejac.ac.in/wp-content/uploads/2022/11/JACJOSHAM-JUNE-2022-issue.pdf</w:t>
      </w:r>
      <w:r w:rsidR="001D3B24">
        <w:rPr>
          <w:rFonts w:ascii="Arial" w:hAnsi="Arial" w:cs="Arial"/>
        </w:rPr>
        <w:t xml:space="preserve"> </w:t>
      </w:r>
      <w:r w:rsidR="001D3B24" w:rsidRPr="00A6144D">
        <w:rPr>
          <w:rFonts w:ascii="Arial" w:hAnsi="Arial" w:cs="Arial"/>
        </w:rPr>
        <w:t xml:space="preserve">(Accessed: </w:t>
      </w:r>
      <w:r w:rsidR="001D3B24">
        <w:rPr>
          <w:rFonts w:ascii="Arial" w:hAnsi="Arial" w:cs="Arial"/>
        </w:rPr>
        <w:t>11</w:t>
      </w:r>
      <w:r w:rsidR="001D3B24" w:rsidRPr="00A6144D">
        <w:rPr>
          <w:rFonts w:ascii="Arial" w:hAnsi="Arial" w:cs="Arial"/>
        </w:rPr>
        <w:t xml:space="preserve"> August 2026).</w:t>
      </w:r>
    </w:p>
    <w:p w14:paraId="0C481146" w14:textId="24F94E7A" w:rsidR="00DD0AA1" w:rsidRPr="00C40AAD" w:rsidRDefault="00DD0AA1" w:rsidP="00DD0AA1">
      <w:pPr>
        <w:rPr>
          <w:rFonts w:ascii="Arial" w:hAnsi="Arial" w:cs="Arial"/>
        </w:rPr>
      </w:pPr>
    </w:p>
    <w:p w14:paraId="3B6D8BF8" w14:textId="1092A20B" w:rsidR="001D3B24" w:rsidRPr="00A6144D" w:rsidRDefault="00DD0AA1" w:rsidP="001D3B24">
      <w:pPr>
        <w:jc w:val="both"/>
        <w:rPr>
          <w:rFonts w:ascii="Arial" w:hAnsi="Arial" w:cs="Arial"/>
        </w:rPr>
      </w:pPr>
      <w:r w:rsidRPr="00A6144D">
        <w:rPr>
          <w:rFonts w:ascii="Arial" w:hAnsi="Arial" w:cs="Arial"/>
        </w:rPr>
        <w:t>Jerab, D. and Mabrouk, T. (2023) ‘The evolving landscape of organizational structures: A contemporary analysis’, SSRN Electronic Journal. Available at: https://doi.org/10.2139/ssrn.4584643.</w:t>
      </w:r>
      <w:r w:rsidR="001D3B24">
        <w:rPr>
          <w:rFonts w:ascii="Arial" w:hAnsi="Arial" w:cs="Arial"/>
        </w:rPr>
        <w:t xml:space="preserve"> </w:t>
      </w:r>
      <w:r w:rsidR="001D3B24" w:rsidRPr="00A6144D">
        <w:rPr>
          <w:rFonts w:ascii="Arial" w:hAnsi="Arial" w:cs="Arial"/>
        </w:rPr>
        <w:t xml:space="preserve">(Accessed: </w:t>
      </w:r>
      <w:r w:rsidR="001D3B24">
        <w:rPr>
          <w:rFonts w:ascii="Arial" w:hAnsi="Arial" w:cs="Arial"/>
        </w:rPr>
        <w:t>15</w:t>
      </w:r>
      <w:r w:rsidR="001D3B24" w:rsidRPr="00A6144D">
        <w:rPr>
          <w:rFonts w:ascii="Arial" w:hAnsi="Arial" w:cs="Arial"/>
        </w:rPr>
        <w:t xml:space="preserve"> August 2026).</w:t>
      </w:r>
    </w:p>
    <w:p w14:paraId="6B688441" w14:textId="260A4106" w:rsidR="00DD0AA1" w:rsidRPr="00A6144D" w:rsidRDefault="00DD0AA1" w:rsidP="00DD0AA1">
      <w:pPr>
        <w:jc w:val="both"/>
        <w:rPr>
          <w:rFonts w:ascii="Arial" w:hAnsi="Arial" w:cs="Arial"/>
        </w:rPr>
      </w:pPr>
    </w:p>
    <w:p w14:paraId="645F296E" w14:textId="791991D8" w:rsidR="001D3B24" w:rsidRPr="00A6144D" w:rsidRDefault="00DD0AA1" w:rsidP="001D3B24">
      <w:pPr>
        <w:jc w:val="both"/>
        <w:rPr>
          <w:rFonts w:ascii="Arial" w:hAnsi="Arial" w:cs="Arial"/>
        </w:rPr>
      </w:pPr>
      <w:r w:rsidRPr="00A6144D">
        <w:rPr>
          <w:rFonts w:ascii="Arial" w:hAnsi="Arial" w:cs="Arial"/>
        </w:rPr>
        <w:t>Joshi, A., Spilbergs, A. and Miķelsone, E. (2025) ‘The impact of digital transformation on traditional business models: Challenges and opportunities’, Journal of Marketing &amp; Social Research, 2(6), pp. 178–192. Available at: https://www.jmsr-online.com/article/the-impact-of-digital-transformation-on-traditional-business-models-challenges-and-opportunities-323/ (Accessed: 20 August 2026).</w:t>
      </w:r>
      <w:r w:rsidR="001D3B24" w:rsidRPr="001D3B24">
        <w:rPr>
          <w:rFonts w:ascii="Arial" w:hAnsi="Arial" w:cs="Arial"/>
        </w:rPr>
        <w:t xml:space="preserve"> </w:t>
      </w:r>
      <w:r w:rsidR="001D3B24" w:rsidRPr="00A6144D">
        <w:rPr>
          <w:rFonts w:ascii="Arial" w:hAnsi="Arial" w:cs="Arial"/>
        </w:rPr>
        <w:t xml:space="preserve">(Accessed: </w:t>
      </w:r>
      <w:r w:rsidR="001D3B24">
        <w:rPr>
          <w:rFonts w:ascii="Arial" w:hAnsi="Arial" w:cs="Arial"/>
        </w:rPr>
        <w:t>08</w:t>
      </w:r>
      <w:r w:rsidR="001D3B24" w:rsidRPr="00A6144D">
        <w:rPr>
          <w:rFonts w:ascii="Arial" w:hAnsi="Arial" w:cs="Arial"/>
        </w:rPr>
        <w:t xml:space="preserve"> August 2026).</w:t>
      </w:r>
    </w:p>
    <w:p w14:paraId="498278D1" w14:textId="78FFDE87" w:rsidR="00DD0AA1" w:rsidRPr="00A6144D" w:rsidRDefault="00DD0AA1" w:rsidP="00DD0AA1">
      <w:pPr>
        <w:jc w:val="both"/>
        <w:rPr>
          <w:rFonts w:ascii="Arial" w:hAnsi="Arial" w:cs="Arial"/>
        </w:rPr>
      </w:pPr>
    </w:p>
    <w:p w14:paraId="1CE78DA0" w14:textId="5B50FBCB" w:rsidR="00DD0AA1" w:rsidRPr="00A6144D" w:rsidRDefault="00DD0AA1" w:rsidP="00DD0AA1">
      <w:pPr>
        <w:jc w:val="both"/>
        <w:rPr>
          <w:rFonts w:ascii="Arial" w:hAnsi="Arial" w:cs="Arial"/>
        </w:rPr>
      </w:pPr>
      <w:r w:rsidRPr="00A6144D">
        <w:rPr>
          <w:rFonts w:ascii="Arial" w:hAnsi="Arial" w:cs="Arial"/>
        </w:rPr>
        <w:t xml:space="preserve">Kang, H.-G. (2024) ‘Driving success in the service business: Leveraging technology for operational enhancement and competitive advantage’, International Journal of Management Cases, 26(1), pp. 39–46. Available at: https://www.circleinternational.co.uk/wp-content/uploads/2024/05/IJMC-26_1-39_46.pdf (Accessed: </w:t>
      </w:r>
      <w:r w:rsidR="001D3B24">
        <w:rPr>
          <w:rFonts w:ascii="Arial" w:hAnsi="Arial" w:cs="Arial"/>
        </w:rPr>
        <w:t>10</w:t>
      </w:r>
      <w:r w:rsidRPr="00A6144D">
        <w:rPr>
          <w:rFonts w:ascii="Arial" w:hAnsi="Arial" w:cs="Arial"/>
        </w:rPr>
        <w:t xml:space="preserve"> August 2026).</w:t>
      </w:r>
    </w:p>
    <w:p w14:paraId="7A30ED91" w14:textId="77777777" w:rsidR="00DD0AA1" w:rsidRPr="00A6144D" w:rsidRDefault="00DD0AA1" w:rsidP="00DD0AA1">
      <w:pPr>
        <w:jc w:val="both"/>
        <w:rPr>
          <w:rFonts w:ascii="Arial" w:hAnsi="Arial" w:cs="Arial"/>
        </w:rPr>
      </w:pPr>
    </w:p>
    <w:p w14:paraId="4CD886F1" w14:textId="52FC6851" w:rsidR="001D3B24" w:rsidRPr="00A6144D" w:rsidRDefault="00DD0AA1" w:rsidP="001D3B24">
      <w:pPr>
        <w:jc w:val="both"/>
        <w:rPr>
          <w:rFonts w:ascii="Arial" w:hAnsi="Arial" w:cs="Arial"/>
        </w:rPr>
      </w:pPr>
      <w:r w:rsidRPr="00A6144D">
        <w:rPr>
          <w:rFonts w:ascii="Arial" w:hAnsi="Arial" w:cs="Arial"/>
        </w:rPr>
        <w:lastRenderedPageBreak/>
        <w:t>Kaur, P. and Kaur, R. (2026) ‘Digital transformation and strategic decision making in health care management’, Adolescência e Saúde, 21(4s), pp. 643–652. Available at: https://doi.org/10.67440/ahj.v21i4s.1188.</w:t>
      </w:r>
      <w:r w:rsidR="001D3B24" w:rsidRPr="001D3B24">
        <w:rPr>
          <w:rFonts w:ascii="Arial" w:hAnsi="Arial" w:cs="Arial"/>
        </w:rPr>
        <w:t xml:space="preserve"> </w:t>
      </w:r>
      <w:r w:rsidR="001D3B24" w:rsidRPr="00A6144D">
        <w:rPr>
          <w:rFonts w:ascii="Arial" w:hAnsi="Arial" w:cs="Arial"/>
        </w:rPr>
        <w:t xml:space="preserve">(Accessed: </w:t>
      </w:r>
      <w:r w:rsidR="001D3B24">
        <w:rPr>
          <w:rFonts w:ascii="Arial" w:hAnsi="Arial" w:cs="Arial"/>
        </w:rPr>
        <w:t>11</w:t>
      </w:r>
      <w:r w:rsidR="001D3B24" w:rsidRPr="00A6144D">
        <w:rPr>
          <w:rFonts w:ascii="Arial" w:hAnsi="Arial" w:cs="Arial"/>
        </w:rPr>
        <w:t xml:space="preserve"> August 2026).</w:t>
      </w:r>
    </w:p>
    <w:p w14:paraId="4216C797" w14:textId="6D282BDB" w:rsidR="00DD0AA1" w:rsidRPr="00A6144D" w:rsidRDefault="00DD0AA1" w:rsidP="00DD0AA1">
      <w:pPr>
        <w:jc w:val="both"/>
        <w:rPr>
          <w:rFonts w:ascii="Arial" w:hAnsi="Arial" w:cs="Arial"/>
        </w:rPr>
      </w:pPr>
    </w:p>
    <w:p w14:paraId="383AD022" w14:textId="5B2658FE" w:rsidR="001D3B24" w:rsidRPr="00A6144D" w:rsidRDefault="00DD0AA1" w:rsidP="001D3B24">
      <w:pPr>
        <w:jc w:val="both"/>
        <w:rPr>
          <w:rFonts w:ascii="Arial" w:hAnsi="Arial" w:cs="Arial"/>
        </w:rPr>
      </w:pPr>
      <w:r w:rsidRPr="00A6144D">
        <w:rPr>
          <w:rFonts w:ascii="Arial" w:hAnsi="Arial" w:cs="Arial"/>
        </w:rPr>
        <w:t>Kész, A. and Balatoni, I. (2026) ‘Globalization in the healthcare industry: Drivers, risks, and adaptation’, Healthcare, 14(9), 1177. Available at: https://doi.org/10.3390/healthcare14091177.</w:t>
      </w:r>
      <w:r w:rsidR="001D3B24" w:rsidRPr="001D3B24">
        <w:rPr>
          <w:rFonts w:ascii="Arial" w:hAnsi="Arial" w:cs="Arial"/>
        </w:rPr>
        <w:t xml:space="preserve"> </w:t>
      </w:r>
      <w:r w:rsidR="001D3B24" w:rsidRPr="00A6144D">
        <w:rPr>
          <w:rFonts w:ascii="Arial" w:hAnsi="Arial" w:cs="Arial"/>
        </w:rPr>
        <w:t xml:space="preserve">(Accessed: </w:t>
      </w:r>
      <w:r w:rsidR="00DD335F">
        <w:rPr>
          <w:rFonts w:ascii="Arial" w:hAnsi="Arial" w:cs="Arial"/>
        </w:rPr>
        <w:t>13</w:t>
      </w:r>
      <w:r w:rsidR="001D3B24" w:rsidRPr="00A6144D">
        <w:rPr>
          <w:rFonts w:ascii="Arial" w:hAnsi="Arial" w:cs="Arial"/>
        </w:rPr>
        <w:t xml:space="preserve"> August 2026).</w:t>
      </w:r>
    </w:p>
    <w:p w14:paraId="68F40F55" w14:textId="58F2699F" w:rsidR="00DD0AA1" w:rsidRPr="00A6144D" w:rsidRDefault="00DD0AA1" w:rsidP="00DD0AA1">
      <w:pPr>
        <w:jc w:val="both"/>
        <w:rPr>
          <w:rFonts w:ascii="Arial" w:hAnsi="Arial" w:cs="Arial"/>
        </w:rPr>
      </w:pPr>
    </w:p>
    <w:p w14:paraId="16C91CE5" w14:textId="23DD1E53" w:rsidR="00DD335F" w:rsidRPr="00A6144D" w:rsidRDefault="00DD0AA1" w:rsidP="00DD335F">
      <w:pPr>
        <w:jc w:val="both"/>
        <w:rPr>
          <w:rFonts w:ascii="Arial" w:hAnsi="Arial" w:cs="Arial"/>
        </w:rPr>
      </w:pPr>
      <w:r w:rsidRPr="00A6144D">
        <w:rPr>
          <w:rFonts w:ascii="Arial" w:hAnsi="Arial" w:cs="Arial"/>
        </w:rPr>
        <w:t>Kumar, P., Udayai, K. and Rahi, P. (2024) ‘Globalization and the digital healthcare industry: Opportunities and challenges’, in Multi-Sector Analysis of the Digital Healthcare Industry. Hershey, PA: IGI Global, pp. 198–230. Available at:</w:t>
      </w:r>
      <w:r w:rsidRPr="00730442">
        <w:t xml:space="preserve"> </w:t>
      </w:r>
      <w:r w:rsidRPr="00730442">
        <w:rPr>
          <w:rFonts w:ascii="Arial" w:hAnsi="Arial" w:cs="Arial"/>
        </w:rPr>
        <w:t>https://www.igi-global.com/chapter/globalization-and-the-digital-healthcare-industry/343162</w:t>
      </w:r>
      <w:r>
        <w:rPr>
          <w:rFonts w:ascii="Arial" w:hAnsi="Arial" w:cs="Arial"/>
        </w:rPr>
        <w:t>.</w:t>
      </w:r>
      <w:r w:rsidR="00DD335F" w:rsidRPr="00DD335F">
        <w:rPr>
          <w:rFonts w:ascii="Arial" w:hAnsi="Arial" w:cs="Arial"/>
        </w:rPr>
        <w:t xml:space="preserve"> </w:t>
      </w:r>
      <w:r w:rsidR="00DD335F" w:rsidRPr="00A6144D">
        <w:rPr>
          <w:rFonts w:ascii="Arial" w:hAnsi="Arial" w:cs="Arial"/>
        </w:rPr>
        <w:t xml:space="preserve">(Accessed: </w:t>
      </w:r>
      <w:r w:rsidR="00DD335F">
        <w:rPr>
          <w:rFonts w:ascii="Arial" w:hAnsi="Arial" w:cs="Arial"/>
        </w:rPr>
        <w:t xml:space="preserve">16 </w:t>
      </w:r>
      <w:r w:rsidR="00DD335F" w:rsidRPr="00A6144D">
        <w:rPr>
          <w:rFonts w:ascii="Arial" w:hAnsi="Arial" w:cs="Arial"/>
        </w:rPr>
        <w:t>August 2026).</w:t>
      </w:r>
    </w:p>
    <w:p w14:paraId="0D192815" w14:textId="3C663D68" w:rsidR="00DD0AA1" w:rsidRPr="00A6144D" w:rsidRDefault="00DD0AA1" w:rsidP="00DD0AA1">
      <w:pPr>
        <w:rPr>
          <w:rFonts w:ascii="Arial" w:hAnsi="Arial" w:cs="Arial"/>
        </w:rPr>
      </w:pPr>
    </w:p>
    <w:p w14:paraId="1B52EE0E" w14:textId="1366B82D" w:rsidR="00DD335F" w:rsidRPr="00A6144D" w:rsidRDefault="00DD0AA1" w:rsidP="00DD335F">
      <w:pPr>
        <w:jc w:val="both"/>
        <w:rPr>
          <w:rFonts w:ascii="Arial" w:hAnsi="Arial" w:cs="Arial"/>
        </w:rPr>
      </w:pPr>
      <w:r w:rsidRPr="00A6144D">
        <w:rPr>
          <w:rFonts w:ascii="Arial" w:hAnsi="Arial" w:cs="Arial"/>
        </w:rPr>
        <w:t>Latif, W.B. and Yasin, I.M. (2025) ‘The evolution of business models: How innovation is redefining strategic success’, Pacific Journal of Business Innovation and Strategy, 2(2), pp. 1–4. Available at: https://doi.org/10.70818/pjbis.2025.v02i02.039.</w:t>
      </w:r>
      <w:r w:rsidR="00DD335F" w:rsidRPr="00DD335F">
        <w:rPr>
          <w:rFonts w:ascii="Arial" w:hAnsi="Arial" w:cs="Arial"/>
        </w:rPr>
        <w:t xml:space="preserve"> </w:t>
      </w:r>
      <w:r w:rsidR="00DD335F" w:rsidRPr="00A6144D">
        <w:rPr>
          <w:rFonts w:ascii="Arial" w:hAnsi="Arial" w:cs="Arial"/>
        </w:rPr>
        <w:t xml:space="preserve">(Accessed: </w:t>
      </w:r>
      <w:r w:rsidR="0095708B">
        <w:rPr>
          <w:rFonts w:ascii="Arial" w:hAnsi="Arial" w:cs="Arial"/>
        </w:rPr>
        <w:t xml:space="preserve">18 </w:t>
      </w:r>
      <w:r w:rsidR="00DD335F" w:rsidRPr="00A6144D">
        <w:rPr>
          <w:rFonts w:ascii="Arial" w:hAnsi="Arial" w:cs="Arial"/>
        </w:rPr>
        <w:t>August 2026).</w:t>
      </w:r>
    </w:p>
    <w:p w14:paraId="7B34B2CA" w14:textId="5783403D" w:rsidR="00DD0AA1" w:rsidRPr="00A6144D" w:rsidRDefault="00DD0AA1" w:rsidP="00DD0AA1">
      <w:pPr>
        <w:jc w:val="both"/>
        <w:rPr>
          <w:rFonts w:ascii="Arial" w:hAnsi="Arial" w:cs="Arial"/>
        </w:rPr>
      </w:pPr>
    </w:p>
    <w:p w14:paraId="1216E0D9" w14:textId="6E5EDC23" w:rsidR="0095708B" w:rsidRPr="00A6144D" w:rsidRDefault="00DD0AA1" w:rsidP="0095708B">
      <w:pPr>
        <w:jc w:val="both"/>
        <w:rPr>
          <w:rFonts w:ascii="Arial" w:hAnsi="Arial" w:cs="Arial"/>
        </w:rPr>
      </w:pPr>
      <w:r w:rsidRPr="00A6144D">
        <w:rPr>
          <w:rFonts w:ascii="Arial" w:hAnsi="Arial" w:cs="Arial"/>
        </w:rPr>
        <w:t>Loeb, A.E., Rao, S.S., Ficke, J.R., Morris, C.D., Riley, L.H. and Levin, A.S. (2020) ‘Departmental experience and lessons learned with accelerated introduction of telemedicine during the COVID-19 crisis’, Journal of the American Academy of Orthopaedic Surgeons, 28(11), pp. e469–e476. Available at: https://doi.org/10.5435/JAAOS-D-20-00380.</w:t>
      </w:r>
      <w:r w:rsidR="0095708B" w:rsidRPr="0095708B">
        <w:rPr>
          <w:rFonts w:ascii="Arial" w:hAnsi="Arial" w:cs="Arial"/>
        </w:rPr>
        <w:t xml:space="preserve"> </w:t>
      </w:r>
      <w:r w:rsidR="0095708B" w:rsidRPr="00A6144D">
        <w:rPr>
          <w:rFonts w:ascii="Arial" w:hAnsi="Arial" w:cs="Arial"/>
        </w:rPr>
        <w:t xml:space="preserve">(Accessed: </w:t>
      </w:r>
      <w:r w:rsidR="0095708B">
        <w:rPr>
          <w:rFonts w:ascii="Arial" w:hAnsi="Arial" w:cs="Arial"/>
        </w:rPr>
        <w:t xml:space="preserve">07 </w:t>
      </w:r>
      <w:r w:rsidR="0095708B" w:rsidRPr="00A6144D">
        <w:rPr>
          <w:rFonts w:ascii="Arial" w:hAnsi="Arial" w:cs="Arial"/>
        </w:rPr>
        <w:t>August 2026).</w:t>
      </w:r>
    </w:p>
    <w:p w14:paraId="58F15315" w14:textId="6A9BA44E" w:rsidR="00DD0AA1" w:rsidRPr="00A6144D" w:rsidRDefault="00DD0AA1" w:rsidP="00DD0AA1">
      <w:pPr>
        <w:jc w:val="both"/>
        <w:rPr>
          <w:rFonts w:ascii="Arial" w:hAnsi="Arial" w:cs="Arial"/>
        </w:rPr>
      </w:pPr>
    </w:p>
    <w:p w14:paraId="6165E94D" w14:textId="13092A7F" w:rsidR="0095708B" w:rsidRPr="00A6144D" w:rsidRDefault="00DD0AA1" w:rsidP="0095708B">
      <w:pPr>
        <w:jc w:val="both"/>
        <w:rPr>
          <w:rFonts w:ascii="Arial" w:hAnsi="Arial" w:cs="Arial"/>
        </w:rPr>
      </w:pPr>
      <w:r w:rsidRPr="00A6144D">
        <w:rPr>
          <w:rFonts w:ascii="Arial" w:hAnsi="Arial" w:cs="Arial"/>
        </w:rPr>
        <w:t xml:space="preserve">Luo, Y. (2021) ‘New OLI advantages in digital globalization’, International Business Review, 30(2), 101797. Available at: </w:t>
      </w:r>
      <w:r w:rsidRPr="005E53E6">
        <w:rPr>
          <w:rFonts w:ascii="Arial" w:hAnsi="Arial" w:cs="Arial"/>
        </w:rPr>
        <w:t>https://www.sciencedirect.com/science/article/abs/pii/S0969593121000044</w:t>
      </w:r>
      <w:r w:rsidR="0095708B">
        <w:rPr>
          <w:rFonts w:ascii="Arial" w:hAnsi="Arial" w:cs="Arial"/>
        </w:rPr>
        <w:t xml:space="preserve"> </w:t>
      </w:r>
      <w:r w:rsidR="0095708B" w:rsidRPr="00A6144D">
        <w:rPr>
          <w:rFonts w:ascii="Arial" w:hAnsi="Arial" w:cs="Arial"/>
        </w:rPr>
        <w:t xml:space="preserve">(Accessed: </w:t>
      </w:r>
      <w:r w:rsidR="0095708B">
        <w:rPr>
          <w:rFonts w:ascii="Arial" w:hAnsi="Arial" w:cs="Arial"/>
        </w:rPr>
        <w:t>09</w:t>
      </w:r>
      <w:r w:rsidR="0095708B" w:rsidRPr="00A6144D">
        <w:rPr>
          <w:rFonts w:ascii="Arial" w:hAnsi="Arial" w:cs="Arial"/>
        </w:rPr>
        <w:t xml:space="preserve"> August 2026).</w:t>
      </w:r>
    </w:p>
    <w:p w14:paraId="3CF3F67B" w14:textId="2069723A" w:rsidR="00DD0AA1" w:rsidRPr="005E53E6" w:rsidRDefault="00DD0AA1" w:rsidP="00DD0AA1">
      <w:pPr>
        <w:rPr>
          <w:rFonts w:ascii="Arial" w:hAnsi="Arial" w:cs="Arial"/>
        </w:rPr>
      </w:pPr>
    </w:p>
    <w:p w14:paraId="61AFFEF6" w14:textId="10048138" w:rsidR="0095708B" w:rsidRPr="00A6144D" w:rsidRDefault="00DD0AA1" w:rsidP="0095708B">
      <w:pPr>
        <w:jc w:val="both"/>
        <w:rPr>
          <w:rFonts w:ascii="Arial" w:hAnsi="Arial" w:cs="Arial"/>
        </w:rPr>
      </w:pPr>
      <w:r w:rsidRPr="00A6144D">
        <w:rPr>
          <w:rFonts w:ascii="Arial" w:hAnsi="Arial" w:cs="Arial"/>
        </w:rPr>
        <w:t>Lyng, H.B., Macrae, C., Guise, V., Haraldseid-Driftland, C., Fagerdal, B., Schibevaag, L., Alsvik, J.G. and Wiig, S. (2021) ‘Balancing adaptation and innovation for resilience in healthcare – a metasynthesis of narratives’, BMC Health Services Research, 21, 759. Available at:</w:t>
      </w:r>
      <w:r w:rsidRPr="00CE04A2">
        <w:t xml:space="preserve"> </w:t>
      </w:r>
      <w:r w:rsidRPr="00CE04A2">
        <w:rPr>
          <w:rFonts w:ascii="Arial" w:hAnsi="Arial" w:cs="Arial"/>
        </w:rPr>
        <w:t>https://link.springer.com/article/10.1186/s12913-021-06592-0</w:t>
      </w:r>
      <w:r w:rsidRPr="00A6144D">
        <w:rPr>
          <w:rFonts w:ascii="Arial" w:hAnsi="Arial" w:cs="Arial"/>
        </w:rPr>
        <w:t>.</w:t>
      </w:r>
      <w:r w:rsidR="0095708B" w:rsidRPr="0095708B">
        <w:rPr>
          <w:rFonts w:ascii="Arial" w:hAnsi="Arial" w:cs="Arial"/>
        </w:rPr>
        <w:t xml:space="preserve"> </w:t>
      </w:r>
      <w:r w:rsidR="0095708B" w:rsidRPr="00A6144D">
        <w:rPr>
          <w:rFonts w:ascii="Arial" w:hAnsi="Arial" w:cs="Arial"/>
        </w:rPr>
        <w:t xml:space="preserve">(Accessed: </w:t>
      </w:r>
      <w:r w:rsidR="0095708B">
        <w:rPr>
          <w:rFonts w:ascii="Arial" w:hAnsi="Arial" w:cs="Arial"/>
        </w:rPr>
        <w:t>1</w:t>
      </w:r>
      <w:r w:rsidR="0095708B" w:rsidRPr="00A6144D">
        <w:rPr>
          <w:rFonts w:ascii="Arial" w:hAnsi="Arial" w:cs="Arial"/>
        </w:rPr>
        <w:t>0 August 2026).</w:t>
      </w:r>
    </w:p>
    <w:p w14:paraId="37D4FF61" w14:textId="77777777" w:rsidR="0095708B" w:rsidRPr="00A6144D" w:rsidRDefault="0095708B" w:rsidP="0095708B">
      <w:pPr>
        <w:jc w:val="both"/>
        <w:rPr>
          <w:rFonts w:ascii="Arial" w:hAnsi="Arial" w:cs="Arial"/>
        </w:rPr>
      </w:pPr>
    </w:p>
    <w:p w14:paraId="15034860" w14:textId="161CEAD2" w:rsidR="006F00B7" w:rsidRPr="00A6144D" w:rsidRDefault="00DD0AA1" w:rsidP="006F00B7">
      <w:pPr>
        <w:jc w:val="both"/>
        <w:rPr>
          <w:rFonts w:ascii="Arial" w:hAnsi="Arial" w:cs="Arial"/>
        </w:rPr>
      </w:pPr>
      <w:r w:rsidRPr="00A6144D">
        <w:rPr>
          <w:rFonts w:ascii="Arial" w:hAnsi="Arial" w:cs="Arial"/>
        </w:rPr>
        <w:t>Makowska-Tłomak, E., Bedyńska, S., Skorupska, K. and Paluch, J. (2022) ‘Blended online intervention to reduce digital transformation stress by enhancing employees’ resources in COVID-19’, Frontiers in Psychology, 13, 732301. Available at:</w:t>
      </w:r>
      <w:r w:rsidRPr="00FE6B4C">
        <w:t xml:space="preserve"> </w:t>
      </w:r>
      <w:r w:rsidRPr="00FE6B4C">
        <w:rPr>
          <w:rFonts w:ascii="Arial" w:hAnsi="Arial" w:cs="Arial"/>
        </w:rPr>
        <w:t>https://www.frontiersin.org/journals/psychology/articles/10.3389/fpsyg.2022.732301/full</w:t>
      </w:r>
      <w:r w:rsidRPr="00A6144D">
        <w:rPr>
          <w:rFonts w:ascii="Arial" w:hAnsi="Arial" w:cs="Arial"/>
        </w:rPr>
        <w:t>.</w:t>
      </w:r>
      <w:r w:rsidR="006F00B7" w:rsidRPr="006F00B7">
        <w:rPr>
          <w:rFonts w:ascii="Arial" w:hAnsi="Arial" w:cs="Arial"/>
        </w:rPr>
        <w:t xml:space="preserve"> </w:t>
      </w:r>
      <w:r w:rsidR="006F00B7" w:rsidRPr="00A6144D">
        <w:rPr>
          <w:rFonts w:ascii="Arial" w:hAnsi="Arial" w:cs="Arial"/>
        </w:rPr>
        <w:t xml:space="preserve">(Accessed: </w:t>
      </w:r>
      <w:r w:rsidR="006F00B7">
        <w:rPr>
          <w:rFonts w:ascii="Arial" w:hAnsi="Arial" w:cs="Arial"/>
        </w:rPr>
        <w:t>14</w:t>
      </w:r>
      <w:r w:rsidR="006F00B7" w:rsidRPr="00A6144D">
        <w:rPr>
          <w:rFonts w:ascii="Arial" w:hAnsi="Arial" w:cs="Arial"/>
        </w:rPr>
        <w:t xml:space="preserve"> August 2026).</w:t>
      </w:r>
    </w:p>
    <w:p w14:paraId="1F233D82" w14:textId="20A57531" w:rsidR="00DD0AA1" w:rsidRPr="00A6144D" w:rsidRDefault="00DD0AA1" w:rsidP="00DD0AA1">
      <w:pPr>
        <w:jc w:val="both"/>
        <w:rPr>
          <w:rFonts w:ascii="Arial" w:hAnsi="Arial" w:cs="Arial"/>
        </w:rPr>
      </w:pPr>
    </w:p>
    <w:p w14:paraId="6E694883" w14:textId="09E155E5" w:rsidR="006F00B7" w:rsidRPr="00A6144D" w:rsidRDefault="00DD0AA1" w:rsidP="006F00B7">
      <w:pPr>
        <w:jc w:val="both"/>
        <w:rPr>
          <w:rFonts w:ascii="Arial" w:hAnsi="Arial" w:cs="Arial"/>
        </w:rPr>
      </w:pPr>
      <w:r w:rsidRPr="00A6144D">
        <w:rPr>
          <w:rFonts w:ascii="Arial" w:hAnsi="Arial" w:cs="Arial"/>
        </w:rPr>
        <w:t>Matarazzo, M., Penco, L., Profumo, G. and Quaglia, R. (2021) ‘Digital transformation and customer value creation in Made in Italy SMEs: A dynamic capabilities perspective’, Journal of Business Research, 123, pp. 642–656. Available at: https://doi.org/10.1016/j.jbusres.2020.10.033.</w:t>
      </w:r>
      <w:r w:rsidR="006F00B7" w:rsidRPr="006F00B7">
        <w:rPr>
          <w:rFonts w:ascii="Arial" w:hAnsi="Arial" w:cs="Arial"/>
        </w:rPr>
        <w:t xml:space="preserve"> </w:t>
      </w:r>
      <w:r w:rsidR="006F00B7" w:rsidRPr="00A6144D">
        <w:rPr>
          <w:rFonts w:ascii="Arial" w:hAnsi="Arial" w:cs="Arial"/>
        </w:rPr>
        <w:t xml:space="preserve">(Accessed: </w:t>
      </w:r>
      <w:r w:rsidR="006F00B7">
        <w:rPr>
          <w:rFonts w:ascii="Arial" w:hAnsi="Arial" w:cs="Arial"/>
        </w:rPr>
        <w:t>12</w:t>
      </w:r>
      <w:r w:rsidR="006F00B7" w:rsidRPr="00A6144D">
        <w:rPr>
          <w:rFonts w:ascii="Arial" w:hAnsi="Arial" w:cs="Arial"/>
        </w:rPr>
        <w:t xml:space="preserve"> August 2026).</w:t>
      </w:r>
    </w:p>
    <w:p w14:paraId="580FBBB4" w14:textId="77777777" w:rsidR="006F00B7" w:rsidRPr="00A6144D" w:rsidRDefault="006F00B7" w:rsidP="006F00B7">
      <w:pPr>
        <w:jc w:val="both"/>
        <w:rPr>
          <w:rFonts w:ascii="Arial" w:hAnsi="Arial" w:cs="Arial"/>
        </w:rPr>
      </w:pPr>
    </w:p>
    <w:p w14:paraId="62FDBC14" w14:textId="77777777" w:rsidR="00DD0AA1" w:rsidRPr="00A6144D" w:rsidRDefault="00DD0AA1" w:rsidP="00DD0AA1">
      <w:pPr>
        <w:jc w:val="both"/>
        <w:rPr>
          <w:rFonts w:ascii="Arial" w:hAnsi="Arial" w:cs="Arial"/>
        </w:rPr>
      </w:pPr>
    </w:p>
    <w:p w14:paraId="3B252A33" w14:textId="77777777" w:rsidR="00DD0AA1" w:rsidRPr="00A6144D" w:rsidRDefault="00DD0AA1" w:rsidP="00DD0AA1">
      <w:pPr>
        <w:jc w:val="both"/>
        <w:rPr>
          <w:rFonts w:ascii="Arial" w:hAnsi="Arial" w:cs="Arial"/>
        </w:rPr>
      </w:pPr>
      <w:r w:rsidRPr="00A6144D">
        <w:rPr>
          <w:rFonts w:ascii="Arial" w:hAnsi="Arial" w:cs="Arial"/>
        </w:rPr>
        <w:t>Mayo Clinic (2022) ‘Strategic goals.</w:t>
      </w:r>
      <w:r>
        <w:rPr>
          <w:rFonts w:ascii="Arial" w:hAnsi="Arial" w:cs="Arial"/>
        </w:rPr>
        <w:t>’</w:t>
      </w:r>
      <w:r w:rsidRPr="00A6144D">
        <w:rPr>
          <w:rFonts w:ascii="Arial" w:hAnsi="Arial" w:cs="Arial"/>
        </w:rPr>
        <w:t xml:space="preserve"> Available at: https://www.mayoclinic.org/belonging/strategic-goals (Accessed: 20 August 2026).</w:t>
      </w:r>
    </w:p>
    <w:p w14:paraId="24A8EBF7" w14:textId="7D6DD5DC" w:rsidR="006F00B7" w:rsidRPr="00A6144D" w:rsidRDefault="00DD0AA1" w:rsidP="006F00B7">
      <w:pPr>
        <w:jc w:val="both"/>
        <w:rPr>
          <w:rFonts w:ascii="Arial" w:hAnsi="Arial" w:cs="Arial"/>
        </w:rPr>
      </w:pPr>
      <w:r w:rsidRPr="00A6144D">
        <w:rPr>
          <w:rFonts w:ascii="Arial" w:hAnsi="Arial" w:cs="Arial"/>
        </w:rPr>
        <w:lastRenderedPageBreak/>
        <w:t>McGinnis, J.M., Fineberg, H.V. and Dzau, V.J. (2021) ‘Advancing the learning health system’, New England Journal of Medicine, 385(1), pp. 1–5. Available at:</w:t>
      </w:r>
      <w:r w:rsidRPr="00E61B95">
        <w:t xml:space="preserve"> </w:t>
      </w:r>
      <w:r w:rsidRPr="00E61B95">
        <w:rPr>
          <w:rFonts w:ascii="Arial" w:hAnsi="Arial" w:cs="Arial"/>
        </w:rPr>
        <w:t>chrome-extension://efaidnbmnnnibpcajpcglclefindmkaj/https://anzhernia.org.au/wp-content/uploads/2023/04/advancing-the-learning-healthcare-system-nejm-july-21.pdf</w:t>
      </w:r>
      <w:r>
        <w:rPr>
          <w:rFonts w:ascii="Arial" w:hAnsi="Arial" w:cs="Arial"/>
        </w:rPr>
        <w:t>.</w:t>
      </w:r>
      <w:r w:rsidR="006F00B7" w:rsidRPr="006F00B7">
        <w:rPr>
          <w:rFonts w:ascii="Arial" w:hAnsi="Arial" w:cs="Arial"/>
        </w:rPr>
        <w:t xml:space="preserve"> </w:t>
      </w:r>
      <w:r w:rsidR="006F00B7" w:rsidRPr="00A6144D">
        <w:rPr>
          <w:rFonts w:ascii="Arial" w:hAnsi="Arial" w:cs="Arial"/>
        </w:rPr>
        <w:t>(Accessed: 0</w:t>
      </w:r>
      <w:r w:rsidR="006F00B7">
        <w:rPr>
          <w:rFonts w:ascii="Arial" w:hAnsi="Arial" w:cs="Arial"/>
        </w:rPr>
        <w:t>9</w:t>
      </w:r>
      <w:r w:rsidR="006F00B7" w:rsidRPr="00A6144D">
        <w:rPr>
          <w:rFonts w:ascii="Arial" w:hAnsi="Arial" w:cs="Arial"/>
        </w:rPr>
        <w:t xml:space="preserve"> August 2026).</w:t>
      </w:r>
    </w:p>
    <w:p w14:paraId="333CBEA4" w14:textId="30AFDDF4" w:rsidR="00DD0AA1" w:rsidRPr="00A6144D" w:rsidRDefault="00DD0AA1" w:rsidP="00DD0AA1">
      <w:pPr>
        <w:rPr>
          <w:rFonts w:ascii="Arial" w:hAnsi="Arial" w:cs="Arial"/>
        </w:rPr>
      </w:pPr>
    </w:p>
    <w:p w14:paraId="79B24ACF" w14:textId="4D4CA04E" w:rsidR="006F00B7" w:rsidRPr="00A6144D" w:rsidRDefault="00DD0AA1" w:rsidP="006F00B7">
      <w:pPr>
        <w:jc w:val="both"/>
        <w:rPr>
          <w:rFonts w:ascii="Arial" w:hAnsi="Arial" w:cs="Arial"/>
        </w:rPr>
      </w:pPr>
      <w:r w:rsidRPr="00A6144D">
        <w:rPr>
          <w:rFonts w:ascii="Arial" w:hAnsi="Arial" w:cs="Arial"/>
        </w:rPr>
        <w:t>Michael, A.O. and Olayide, A.O. (2024) ‘Leveraging technology for strategic competitive advantage’, Tuijin Jishu/Journal of Propulsion Technology, 45(2), pp. 5922–5935. Available at: https://doi.org/10.52783/tjjpt.v45.i02.6892.</w:t>
      </w:r>
      <w:r w:rsidR="006F00B7" w:rsidRPr="006F00B7">
        <w:rPr>
          <w:rFonts w:ascii="Arial" w:hAnsi="Arial" w:cs="Arial"/>
        </w:rPr>
        <w:t xml:space="preserve"> </w:t>
      </w:r>
      <w:r w:rsidR="006F00B7" w:rsidRPr="00A6144D">
        <w:rPr>
          <w:rFonts w:ascii="Arial" w:hAnsi="Arial" w:cs="Arial"/>
        </w:rPr>
        <w:t xml:space="preserve">(Accessed: </w:t>
      </w:r>
      <w:r w:rsidR="006F00B7">
        <w:rPr>
          <w:rFonts w:ascii="Arial" w:hAnsi="Arial" w:cs="Arial"/>
        </w:rPr>
        <w:t>13</w:t>
      </w:r>
      <w:r w:rsidR="006F00B7" w:rsidRPr="00A6144D">
        <w:rPr>
          <w:rFonts w:ascii="Arial" w:hAnsi="Arial" w:cs="Arial"/>
        </w:rPr>
        <w:t xml:space="preserve"> August 2026).</w:t>
      </w:r>
    </w:p>
    <w:p w14:paraId="572EABD5" w14:textId="670025F4" w:rsidR="00DD0AA1" w:rsidRPr="00A6144D" w:rsidRDefault="00DD0AA1" w:rsidP="00DD0AA1">
      <w:pPr>
        <w:jc w:val="both"/>
        <w:rPr>
          <w:rFonts w:ascii="Arial" w:hAnsi="Arial" w:cs="Arial"/>
        </w:rPr>
      </w:pPr>
    </w:p>
    <w:p w14:paraId="0FAEA083" w14:textId="75617F08" w:rsidR="006F00B7" w:rsidRPr="00A6144D" w:rsidRDefault="00DD0AA1" w:rsidP="006F00B7">
      <w:pPr>
        <w:jc w:val="both"/>
        <w:rPr>
          <w:rFonts w:ascii="Arial" w:hAnsi="Arial" w:cs="Arial"/>
        </w:rPr>
      </w:pPr>
      <w:r w:rsidRPr="00A6144D">
        <w:rPr>
          <w:rFonts w:ascii="Arial" w:hAnsi="Arial" w:cs="Arial"/>
        </w:rPr>
        <w:t>Morsi, I., Hussein, M.R. and Habib, M.F. (2024) ‘Optimizing healthcare programs: A comparative analysis of agile and traditional management approaches’, medRxiv [Preprint]. Available at: https://doi.org/10.1101/2024.07.16.24310351.</w:t>
      </w:r>
      <w:r w:rsidR="006F00B7" w:rsidRPr="006F00B7">
        <w:rPr>
          <w:rFonts w:ascii="Arial" w:hAnsi="Arial" w:cs="Arial"/>
        </w:rPr>
        <w:t xml:space="preserve"> </w:t>
      </w:r>
      <w:r w:rsidR="006F00B7" w:rsidRPr="00A6144D">
        <w:rPr>
          <w:rFonts w:ascii="Arial" w:hAnsi="Arial" w:cs="Arial"/>
        </w:rPr>
        <w:t xml:space="preserve">(Accessed: </w:t>
      </w:r>
      <w:r w:rsidR="006F00B7">
        <w:rPr>
          <w:rFonts w:ascii="Arial" w:hAnsi="Arial" w:cs="Arial"/>
        </w:rPr>
        <w:t>10</w:t>
      </w:r>
      <w:r w:rsidR="006F00B7" w:rsidRPr="00A6144D">
        <w:rPr>
          <w:rFonts w:ascii="Arial" w:hAnsi="Arial" w:cs="Arial"/>
        </w:rPr>
        <w:t xml:space="preserve"> August 2026).</w:t>
      </w:r>
    </w:p>
    <w:p w14:paraId="1D23A263" w14:textId="60B3074F" w:rsidR="00DD0AA1" w:rsidRPr="00A6144D" w:rsidRDefault="00DD0AA1" w:rsidP="00DD0AA1">
      <w:pPr>
        <w:jc w:val="both"/>
        <w:rPr>
          <w:rFonts w:ascii="Arial" w:hAnsi="Arial" w:cs="Arial"/>
        </w:rPr>
      </w:pPr>
    </w:p>
    <w:p w14:paraId="385348EC" w14:textId="78DBDF97" w:rsidR="006F00B7" w:rsidRPr="00A6144D" w:rsidRDefault="00DD0AA1" w:rsidP="006F00B7">
      <w:pPr>
        <w:jc w:val="both"/>
        <w:rPr>
          <w:rFonts w:ascii="Arial" w:hAnsi="Arial" w:cs="Arial"/>
        </w:rPr>
      </w:pPr>
      <w:r w:rsidRPr="00A6144D">
        <w:rPr>
          <w:rFonts w:ascii="Arial" w:hAnsi="Arial" w:cs="Arial"/>
        </w:rPr>
        <w:t>Motwani, J. and Katatria, A. (2024) ‘Organization agility: A literature review and research agenda’, International Journal of Productivity and Performance Management, 73(9), pp. 2709–2754. Available at: https://doi.org/10.1108/IJPPM-07-2023-0383.</w:t>
      </w:r>
      <w:r w:rsidR="006F00B7" w:rsidRPr="006F00B7">
        <w:rPr>
          <w:rFonts w:ascii="Arial" w:hAnsi="Arial" w:cs="Arial"/>
        </w:rPr>
        <w:t xml:space="preserve"> </w:t>
      </w:r>
      <w:r w:rsidR="006F00B7" w:rsidRPr="00A6144D">
        <w:rPr>
          <w:rFonts w:ascii="Arial" w:hAnsi="Arial" w:cs="Arial"/>
        </w:rPr>
        <w:t>(Accessed: 2</w:t>
      </w:r>
      <w:r w:rsidR="006F00B7">
        <w:rPr>
          <w:rFonts w:ascii="Arial" w:hAnsi="Arial" w:cs="Arial"/>
        </w:rPr>
        <w:t xml:space="preserve"> </w:t>
      </w:r>
      <w:r w:rsidR="006F00B7" w:rsidRPr="00A6144D">
        <w:rPr>
          <w:rFonts w:ascii="Arial" w:hAnsi="Arial" w:cs="Arial"/>
        </w:rPr>
        <w:t>August 2026).</w:t>
      </w:r>
    </w:p>
    <w:p w14:paraId="6E2158AD" w14:textId="77777777" w:rsidR="006F00B7" w:rsidRPr="00A6144D" w:rsidRDefault="006F00B7" w:rsidP="006F00B7">
      <w:pPr>
        <w:jc w:val="both"/>
        <w:rPr>
          <w:rFonts w:ascii="Arial" w:hAnsi="Arial" w:cs="Arial"/>
        </w:rPr>
      </w:pPr>
    </w:p>
    <w:p w14:paraId="0B4072C8" w14:textId="534C1A33" w:rsidR="000F03E8" w:rsidRPr="00A6144D" w:rsidRDefault="00DD0AA1" w:rsidP="000F03E8">
      <w:pPr>
        <w:jc w:val="both"/>
        <w:rPr>
          <w:rFonts w:ascii="Arial" w:hAnsi="Arial" w:cs="Arial"/>
        </w:rPr>
      </w:pPr>
      <w:r w:rsidRPr="00A6144D">
        <w:rPr>
          <w:rFonts w:ascii="Arial" w:hAnsi="Arial" w:cs="Arial"/>
        </w:rPr>
        <w:t>Muhammad, G., Alshehri, F., Karray, F., El Saddik, A., Alsulaiman, M. and Falk, T.H. (2021) ‘A comprehensive survey on multimodal medical signals fusion for smart healthcare systems’, Information Fusion, 76, pp. 355–375. Available at: https://doi.org/10.1016/j.inffus.2021.06.007.</w:t>
      </w:r>
      <w:r w:rsidR="000F03E8" w:rsidRPr="000F03E8">
        <w:rPr>
          <w:rFonts w:ascii="Arial" w:hAnsi="Arial" w:cs="Arial"/>
        </w:rPr>
        <w:t xml:space="preserve"> </w:t>
      </w:r>
      <w:r w:rsidR="000F03E8" w:rsidRPr="00A6144D">
        <w:rPr>
          <w:rFonts w:ascii="Arial" w:hAnsi="Arial" w:cs="Arial"/>
        </w:rPr>
        <w:t xml:space="preserve">(Accessed: </w:t>
      </w:r>
      <w:r w:rsidR="000F03E8">
        <w:rPr>
          <w:rFonts w:ascii="Arial" w:hAnsi="Arial" w:cs="Arial"/>
        </w:rPr>
        <w:t>03</w:t>
      </w:r>
      <w:r w:rsidR="000F03E8" w:rsidRPr="00A6144D">
        <w:rPr>
          <w:rFonts w:ascii="Arial" w:hAnsi="Arial" w:cs="Arial"/>
        </w:rPr>
        <w:t xml:space="preserve"> August 2026).</w:t>
      </w:r>
    </w:p>
    <w:p w14:paraId="1FC6A834" w14:textId="48B272F1" w:rsidR="00DD0AA1" w:rsidRPr="00A6144D" w:rsidRDefault="00DD0AA1" w:rsidP="00DD0AA1">
      <w:pPr>
        <w:jc w:val="both"/>
        <w:rPr>
          <w:rFonts w:ascii="Arial" w:hAnsi="Arial" w:cs="Arial"/>
        </w:rPr>
      </w:pPr>
    </w:p>
    <w:p w14:paraId="4C8BDA98" w14:textId="38FC6366" w:rsidR="000F03E8" w:rsidRPr="00A6144D" w:rsidRDefault="00DD0AA1" w:rsidP="000F03E8">
      <w:pPr>
        <w:jc w:val="both"/>
        <w:rPr>
          <w:rFonts w:ascii="Arial" w:hAnsi="Arial" w:cs="Arial"/>
        </w:rPr>
      </w:pPr>
      <w:r w:rsidRPr="00A6144D">
        <w:rPr>
          <w:rFonts w:ascii="Arial" w:hAnsi="Arial" w:cs="Arial"/>
        </w:rPr>
        <w:t>Mumtaz, H., Riaz, M.H., Wajid, H., Saqib, M., Zeeshan, M.H., Khan, S.E., Chauhan, Y.R., Sohail, H. and Vohra, L.I. (2023) ‘Current challenges and potential solutions to the use of digital health technologies in evidence generation: A narrative review’, Frontiers in Digital Health, 5, 1203945. Available at: https://doi.org/10.3389/fdgth.2023.1203945.</w:t>
      </w:r>
      <w:r w:rsidR="000F03E8">
        <w:rPr>
          <w:rFonts w:ascii="Arial" w:hAnsi="Arial" w:cs="Arial"/>
        </w:rPr>
        <w:t xml:space="preserve"> </w:t>
      </w:r>
      <w:r w:rsidR="000F03E8" w:rsidRPr="00A6144D">
        <w:rPr>
          <w:rFonts w:ascii="Arial" w:hAnsi="Arial" w:cs="Arial"/>
        </w:rPr>
        <w:t xml:space="preserve">(Accessed: </w:t>
      </w:r>
      <w:r w:rsidR="000F03E8">
        <w:rPr>
          <w:rFonts w:ascii="Arial" w:hAnsi="Arial" w:cs="Arial"/>
        </w:rPr>
        <w:t xml:space="preserve">14 </w:t>
      </w:r>
      <w:r w:rsidR="000F03E8" w:rsidRPr="00A6144D">
        <w:rPr>
          <w:rFonts w:ascii="Arial" w:hAnsi="Arial" w:cs="Arial"/>
        </w:rPr>
        <w:t>August 2026).</w:t>
      </w:r>
    </w:p>
    <w:p w14:paraId="710358AA" w14:textId="41A3ACBE" w:rsidR="00DD0AA1" w:rsidRPr="00A6144D" w:rsidRDefault="00DD0AA1" w:rsidP="00DD0AA1">
      <w:pPr>
        <w:jc w:val="both"/>
        <w:rPr>
          <w:rFonts w:ascii="Arial" w:hAnsi="Arial" w:cs="Arial"/>
        </w:rPr>
      </w:pPr>
    </w:p>
    <w:p w14:paraId="4645D062" w14:textId="771CFCB0" w:rsidR="000F03E8" w:rsidRPr="00A6144D" w:rsidRDefault="00DD0AA1" w:rsidP="000F03E8">
      <w:pPr>
        <w:jc w:val="both"/>
        <w:rPr>
          <w:rFonts w:ascii="Arial" w:hAnsi="Arial" w:cs="Arial"/>
        </w:rPr>
      </w:pPr>
      <w:r w:rsidRPr="00A6144D">
        <w:rPr>
          <w:rFonts w:ascii="Arial" w:hAnsi="Arial" w:cs="Arial"/>
        </w:rPr>
        <w:t>Ngeche, J. and Kaluyu, V. (2022) ‘Organizational agility capabilities and sustainable competitive advantage in private multi-practice hospitals in Kenya’, The University Journal, 5(1), pp. 179–194. Available at: https://doi.org/10.59952/tuj.v5i1.139.</w:t>
      </w:r>
      <w:r w:rsidR="000F03E8">
        <w:rPr>
          <w:rFonts w:ascii="Arial" w:hAnsi="Arial" w:cs="Arial"/>
        </w:rPr>
        <w:t xml:space="preserve"> </w:t>
      </w:r>
      <w:r w:rsidR="000F03E8" w:rsidRPr="00A6144D">
        <w:rPr>
          <w:rFonts w:ascii="Arial" w:hAnsi="Arial" w:cs="Arial"/>
        </w:rPr>
        <w:t xml:space="preserve">(Accessed: </w:t>
      </w:r>
      <w:r w:rsidR="000F03E8">
        <w:rPr>
          <w:rFonts w:ascii="Arial" w:hAnsi="Arial" w:cs="Arial"/>
        </w:rPr>
        <w:t>01</w:t>
      </w:r>
      <w:r w:rsidR="000F03E8" w:rsidRPr="00A6144D">
        <w:rPr>
          <w:rFonts w:ascii="Arial" w:hAnsi="Arial" w:cs="Arial"/>
        </w:rPr>
        <w:t xml:space="preserve"> August 2026).</w:t>
      </w:r>
    </w:p>
    <w:p w14:paraId="05FF670E" w14:textId="6F457335" w:rsidR="00DD0AA1" w:rsidRPr="00A6144D" w:rsidRDefault="00DD0AA1" w:rsidP="00DD0AA1">
      <w:pPr>
        <w:jc w:val="both"/>
        <w:rPr>
          <w:rFonts w:ascii="Arial" w:hAnsi="Arial" w:cs="Arial"/>
        </w:rPr>
      </w:pPr>
    </w:p>
    <w:p w14:paraId="5E97456F" w14:textId="7F598030" w:rsidR="000F03E8" w:rsidRPr="00A6144D" w:rsidRDefault="00DD0AA1" w:rsidP="000F03E8">
      <w:pPr>
        <w:jc w:val="both"/>
        <w:rPr>
          <w:rFonts w:ascii="Arial" w:hAnsi="Arial" w:cs="Arial"/>
        </w:rPr>
      </w:pPr>
      <w:r w:rsidRPr="00A6144D">
        <w:rPr>
          <w:rFonts w:ascii="Arial" w:hAnsi="Arial" w:cs="Arial"/>
        </w:rPr>
        <w:t>Nilsen, P., Seing, I., Ericsson, C., Birken, S.A. and Schildmeijer, K. (2020) ‘Characteristics of successful changes in health care organizations: An interview study with physicians, registered nurses and assistant nurses’, BMC Health Services Research, 20, 147. Available at: https://doi.org/10.1186/s12913-020-4999-8.</w:t>
      </w:r>
      <w:r w:rsidR="000F03E8">
        <w:rPr>
          <w:rFonts w:ascii="Arial" w:hAnsi="Arial" w:cs="Arial"/>
        </w:rPr>
        <w:t xml:space="preserve"> </w:t>
      </w:r>
      <w:r w:rsidR="000F03E8" w:rsidRPr="00A6144D">
        <w:rPr>
          <w:rFonts w:ascii="Arial" w:hAnsi="Arial" w:cs="Arial"/>
        </w:rPr>
        <w:t xml:space="preserve">(Accessed: </w:t>
      </w:r>
      <w:r w:rsidR="000F03E8">
        <w:rPr>
          <w:rFonts w:ascii="Arial" w:hAnsi="Arial" w:cs="Arial"/>
        </w:rPr>
        <w:t>1</w:t>
      </w:r>
      <w:r w:rsidR="000F03E8" w:rsidRPr="00A6144D">
        <w:rPr>
          <w:rFonts w:ascii="Arial" w:hAnsi="Arial" w:cs="Arial"/>
        </w:rPr>
        <w:t>0 August 2026).</w:t>
      </w:r>
    </w:p>
    <w:p w14:paraId="3E690BFA" w14:textId="4514FCD7" w:rsidR="00DD0AA1" w:rsidRPr="00A6144D" w:rsidRDefault="00DD0AA1" w:rsidP="00DD0AA1">
      <w:pPr>
        <w:jc w:val="both"/>
        <w:rPr>
          <w:rFonts w:ascii="Arial" w:hAnsi="Arial" w:cs="Arial"/>
        </w:rPr>
      </w:pPr>
    </w:p>
    <w:p w14:paraId="2797A401" w14:textId="390054CD" w:rsidR="000F03E8" w:rsidRPr="00A6144D" w:rsidRDefault="00DD0AA1" w:rsidP="000F03E8">
      <w:pPr>
        <w:jc w:val="both"/>
        <w:rPr>
          <w:rFonts w:ascii="Arial" w:hAnsi="Arial" w:cs="Arial"/>
        </w:rPr>
      </w:pPr>
      <w:r w:rsidRPr="00A6144D">
        <w:rPr>
          <w:rFonts w:ascii="Arial" w:hAnsi="Arial" w:cs="Arial"/>
        </w:rPr>
        <w:t>Ntumba, C., Aguayo, S. and Maina, K. (2023) ‘Revolutionizing retail: A mini review of e-commerce evolution’, Journal of Digital Marketing and Communication, 3(2), pp. 100–110. Available at: https://doi.org/10.53623/jdmc.v3i2.365.</w:t>
      </w:r>
      <w:r w:rsidR="000F03E8" w:rsidRPr="000F03E8">
        <w:rPr>
          <w:rFonts w:ascii="Arial" w:hAnsi="Arial" w:cs="Arial"/>
        </w:rPr>
        <w:t xml:space="preserve"> </w:t>
      </w:r>
      <w:r w:rsidR="000F03E8" w:rsidRPr="00A6144D">
        <w:rPr>
          <w:rFonts w:ascii="Arial" w:hAnsi="Arial" w:cs="Arial"/>
        </w:rPr>
        <w:t xml:space="preserve">(Accessed: </w:t>
      </w:r>
      <w:r w:rsidR="000F03E8">
        <w:rPr>
          <w:rFonts w:ascii="Arial" w:hAnsi="Arial" w:cs="Arial"/>
        </w:rPr>
        <w:t>16</w:t>
      </w:r>
      <w:r w:rsidR="000F03E8" w:rsidRPr="00A6144D">
        <w:rPr>
          <w:rFonts w:ascii="Arial" w:hAnsi="Arial" w:cs="Arial"/>
        </w:rPr>
        <w:t xml:space="preserve"> August 2026).</w:t>
      </w:r>
    </w:p>
    <w:p w14:paraId="3795302E" w14:textId="4164B269" w:rsidR="00DD0AA1" w:rsidRPr="00A6144D" w:rsidRDefault="00DD0AA1" w:rsidP="00DD0AA1">
      <w:pPr>
        <w:jc w:val="both"/>
        <w:rPr>
          <w:rFonts w:ascii="Arial" w:hAnsi="Arial" w:cs="Arial"/>
        </w:rPr>
      </w:pPr>
    </w:p>
    <w:p w14:paraId="5CC21CAE" w14:textId="0F48E5EF" w:rsidR="000F03E8" w:rsidRPr="00A6144D" w:rsidRDefault="00DD0AA1" w:rsidP="000F03E8">
      <w:pPr>
        <w:jc w:val="both"/>
        <w:rPr>
          <w:rFonts w:ascii="Arial" w:hAnsi="Arial" w:cs="Arial"/>
        </w:rPr>
      </w:pPr>
      <w:r w:rsidRPr="00A6144D">
        <w:rPr>
          <w:rFonts w:ascii="Arial" w:hAnsi="Arial" w:cs="Arial"/>
        </w:rPr>
        <w:t>Nuryadin, R., Marlina and Herdiyana, P. (2024) ‘Digital leadership in the Indonesian public sector: A systematic review’, A Social Science and Entrepreneurship Journal, 4(2), pp. 76–93. Available at: https://doi.org/10.17509/asset.v4i2.75797.</w:t>
      </w:r>
      <w:r w:rsidR="000F03E8" w:rsidRPr="000F03E8">
        <w:rPr>
          <w:rFonts w:ascii="Arial" w:hAnsi="Arial" w:cs="Arial"/>
        </w:rPr>
        <w:t xml:space="preserve"> </w:t>
      </w:r>
      <w:r w:rsidR="000F03E8" w:rsidRPr="00A6144D">
        <w:rPr>
          <w:rFonts w:ascii="Arial" w:hAnsi="Arial" w:cs="Arial"/>
        </w:rPr>
        <w:t xml:space="preserve">(Accessed: </w:t>
      </w:r>
      <w:r w:rsidR="000F03E8">
        <w:rPr>
          <w:rFonts w:ascii="Arial" w:hAnsi="Arial" w:cs="Arial"/>
        </w:rPr>
        <w:t>18</w:t>
      </w:r>
      <w:r w:rsidR="000F03E8" w:rsidRPr="00A6144D">
        <w:rPr>
          <w:rFonts w:ascii="Arial" w:hAnsi="Arial" w:cs="Arial"/>
        </w:rPr>
        <w:t xml:space="preserve"> August 2026).</w:t>
      </w:r>
    </w:p>
    <w:p w14:paraId="74D5EE44" w14:textId="47C24A64" w:rsidR="00DD0AA1" w:rsidRPr="00A6144D" w:rsidRDefault="00DD0AA1" w:rsidP="00DD0AA1">
      <w:pPr>
        <w:jc w:val="both"/>
        <w:rPr>
          <w:rFonts w:ascii="Arial" w:hAnsi="Arial" w:cs="Arial"/>
        </w:rPr>
      </w:pPr>
    </w:p>
    <w:p w14:paraId="4E22A841" w14:textId="77777777" w:rsidR="00DD0AA1" w:rsidRPr="00A6144D" w:rsidRDefault="00DD0AA1" w:rsidP="00DD0AA1">
      <w:pPr>
        <w:jc w:val="both"/>
        <w:rPr>
          <w:rFonts w:ascii="Arial" w:hAnsi="Arial" w:cs="Arial"/>
        </w:rPr>
      </w:pPr>
    </w:p>
    <w:p w14:paraId="7AA9C2B5" w14:textId="3FB12489" w:rsidR="000F03E8" w:rsidRPr="00A6144D" w:rsidRDefault="00DD0AA1" w:rsidP="000F03E8">
      <w:pPr>
        <w:jc w:val="both"/>
        <w:rPr>
          <w:rFonts w:ascii="Arial" w:hAnsi="Arial" w:cs="Arial"/>
        </w:rPr>
      </w:pPr>
      <w:r w:rsidRPr="00A6144D">
        <w:rPr>
          <w:rFonts w:ascii="Arial" w:hAnsi="Arial" w:cs="Arial"/>
        </w:rPr>
        <w:t>Ogamba, I. and Nwaberiegwu, C. (2020) ‘Persistent challenges and emerging strengths: Strategic and collective leadership in healthcare’, British Journal of Healthcare Management, 26(12), article 0091. Available at:</w:t>
      </w:r>
      <w:r w:rsidRPr="00BA1529">
        <w:t xml:space="preserve"> </w:t>
      </w:r>
      <w:r w:rsidRPr="00BA1529">
        <w:rPr>
          <w:rFonts w:ascii="Arial" w:hAnsi="Arial" w:cs="Arial"/>
        </w:rPr>
        <w:t>chrome-extension://efaidnbmnnnibpcajpcglclefindmkaj/https://pure.coventry.ac.uk/ws/files/42215637/Binder3.pdf</w:t>
      </w:r>
      <w:r w:rsidRPr="00A6144D">
        <w:rPr>
          <w:rFonts w:ascii="Arial" w:hAnsi="Arial" w:cs="Arial"/>
        </w:rPr>
        <w:t>.</w:t>
      </w:r>
      <w:r w:rsidR="000F03E8" w:rsidRPr="000F03E8">
        <w:rPr>
          <w:rFonts w:ascii="Arial" w:hAnsi="Arial" w:cs="Arial"/>
        </w:rPr>
        <w:t xml:space="preserve"> </w:t>
      </w:r>
      <w:r w:rsidR="000F03E8" w:rsidRPr="00A6144D">
        <w:rPr>
          <w:rFonts w:ascii="Arial" w:hAnsi="Arial" w:cs="Arial"/>
        </w:rPr>
        <w:t xml:space="preserve">(Accessed: </w:t>
      </w:r>
      <w:r w:rsidR="000F03E8">
        <w:rPr>
          <w:rFonts w:ascii="Arial" w:hAnsi="Arial" w:cs="Arial"/>
        </w:rPr>
        <w:t>1</w:t>
      </w:r>
      <w:r w:rsidR="000F03E8" w:rsidRPr="00A6144D">
        <w:rPr>
          <w:rFonts w:ascii="Arial" w:hAnsi="Arial" w:cs="Arial"/>
        </w:rPr>
        <w:t>0 August 2026).</w:t>
      </w:r>
    </w:p>
    <w:p w14:paraId="229DA1B4" w14:textId="509CC9D5" w:rsidR="00DD0AA1" w:rsidRPr="00A6144D" w:rsidRDefault="00DD0AA1" w:rsidP="00DD0AA1">
      <w:pPr>
        <w:jc w:val="both"/>
        <w:rPr>
          <w:rFonts w:ascii="Arial" w:hAnsi="Arial" w:cs="Arial"/>
        </w:rPr>
      </w:pPr>
    </w:p>
    <w:p w14:paraId="09D3649A" w14:textId="3D8C0CF5" w:rsidR="000F03E8" w:rsidRPr="00A6144D" w:rsidRDefault="00DD0AA1" w:rsidP="000F03E8">
      <w:pPr>
        <w:jc w:val="both"/>
        <w:rPr>
          <w:rFonts w:ascii="Arial" w:hAnsi="Arial" w:cs="Arial"/>
        </w:rPr>
      </w:pPr>
      <w:r w:rsidRPr="00A6144D">
        <w:rPr>
          <w:rFonts w:ascii="Arial" w:hAnsi="Arial" w:cs="Arial"/>
        </w:rPr>
        <w:t>Ohrling, M., Tolf, S., Solberg-Carlsson, K. and Brommels, M. (2022) ‘Managers do it their way: How managers act in a decentralised healthcare services provider organisation – a mixed methods study’, Health Services Management Research, 35(4), pp. 215–228. Available at: https://doi.org/10.1177/09514848211065467.</w:t>
      </w:r>
      <w:r w:rsidR="000F03E8" w:rsidRPr="000F03E8">
        <w:rPr>
          <w:rFonts w:ascii="Arial" w:hAnsi="Arial" w:cs="Arial"/>
        </w:rPr>
        <w:t xml:space="preserve"> </w:t>
      </w:r>
      <w:r w:rsidR="000F03E8" w:rsidRPr="00A6144D">
        <w:rPr>
          <w:rFonts w:ascii="Arial" w:hAnsi="Arial" w:cs="Arial"/>
        </w:rPr>
        <w:t xml:space="preserve">(Accessed: </w:t>
      </w:r>
      <w:r w:rsidR="000F03E8">
        <w:rPr>
          <w:rFonts w:ascii="Arial" w:hAnsi="Arial" w:cs="Arial"/>
        </w:rPr>
        <w:t>14</w:t>
      </w:r>
      <w:r w:rsidR="000F03E8" w:rsidRPr="00A6144D">
        <w:rPr>
          <w:rFonts w:ascii="Arial" w:hAnsi="Arial" w:cs="Arial"/>
        </w:rPr>
        <w:t xml:space="preserve"> August 2026).</w:t>
      </w:r>
    </w:p>
    <w:p w14:paraId="0DC730B4" w14:textId="77777777" w:rsidR="000F03E8" w:rsidRPr="00A6144D" w:rsidRDefault="000F03E8" w:rsidP="000F03E8">
      <w:pPr>
        <w:jc w:val="both"/>
        <w:rPr>
          <w:rFonts w:ascii="Arial" w:hAnsi="Arial" w:cs="Arial"/>
        </w:rPr>
      </w:pPr>
    </w:p>
    <w:p w14:paraId="40D9E221" w14:textId="50F8F9C0" w:rsidR="000F03E8" w:rsidRPr="00A6144D" w:rsidRDefault="00DD0AA1" w:rsidP="000F03E8">
      <w:pPr>
        <w:jc w:val="both"/>
        <w:rPr>
          <w:rFonts w:ascii="Arial" w:hAnsi="Arial" w:cs="Arial"/>
        </w:rPr>
      </w:pPr>
      <w:r w:rsidRPr="00A6144D">
        <w:rPr>
          <w:rFonts w:ascii="Arial" w:hAnsi="Arial" w:cs="Arial"/>
        </w:rPr>
        <w:t xml:space="preserve">Okolie, U.C., Omogbiya, O.S. and Addah, A.-O.G. (2023) ‘Organisational structure and business growth of pharmaceutical industry in Delta State, Nigeria’, Jurnal </w:t>
      </w:r>
      <w:proofErr w:type="spellStart"/>
      <w:r w:rsidRPr="00A6144D">
        <w:rPr>
          <w:rFonts w:ascii="Arial" w:hAnsi="Arial" w:cs="Arial"/>
        </w:rPr>
        <w:t>Ilmu</w:t>
      </w:r>
      <w:proofErr w:type="spellEnd"/>
      <w:r w:rsidRPr="00A6144D">
        <w:rPr>
          <w:rFonts w:ascii="Arial" w:hAnsi="Arial" w:cs="Arial"/>
        </w:rPr>
        <w:t xml:space="preserve"> Manajemen dan Bisnis, 14(1), pp. 39–52. Available at: https://doi.org/10.17509/jimb.v14i1.56241.</w:t>
      </w:r>
      <w:r w:rsidR="000F03E8" w:rsidRPr="000F03E8">
        <w:rPr>
          <w:rFonts w:ascii="Arial" w:hAnsi="Arial" w:cs="Arial"/>
        </w:rPr>
        <w:t xml:space="preserve"> </w:t>
      </w:r>
      <w:r w:rsidR="000F03E8" w:rsidRPr="00A6144D">
        <w:rPr>
          <w:rFonts w:ascii="Arial" w:hAnsi="Arial" w:cs="Arial"/>
        </w:rPr>
        <w:t>(Accessed: 0</w:t>
      </w:r>
      <w:r w:rsidR="000F03E8">
        <w:rPr>
          <w:rFonts w:ascii="Arial" w:hAnsi="Arial" w:cs="Arial"/>
        </w:rPr>
        <w:t>9</w:t>
      </w:r>
      <w:r w:rsidR="000F03E8" w:rsidRPr="00A6144D">
        <w:rPr>
          <w:rFonts w:ascii="Arial" w:hAnsi="Arial" w:cs="Arial"/>
        </w:rPr>
        <w:t xml:space="preserve"> August 2026).</w:t>
      </w:r>
    </w:p>
    <w:p w14:paraId="1D846579" w14:textId="789DD41A" w:rsidR="00DD0AA1" w:rsidRPr="00A6144D" w:rsidRDefault="00DD0AA1" w:rsidP="00DD0AA1">
      <w:pPr>
        <w:jc w:val="both"/>
        <w:rPr>
          <w:rFonts w:ascii="Arial" w:hAnsi="Arial" w:cs="Arial"/>
        </w:rPr>
      </w:pPr>
    </w:p>
    <w:p w14:paraId="7A9217A8" w14:textId="44159294" w:rsidR="000F03E8" w:rsidRPr="00A6144D" w:rsidRDefault="00DD0AA1" w:rsidP="000F03E8">
      <w:pPr>
        <w:jc w:val="both"/>
        <w:rPr>
          <w:rFonts w:ascii="Arial" w:hAnsi="Arial" w:cs="Arial"/>
        </w:rPr>
      </w:pPr>
      <w:r w:rsidRPr="00A6144D">
        <w:rPr>
          <w:rFonts w:ascii="Arial" w:hAnsi="Arial" w:cs="Arial"/>
        </w:rPr>
        <w:t>Omol, E.J. (2024) ‘Organizational digital transformation: From evolution to future trends’, Digital Transformation and Society, 3(3), pp. 240–256. Available at: https://doi.org/10.1108/DTS-08-2023-0061.</w:t>
      </w:r>
      <w:r w:rsidR="000F03E8" w:rsidRPr="000F03E8">
        <w:rPr>
          <w:rFonts w:ascii="Arial" w:hAnsi="Arial" w:cs="Arial"/>
        </w:rPr>
        <w:t xml:space="preserve"> </w:t>
      </w:r>
      <w:r w:rsidR="000F03E8" w:rsidRPr="00A6144D">
        <w:rPr>
          <w:rFonts w:ascii="Arial" w:hAnsi="Arial" w:cs="Arial"/>
        </w:rPr>
        <w:t xml:space="preserve">(Accessed: </w:t>
      </w:r>
      <w:r w:rsidR="000F03E8">
        <w:rPr>
          <w:rFonts w:ascii="Arial" w:hAnsi="Arial" w:cs="Arial"/>
        </w:rPr>
        <w:t>08</w:t>
      </w:r>
      <w:r w:rsidR="000F03E8" w:rsidRPr="00A6144D">
        <w:rPr>
          <w:rFonts w:ascii="Arial" w:hAnsi="Arial" w:cs="Arial"/>
        </w:rPr>
        <w:t xml:space="preserve"> August 2026).</w:t>
      </w:r>
    </w:p>
    <w:p w14:paraId="51A29139" w14:textId="77777777" w:rsidR="000F03E8" w:rsidRPr="00A6144D" w:rsidRDefault="000F03E8" w:rsidP="000F03E8">
      <w:pPr>
        <w:jc w:val="both"/>
        <w:rPr>
          <w:rFonts w:ascii="Arial" w:hAnsi="Arial" w:cs="Arial"/>
        </w:rPr>
      </w:pPr>
    </w:p>
    <w:p w14:paraId="07EFBA30" w14:textId="77777777" w:rsidR="00DD0AA1" w:rsidRPr="00A6144D" w:rsidRDefault="00DD0AA1" w:rsidP="00DD0AA1">
      <w:pPr>
        <w:jc w:val="both"/>
        <w:rPr>
          <w:rFonts w:ascii="Arial" w:hAnsi="Arial" w:cs="Arial"/>
        </w:rPr>
      </w:pPr>
      <w:r w:rsidRPr="00A6144D">
        <w:rPr>
          <w:rFonts w:ascii="Arial" w:hAnsi="Arial" w:cs="Arial"/>
        </w:rPr>
        <w:t>Organimi (2024) ‘Hospital organizational structure – how it works and examples’, 22 October. Available at: https://www.organimi.com/hospital-organizational-structure/ (Accessed: 20 August 2026).</w:t>
      </w:r>
    </w:p>
    <w:p w14:paraId="12C67079" w14:textId="77777777" w:rsidR="00DD0AA1" w:rsidRPr="00A6144D" w:rsidRDefault="00DD0AA1" w:rsidP="00DD0AA1">
      <w:pPr>
        <w:jc w:val="both"/>
        <w:rPr>
          <w:rFonts w:ascii="Arial" w:hAnsi="Arial" w:cs="Arial"/>
        </w:rPr>
      </w:pPr>
    </w:p>
    <w:p w14:paraId="0AA513DB" w14:textId="2ADA11C9" w:rsidR="000F03E8" w:rsidRPr="00A6144D" w:rsidRDefault="00DD0AA1" w:rsidP="000F03E8">
      <w:pPr>
        <w:jc w:val="both"/>
        <w:rPr>
          <w:rFonts w:ascii="Arial" w:hAnsi="Arial" w:cs="Arial"/>
        </w:rPr>
      </w:pPr>
      <w:r w:rsidRPr="00A6144D">
        <w:rPr>
          <w:rFonts w:ascii="Arial" w:hAnsi="Arial" w:cs="Arial"/>
        </w:rPr>
        <w:t>Peutere, L., Pentti, J., Ropponen, A., Kivimäki, M., Härmä, M., Krutova, O., Ervasti, J., Koskinen, A. and Virtanen, M. (2024) ‘Association of nurse understaffing and limited nursing work experience with in-hospital mortality among patients: A longitudinal register-based study’, International Journal of Nursing Studies, 150, 104628. Available at: https://doi.org/10.1016/j.ijnurstu.2023.104628.</w:t>
      </w:r>
      <w:r w:rsidR="000F03E8" w:rsidRPr="000F03E8">
        <w:rPr>
          <w:rFonts w:ascii="Arial" w:hAnsi="Arial" w:cs="Arial"/>
        </w:rPr>
        <w:t xml:space="preserve"> </w:t>
      </w:r>
      <w:r w:rsidR="000F03E8" w:rsidRPr="00A6144D">
        <w:rPr>
          <w:rFonts w:ascii="Arial" w:hAnsi="Arial" w:cs="Arial"/>
        </w:rPr>
        <w:t>(Accessed: 20 August 2026).</w:t>
      </w:r>
    </w:p>
    <w:p w14:paraId="61D58BCD" w14:textId="2554374B" w:rsidR="00DD0AA1" w:rsidRPr="00A6144D" w:rsidRDefault="00DD0AA1" w:rsidP="00DD0AA1">
      <w:pPr>
        <w:jc w:val="both"/>
        <w:rPr>
          <w:rFonts w:ascii="Arial" w:hAnsi="Arial" w:cs="Arial"/>
        </w:rPr>
      </w:pPr>
    </w:p>
    <w:p w14:paraId="2ACFE398" w14:textId="3D8070F9" w:rsidR="000F03E8" w:rsidRPr="00A6144D" w:rsidRDefault="00DD0AA1" w:rsidP="000F03E8">
      <w:pPr>
        <w:jc w:val="both"/>
        <w:rPr>
          <w:rFonts w:ascii="Arial" w:hAnsi="Arial" w:cs="Arial"/>
        </w:rPr>
      </w:pPr>
      <w:r w:rsidRPr="00A6144D">
        <w:rPr>
          <w:rFonts w:ascii="Arial" w:hAnsi="Arial" w:cs="Arial"/>
        </w:rPr>
        <w:t>Radević, I., Dimovski, V., Lojpur, A. and Colnar, S. (2023) ‘Quality of healthcare services in focus: The role of knowledge transfer, hierarchical organizational structure and trust’, Knowledge Management Research &amp; Practice, 21(3), pp. 525–536. Available at: https://doi.org/10.1080/14778238.2021.1932623.</w:t>
      </w:r>
      <w:r w:rsidR="000F03E8" w:rsidRPr="000F03E8">
        <w:rPr>
          <w:rFonts w:ascii="Arial" w:hAnsi="Arial" w:cs="Arial"/>
        </w:rPr>
        <w:t xml:space="preserve"> </w:t>
      </w:r>
      <w:r w:rsidR="000F03E8" w:rsidRPr="00A6144D">
        <w:rPr>
          <w:rFonts w:ascii="Arial" w:hAnsi="Arial" w:cs="Arial"/>
        </w:rPr>
        <w:t xml:space="preserve">(Accessed: </w:t>
      </w:r>
      <w:r w:rsidR="000F03E8">
        <w:rPr>
          <w:rFonts w:ascii="Arial" w:hAnsi="Arial" w:cs="Arial"/>
        </w:rPr>
        <w:t>1</w:t>
      </w:r>
      <w:r w:rsidR="000F03E8" w:rsidRPr="00A6144D">
        <w:rPr>
          <w:rFonts w:ascii="Arial" w:hAnsi="Arial" w:cs="Arial"/>
        </w:rPr>
        <w:t>0 August 2026).</w:t>
      </w:r>
    </w:p>
    <w:p w14:paraId="202F6CBC" w14:textId="35EA86CB" w:rsidR="00DD0AA1" w:rsidRPr="00A6144D" w:rsidRDefault="00DD0AA1" w:rsidP="00DD0AA1">
      <w:pPr>
        <w:jc w:val="both"/>
        <w:rPr>
          <w:rFonts w:ascii="Arial" w:hAnsi="Arial" w:cs="Arial"/>
        </w:rPr>
      </w:pPr>
    </w:p>
    <w:p w14:paraId="037AD38E" w14:textId="6093F152" w:rsidR="000F03E8" w:rsidRPr="00A6144D" w:rsidRDefault="00DD0AA1" w:rsidP="000F03E8">
      <w:pPr>
        <w:jc w:val="both"/>
        <w:rPr>
          <w:rFonts w:ascii="Arial" w:hAnsi="Arial" w:cs="Arial"/>
        </w:rPr>
      </w:pPr>
      <w:r w:rsidRPr="00A6144D">
        <w:rPr>
          <w:rFonts w:ascii="Arial" w:hAnsi="Arial" w:cs="Arial"/>
        </w:rPr>
        <w:t xml:space="preserve">Santos, V., Augusto, T., Vieira, J., Bacalhau, L., Sousa, B.M. and Pontes, D. (2023) ‘E-commerce: Issues, opportunities, challenges, and trends’, in Santos, J.D. and Sousa, B.M. (eds.) Promoting Organizational Performance Through 5G and Agile Marketing. Hershey, PA: IGI Global, pp. 224–244. Available at: </w:t>
      </w:r>
      <w:r w:rsidRPr="001659D7">
        <w:rPr>
          <w:rFonts w:ascii="Arial" w:hAnsi="Arial" w:cs="Arial"/>
        </w:rPr>
        <w:t>chrome-extension://efaidnbmnnnibpcajpcglclefindmkaj/file:///Users/sphurthi/Downloads/content%20(1).pdf</w:t>
      </w:r>
      <w:r w:rsidR="000F03E8" w:rsidRPr="00A6144D">
        <w:rPr>
          <w:rFonts w:ascii="Arial" w:hAnsi="Arial" w:cs="Arial"/>
        </w:rPr>
        <w:t xml:space="preserve">(Accessed: </w:t>
      </w:r>
      <w:r w:rsidR="000F03E8">
        <w:rPr>
          <w:rFonts w:ascii="Arial" w:hAnsi="Arial" w:cs="Arial"/>
        </w:rPr>
        <w:t>13</w:t>
      </w:r>
      <w:r w:rsidR="000F03E8" w:rsidRPr="00A6144D">
        <w:rPr>
          <w:rFonts w:ascii="Arial" w:hAnsi="Arial" w:cs="Arial"/>
        </w:rPr>
        <w:t xml:space="preserve"> August 2026).</w:t>
      </w:r>
    </w:p>
    <w:p w14:paraId="691D69AE" w14:textId="5A66D462" w:rsidR="00DD0AA1" w:rsidRPr="001659D7" w:rsidRDefault="00DD0AA1" w:rsidP="00DD0AA1">
      <w:pPr>
        <w:rPr>
          <w:rFonts w:ascii="Arial" w:hAnsi="Arial" w:cs="Arial"/>
        </w:rPr>
      </w:pPr>
    </w:p>
    <w:p w14:paraId="269DB5CD" w14:textId="0F4B2E28" w:rsidR="000F03E8" w:rsidRPr="00A6144D" w:rsidRDefault="00DD0AA1" w:rsidP="000F03E8">
      <w:pPr>
        <w:jc w:val="both"/>
        <w:rPr>
          <w:rFonts w:ascii="Arial" w:hAnsi="Arial" w:cs="Arial"/>
        </w:rPr>
      </w:pPr>
      <w:r w:rsidRPr="00A6144D">
        <w:rPr>
          <w:rFonts w:ascii="Arial" w:hAnsi="Arial" w:cs="Arial"/>
        </w:rPr>
        <w:t>Sapkota, S., Dhakal, A., Rushton, S., van Teijlingen, E., Marahatta, S.B., Balen, J. and Lee, A.C.K., on behalf of the Nepal Federal Health System Team (2023) ‘The impact of decentralisation on health systems: A systematic review of reviews’, BMJ Global Health, 8(12), e013317. Available at: https://doi.org/10.1136/bmjgh-2023-013317.</w:t>
      </w:r>
      <w:r w:rsidR="000F03E8" w:rsidRPr="000F03E8">
        <w:rPr>
          <w:rFonts w:ascii="Arial" w:hAnsi="Arial" w:cs="Arial"/>
        </w:rPr>
        <w:t xml:space="preserve"> </w:t>
      </w:r>
      <w:r w:rsidR="000F03E8" w:rsidRPr="00A6144D">
        <w:rPr>
          <w:rFonts w:ascii="Arial" w:hAnsi="Arial" w:cs="Arial"/>
        </w:rPr>
        <w:t xml:space="preserve">(Accessed: </w:t>
      </w:r>
      <w:r w:rsidR="000F03E8">
        <w:rPr>
          <w:rFonts w:ascii="Arial" w:hAnsi="Arial" w:cs="Arial"/>
        </w:rPr>
        <w:t>14</w:t>
      </w:r>
      <w:r w:rsidR="000F03E8" w:rsidRPr="00A6144D">
        <w:rPr>
          <w:rFonts w:ascii="Arial" w:hAnsi="Arial" w:cs="Arial"/>
        </w:rPr>
        <w:t xml:space="preserve"> August 2026).</w:t>
      </w:r>
    </w:p>
    <w:p w14:paraId="5AA60D37" w14:textId="3924A2BE" w:rsidR="00DD0AA1" w:rsidRPr="00A6144D" w:rsidRDefault="00DD0AA1" w:rsidP="00DD0AA1">
      <w:pPr>
        <w:jc w:val="both"/>
        <w:rPr>
          <w:rFonts w:ascii="Arial" w:hAnsi="Arial" w:cs="Arial"/>
        </w:rPr>
      </w:pPr>
    </w:p>
    <w:p w14:paraId="2F55CAFA" w14:textId="77777777" w:rsidR="00DD0AA1" w:rsidRPr="00A6144D" w:rsidRDefault="00DD0AA1" w:rsidP="00DD0AA1">
      <w:pPr>
        <w:jc w:val="both"/>
        <w:rPr>
          <w:rFonts w:ascii="Arial" w:hAnsi="Arial" w:cs="Arial"/>
        </w:rPr>
      </w:pPr>
    </w:p>
    <w:p w14:paraId="289A4849" w14:textId="2A6FDD5D" w:rsidR="00DD0AA1" w:rsidRPr="00A6144D" w:rsidRDefault="00AE1C70" w:rsidP="00DD0AA1">
      <w:pPr>
        <w:jc w:val="both"/>
        <w:rPr>
          <w:rFonts w:ascii="Arial" w:hAnsi="Arial" w:cs="Arial"/>
        </w:rPr>
      </w:pPr>
      <w:r>
        <w:lastRenderedPageBreak/>
        <w:t xml:space="preserve">Shahzad, A., Hassan, R., Abdullah, N.I., Hussain, A. and Fareed, M. (2020) ‘COVID-19 impact on e-commerce usage: An empirical evidence from Malaysian healthcare industry’, </w:t>
      </w:r>
      <w:r>
        <w:rPr>
          <w:rStyle w:val="Emphasis"/>
        </w:rPr>
        <w:t>Humanities &amp; Social Sciences Reviews</w:t>
      </w:r>
      <w:r>
        <w:t>, 8(3), pp. 599–609. doi: 10.18510/hssr.2020.8364.</w:t>
      </w:r>
    </w:p>
    <w:p w14:paraId="700E0DB3" w14:textId="77777777" w:rsidR="00BC7AB6" w:rsidRPr="00A6144D" w:rsidRDefault="00DD0AA1" w:rsidP="00BC7AB6">
      <w:pPr>
        <w:jc w:val="both"/>
        <w:rPr>
          <w:rFonts w:ascii="Arial" w:hAnsi="Arial" w:cs="Arial"/>
        </w:rPr>
      </w:pPr>
      <w:r w:rsidRPr="00A6144D">
        <w:rPr>
          <w:rFonts w:ascii="Arial" w:hAnsi="Arial" w:cs="Arial"/>
        </w:rPr>
        <w:t>Shahzad, K., Imran, F. and Butt, A. (2025) ‘Digital transformation and changes in organizational structure: Empirical evidence from industrial organizations’, Research-Technology Management, 68(3), pp. 25–40. Available at: https://doi.org/10.1080/08956308.2025.2465706.</w:t>
      </w:r>
      <w:r w:rsidR="00BC7AB6">
        <w:rPr>
          <w:rFonts w:ascii="Arial" w:hAnsi="Arial" w:cs="Arial"/>
        </w:rPr>
        <w:t xml:space="preserve"> </w:t>
      </w:r>
      <w:r w:rsidR="00BC7AB6" w:rsidRPr="00A6144D">
        <w:rPr>
          <w:rFonts w:ascii="Arial" w:hAnsi="Arial" w:cs="Arial"/>
        </w:rPr>
        <w:t xml:space="preserve">(Accessed: </w:t>
      </w:r>
      <w:r w:rsidR="00BC7AB6">
        <w:rPr>
          <w:rFonts w:ascii="Arial" w:hAnsi="Arial" w:cs="Arial"/>
        </w:rPr>
        <w:t>14</w:t>
      </w:r>
      <w:r w:rsidR="00BC7AB6" w:rsidRPr="00A6144D">
        <w:rPr>
          <w:rFonts w:ascii="Arial" w:hAnsi="Arial" w:cs="Arial"/>
        </w:rPr>
        <w:t xml:space="preserve"> August 2026).</w:t>
      </w:r>
    </w:p>
    <w:p w14:paraId="41D3EFE3" w14:textId="66309093" w:rsidR="00DD0AA1" w:rsidRPr="00A6144D" w:rsidRDefault="00DD0AA1" w:rsidP="00DD0AA1">
      <w:pPr>
        <w:jc w:val="both"/>
        <w:rPr>
          <w:rFonts w:ascii="Arial" w:hAnsi="Arial" w:cs="Arial"/>
        </w:rPr>
      </w:pPr>
    </w:p>
    <w:p w14:paraId="67E3650B" w14:textId="4D630B94" w:rsidR="00BC7AB6" w:rsidRPr="00A6144D" w:rsidRDefault="00DD0AA1" w:rsidP="00BC7AB6">
      <w:pPr>
        <w:jc w:val="both"/>
        <w:rPr>
          <w:rFonts w:ascii="Arial" w:hAnsi="Arial" w:cs="Arial"/>
        </w:rPr>
      </w:pPr>
      <w:r w:rsidRPr="00A6144D">
        <w:rPr>
          <w:rFonts w:ascii="Arial" w:hAnsi="Arial" w:cs="Arial"/>
        </w:rPr>
        <w:t>Sharma, A. and Singh, B.J. (2020) ‘Evolution of industrial revolutions: A review’, International Journal of Innovative Technology and Exploring Engineering, 9(11), pp. 66–73. Available</w:t>
      </w:r>
      <w:r>
        <w:rPr>
          <w:rFonts w:ascii="Arial" w:hAnsi="Arial" w:cs="Arial"/>
        </w:rPr>
        <w:t xml:space="preserve"> at: </w:t>
      </w:r>
      <w:r w:rsidRPr="00E126A8">
        <w:rPr>
          <w:rFonts w:ascii="Arial" w:hAnsi="Arial" w:cs="Arial"/>
        </w:rPr>
        <w:t>https://www.researchgate.net/publication/344366036_Evolution_of_Industrial_Revolutions_A_Review</w:t>
      </w:r>
      <w:r w:rsidR="00BC7AB6">
        <w:rPr>
          <w:rFonts w:ascii="Arial" w:hAnsi="Arial" w:cs="Arial"/>
        </w:rPr>
        <w:t xml:space="preserve"> </w:t>
      </w:r>
      <w:r w:rsidR="00BC7AB6" w:rsidRPr="00A6144D">
        <w:rPr>
          <w:rFonts w:ascii="Arial" w:hAnsi="Arial" w:cs="Arial"/>
        </w:rPr>
        <w:t xml:space="preserve">(Accessed: </w:t>
      </w:r>
      <w:r w:rsidR="00BC7AB6">
        <w:rPr>
          <w:rFonts w:ascii="Arial" w:hAnsi="Arial" w:cs="Arial"/>
        </w:rPr>
        <w:t>10</w:t>
      </w:r>
      <w:r w:rsidR="00BC7AB6" w:rsidRPr="00A6144D">
        <w:rPr>
          <w:rFonts w:ascii="Arial" w:hAnsi="Arial" w:cs="Arial"/>
        </w:rPr>
        <w:t xml:space="preserve"> August 2026).</w:t>
      </w:r>
    </w:p>
    <w:p w14:paraId="66BC1CB7" w14:textId="19A84106" w:rsidR="00DD0AA1" w:rsidRPr="00A6144D" w:rsidRDefault="00DD0AA1" w:rsidP="00DD0AA1">
      <w:pPr>
        <w:jc w:val="both"/>
        <w:rPr>
          <w:rFonts w:ascii="Arial" w:hAnsi="Arial" w:cs="Arial"/>
        </w:rPr>
      </w:pPr>
    </w:p>
    <w:p w14:paraId="6BBFFF1C" w14:textId="155D8DF1" w:rsidR="00BC7AB6" w:rsidRPr="00A6144D" w:rsidRDefault="00DD0AA1" w:rsidP="00BC7AB6">
      <w:pPr>
        <w:jc w:val="both"/>
        <w:rPr>
          <w:rFonts w:ascii="Arial" w:hAnsi="Arial" w:cs="Arial"/>
        </w:rPr>
      </w:pPr>
      <w:r w:rsidRPr="00A6144D">
        <w:rPr>
          <w:rFonts w:ascii="Arial" w:hAnsi="Arial" w:cs="Arial"/>
        </w:rPr>
        <w:t xml:space="preserve">Sharma, A.K., Sharma, V. and Singh, S.K. (2025) ‘Evolution of communication in advancing healthcare’, in Rai, M. and Pandey, J.K. (eds.) Revolutionary Impact of 5G on Advancement of Technology in Healthcare. Boca Raton, FL: Apple Academic Press, ch. 10. Available at: </w:t>
      </w:r>
      <w:r w:rsidRPr="00710EFB">
        <w:rPr>
          <w:rFonts w:ascii="Arial" w:hAnsi="Arial" w:cs="Arial"/>
        </w:rPr>
        <w:t>chrome-extension://efaidnbmnnnibpcajpcglclefindmkaj/https://www.researchgate.net/profile/Anuj-Kumar-Sharma-2/publication/395046701_Evolution_of_Communication_in_Advancing_Healthcare/links/68beaff4c76fc271eb3261cc/Evolution-of-Communication-in-Advancing-Healthcare.pdf</w:t>
      </w:r>
      <w:r w:rsidR="00BC7AB6" w:rsidRPr="00A6144D">
        <w:rPr>
          <w:rFonts w:ascii="Arial" w:hAnsi="Arial" w:cs="Arial"/>
        </w:rPr>
        <w:t xml:space="preserve">(Accessed: </w:t>
      </w:r>
      <w:r w:rsidR="00BC7AB6">
        <w:rPr>
          <w:rFonts w:ascii="Arial" w:hAnsi="Arial" w:cs="Arial"/>
        </w:rPr>
        <w:t xml:space="preserve">13 </w:t>
      </w:r>
      <w:r w:rsidR="00BC7AB6" w:rsidRPr="00A6144D">
        <w:rPr>
          <w:rFonts w:ascii="Arial" w:hAnsi="Arial" w:cs="Arial"/>
        </w:rPr>
        <w:t>August 2026).</w:t>
      </w:r>
    </w:p>
    <w:p w14:paraId="63A46CA1" w14:textId="3FAAC6EA" w:rsidR="00DD0AA1" w:rsidRPr="00710EFB" w:rsidRDefault="00DD0AA1" w:rsidP="00DD0AA1">
      <w:pPr>
        <w:rPr>
          <w:rFonts w:ascii="Arial" w:hAnsi="Arial" w:cs="Arial"/>
        </w:rPr>
      </w:pPr>
    </w:p>
    <w:p w14:paraId="411B00D0" w14:textId="4D613BFE" w:rsidR="00BC7AB6" w:rsidRPr="00A6144D" w:rsidRDefault="00DD0AA1" w:rsidP="00BC7AB6">
      <w:pPr>
        <w:jc w:val="both"/>
        <w:rPr>
          <w:rFonts w:ascii="Arial" w:hAnsi="Arial" w:cs="Arial"/>
        </w:rPr>
      </w:pPr>
      <w:r w:rsidRPr="00A6144D">
        <w:rPr>
          <w:rFonts w:ascii="Arial" w:hAnsi="Arial" w:cs="Arial"/>
        </w:rPr>
        <w:t>Singh, A., Klarner, P. and Hess, T. (2020) ‘How do chief digital officers pursue digital transformation activities? The role of organization design parameters’, Long Range Planning, 53(3), 101890. Available at: https://doi.org/10.1016/j.lrp.2019.07.001.</w:t>
      </w:r>
      <w:r w:rsidR="00BC7AB6" w:rsidRPr="00BC7AB6">
        <w:rPr>
          <w:rFonts w:ascii="Arial" w:hAnsi="Arial" w:cs="Arial"/>
        </w:rPr>
        <w:t xml:space="preserve"> </w:t>
      </w:r>
      <w:r w:rsidR="00BC7AB6" w:rsidRPr="00A6144D">
        <w:rPr>
          <w:rFonts w:ascii="Arial" w:hAnsi="Arial" w:cs="Arial"/>
        </w:rPr>
        <w:t xml:space="preserve">(Accessed: </w:t>
      </w:r>
      <w:r w:rsidR="00BC7AB6">
        <w:rPr>
          <w:rFonts w:ascii="Arial" w:hAnsi="Arial" w:cs="Arial"/>
        </w:rPr>
        <w:t>12</w:t>
      </w:r>
      <w:r w:rsidR="00BC7AB6" w:rsidRPr="00A6144D">
        <w:rPr>
          <w:rFonts w:ascii="Arial" w:hAnsi="Arial" w:cs="Arial"/>
        </w:rPr>
        <w:t xml:space="preserve"> August 2026).</w:t>
      </w:r>
    </w:p>
    <w:p w14:paraId="2A8FAE22" w14:textId="43FAF01F" w:rsidR="00DD0AA1" w:rsidRPr="00A6144D" w:rsidRDefault="00DD0AA1" w:rsidP="00DD0AA1">
      <w:pPr>
        <w:jc w:val="both"/>
        <w:rPr>
          <w:rFonts w:ascii="Arial" w:hAnsi="Arial" w:cs="Arial"/>
        </w:rPr>
      </w:pPr>
    </w:p>
    <w:p w14:paraId="0EFE8B31" w14:textId="4FB2C02B" w:rsidR="00BC7AB6" w:rsidRPr="00A6144D" w:rsidRDefault="00DD0AA1" w:rsidP="00BC7AB6">
      <w:pPr>
        <w:jc w:val="both"/>
        <w:rPr>
          <w:rFonts w:ascii="Arial" w:hAnsi="Arial" w:cs="Arial"/>
        </w:rPr>
      </w:pPr>
      <w:r w:rsidRPr="00A6144D">
        <w:rPr>
          <w:rFonts w:ascii="Arial" w:hAnsi="Arial" w:cs="Arial"/>
        </w:rPr>
        <w:t>Singh, J., Nambisan, S., Bridge, R.G. and Brock, J.K.-U. (2021) ‘One-voice strategy for customer engagement’, Journal of Service Research, 24(1), pp. 42–65. Available at:</w:t>
      </w:r>
      <w:r w:rsidRPr="00D07BC7">
        <w:t xml:space="preserve"> </w:t>
      </w:r>
      <w:r w:rsidRPr="00D07BC7">
        <w:rPr>
          <w:rFonts w:ascii="Arial" w:hAnsi="Arial" w:cs="Arial"/>
        </w:rPr>
        <w:t>https://www.researchgate.net/publication/340226182_One-Voice_Strategy_for_Customer_Engagement</w:t>
      </w:r>
      <w:r w:rsidR="00BC7AB6">
        <w:rPr>
          <w:rFonts w:ascii="Arial" w:hAnsi="Arial" w:cs="Arial"/>
        </w:rPr>
        <w:t xml:space="preserve"> </w:t>
      </w:r>
      <w:r w:rsidR="00BC7AB6" w:rsidRPr="00A6144D">
        <w:rPr>
          <w:rFonts w:ascii="Arial" w:hAnsi="Arial" w:cs="Arial"/>
        </w:rPr>
        <w:t xml:space="preserve">(Accessed: </w:t>
      </w:r>
      <w:r w:rsidR="00BC7AB6">
        <w:rPr>
          <w:rFonts w:ascii="Arial" w:hAnsi="Arial" w:cs="Arial"/>
        </w:rPr>
        <w:t>10</w:t>
      </w:r>
      <w:r w:rsidR="00BC7AB6" w:rsidRPr="00A6144D">
        <w:rPr>
          <w:rFonts w:ascii="Arial" w:hAnsi="Arial" w:cs="Arial"/>
        </w:rPr>
        <w:t xml:space="preserve"> August 2026).</w:t>
      </w:r>
    </w:p>
    <w:p w14:paraId="3620EFE9" w14:textId="77777777" w:rsidR="00DD0AA1" w:rsidRPr="00A6144D" w:rsidRDefault="00DD0AA1" w:rsidP="00DD0AA1">
      <w:pPr>
        <w:jc w:val="both"/>
        <w:rPr>
          <w:rFonts w:ascii="Arial" w:hAnsi="Arial" w:cs="Arial"/>
        </w:rPr>
      </w:pPr>
    </w:p>
    <w:p w14:paraId="28A08D72" w14:textId="7B6DB0FB" w:rsidR="00DD0AA1" w:rsidRPr="00593B99" w:rsidRDefault="00DD0AA1" w:rsidP="001252E5">
      <w:pPr>
        <w:jc w:val="both"/>
        <w:rPr>
          <w:rFonts w:ascii="Arial" w:hAnsi="Arial" w:cs="Arial"/>
        </w:rPr>
      </w:pPr>
      <w:r w:rsidRPr="00A6144D">
        <w:rPr>
          <w:rFonts w:ascii="Arial" w:hAnsi="Arial" w:cs="Arial"/>
        </w:rPr>
        <w:t xml:space="preserve">Singh, S., Verma, A., Sharma, A., Sharma, S. and Arora, S. (2025) ‘Evolution of technology in healthcare’, in Sharma, A., Sharma, S., Singh, P.K. and Fuloria, N.K. (eds.) Optimized Healthcare: Leveraging Technology for Efficiency and Accessibility (Part 1). Sharjah: Bentham Science Publishers, pp. 1–32. Available at: </w:t>
      </w:r>
      <w:r w:rsidRPr="00593B99">
        <w:rPr>
          <w:rFonts w:ascii="Arial" w:hAnsi="Arial" w:cs="Arial"/>
        </w:rPr>
        <w:t>chrome-extension://efaidnbmnnnibpcajpcglclefindmkaj/file:///Users/sphurthi/Downloads/[2024+issue] +SCITE_04_29_51832_JPT%20(2).pdf</w:t>
      </w:r>
      <w:r w:rsidR="00BC7AB6">
        <w:rPr>
          <w:rFonts w:ascii="Arial" w:hAnsi="Arial" w:cs="Arial"/>
        </w:rPr>
        <w:t xml:space="preserve"> </w:t>
      </w:r>
      <w:r w:rsidR="00BC7AB6" w:rsidRPr="00A6144D">
        <w:rPr>
          <w:rFonts w:ascii="Arial" w:hAnsi="Arial" w:cs="Arial"/>
        </w:rPr>
        <w:t xml:space="preserve">(Accessed: </w:t>
      </w:r>
      <w:r w:rsidR="00BC7AB6">
        <w:rPr>
          <w:rFonts w:ascii="Arial" w:hAnsi="Arial" w:cs="Arial"/>
        </w:rPr>
        <w:t xml:space="preserve">10 </w:t>
      </w:r>
      <w:r w:rsidR="00BC7AB6" w:rsidRPr="00A6144D">
        <w:rPr>
          <w:rFonts w:ascii="Arial" w:hAnsi="Arial" w:cs="Arial"/>
        </w:rPr>
        <w:t>August 2026).</w:t>
      </w:r>
    </w:p>
    <w:p w14:paraId="325F130D" w14:textId="77777777" w:rsidR="00DD0AA1" w:rsidRPr="00A6144D" w:rsidRDefault="00DD0AA1" w:rsidP="00DD0AA1">
      <w:pPr>
        <w:jc w:val="both"/>
        <w:rPr>
          <w:rFonts w:ascii="Arial" w:hAnsi="Arial" w:cs="Arial"/>
        </w:rPr>
      </w:pPr>
    </w:p>
    <w:p w14:paraId="2580DEBB" w14:textId="77777777" w:rsidR="00BC7AB6" w:rsidRPr="00A6144D" w:rsidRDefault="00DD0AA1" w:rsidP="00BC7AB6">
      <w:pPr>
        <w:jc w:val="both"/>
        <w:rPr>
          <w:rFonts w:ascii="Arial" w:hAnsi="Arial" w:cs="Arial"/>
        </w:rPr>
      </w:pPr>
      <w:r w:rsidRPr="00A6144D">
        <w:rPr>
          <w:rFonts w:ascii="Arial" w:hAnsi="Arial" w:cs="Arial"/>
        </w:rPr>
        <w:t>Sokolova, O.V., Smirnova, A.V., Isaeva, I.Yu. and Alekseeva, K.S. (2025) ‘Digital literacy of healthcare professionals as a condition for effective professional interaction’, Medical Ethics, 3, pp. 13–17. Available at:</w:t>
      </w:r>
      <w:r w:rsidRPr="002A4682">
        <w:rPr>
          <w:rFonts w:ascii="Arial" w:hAnsi="Arial" w:cs="Arial"/>
          <w:lang w:val="en-US"/>
        </w:rPr>
        <w:t xml:space="preserve"> </w:t>
      </w:r>
      <w:r w:rsidRPr="00200058">
        <w:rPr>
          <w:rFonts w:ascii="Arial" w:hAnsi="Arial" w:cs="Arial"/>
          <w:lang w:val="en-US"/>
        </w:rPr>
        <w:t>chrome-extension://efaidnbmnnnibpcajpcglclefindmkaj/https://medet.rsmu.press/files/issues/medet.rsmu.press/2025/3/2025-3-1727_en.pdf</w:t>
      </w:r>
      <w:r w:rsidR="00BC7AB6">
        <w:rPr>
          <w:rFonts w:ascii="Arial" w:hAnsi="Arial" w:cs="Arial"/>
          <w:lang w:val="en-US"/>
        </w:rPr>
        <w:t xml:space="preserve"> </w:t>
      </w:r>
      <w:r w:rsidR="00BC7AB6" w:rsidRPr="00A6144D">
        <w:rPr>
          <w:rFonts w:ascii="Arial" w:hAnsi="Arial" w:cs="Arial"/>
        </w:rPr>
        <w:t xml:space="preserve">(Accessed: </w:t>
      </w:r>
      <w:r w:rsidR="00BC7AB6">
        <w:rPr>
          <w:rFonts w:ascii="Arial" w:hAnsi="Arial" w:cs="Arial"/>
        </w:rPr>
        <w:t>14</w:t>
      </w:r>
      <w:r w:rsidR="00BC7AB6" w:rsidRPr="00A6144D">
        <w:rPr>
          <w:rFonts w:ascii="Arial" w:hAnsi="Arial" w:cs="Arial"/>
        </w:rPr>
        <w:t xml:space="preserve"> August 2026).</w:t>
      </w:r>
    </w:p>
    <w:p w14:paraId="08EB15DB" w14:textId="77777777" w:rsidR="00DD0AA1" w:rsidRPr="00A6144D" w:rsidRDefault="00DD0AA1" w:rsidP="00DD0AA1">
      <w:pPr>
        <w:jc w:val="both"/>
        <w:rPr>
          <w:rFonts w:ascii="Arial" w:hAnsi="Arial" w:cs="Arial"/>
        </w:rPr>
      </w:pPr>
    </w:p>
    <w:p w14:paraId="21D5E0B9" w14:textId="1C4784F0" w:rsidR="00BC7AB6" w:rsidRPr="00A6144D" w:rsidRDefault="00DD0AA1" w:rsidP="00BC7AB6">
      <w:pPr>
        <w:jc w:val="both"/>
        <w:rPr>
          <w:rFonts w:ascii="Arial" w:hAnsi="Arial" w:cs="Arial"/>
        </w:rPr>
      </w:pPr>
      <w:r w:rsidRPr="00A6144D">
        <w:rPr>
          <w:rFonts w:ascii="Arial" w:hAnsi="Arial" w:cs="Arial"/>
        </w:rPr>
        <w:t xml:space="preserve">Stoumpos, A.I., Kitsios, F. and Talias, M.A. (2023) ‘Digital transformation in healthcare: Technology acceptance and its applications’, International Journal of Environmental </w:t>
      </w:r>
      <w:r w:rsidRPr="00A6144D">
        <w:rPr>
          <w:rFonts w:ascii="Arial" w:hAnsi="Arial" w:cs="Arial"/>
        </w:rPr>
        <w:lastRenderedPageBreak/>
        <w:t>Research and Public Health, 20(4), 3407. Available at: https://doi.org/10.3390/ijerph20043407.</w:t>
      </w:r>
      <w:r w:rsidR="00BC7AB6">
        <w:rPr>
          <w:rFonts w:ascii="Arial" w:hAnsi="Arial" w:cs="Arial"/>
        </w:rPr>
        <w:t xml:space="preserve"> </w:t>
      </w:r>
      <w:r w:rsidR="00BC7AB6" w:rsidRPr="00A6144D">
        <w:rPr>
          <w:rFonts w:ascii="Arial" w:hAnsi="Arial" w:cs="Arial"/>
        </w:rPr>
        <w:t xml:space="preserve">(Accessed: </w:t>
      </w:r>
      <w:r w:rsidR="00BC7AB6">
        <w:rPr>
          <w:rFonts w:ascii="Arial" w:hAnsi="Arial" w:cs="Arial"/>
        </w:rPr>
        <w:t>11</w:t>
      </w:r>
      <w:r w:rsidR="00BC7AB6" w:rsidRPr="00A6144D">
        <w:rPr>
          <w:rFonts w:ascii="Arial" w:hAnsi="Arial" w:cs="Arial"/>
        </w:rPr>
        <w:t xml:space="preserve"> August 2026).</w:t>
      </w:r>
    </w:p>
    <w:p w14:paraId="76083D56" w14:textId="251AEAF5" w:rsidR="00DD0AA1" w:rsidRPr="00A6144D" w:rsidRDefault="00DD0AA1" w:rsidP="00DD0AA1">
      <w:pPr>
        <w:jc w:val="both"/>
        <w:rPr>
          <w:rFonts w:ascii="Arial" w:hAnsi="Arial" w:cs="Arial"/>
        </w:rPr>
      </w:pPr>
    </w:p>
    <w:p w14:paraId="34CF8D38" w14:textId="125FDE45" w:rsidR="00BC7AB6" w:rsidRPr="00A6144D" w:rsidRDefault="00DD0AA1" w:rsidP="00BC7AB6">
      <w:pPr>
        <w:jc w:val="both"/>
        <w:rPr>
          <w:rFonts w:ascii="Arial" w:hAnsi="Arial" w:cs="Arial"/>
        </w:rPr>
      </w:pPr>
      <w:r w:rsidRPr="00A6144D">
        <w:rPr>
          <w:rFonts w:ascii="Arial" w:hAnsi="Arial" w:cs="Arial"/>
        </w:rPr>
        <w:t>Syahnur, H. (2024) ‘E-commerce excellence: Leveraging technology and innovation for effective e-business management’, Advances in Business &amp; Industrial Marketing Research, 2(2), pp. 83–95. Available at:</w:t>
      </w:r>
      <w:r w:rsidRPr="006D7740">
        <w:t xml:space="preserve"> </w:t>
      </w:r>
      <w:r w:rsidRPr="006D7740">
        <w:rPr>
          <w:rFonts w:ascii="Arial" w:hAnsi="Arial" w:cs="Arial"/>
        </w:rPr>
        <w:t>chrome-extension://efaidnbmnnnibpcajpcglclefindmkaj/file:///Users/sphurthi/Downloads/ABIM_285_V2i2_83-95%20(6).pdf</w:t>
      </w:r>
      <w:r w:rsidRPr="00A6144D">
        <w:rPr>
          <w:rFonts w:ascii="Arial" w:hAnsi="Arial" w:cs="Arial"/>
        </w:rPr>
        <w:t>.</w:t>
      </w:r>
      <w:r w:rsidR="00BC7AB6">
        <w:rPr>
          <w:rFonts w:ascii="Arial" w:hAnsi="Arial" w:cs="Arial"/>
        </w:rPr>
        <w:t xml:space="preserve"> </w:t>
      </w:r>
      <w:r w:rsidR="00BC7AB6" w:rsidRPr="00A6144D">
        <w:rPr>
          <w:rFonts w:ascii="Arial" w:hAnsi="Arial" w:cs="Arial"/>
        </w:rPr>
        <w:t xml:space="preserve">(Accessed: </w:t>
      </w:r>
      <w:r w:rsidR="00BC7AB6">
        <w:rPr>
          <w:rFonts w:ascii="Arial" w:hAnsi="Arial" w:cs="Arial"/>
        </w:rPr>
        <w:t>12</w:t>
      </w:r>
      <w:r w:rsidR="00BC7AB6" w:rsidRPr="00A6144D">
        <w:rPr>
          <w:rFonts w:ascii="Arial" w:hAnsi="Arial" w:cs="Arial"/>
        </w:rPr>
        <w:t xml:space="preserve"> August 2026).</w:t>
      </w:r>
    </w:p>
    <w:p w14:paraId="0DA75AF6" w14:textId="196973BD" w:rsidR="00DD0AA1" w:rsidRPr="00A6144D" w:rsidRDefault="00DD0AA1" w:rsidP="00DD0AA1">
      <w:pPr>
        <w:jc w:val="both"/>
        <w:rPr>
          <w:rFonts w:ascii="Arial" w:hAnsi="Arial" w:cs="Arial"/>
        </w:rPr>
      </w:pPr>
    </w:p>
    <w:p w14:paraId="3275513D" w14:textId="49CDF8AA" w:rsidR="00BC7AB6" w:rsidRPr="00A6144D" w:rsidRDefault="00DD0AA1" w:rsidP="00BC7AB6">
      <w:pPr>
        <w:jc w:val="both"/>
        <w:rPr>
          <w:rFonts w:ascii="Arial" w:hAnsi="Arial" w:cs="Arial"/>
        </w:rPr>
      </w:pPr>
      <w:r w:rsidRPr="00A6144D">
        <w:rPr>
          <w:rFonts w:ascii="Arial" w:hAnsi="Arial" w:cs="Arial"/>
        </w:rPr>
        <w:t>Sytch, M. and Wohlgezogen, F. (2026) Solving the integration challenge: A review of research and best practices for high-performance matrix organizations. Heris, L. and Smits, P. (eds.). Luxembourg: Publications Office of the European Union. Available at: https://doi.org/10.2760/7441959.</w:t>
      </w:r>
      <w:r w:rsidR="00BC7AB6">
        <w:rPr>
          <w:rFonts w:ascii="Arial" w:hAnsi="Arial" w:cs="Arial"/>
        </w:rPr>
        <w:t xml:space="preserve"> </w:t>
      </w:r>
      <w:r w:rsidR="00BC7AB6" w:rsidRPr="00A6144D">
        <w:rPr>
          <w:rFonts w:ascii="Arial" w:hAnsi="Arial" w:cs="Arial"/>
        </w:rPr>
        <w:t xml:space="preserve">(Accessed: </w:t>
      </w:r>
      <w:r w:rsidR="00BC7AB6">
        <w:rPr>
          <w:rFonts w:ascii="Arial" w:hAnsi="Arial" w:cs="Arial"/>
        </w:rPr>
        <w:t>13</w:t>
      </w:r>
      <w:r w:rsidR="00BC7AB6" w:rsidRPr="00A6144D">
        <w:rPr>
          <w:rFonts w:ascii="Arial" w:hAnsi="Arial" w:cs="Arial"/>
        </w:rPr>
        <w:t xml:space="preserve"> August 2026).</w:t>
      </w:r>
    </w:p>
    <w:p w14:paraId="43074E69" w14:textId="59BA6754" w:rsidR="00DD0AA1" w:rsidRPr="00A6144D" w:rsidRDefault="00DD0AA1" w:rsidP="00DD0AA1">
      <w:pPr>
        <w:jc w:val="both"/>
        <w:rPr>
          <w:rFonts w:ascii="Arial" w:hAnsi="Arial" w:cs="Arial"/>
        </w:rPr>
      </w:pPr>
    </w:p>
    <w:p w14:paraId="0E2B3FDC" w14:textId="07C8E504" w:rsidR="00BC7AB6" w:rsidRPr="00A6144D" w:rsidRDefault="00DD0AA1" w:rsidP="00BC7AB6">
      <w:pPr>
        <w:jc w:val="both"/>
        <w:rPr>
          <w:rFonts w:ascii="Arial" w:hAnsi="Arial" w:cs="Arial"/>
        </w:rPr>
      </w:pPr>
      <w:r w:rsidRPr="00A6144D">
        <w:rPr>
          <w:rFonts w:ascii="Arial" w:hAnsi="Arial" w:cs="Arial"/>
        </w:rPr>
        <w:t>Taherdoost, H. (2023) ‘Introduction to e-business’, in E-Business Essentials. Cham: Springer, pp. 1–24. Available at: https://doi.org/10.1007/978-3-031-39626-7_1.</w:t>
      </w:r>
      <w:r w:rsidR="00BC7AB6">
        <w:rPr>
          <w:rFonts w:ascii="Arial" w:hAnsi="Arial" w:cs="Arial"/>
        </w:rPr>
        <w:t xml:space="preserve"> </w:t>
      </w:r>
      <w:r w:rsidR="00BC7AB6" w:rsidRPr="00A6144D">
        <w:rPr>
          <w:rFonts w:ascii="Arial" w:hAnsi="Arial" w:cs="Arial"/>
        </w:rPr>
        <w:t xml:space="preserve">(Accessed: </w:t>
      </w:r>
      <w:r w:rsidR="00BC7AB6">
        <w:rPr>
          <w:rFonts w:ascii="Arial" w:hAnsi="Arial" w:cs="Arial"/>
        </w:rPr>
        <w:t>10</w:t>
      </w:r>
      <w:r w:rsidR="00BC7AB6" w:rsidRPr="00A6144D">
        <w:rPr>
          <w:rFonts w:ascii="Arial" w:hAnsi="Arial" w:cs="Arial"/>
        </w:rPr>
        <w:t xml:space="preserve"> August 2026).</w:t>
      </w:r>
    </w:p>
    <w:p w14:paraId="6755F320" w14:textId="2C3D8EEC" w:rsidR="00DD0AA1" w:rsidRPr="00A6144D" w:rsidRDefault="00DD0AA1" w:rsidP="00DD0AA1">
      <w:pPr>
        <w:jc w:val="both"/>
        <w:rPr>
          <w:rFonts w:ascii="Arial" w:hAnsi="Arial" w:cs="Arial"/>
        </w:rPr>
      </w:pPr>
    </w:p>
    <w:p w14:paraId="76B6D70F" w14:textId="77777777" w:rsidR="00DD0AA1" w:rsidRPr="00A6144D" w:rsidRDefault="00DD0AA1" w:rsidP="00DD0AA1">
      <w:pPr>
        <w:jc w:val="both"/>
        <w:rPr>
          <w:rFonts w:ascii="Arial" w:hAnsi="Arial" w:cs="Arial"/>
        </w:rPr>
      </w:pPr>
      <w:r w:rsidRPr="00A6144D">
        <w:rPr>
          <w:rFonts w:ascii="Arial" w:hAnsi="Arial" w:cs="Arial"/>
        </w:rPr>
        <w:t>The Org Chart (2026) ‘Hospital org chart: Structure, types, and how to keep it accurate’, 18 June. Available at: https://theorgchart.com/resources/hospital-organizational-chart/ (Accessed: 20 August 2026).</w:t>
      </w:r>
    </w:p>
    <w:p w14:paraId="5F654A3E" w14:textId="77777777" w:rsidR="00DD0AA1" w:rsidRPr="00A6144D" w:rsidRDefault="00DD0AA1" w:rsidP="00DD0AA1">
      <w:pPr>
        <w:jc w:val="both"/>
        <w:rPr>
          <w:rFonts w:ascii="Arial" w:hAnsi="Arial" w:cs="Arial"/>
        </w:rPr>
      </w:pPr>
    </w:p>
    <w:p w14:paraId="69353B20" w14:textId="77777777" w:rsidR="00BC7AB6" w:rsidRPr="00A6144D" w:rsidRDefault="00DD0AA1" w:rsidP="00BC7AB6">
      <w:pPr>
        <w:jc w:val="both"/>
        <w:rPr>
          <w:rFonts w:ascii="Arial" w:hAnsi="Arial" w:cs="Arial"/>
        </w:rPr>
      </w:pPr>
      <w:r w:rsidRPr="00A6144D">
        <w:rPr>
          <w:rFonts w:ascii="Arial" w:hAnsi="Arial" w:cs="Arial"/>
        </w:rPr>
        <w:t>Thompson, E., Senek, M. and Ryan, T. (2024) ‘Analysis of a nursing survey: Reasons for compromised quality of care in inpatient mental health wards’, International Journal of Mental Health Nursing, 33(1), pp. 52–61. Available at: https://doi.org/10.1111/inm.13216.</w:t>
      </w:r>
      <w:r w:rsidR="00BC7AB6">
        <w:rPr>
          <w:rFonts w:ascii="Arial" w:hAnsi="Arial" w:cs="Arial"/>
        </w:rPr>
        <w:t xml:space="preserve"> </w:t>
      </w:r>
      <w:r w:rsidR="00BC7AB6" w:rsidRPr="00A6144D">
        <w:rPr>
          <w:rFonts w:ascii="Arial" w:hAnsi="Arial" w:cs="Arial"/>
        </w:rPr>
        <w:t xml:space="preserve">(Accessed: </w:t>
      </w:r>
      <w:r w:rsidR="00BC7AB6">
        <w:rPr>
          <w:rFonts w:ascii="Arial" w:hAnsi="Arial" w:cs="Arial"/>
        </w:rPr>
        <w:t>14</w:t>
      </w:r>
      <w:r w:rsidR="00BC7AB6" w:rsidRPr="00A6144D">
        <w:rPr>
          <w:rFonts w:ascii="Arial" w:hAnsi="Arial" w:cs="Arial"/>
        </w:rPr>
        <w:t xml:space="preserve"> August 2026).</w:t>
      </w:r>
    </w:p>
    <w:p w14:paraId="4BDE06A9" w14:textId="3A2A398E" w:rsidR="00DD0AA1" w:rsidRPr="00A6144D" w:rsidRDefault="00DD0AA1" w:rsidP="00DD0AA1">
      <w:pPr>
        <w:jc w:val="both"/>
        <w:rPr>
          <w:rFonts w:ascii="Arial" w:hAnsi="Arial" w:cs="Arial"/>
        </w:rPr>
      </w:pPr>
    </w:p>
    <w:p w14:paraId="0B2E5CD8" w14:textId="54C71E81" w:rsidR="00BC7AB6" w:rsidRPr="00A6144D" w:rsidRDefault="00DD0AA1" w:rsidP="00BC7AB6">
      <w:pPr>
        <w:jc w:val="both"/>
        <w:rPr>
          <w:rFonts w:ascii="Arial" w:hAnsi="Arial" w:cs="Arial"/>
        </w:rPr>
      </w:pPr>
      <w:r w:rsidRPr="00A6144D">
        <w:rPr>
          <w:rFonts w:ascii="Arial" w:hAnsi="Arial" w:cs="Arial"/>
        </w:rPr>
        <w:t>Troise, C., Corvello, V., Ghobadian, A. and O’Regan, N. (2022) ‘How can SMEs successfully navigate VUCA environment? The role of agility in the digital transformation era’, Technological Forecasting and Social Change, 174, 121227. Available at: https://doi.org/10.1016/j.techfore.2021.121227.</w:t>
      </w:r>
      <w:r w:rsidR="00BC7AB6">
        <w:rPr>
          <w:rFonts w:ascii="Arial" w:hAnsi="Arial" w:cs="Arial"/>
        </w:rPr>
        <w:t xml:space="preserve"> </w:t>
      </w:r>
      <w:r w:rsidR="00BC7AB6" w:rsidRPr="00A6144D">
        <w:rPr>
          <w:rFonts w:ascii="Arial" w:hAnsi="Arial" w:cs="Arial"/>
        </w:rPr>
        <w:t xml:space="preserve">(Accessed: </w:t>
      </w:r>
      <w:r w:rsidR="00BC7AB6">
        <w:rPr>
          <w:rFonts w:ascii="Arial" w:hAnsi="Arial" w:cs="Arial"/>
        </w:rPr>
        <w:t>15</w:t>
      </w:r>
      <w:r w:rsidR="00BC7AB6" w:rsidRPr="00A6144D">
        <w:rPr>
          <w:rFonts w:ascii="Arial" w:hAnsi="Arial" w:cs="Arial"/>
        </w:rPr>
        <w:t xml:space="preserve"> August 2026).</w:t>
      </w:r>
    </w:p>
    <w:p w14:paraId="1B56DC75" w14:textId="0CAC82D1" w:rsidR="00DD0AA1" w:rsidRPr="00A6144D" w:rsidRDefault="00DD0AA1" w:rsidP="00DD0AA1">
      <w:pPr>
        <w:jc w:val="both"/>
        <w:rPr>
          <w:rFonts w:ascii="Arial" w:hAnsi="Arial" w:cs="Arial"/>
        </w:rPr>
      </w:pPr>
    </w:p>
    <w:p w14:paraId="6FF534EB" w14:textId="47AC85EE" w:rsidR="00BC7AB6" w:rsidRPr="00A6144D" w:rsidRDefault="00DD0AA1" w:rsidP="00BC7AB6">
      <w:pPr>
        <w:jc w:val="both"/>
        <w:rPr>
          <w:rFonts w:ascii="Arial" w:hAnsi="Arial" w:cs="Arial"/>
        </w:rPr>
      </w:pPr>
      <w:r w:rsidRPr="00A6144D">
        <w:rPr>
          <w:rFonts w:ascii="Arial" w:hAnsi="Arial" w:cs="Arial"/>
        </w:rPr>
        <w:t>Udegbe, F.C., Ebulue, O.R., Ebulue, C.C. and Ekesiobi, C.S. (2024) ‘The role of artificial intelligence in healthcare: A systematic review of applications and challenges’, International Medical Science Research Journal, 4(4), pp. 500–508. Available at: https://doi.org/10.51594/imsrj.v4i4.1052.</w:t>
      </w:r>
      <w:r w:rsidR="00BC7AB6">
        <w:rPr>
          <w:rFonts w:ascii="Arial" w:hAnsi="Arial" w:cs="Arial"/>
        </w:rPr>
        <w:t xml:space="preserve"> </w:t>
      </w:r>
      <w:r w:rsidR="00BC7AB6" w:rsidRPr="00A6144D">
        <w:rPr>
          <w:rFonts w:ascii="Arial" w:hAnsi="Arial" w:cs="Arial"/>
        </w:rPr>
        <w:t xml:space="preserve">(Accessed: </w:t>
      </w:r>
      <w:r w:rsidR="00BC7AB6">
        <w:rPr>
          <w:rFonts w:ascii="Arial" w:hAnsi="Arial" w:cs="Arial"/>
        </w:rPr>
        <w:t>13</w:t>
      </w:r>
      <w:r w:rsidR="00BC7AB6" w:rsidRPr="00A6144D">
        <w:rPr>
          <w:rFonts w:ascii="Arial" w:hAnsi="Arial" w:cs="Arial"/>
        </w:rPr>
        <w:t xml:space="preserve"> August 2026).</w:t>
      </w:r>
    </w:p>
    <w:p w14:paraId="31CA491A" w14:textId="2CFC0CF7" w:rsidR="00DD0AA1" w:rsidRPr="00A6144D" w:rsidRDefault="00DD0AA1" w:rsidP="00DD0AA1">
      <w:pPr>
        <w:jc w:val="both"/>
        <w:rPr>
          <w:rFonts w:ascii="Arial" w:hAnsi="Arial" w:cs="Arial"/>
        </w:rPr>
      </w:pPr>
    </w:p>
    <w:p w14:paraId="6BE96E9C" w14:textId="13852C6C" w:rsidR="00BC7AB6" w:rsidRPr="00A6144D" w:rsidRDefault="00DD0AA1" w:rsidP="00BC7AB6">
      <w:pPr>
        <w:jc w:val="both"/>
        <w:rPr>
          <w:rFonts w:ascii="Arial" w:hAnsi="Arial" w:cs="Arial"/>
        </w:rPr>
      </w:pPr>
      <w:r w:rsidRPr="00A6144D">
        <w:rPr>
          <w:rFonts w:ascii="Arial" w:hAnsi="Arial" w:cs="Arial"/>
        </w:rPr>
        <w:t>Veile, J.W., Schmidt, M.-C. and Voigt, K.-I. (2022) ‘Toward a new era of cooperation: How industrial digital platforms transform business models in Industry 4.0’, Journal of Business Research, 143, pp. 387–405. Available at: https://doi.org/10.1016/j.jbusres.2021.11.062.</w:t>
      </w:r>
      <w:r w:rsidR="00BC7AB6">
        <w:rPr>
          <w:rFonts w:ascii="Arial" w:hAnsi="Arial" w:cs="Arial"/>
        </w:rPr>
        <w:t xml:space="preserve"> </w:t>
      </w:r>
      <w:r w:rsidR="00BC7AB6" w:rsidRPr="00A6144D">
        <w:rPr>
          <w:rFonts w:ascii="Arial" w:hAnsi="Arial" w:cs="Arial"/>
        </w:rPr>
        <w:t xml:space="preserve">(Accessed: </w:t>
      </w:r>
      <w:r w:rsidR="00BC7AB6">
        <w:rPr>
          <w:rFonts w:ascii="Arial" w:hAnsi="Arial" w:cs="Arial"/>
        </w:rPr>
        <w:t>10</w:t>
      </w:r>
      <w:r w:rsidR="00BC7AB6" w:rsidRPr="00A6144D">
        <w:rPr>
          <w:rFonts w:ascii="Arial" w:hAnsi="Arial" w:cs="Arial"/>
        </w:rPr>
        <w:t xml:space="preserve"> August 2026).</w:t>
      </w:r>
    </w:p>
    <w:p w14:paraId="505417D1" w14:textId="754546D6" w:rsidR="00DD0AA1" w:rsidRPr="00A6144D" w:rsidRDefault="00DD0AA1" w:rsidP="00DD0AA1">
      <w:pPr>
        <w:jc w:val="both"/>
        <w:rPr>
          <w:rFonts w:ascii="Arial" w:hAnsi="Arial" w:cs="Arial"/>
        </w:rPr>
      </w:pPr>
    </w:p>
    <w:p w14:paraId="395185DD" w14:textId="74DFD603" w:rsidR="00BC7AB6" w:rsidRPr="00A6144D" w:rsidRDefault="00DD0AA1" w:rsidP="00BC7AB6">
      <w:pPr>
        <w:jc w:val="both"/>
        <w:rPr>
          <w:rFonts w:ascii="Arial" w:hAnsi="Arial" w:cs="Arial"/>
        </w:rPr>
      </w:pPr>
      <w:r w:rsidRPr="00A6144D">
        <w:rPr>
          <w:rFonts w:ascii="Arial" w:hAnsi="Arial" w:cs="Arial"/>
        </w:rPr>
        <w:t>Volkova, N., Kuzmuk, I., Oliinyk, N., Klymenko, I. and Dankanych, A. (2021) ‘Development trends of the digital economy: E-business and e-commerce’, International Journal of Computer Science and Network Security, 21(4), pp. 186–198. Available at:</w:t>
      </w:r>
      <w:r w:rsidRPr="00672C4A">
        <w:t xml:space="preserve"> </w:t>
      </w:r>
      <w:r w:rsidRPr="00672C4A">
        <w:rPr>
          <w:rFonts w:ascii="Arial" w:hAnsi="Arial" w:cs="Arial"/>
        </w:rPr>
        <w:t>chrome-extension://efaidnbmnnnibpcajpcglclefindmkaj/http://dspace-s.msu.edu.ua:8080/bitstream/123456789/9311/1/Development_%20trends_%20of_%20the_%20digital%20_economy_%20e-business_%20e-commerce.pdf</w:t>
      </w:r>
      <w:r w:rsidRPr="00A6144D">
        <w:rPr>
          <w:rFonts w:ascii="Arial" w:hAnsi="Arial" w:cs="Arial"/>
        </w:rPr>
        <w:t>.</w:t>
      </w:r>
      <w:r w:rsidR="00BC7AB6">
        <w:rPr>
          <w:rFonts w:ascii="Arial" w:hAnsi="Arial" w:cs="Arial"/>
        </w:rPr>
        <w:t xml:space="preserve"> </w:t>
      </w:r>
      <w:r w:rsidR="00BC7AB6" w:rsidRPr="00A6144D">
        <w:rPr>
          <w:rFonts w:ascii="Arial" w:hAnsi="Arial" w:cs="Arial"/>
        </w:rPr>
        <w:t xml:space="preserve">(Accessed: </w:t>
      </w:r>
      <w:r w:rsidR="00BC7AB6">
        <w:rPr>
          <w:rFonts w:ascii="Arial" w:hAnsi="Arial" w:cs="Arial"/>
        </w:rPr>
        <w:t xml:space="preserve">11 </w:t>
      </w:r>
      <w:r w:rsidR="00BC7AB6" w:rsidRPr="00A6144D">
        <w:rPr>
          <w:rFonts w:ascii="Arial" w:hAnsi="Arial" w:cs="Arial"/>
        </w:rPr>
        <w:t>August 2026).</w:t>
      </w:r>
    </w:p>
    <w:p w14:paraId="5820244E" w14:textId="07894DA0" w:rsidR="00DD0AA1" w:rsidRPr="00A6144D" w:rsidRDefault="00DD0AA1" w:rsidP="00DD0AA1">
      <w:pPr>
        <w:jc w:val="both"/>
        <w:rPr>
          <w:rFonts w:ascii="Arial" w:hAnsi="Arial" w:cs="Arial"/>
        </w:rPr>
      </w:pPr>
    </w:p>
    <w:p w14:paraId="641DB15B" w14:textId="77777777" w:rsidR="00DD0AA1" w:rsidRPr="00A6144D" w:rsidRDefault="00DD0AA1" w:rsidP="00DD0AA1">
      <w:pPr>
        <w:jc w:val="both"/>
        <w:rPr>
          <w:rFonts w:ascii="Arial" w:hAnsi="Arial" w:cs="Arial"/>
        </w:rPr>
      </w:pPr>
    </w:p>
    <w:p w14:paraId="6229D4E9" w14:textId="77777777" w:rsidR="00DD0AA1" w:rsidRPr="00A6144D" w:rsidRDefault="00DD0AA1" w:rsidP="00DD0AA1">
      <w:pPr>
        <w:jc w:val="both"/>
        <w:rPr>
          <w:rFonts w:ascii="Arial" w:hAnsi="Arial" w:cs="Arial"/>
        </w:rPr>
      </w:pPr>
      <w:r w:rsidRPr="00A6144D">
        <w:rPr>
          <w:rFonts w:ascii="Arial" w:hAnsi="Arial" w:cs="Arial"/>
        </w:rPr>
        <w:t>World Health Organization (2025) Global strategy on digital health 2020–2027. Geneva: World Health Organization. Available at: https://iris.who.int/bitstreams/a64d584f-015b-471f-9d86-9ea263cfb516/download (Accessed: 20 August 2026).</w:t>
      </w:r>
    </w:p>
    <w:p w14:paraId="79D9DB36" w14:textId="77777777" w:rsidR="00DD0AA1" w:rsidRPr="00A6144D" w:rsidRDefault="00DD0AA1" w:rsidP="00DD0AA1">
      <w:pPr>
        <w:jc w:val="both"/>
        <w:rPr>
          <w:rFonts w:ascii="Arial" w:hAnsi="Arial" w:cs="Arial"/>
        </w:rPr>
      </w:pPr>
    </w:p>
    <w:p w14:paraId="35BBAE63" w14:textId="77777777" w:rsidR="00DD0AA1" w:rsidRPr="00A6144D" w:rsidRDefault="00DD0AA1" w:rsidP="00DD0AA1">
      <w:pPr>
        <w:jc w:val="both"/>
        <w:rPr>
          <w:rFonts w:ascii="Arial" w:hAnsi="Arial" w:cs="Arial"/>
        </w:rPr>
      </w:pPr>
      <w:r w:rsidRPr="00A6144D">
        <w:rPr>
          <w:rFonts w:ascii="Arial" w:hAnsi="Arial" w:cs="Arial"/>
        </w:rPr>
        <w:t>Xue, Z., Nasir, N.S.M., Cheng, Y., Wu, W. and Cao, Y. (2024) ‘Overcoming resistance to innovation: Strategies and change management’, Journal of Business Innovation, 9(1), pp. 32–42. Available at: https://ejournal.unimel.edu.my/index.php/JBI/article/view/1789 (Accessed: 20 August 2026).</w:t>
      </w:r>
    </w:p>
    <w:p w14:paraId="7C1DEAE5" w14:textId="77777777" w:rsidR="00DD0AA1" w:rsidRPr="00A6144D" w:rsidRDefault="00DD0AA1" w:rsidP="00DD0AA1">
      <w:pPr>
        <w:jc w:val="both"/>
        <w:rPr>
          <w:rFonts w:ascii="Arial" w:hAnsi="Arial" w:cs="Arial"/>
        </w:rPr>
      </w:pPr>
    </w:p>
    <w:p w14:paraId="6EAD68E6" w14:textId="77777777" w:rsidR="00BC7AB6" w:rsidRPr="00A6144D" w:rsidRDefault="00DD0AA1" w:rsidP="00BC7AB6">
      <w:pPr>
        <w:jc w:val="both"/>
        <w:rPr>
          <w:rFonts w:ascii="Arial" w:hAnsi="Arial" w:cs="Arial"/>
        </w:rPr>
      </w:pPr>
      <w:r w:rsidRPr="00A6144D">
        <w:rPr>
          <w:rFonts w:ascii="Arial" w:hAnsi="Arial" w:cs="Arial"/>
        </w:rPr>
        <w:t>Yılmaz, A. and Duygulu, S. (2021) ‘The relationship between charge nurses and clinical nurses’ perceptions of patient safety culture and leadership practices’, E-Journal of Dokuz Eylul University Nursing Faculty, 14(1), pp. 29–37. Available at: https://doi.org/10.46483/deuhfed.743446.</w:t>
      </w:r>
      <w:r w:rsidR="00BC7AB6">
        <w:rPr>
          <w:rFonts w:ascii="Arial" w:hAnsi="Arial" w:cs="Arial"/>
        </w:rPr>
        <w:t xml:space="preserve"> </w:t>
      </w:r>
      <w:r w:rsidR="00BC7AB6" w:rsidRPr="00A6144D">
        <w:rPr>
          <w:rFonts w:ascii="Arial" w:hAnsi="Arial" w:cs="Arial"/>
        </w:rPr>
        <w:t xml:space="preserve">(Accessed: </w:t>
      </w:r>
      <w:r w:rsidR="00BC7AB6">
        <w:rPr>
          <w:rFonts w:ascii="Arial" w:hAnsi="Arial" w:cs="Arial"/>
        </w:rPr>
        <w:t>14</w:t>
      </w:r>
      <w:r w:rsidR="00BC7AB6" w:rsidRPr="00A6144D">
        <w:rPr>
          <w:rFonts w:ascii="Arial" w:hAnsi="Arial" w:cs="Arial"/>
        </w:rPr>
        <w:t xml:space="preserve"> August 2026).</w:t>
      </w:r>
    </w:p>
    <w:p w14:paraId="22C958B7" w14:textId="0D9E2FF3" w:rsidR="00DD0AA1" w:rsidRPr="00A6144D" w:rsidRDefault="00DD0AA1" w:rsidP="00DD0AA1">
      <w:pPr>
        <w:jc w:val="both"/>
        <w:rPr>
          <w:rFonts w:ascii="Arial" w:hAnsi="Arial" w:cs="Arial"/>
        </w:rPr>
      </w:pPr>
    </w:p>
    <w:p w14:paraId="1974F280" w14:textId="4173A644" w:rsidR="00BC7AB6" w:rsidRPr="00A6144D" w:rsidRDefault="00DD0AA1" w:rsidP="00BC7AB6">
      <w:pPr>
        <w:jc w:val="both"/>
        <w:rPr>
          <w:rFonts w:ascii="Arial" w:hAnsi="Arial" w:cs="Arial"/>
        </w:rPr>
      </w:pPr>
      <w:r w:rsidRPr="00A6144D">
        <w:rPr>
          <w:rFonts w:ascii="Arial" w:hAnsi="Arial" w:cs="Arial"/>
        </w:rPr>
        <w:t>Zacharia, A., Thomas, A.C., Mathew, P.C. and Joseph, J. (2024) ‘Exploring the intersection of e-commerce and healthcare: A visual analysis of research trends’, Cureus, 16(9), e69865. Available at: https://doi.org/10.7759/cureus.69865.</w:t>
      </w:r>
      <w:r w:rsidR="00BC7AB6">
        <w:rPr>
          <w:rFonts w:ascii="Arial" w:hAnsi="Arial" w:cs="Arial"/>
        </w:rPr>
        <w:t xml:space="preserve"> </w:t>
      </w:r>
      <w:r w:rsidR="00BC7AB6" w:rsidRPr="00A6144D">
        <w:rPr>
          <w:rFonts w:ascii="Arial" w:hAnsi="Arial" w:cs="Arial"/>
        </w:rPr>
        <w:t xml:space="preserve">(Accessed: </w:t>
      </w:r>
      <w:r w:rsidR="00BC7AB6">
        <w:rPr>
          <w:rFonts w:ascii="Arial" w:hAnsi="Arial" w:cs="Arial"/>
        </w:rPr>
        <w:t>13</w:t>
      </w:r>
      <w:r w:rsidR="00BC7AB6" w:rsidRPr="00A6144D">
        <w:rPr>
          <w:rFonts w:ascii="Arial" w:hAnsi="Arial" w:cs="Arial"/>
        </w:rPr>
        <w:t xml:space="preserve"> August 2026).</w:t>
      </w:r>
    </w:p>
    <w:p w14:paraId="0F5AF66A" w14:textId="3687CB87" w:rsidR="00DD0AA1" w:rsidRPr="00A6144D" w:rsidRDefault="00DD0AA1" w:rsidP="00DD0AA1">
      <w:pPr>
        <w:jc w:val="both"/>
        <w:rPr>
          <w:rFonts w:ascii="Arial" w:hAnsi="Arial" w:cs="Arial"/>
        </w:rPr>
      </w:pPr>
    </w:p>
    <w:p w14:paraId="7E65D202" w14:textId="6FE6FCC8" w:rsidR="00BC7AB6" w:rsidRPr="00A6144D" w:rsidRDefault="00DD0AA1" w:rsidP="00BC7AB6">
      <w:pPr>
        <w:jc w:val="both"/>
        <w:rPr>
          <w:rFonts w:ascii="Arial" w:hAnsi="Arial" w:cs="Arial"/>
        </w:rPr>
      </w:pPr>
      <w:r w:rsidRPr="00A6144D">
        <w:rPr>
          <w:rFonts w:ascii="Arial" w:hAnsi="Arial" w:cs="Arial"/>
        </w:rPr>
        <w:t>Zhang, L. (2023) ‘The changing role of managers’, American Journal of Sociology, 129(2), pp. 439–484. Available at</w:t>
      </w:r>
      <w:r>
        <w:rPr>
          <w:rFonts w:ascii="Arial" w:hAnsi="Arial" w:cs="Arial"/>
        </w:rPr>
        <w:t xml:space="preserve">; </w:t>
      </w:r>
      <w:r w:rsidRPr="000273FF">
        <w:rPr>
          <w:rFonts w:ascii="Arial" w:hAnsi="Arial" w:cs="Arial"/>
        </w:rPr>
        <w:t>chrome-extension://efaidnbmnnnibpcajpcglclefindmkaj/file:///Users/sphurthi/Downloads/ssrn-3877673%20(5).pdf</w:t>
      </w:r>
      <w:r w:rsidRPr="00A6144D">
        <w:rPr>
          <w:rFonts w:ascii="Arial" w:hAnsi="Arial" w:cs="Arial"/>
        </w:rPr>
        <w:t>.</w:t>
      </w:r>
      <w:r w:rsidR="00BC7AB6">
        <w:rPr>
          <w:rFonts w:ascii="Arial" w:hAnsi="Arial" w:cs="Arial"/>
        </w:rPr>
        <w:t xml:space="preserve"> </w:t>
      </w:r>
      <w:r w:rsidR="00BC7AB6" w:rsidRPr="00A6144D">
        <w:rPr>
          <w:rFonts w:ascii="Arial" w:hAnsi="Arial" w:cs="Arial"/>
        </w:rPr>
        <w:t xml:space="preserve">(Accessed: </w:t>
      </w:r>
      <w:r w:rsidR="00BC7AB6">
        <w:rPr>
          <w:rFonts w:ascii="Arial" w:hAnsi="Arial" w:cs="Arial"/>
        </w:rPr>
        <w:t>12</w:t>
      </w:r>
      <w:r w:rsidR="00BC7AB6" w:rsidRPr="00A6144D">
        <w:rPr>
          <w:rFonts w:ascii="Arial" w:hAnsi="Arial" w:cs="Arial"/>
        </w:rPr>
        <w:t xml:space="preserve"> August 2026).</w:t>
      </w:r>
    </w:p>
    <w:p w14:paraId="74FAC25A" w14:textId="233692BC" w:rsidR="00DD0AA1" w:rsidRPr="00A6144D" w:rsidRDefault="00DD0AA1" w:rsidP="00DD0AA1">
      <w:pPr>
        <w:jc w:val="both"/>
        <w:rPr>
          <w:rFonts w:ascii="Arial" w:hAnsi="Arial" w:cs="Arial"/>
        </w:rPr>
      </w:pPr>
    </w:p>
    <w:p w14:paraId="50D14C0D" w14:textId="77777777" w:rsidR="00BC7AB6" w:rsidRDefault="00DD0AA1" w:rsidP="00BC7AB6">
      <w:pPr>
        <w:jc w:val="both"/>
        <w:rPr>
          <w:rFonts w:ascii="Arial" w:hAnsi="Arial" w:cs="Arial"/>
        </w:rPr>
      </w:pPr>
      <w:r w:rsidRPr="00A6144D">
        <w:rPr>
          <w:rFonts w:ascii="Arial" w:hAnsi="Arial" w:cs="Arial"/>
        </w:rPr>
        <w:t xml:space="preserve">Zuo, H., Zeb, A., Ismail, F. and Othayman, M.B. (2024) ‘Transformational leadership: Enhancing corporate entrepreneurship for fostering competitiveness’, Journal of Competitiveness, 16(2), pp. 20–34. Available at: </w:t>
      </w:r>
      <w:r w:rsidRPr="00AE6CF3">
        <w:rPr>
          <w:rFonts w:ascii="Arial" w:hAnsi="Arial" w:cs="Arial"/>
        </w:rPr>
        <w:t>https://www.researchgate.net/profile/Ali-Zeb-5/publication/382448918_TRANSFORMATIONAL_LEADERSHIP_ENHANCING_CORPORATE_ENTREPRENEURSHIP_FOR_FOSTERING_COMPETITIVENESS/links/669e3c0802e9686cd117dd24/TRANSFORMATIONAL-LEADERSHIP-ENHANCING-CORPORATE-ENTREPRENEURSHIP-FOR-FOSTERING-COMPETITIVENESS.pdf</w:t>
      </w:r>
      <w:r w:rsidR="00BC7AB6">
        <w:rPr>
          <w:rFonts w:ascii="Arial" w:hAnsi="Arial" w:cs="Arial"/>
        </w:rPr>
        <w:t xml:space="preserve"> </w:t>
      </w:r>
      <w:r w:rsidR="00BC7AB6" w:rsidRPr="00A6144D">
        <w:rPr>
          <w:rFonts w:ascii="Arial" w:hAnsi="Arial" w:cs="Arial"/>
        </w:rPr>
        <w:t xml:space="preserve">(Accessed: </w:t>
      </w:r>
      <w:r w:rsidR="00BC7AB6">
        <w:rPr>
          <w:rFonts w:ascii="Arial" w:hAnsi="Arial" w:cs="Arial"/>
        </w:rPr>
        <w:t>14</w:t>
      </w:r>
      <w:r w:rsidR="00BC7AB6" w:rsidRPr="00A6144D">
        <w:rPr>
          <w:rFonts w:ascii="Arial" w:hAnsi="Arial" w:cs="Arial"/>
        </w:rPr>
        <w:t xml:space="preserve"> August 2026).</w:t>
      </w:r>
    </w:p>
    <w:p w14:paraId="301F8DD3" w14:textId="77777777" w:rsidR="001B3719" w:rsidRDefault="001B3719" w:rsidP="00BC7AB6">
      <w:pPr>
        <w:jc w:val="both"/>
        <w:rPr>
          <w:rFonts w:ascii="Arial" w:hAnsi="Arial" w:cs="Arial"/>
        </w:rPr>
      </w:pPr>
    </w:p>
    <w:p w14:paraId="5735EBA4" w14:textId="6D5A051A" w:rsidR="001B3719" w:rsidRPr="00A6144D" w:rsidRDefault="001B3719" w:rsidP="00BC7AB6">
      <w:pPr>
        <w:jc w:val="both"/>
        <w:rPr>
          <w:rFonts w:ascii="Arial" w:hAnsi="Arial" w:cs="Arial"/>
        </w:rPr>
      </w:pPr>
      <w:r w:rsidRPr="001B3719">
        <w:rPr>
          <w:rFonts w:ascii="Arial" w:hAnsi="Arial" w:cs="Arial"/>
        </w:rPr>
        <w:t>Bajwa, J., Munir, U., Nori, A. and Williams, B. (2021) ‘Artificial intelligence in healthcare: transforming the practice of medicine’, Future Healthcare Journal, 8(2), pp. e188–e194. doi: 10.7861/fhj.2021-</w:t>
      </w:r>
      <w:r w:rsidRPr="001B3719">
        <w:rPr>
          <w:rFonts w:ascii="Arial" w:hAnsi="Arial" w:cs="Arial"/>
        </w:rPr>
        <w:t>0095.</w:t>
      </w:r>
      <w:r>
        <w:rPr>
          <w:rFonts w:ascii="Arial" w:hAnsi="Arial" w:cs="Arial"/>
        </w:rPr>
        <w:t xml:space="preserve"> (</w:t>
      </w:r>
      <w:r w:rsidRPr="00A6144D">
        <w:rPr>
          <w:rFonts w:ascii="Arial" w:hAnsi="Arial" w:cs="Arial"/>
        </w:rPr>
        <w:t xml:space="preserve">Accessed: </w:t>
      </w:r>
      <w:r>
        <w:rPr>
          <w:rFonts w:ascii="Arial" w:hAnsi="Arial" w:cs="Arial"/>
        </w:rPr>
        <w:t>20</w:t>
      </w:r>
      <w:r w:rsidRPr="00A6144D">
        <w:rPr>
          <w:rFonts w:ascii="Arial" w:hAnsi="Arial" w:cs="Arial"/>
        </w:rPr>
        <w:t xml:space="preserve"> August 2026</w:t>
      </w:r>
      <w:r>
        <w:rPr>
          <w:rFonts w:ascii="Arial" w:hAnsi="Arial" w:cs="Arial"/>
        </w:rPr>
        <w:t>).</w:t>
      </w:r>
    </w:p>
    <w:p w14:paraId="17788827" w14:textId="085F7B86" w:rsidR="00DD0AA1" w:rsidRPr="00A6144D" w:rsidRDefault="00DD0AA1" w:rsidP="00DD0AA1">
      <w:pPr>
        <w:jc w:val="both"/>
        <w:rPr>
          <w:rFonts w:ascii="Arial" w:hAnsi="Arial" w:cs="Arial"/>
        </w:rPr>
      </w:pPr>
    </w:p>
    <w:p w14:paraId="060C051B" w14:textId="77777777" w:rsidR="00DD0AA1" w:rsidRPr="00A6144D" w:rsidRDefault="00DD0AA1" w:rsidP="00DD0AA1">
      <w:pPr>
        <w:jc w:val="both"/>
        <w:rPr>
          <w:rFonts w:ascii="Arial" w:hAnsi="Arial" w:cs="Arial"/>
        </w:rPr>
      </w:pPr>
    </w:p>
    <w:p w14:paraId="162C947C" w14:textId="77777777" w:rsidR="00DD0AA1" w:rsidRDefault="00DD0AA1" w:rsidP="00DD0AA1">
      <w:pPr>
        <w:jc w:val="both"/>
        <w:rPr>
          <w:rFonts w:ascii="Arial" w:hAnsi="Arial" w:cs="Arial"/>
        </w:rPr>
      </w:pPr>
    </w:p>
    <w:p w14:paraId="47490AF3" w14:textId="77777777" w:rsidR="00DD0AA1" w:rsidRPr="00A6144D" w:rsidRDefault="00DD0AA1" w:rsidP="00DD0AA1">
      <w:pPr>
        <w:jc w:val="both"/>
        <w:rPr>
          <w:rFonts w:ascii="Arial" w:hAnsi="Arial" w:cs="Arial"/>
        </w:rPr>
      </w:pPr>
    </w:p>
    <w:p w14:paraId="5835E511" w14:textId="77777777" w:rsidR="00DD0AA1" w:rsidRPr="00A6144D" w:rsidRDefault="00DD0AA1" w:rsidP="00DD0AA1">
      <w:pPr>
        <w:jc w:val="both"/>
        <w:rPr>
          <w:rFonts w:ascii="Arial" w:hAnsi="Arial" w:cs="Arial"/>
        </w:rPr>
      </w:pPr>
    </w:p>
    <w:p w14:paraId="26A1A062" w14:textId="77777777" w:rsidR="00DD0AA1" w:rsidRPr="00A6144D" w:rsidRDefault="00DD0AA1" w:rsidP="00DD0AA1">
      <w:pPr>
        <w:jc w:val="both"/>
        <w:rPr>
          <w:rFonts w:ascii="Arial" w:hAnsi="Arial" w:cs="Arial"/>
        </w:rPr>
      </w:pPr>
    </w:p>
    <w:p w14:paraId="219295F6" w14:textId="77777777" w:rsidR="00DD0AA1" w:rsidRPr="00A6144D" w:rsidRDefault="00DD0AA1" w:rsidP="00DD0AA1">
      <w:pPr>
        <w:jc w:val="both"/>
        <w:rPr>
          <w:rFonts w:ascii="Arial" w:hAnsi="Arial" w:cs="Arial"/>
          <w:b/>
          <w:bCs/>
        </w:rPr>
      </w:pPr>
    </w:p>
    <w:p w14:paraId="0F8FC75A" w14:textId="77777777" w:rsidR="00DD0AA1" w:rsidRPr="00A6144D" w:rsidRDefault="00DD0AA1" w:rsidP="00DD0AA1">
      <w:pPr>
        <w:jc w:val="both"/>
        <w:rPr>
          <w:rFonts w:ascii="Arial" w:hAnsi="Arial" w:cs="Arial"/>
        </w:rPr>
      </w:pPr>
    </w:p>
    <w:p w14:paraId="19DF7807" w14:textId="77777777" w:rsidR="00DD0AA1" w:rsidRPr="00A6144D" w:rsidRDefault="00DD0AA1" w:rsidP="00DD0AA1">
      <w:pPr>
        <w:jc w:val="both"/>
        <w:rPr>
          <w:rFonts w:ascii="Arial" w:hAnsi="Arial" w:cs="Arial"/>
        </w:rPr>
      </w:pPr>
    </w:p>
    <w:p w14:paraId="2D0C5E17" w14:textId="77777777" w:rsidR="00DD0AA1" w:rsidRPr="00A6144D" w:rsidRDefault="00DD0AA1" w:rsidP="00DD0AA1">
      <w:pPr>
        <w:jc w:val="both"/>
        <w:rPr>
          <w:rFonts w:ascii="Arial" w:hAnsi="Arial" w:cs="Arial"/>
        </w:rPr>
      </w:pPr>
    </w:p>
    <w:p w14:paraId="4E825F03" w14:textId="77777777" w:rsidR="00DD0AA1" w:rsidRDefault="00DD0AA1" w:rsidP="00DD0AA1"/>
    <w:p w14:paraId="125FA44D" w14:textId="77777777" w:rsidR="00242681" w:rsidRDefault="00242681" w:rsidP="000446EA">
      <w:pPr>
        <w:jc w:val="both"/>
        <w:rPr>
          <w:rFonts w:ascii="Arial" w:hAnsi="Arial" w:cs="Arial"/>
        </w:rPr>
      </w:pPr>
    </w:p>
    <w:sectPr w:rsidR="00242681" w:rsidSect="00817B5E">
      <w:pgSz w:w="11906" w:h="16838"/>
      <w:pgMar w:top="1440" w:right="111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00BA415" w14:textId="77777777" w:rsidR="00606F1D" w:rsidRDefault="00606F1D" w:rsidP="0023020D">
      <w:r>
        <w:separator/>
      </w:r>
    </w:p>
  </w:endnote>
  <w:endnote w:type="continuationSeparator" w:id="0">
    <w:p w14:paraId="4488D5C7" w14:textId="77777777" w:rsidR="00606F1D" w:rsidRDefault="00606F1D" w:rsidP="00230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CA12A08" w14:textId="77777777" w:rsidR="00606F1D" w:rsidRDefault="00606F1D" w:rsidP="0023020D">
      <w:r>
        <w:separator/>
      </w:r>
    </w:p>
  </w:footnote>
  <w:footnote w:type="continuationSeparator" w:id="0">
    <w:p w14:paraId="3AE0D465" w14:textId="77777777" w:rsidR="00606F1D" w:rsidRDefault="00606F1D" w:rsidP="002302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799606A"/>
    <w:multiLevelType w:val="hybridMultilevel"/>
    <w:tmpl w:val="B3F07664"/>
    <w:lvl w:ilvl="0" w:tplc="4A262852">
      <w:start w:val="1"/>
      <w:numFmt w:val="decimal"/>
      <w:pStyle w:val="Heading1"/>
      <w:lvlText w:val="%1."/>
      <w:lvlJc w:val="left"/>
      <w:pPr>
        <w:ind w:left="720" w:hanging="360"/>
      </w:pPr>
      <w:rPr>
        <w:rFonts w:cstheme="maj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BF62D2"/>
    <w:multiLevelType w:val="multilevel"/>
    <w:tmpl w:val="AA946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64457440">
    <w:abstractNumId w:val="1"/>
  </w:num>
  <w:num w:numId="2" w16cid:durableId="183129186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054"/>
    <w:rsid w:val="00000605"/>
    <w:rsid w:val="00007E37"/>
    <w:rsid w:val="000110EE"/>
    <w:rsid w:val="00012347"/>
    <w:rsid w:val="0001257B"/>
    <w:rsid w:val="0001277A"/>
    <w:rsid w:val="0002294A"/>
    <w:rsid w:val="000253BA"/>
    <w:rsid w:val="00025620"/>
    <w:rsid w:val="000273FF"/>
    <w:rsid w:val="00027A99"/>
    <w:rsid w:val="000327FC"/>
    <w:rsid w:val="0003698A"/>
    <w:rsid w:val="00036A80"/>
    <w:rsid w:val="000446EA"/>
    <w:rsid w:val="000506F9"/>
    <w:rsid w:val="0005137A"/>
    <w:rsid w:val="00055CC3"/>
    <w:rsid w:val="000567F3"/>
    <w:rsid w:val="00062330"/>
    <w:rsid w:val="000644B5"/>
    <w:rsid w:val="000713A6"/>
    <w:rsid w:val="0007766B"/>
    <w:rsid w:val="00080273"/>
    <w:rsid w:val="00094F41"/>
    <w:rsid w:val="0009622A"/>
    <w:rsid w:val="000A5483"/>
    <w:rsid w:val="000B229E"/>
    <w:rsid w:val="000B30C5"/>
    <w:rsid w:val="000B4274"/>
    <w:rsid w:val="000C0333"/>
    <w:rsid w:val="000C2792"/>
    <w:rsid w:val="000C43B4"/>
    <w:rsid w:val="000C5F7F"/>
    <w:rsid w:val="000D13D9"/>
    <w:rsid w:val="000E06E8"/>
    <w:rsid w:val="000E427E"/>
    <w:rsid w:val="000F03E8"/>
    <w:rsid w:val="000F2FE0"/>
    <w:rsid w:val="00103CD4"/>
    <w:rsid w:val="001040DB"/>
    <w:rsid w:val="001126AF"/>
    <w:rsid w:val="00124E6F"/>
    <w:rsid w:val="001252E5"/>
    <w:rsid w:val="00127BC7"/>
    <w:rsid w:val="0014346F"/>
    <w:rsid w:val="00145955"/>
    <w:rsid w:val="00145E12"/>
    <w:rsid w:val="00152D5F"/>
    <w:rsid w:val="00152ECA"/>
    <w:rsid w:val="00156F6B"/>
    <w:rsid w:val="00160535"/>
    <w:rsid w:val="0016070E"/>
    <w:rsid w:val="001643D0"/>
    <w:rsid w:val="00164A7B"/>
    <w:rsid w:val="001659D7"/>
    <w:rsid w:val="00170AFE"/>
    <w:rsid w:val="0017138F"/>
    <w:rsid w:val="001756CC"/>
    <w:rsid w:val="00180BFD"/>
    <w:rsid w:val="0018258B"/>
    <w:rsid w:val="001948EF"/>
    <w:rsid w:val="00195F9B"/>
    <w:rsid w:val="001B100D"/>
    <w:rsid w:val="001B3719"/>
    <w:rsid w:val="001B38D4"/>
    <w:rsid w:val="001B58BF"/>
    <w:rsid w:val="001C1792"/>
    <w:rsid w:val="001C46CC"/>
    <w:rsid w:val="001C55D2"/>
    <w:rsid w:val="001D3485"/>
    <w:rsid w:val="001D3B24"/>
    <w:rsid w:val="001E5F59"/>
    <w:rsid w:val="001E6860"/>
    <w:rsid w:val="001F4A08"/>
    <w:rsid w:val="001F5D26"/>
    <w:rsid w:val="001F6B63"/>
    <w:rsid w:val="00203A97"/>
    <w:rsid w:val="002066FE"/>
    <w:rsid w:val="00211411"/>
    <w:rsid w:val="00213355"/>
    <w:rsid w:val="0021625D"/>
    <w:rsid w:val="00223EFF"/>
    <w:rsid w:val="00225DF9"/>
    <w:rsid w:val="00225E33"/>
    <w:rsid w:val="0023020D"/>
    <w:rsid w:val="00230B40"/>
    <w:rsid w:val="00231EA0"/>
    <w:rsid w:val="002340B7"/>
    <w:rsid w:val="00234B87"/>
    <w:rsid w:val="0023602E"/>
    <w:rsid w:val="00237AFC"/>
    <w:rsid w:val="00242681"/>
    <w:rsid w:val="002472B8"/>
    <w:rsid w:val="00253AA4"/>
    <w:rsid w:val="002543C5"/>
    <w:rsid w:val="00266F7C"/>
    <w:rsid w:val="002714AA"/>
    <w:rsid w:val="00275309"/>
    <w:rsid w:val="002836E5"/>
    <w:rsid w:val="00285495"/>
    <w:rsid w:val="00287295"/>
    <w:rsid w:val="00291413"/>
    <w:rsid w:val="002916C1"/>
    <w:rsid w:val="002943CF"/>
    <w:rsid w:val="002947F6"/>
    <w:rsid w:val="002971A7"/>
    <w:rsid w:val="002A3B4F"/>
    <w:rsid w:val="002A4682"/>
    <w:rsid w:val="002A7A0A"/>
    <w:rsid w:val="002A7CC8"/>
    <w:rsid w:val="002A7DC7"/>
    <w:rsid w:val="002B041A"/>
    <w:rsid w:val="002C0B3C"/>
    <w:rsid w:val="002D13FD"/>
    <w:rsid w:val="002D264D"/>
    <w:rsid w:val="002D4619"/>
    <w:rsid w:val="002E0036"/>
    <w:rsid w:val="002E1823"/>
    <w:rsid w:val="002E6C36"/>
    <w:rsid w:val="002E7547"/>
    <w:rsid w:val="002E7A06"/>
    <w:rsid w:val="002F4B58"/>
    <w:rsid w:val="003045B8"/>
    <w:rsid w:val="00306F3C"/>
    <w:rsid w:val="00313573"/>
    <w:rsid w:val="00314CAF"/>
    <w:rsid w:val="00322D56"/>
    <w:rsid w:val="003277E4"/>
    <w:rsid w:val="0033126F"/>
    <w:rsid w:val="00346B01"/>
    <w:rsid w:val="00352054"/>
    <w:rsid w:val="00352535"/>
    <w:rsid w:val="00352846"/>
    <w:rsid w:val="00354E04"/>
    <w:rsid w:val="00356846"/>
    <w:rsid w:val="00357216"/>
    <w:rsid w:val="00360E6B"/>
    <w:rsid w:val="0036369E"/>
    <w:rsid w:val="00371783"/>
    <w:rsid w:val="00371B0A"/>
    <w:rsid w:val="00373C29"/>
    <w:rsid w:val="003755D1"/>
    <w:rsid w:val="00375E17"/>
    <w:rsid w:val="00377EF0"/>
    <w:rsid w:val="003827F1"/>
    <w:rsid w:val="003855DA"/>
    <w:rsid w:val="00392504"/>
    <w:rsid w:val="00393F40"/>
    <w:rsid w:val="003973B1"/>
    <w:rsid w:val="003A29F3"/>
    <w:rsid w:val="003B5C2E"/>
    <w:rsid w:val="003B5D09"/>
    <w:rsid w:val="003B73A2"/>
    <w:rsid w:val="003C2A2B"/>
    <w:rsid w:val="003C6FA6"/>
    <w:rsid w:val="003D602B"/>
    <w:rsid w:val="003D68FA"/>
    <w:rsid w:val="003F06D8"/>
    <w:rsid w:val="003F4C89"/>
    <w:rsid w:val="003F4DFD"/>
    <w:rsid w:val="003F6238"/>
    <w:rsid w:val="003F756A"/>
    <w:rsid w:val="004006F2"/>
    <w:rsid w:val="00401428"/>
    <w:rsid w:val="00402E0E"/>
    <w:rsid w:val="00407195"/>
    <w:rsid w:val="00412218"/>
    <w:rsid w:val="00413300"/>
    <w:rsid w:val="004138DA"/>
    <w:rsid w:val="00414797"/>
    <w:rsid w:val="004176AC"/>
    <w:rsid w:val="00421A4A"/>
    <w:rsid w:val="00422A00"/>
    <w:rsid w:val="00423D9D"/>
    <w:rsid w:val="00426020"/>
    <w:rsid w:val="0042767A"/>
    <w:rsid w:val="004300DC"/>
    <w:rsid w:val="00433F2F"/>
    <w:rsid w:val="00444198"/>
    <w:rsid w:val="004516F9"/>
    <w:rsid w:val="004525D8"/>
    <w:rsid w:val="00455661"/>
    <w:rsid w:val="00455FEC"/>
    <w:rsid w:val="00456057"/>
    <w:rsid w:val="00463A4B"/>
    <w:rsid w:val="00465E8D"/>
    <w:rsid w:val="00471F45"/>
    <w:rsid w:val="0047300D"/>
    <w:rsid w:val="004747D1"/>
    <w:rsid w:val="00476295"/>
    <w:rsid w:val="00482E82"/>
    <w:rsid w:val="00485177"/>
    <w:rsid w:val="00490C50"/>
    <w:rsid w:val="00492C55"/>
    <w:rsid w:val="004A071D"/>
    <w:rsid w:val="004A3F0E"/>
    <w:rsid w:val="004A4484"/>
    <w:rsid w:val="004A6C90"/>
    <w:rsid w:val="004B0937"/>
    <w:rsid w:val="004B2B46"/>
    <w:rsid w:val="004B792F"/>
    <w:rsid w:val="004C1A6F"/>
    <w:rsid w:val="004C1ADD"/>
    <w:rsid w:val="004C5CF5"/>
    <w:rsid w:val="004C5EC5"/>
    <w:rsid w:val="004C5F54"/>
    <w:rsid w:val="004E29EF"/>
    <w:rsid w:val="004E3368"/>
    <w:rsid w:val="004F22FB"/>
    <w:rsid w:val="004F2EBB"/>
    <w:rsid w:val="005024D3"/>
    <w:rsid w:val="005115BE"/>
    <w:rsid w:val="00512449"/>
    <w:rsid w:val="00515678"/>
    <w:rsid w:val="00521267"/>
    <w:rsid w:val="00527B83"/>
    <w:rsid w:val="005310E5"/>
    <w:rsid w:val="005326D5"/>
    <w:rsid w:val="00540BD0"/>
    <w:rsid w:val="0054181F"/>
    <w:rsid w:val="00541900"/>
    <w:rsid w:val="00543DEC"/>
    <w:rsid w:val="00546B7D"/>
    <w:rsid w:val="00551466"/>
    <w:rsid w:val="00556BC0"/>
    <w:rsid w:val="0056652A"/>
    <w:rsid w:val="005719D0"/>
    <w:rsid w:val="005733A7"/>
    <w:rsid w:val="005771A2"/>
    <w:rsid w:val="00577ACA"/>
    <w:rsid w:val="0058138D"/>
    <w:rsid w:val="005834A6"/>
    <w:rsid w:val="00584984"/>
    <w:rsid w:val="005879E0"/>
    <w:rsid w:val="00593B99"/>
    <w:rsid w:val="0059707A"/>
    <w:rsid w:val="005A2695"/>
    <w:rsid w:val="005A38B3"/>
    <w:rsid w:val="005A6F6F"/>
    <w:rsid w:val="005B1E59"/>
    <w:rsid w:val="005B5FB2"/>
    <w:rsid w:val="005B7E8A"/>
    <w:rsid w:val="005C0794"/>
    <w:rsid w:val="005C12C5"/>
    <w:rsid w:val="005C55C1"/>
    <w:rsid w:val="005D0DA5"/>
    <w:rsid w:val="005E3E37"/>
    <w:rsid w:val="005E53E6"/>
    <w:rsid w:val="005F2252"/>
    <w:rsid w:val="005F277B"/>
    <w:rsid w:val="005F30A2"/>
    <w:rsid w:val="005F4589"/>
    <w:rsid w:val="005F574F"/>
    <w:rsid w:val="0060093A"/>
    <w:rsid w:val="00600AE4"/>
    <w:rsid w:val="00603965"/>
    <w:rsid w:val="006055C8"/>
    <w:rsid w:val="0060561E"/>
    <w:rsid w:val="00605A27"/>
    <w:rsid w:val="00606F1D"/>
    <w:rsid w:val="00607BAC"/>
    <w:rsid w:val="00614730"/>
    <w:rsid w:val="00620A70"/>
    <w:rsid w:val="006237F4"/>
    <w:rsid w:val="006270F7"/>
    <w:rsid w:val="00630B2B"/>
    <w:rsid w:val="00633655"/>
    <w:rsid w:val="00654951"/>
    <w:rsid w:val="00654BD2"/>
    <w:rsid w:val="0065632B"/>
    <w:rsid w:val="00657CAF"/>
    <w:rsid w:val="006602A1"/>
    <w:rsid w:val="0067197A"/>
    <w:rsid w:val="00672C4A"/>
    <w:rsid w:val="0068256F"/>
    <w:rsid w:val="00683839"/>
    <w:rsid w:val="006846C5"/>
    <w:rsid w:val="00684E61"/>
    <w:rsid w:val="00692AAF"/>
    <w:rsid w:val="00695335"/>
    <w:rsid w:val="00697676"/>
    <w:rsid w:val="006A24B7"/>
    <w:rsid w:val="006A782C"/>
    <w:rsid w:val="006B19EC"/>
    <w:rsid w:val="006B37A6"/>
    <w:rsid w:val="006B5956"/>
    <w:rsid w:val="006B6078"/>
    <w:rsid w:val="006B60DA"/>
    <w:rsid w:val="006B7703"/>
    <w:rsid w:val="006B7F4E"/>
    <w:rsid w:val="006C11FB"/>
    <w:rsid w:val="006C533D"/>
    <w:rsid w:val="006D04F3"/>
    <w:rsid w:val="006D7740"/>
    <w:rsid w:val="006E541D"/>
    <w:rsid w:val="006F00B7"/>
    <w:rsid w:val="006F2821"/>
    <w:rsid w:val="00703D8D"/>
    <w:rsid w:val="00710EFB"/>
    <w:rsid w:val="007122FB"/>
    <w:rsid w:val="00712D49"/>
    <w:rsid w:val="00716D0F"/>
    <w:rsid w:val="007209C5"/>
    <w:rsid w:val="00723728"/>
    <w:rsid w:val="007268B2"/>
    <w:rsid w:val="00727642"/>
    <w:rsid w:val="00730442"/>
    <w:rsid w:val="00733898"/>
    <w:rsid w:val="00733918"/>
    <w:rsid w:val="00734324"/>
    <w:rsid w:val="00735BDC"/>
    <w:rsid w:val="00741C47"/>
    <w:rsid w:val="00747F90"/>
    <w:rsid w:val="00751BFE"/>
    <w:rsid w:val="0075527B"/>
    <w:rsid w:val="00756380"/>
    <w:rsid w:val="00757601"/>
    <w:rsid w:val="007579B3"/>
    <w:rsid w:val="00761216"/>
    <w:rsid w:val="00761F2C"/>
    <w:rsid w:val="0077300C"/>
    <w:rsid w:val="007753FC"/>
    <w:rsid w:val="00775726"/>
    <w:rsid w:val="00780508"/>
    <w:rsid w:val="00783D39"/>
    <w:rsid w:val="007871C9"/>
    <w:rsid w:val="0079541C"/>
    <w:rsid w:val="007A16DB"/>
    <w:rsid w:val="007A21C5"/>
    <w:rsid w:val="007A62AA"/>
    <w:rsid w:val="007A6BD7"/>
    <w:rsid w:val="007B138D"/>
    <w:rsid w:val="007B44AB"/>
    <w:rsid w:val="007B76FB"/>
    <w:rsid w:val="007C0F95"/>
    <w:rsid w:val="007C2EF3"/>
    <w:rsid w:val="007C3E63"/>
    <w:rsid w:val="007C4C70"/>
    <w:rsid w:val="007C7092"/>
    <w:rsid w:val="007D0536"/>
    <w:rsid w:val="007D134C"/>
    <w:rsid w:val="007D294D"/>
    <w:rsid w:val="007D4986"/>
    <w:rsid w:val="007D4C32"/>
    <w:rsid w:val="007D6A11"/>
    <w:rsid w:val="007F1378"/>
    <w:rsid w:val="00802C4F"/>
    <w:rsid w:val="008031A6"/>
    <w:rsid w:val="00804BFD"/>
    <w:rsid w:val="00806DE3"/>
    <w:rsid w:val="00812F62"/>
    <w:rsid w:val="00812F9B"/>
    <w:rsid w:val="00813258"/>
    <w:rsid w:val="00816A00"/>
    <w:rsid w:val="0081770E"/>
    <w:rsid w:val="00817B5E"/>
    <w:rsid w:val="00822380"/>
    <w:rsid w:val="008224E5"/>
    <w:rsid w:val="00825251"/>
    <w:rsid w:val="00831F71"/>
    <w:rsid w:val="008364EC"/>
    <w:rsid w:val="0084074D"/>
    <w:rsid w:val="00840764"/>
    <w:rsid w:val="00845F81"/>
    <w:rsid w:val="00847307"/>
    <w:rsid w:val="008529C8"/>
    <w:rsid w:val="00853925"/>
    <w:rsid w:val="00854C52"/>
    <w:rsid w:val="00854D9F"/>
    <w:rsid w:val="00855D6F"/>
    <w:rsid w:val="008570F7"/>
    <w:rsid w:val="008631CA"/>
    <w:rsid w:val="008810E5"/>
    <w:rsid w:val="0088142A"/>
    <w:rsid w:val="00881652"/>
    <w:rsid w:val="008820F5"/>
    <w:rsid w:val="0088294A"/>
    <w:rsid w:val="00882BF3"/>
    <w:rsid w:val="00883D3F"/>
    <w:rsid w:val="008873C9"/>
    <w:rsid w:val="008914ED"/>
    <w:rsid w:val="00891770"/>
    <w:rsid w:val="00893208"/>
    <w:rsid w:val="00894758"/>
    <w:rsid w:val="00894E5D"/>
    <w:rsid w:val="008957EB"/>
    <w:rsid w:val="00896077"/>
    <w:rsid w:val="0089688B"/>
    <w:rsid w:val="008B3520"/>
    <w:rsid w:val="008B697E"/>
    <w:rsid w:val="008C0EAA"/>
    <w:rsid w:val="008C315D"/>
    <w:rsid w:val="008D358A"/>
    <w:rsid w:val="008D47DF"/>
    <w:rsid w:val="008D6B86"/>
    <w:rsid w:val="008D6D6E"/>
    <w:rsid w:val="008E4CC0"/>
    <w:rsid w:val="008E6564"/>
    <w:rsid w:val="0090063A"/>
    <w:rsid w:val="0090071A"/>
    <w:rsid w:val="00901739"/>
    <w:rsid w:val="00902711"/>
    <w:rsid w:val="009044DB"/>
    <w:rsid w:val="00911503"/>
    <w:rsid w:val="00913CF8"/>
    <w:rsid w:val="009167F1"/>
    <w:rsid w:val="0092030D"/>
    <w:rsid w:val="0092481C"/>
    <w:rsid w:val="00925E60"/>
    <w:rsid w:val="009300E9"/>
    <w:rsid w:val="00933156"/>
    <w:rsid w:val="009347AC"/>
    <w:rsid w:val="00935B50"/>
    <w:rsid w:val="00935B6E"/>
    <w:rsid w:val="0093722D"/>
    <w:rsid w:val="00943842"/>
    <w:rsid w:val="00943A03"/>
    <w:rsid w:val="00944C54"/>
    <w:rsid w:val="0095405D"/>
    <w:rsid w:val="009541C4"/>
    <w:rsid w:val="0095708B"/>
    <w:rsid w:val="009571C3"/>
    <w:rsid w:val="00965A7F"/>
    <w:rsid w:val="00966155"/>
    <w:rsid w:val="00967E78"/>
    <w:rsid w:val="00971C09"/>
    <w:rsid w:val="00982A43"/>
    <w:rsid w:val="00984714"/>
    <w:rsid w:val="00987153"/>
    <w:rsid w:val="009942B0"/>
    <w:rsid w:val="009956A6"/>
    <w:rsid w:val="009973BA"/>
    <w:rsid w:val="009A33A4"/>
    <w:rsid w:val="009A7B3B"/>
    <w:rsid w:val="009C02C7"/>
    <w:rsid w:val="009C0968"/>
    <w:rsid w:val="009C1529"/>
    <w:rsid w:val="009C5A8E"/>
    <w:rsid w:val="009D1529"/>
    <w:rsid w:val="009D2D9F"/>
    <w:rsid w:val="009D7459"/>
    <w:rsid w:val="009E282E"/>
    <w:rsid w:val="009F7606"/>
    <w:rsid w:val="00A012B4"/>
    <w:rsid w:val="00A029BA"/>
    <w:rsid w:val="00A0369A"/>
    <w:rsid w:val="00A07EBD"/>
    <w:rsid w:val="00A14FA4"/>
    <w:rsid w:val="00A1706A"/>
    <w:rsid w:val="00A239EF"/>
    <w:rsid w:val="00A248C5"/>
    <w:rsid w:val="00A25394"/>
    <w:rsid w:val="00A30BCF"/>
    <w:rsid w:val="00A30BE3"/>
    <w:rsid w:val="00A3656F"/>
    <w:rsid w:val="00A42696"/>
    <w:rsid w:val="00A44AFB"/>
    <w:rsid w:val="00A5069F"/>
    <w:rsid w:val="00A53AC7"/>
    <w:rsid w:val="00A54017"/>
    <w:rsid w:val="00A6144D"/>
    <w:rsid w:val="00A62957"/>
    <w:rsid w:val="00A629AA"/>
    <w:rsid w:val="00A637BC"/>
    <w:rsid w:val="00A64DA1"/>
    <w:rsid w:val="00A70577"/>
    <w:rsid w:val="00A73CC6"/>
    <w:rsid w:val="00A757E0"/>
    <w:rsid w:val="00A84F08"/>
    <w:rsid w:val="00A85AD6"/>
    <w:rsid w:val="00A8799F"/>
    <w:rsid w:val="00A94477"/>
    <w:rsid w:val="00A94DE7"/>
    <w:rsid w:val="00AA28F2"/>
    <w:rsid w:val="00AA29A9"/>
    <w:rsid w:val="00AA3F5A"/>
    <w:rsid w:val="00AA5295"/>
    <w:rsid w:val="00AB21FE"/>
    <w:rsid w:val="00AB45AC"/>
    <w:rsid w:val="00AB7DE2"/>
    <w:rsid w:val="00AC3474"/>
    <w:rsid w:val="00AC3E93"/>
    <w:rsid w:val="00AD3178"/>
    <w:rsid w:val="00AD4891"/>
    <w:rsid w:val="00AD75C4"/>
    <w:rsid w:val="00AE0C67"/>
    <w:rsid w:val="00AE1C70"/>
    <w:rsid w:val="00AE32F3"/>
    <w:rsid w:val="00AE47BC"/>
    <w:rsid w:val="00AE6CF3"/>
    <w:rsid w:val="00AF34AA"/>
    <w:rsid w:val="00AF4000"/>
    <w:rsid w:val="00B006AD"/>
    <w:rsid w:val="00B00DA3"/>
    <w:rsid w:val="00B02062"/>
    <w:rsid w:val="00B02541"/>
    <w:rsid w:val="00B07186"/>
    <w:rsid w:val="00B10979"/>
    <w:rsid w:val="00B10FC9"/>
    <w:rsid w:val="00B11525"/>
    <w:rsid w:val="00B11E78"/>
    <w:rsid w:val="00B151D1"/>
    <w:rsid w:val="00B15CCB"/>
    <w:rsid w:val="00B235A8"/>
    <w:rsid w:val="00B30FDA"/>
    <w:rsid w:val="00B33E63"/>
    <w:rsid w:val="00B35D86"/>
    <w:rsid w:val="00B41463"/>
    <w:rsid w:val="00B44D62"/>
    <w:rsid w:val="00B46FB1"/>
    <w:rsid w:val="00B5228C"/>
    <w:rsid w:val="00B53267"/>
    <w:rsid w:val="00B57278"/>
    <w:rsid w:val="00B6211C"/>
    <w:rsid w:val="00B64EE1"/>
    <w:rsid w:val="00B73858"/>
    <w:rsid w:val="00B82CC0"/>
    <w:rsid w:val="00B87951"/>
    <w:rsid w:val="00B90499"/>
    <w:rsid w:val="00B9122B"/>
    <w:rsid w:val="00B934AF"/>
    <w:rsid w:val="00B93DB9"/>
    <w:rsid w:val="00B93FF2"/>
    <w:rsid w:val="00B96BAF"/>
    <w:rsid w:val="00BA0041"/>
    <w:rsid w:val="00BA1529"/>
    <w:rsid w:val="00BA4286"/>
    <w:rsid w:val="00BA4B4A"/>
    <w:rsid w:val="00BA5977"/>
    <w:rsid w:val="00BA724D"/>
    <w:rsid w:val="00BB2236"/>
    <w:rsid w:val="00BB2CFB"/>
    <w:rsid w:val="00BB32C3"/>
    <w:rsid w:val="00BB64BF"/>
    <w:rsid w:val="00BB71E0"/>
    <w:rsid w:val="00BC347F"/>
    <w:rsid w:val="00BC5C74"/>
    <w:rsid w:val="00BC7AB6"/>
    <w:rsid w:val="00BD3379"/>
    <w:rsid w:val="00BD3F70"/>
    <w:rsid w:val="00BE015B"/>
    <w:rsid w:val="00BE1547"/>
    <w:rsid w:val="00BE3C90"/>
    <w:rsid w:val="00BE50FD"/>
    <w:rsid w:val="00BF3B0C"/>
    <w:rsid w:val="00BF451A"/>
    <w:rsid w:val="00C0569D"/>
    <w:rsid w:val="00C05963"/>
    <w:rsid w:val="00C10AC9"/>
    <w:rsid w:val="00C149EC"/>
    <w:rsid w:val="00C17C51"/>
    <w:rsid w:val="00C2335E"/>
    <w:rsid w:val="00C23A83"/>
    <w:rsid w:val="00C246DA"/>
    <w:rsid w:val="00C24829"/>
    <w:rsid w:val="00C33C16"/>
    <w:rsid w:val="00C365C2"/>
    <w:rsid w:val="00C40AAD"/>
    <w:rsid w:val="00C42CE1"/>
    <w:rsid w:val="00C4525C"/>
    <w:rsid w:val="00C45B04"/>
    <w:rsid w:val="00C45DFC"/>
    <w:rsid w:val="00C46C68"/>
    <w:rsid w:val="00C514D2"/>
    <w:rsid w:val="00C55FE6"/>
    <w:rsid w:val="00C56730"/>
    <w:rsid w:val="00C60EF8"/>
    <w:rsid w:val="00C6528D"/>
    <w:rsid w:val="00C804D0"/>
    <w:rsid w:val="00C84579"/>
    <w:rsid w:val="00C85CEC"/>
    <w:rsid w:val="00C944B5"/>
    <w:rsid w:val="00C95588"/>
    <w:rsid w:val="00C961AB"/>
    <w:rsid w:val="00CA48E2"/>
    <w:rsid w:val="00CB2BFA"/>
    <w:rsid w:val="00CB2FD6"/>
    <w:rsid w:val="00CB33C3"/>
    <w:rsid w:val="00CB6A2F"/>
    <w:rsid w:val="00CB7BFF"/>
    <w:rsid w:val="00CC0D14"/>
    <w:rsid w:val="00CC32AB"/>
    <w:rsid w:val="00CC617A"/>
    <w:rsid w:val="00CC61CC"/>
    <w:rsid w:val="00CD4B61"/>
    <w:rsid w:val="00CE04A2"/>
    <w:rsid w:val="00CE337D"/>
    <w:rsid w:val="00CF1C13"/>
    <w:rsid w:val="00D07BC7"/>
    <w:rsid w:val="00D1320F"/>
    <w:rsid w:val="00D1586F"/>
    <w:rsid w:val="00D16D2D"/>
    <w:rsid w:val="00D212DD"/>
    <w:rsid w:val="00D217B6"/>
    <w:rsid w:val="00D22D84"/>
    <w:rsid w:val="00D2361B"/>
    <w:rsid w:val="00D24AFA"/>
    <w:rsid w:val="00D26BCB"/>
    <w:rsid w:val="00D276F6"/>
    <w:rsid w:val="00D37EBE"/>
    <w:rsid w:val="00D42272"/>
    <w:rsid w:val="00D44C46"/>
    <w:rsid w:val="00D521DB"/>
    <w:rsid w:val="00D55656"/>
    <w:rsid w:val="00D60F33"/>
    <w:rsid w:val="00D62A9F"/>
    <w:rsid w:val="00D729B2"/>
    <w:rsid w:val="00D72C5F"/>
    <w:rsid w:val="00D745FA"/>
    <w:rsid w:val="00D75BAC"/>
    <w:rsid w:val="00D7645C"/>
    <w:rsid w:val="00D7680F"/>
    <w:rsid w:val="00D76ACC"/>
    <w:rsid w:val="00D80FA0"/>
    <w:rsid w:val="00D86FB7"/>
    <w:rsid w:val="00D87ED2"/>
    <w:rsid w:val="00D95D94"/>
    <w:rsid w:val="00DA2F30"/>
    <w:rsid w:val="00DA368D"/>
    <w:rsid w:val="00DB315A"/>
    <w:rsid w:val="00DB375E"/>
    <w:rsid w:val="00DB3CBA"/>
    <w:rsid w:val="00DB670C"/>
    <w:rsid w:val="00DB67C7"/>
    <w:rsid w:val="00DC1D34"/>
    <w:rsid w:val="00DC26C2"/>
    <w:rsid w:val="00DC3E62"/>
    <w:rsid w:val="00DC6D36"/>
    <w:rsid w:val="00DD0AA1"/>
    <w:rsid w:val="00DD335F"/>
    <w:rsid w:val="00DD389F"/>
    <w:rsid w:val="00DE6AE4"/>
    <w:rsid w:val="00DF32ED"/>
    <w:rsid w:val="00DF41DD"/>
    <w:rsid w:val="00DF6140"/>
    <w:rsid w:val="00DF6B13"/>
    <w:rsid w:val="00E00425"/>
    <w:rsid w:val="00E01D30"/>
    <w:rsid w:val="00E02BEF"/>
    <w:rsid w:val="00E04360"/>
    <w:rsid w:val="00E0554C"/>
    <w:rsid w:val="00E07C2C"/>
    <w:rsid w:val="00E1059B"/>
    <w:rsid w:val="00E126A8"/>
    <w:rsid w:val="00E14FBD"/>
    <w:rsid w:val="00E23ED7"/>
    <w:rsid w:val="00E31F98"/>
    <w:rsid w:val="00E4147B"/>
    <w:rsid w:val="00E54318"/>
    <w:rsid w:val="00E5781A"/>
    <w:rsid w:val="00E61B95"/>
    <w:rsid w:val="00E61FFF"/>
    <w:rsid w:val="00E64034"/>
    <w:rsid w:val="00E73787"/>
    <w:rsid w:val="00E74677"/>
    <w:rsid w:val="00E77185"/>
    <w:rsid w:val="00E83070"/>
    <w:rsid w:val="00E83AB0"/>
    <w:rsid w:val="00E8612C"/>
    <w:rsid w:val="00E87951"/>
    <w:rsid w:val="00E87998"/>
    <w:rsid w:val="00E95982"/>
    <w:rsid w:val="00E97174"/>
    <w:rsid w:val="00EB1F5B"/>
    <w:rsid w:val="00EB30BA"/>
    <w:rsid w:val="00EB370D"/>
    <w:rsid w:val="00EB4771"/>
    <w:rsid w:val="00EB5320"/>
    <w:rsid w:val="00EB532F"/>
    <w:rsid w:val="00EB652B"/>
    <w:rsid w:val="00EB6F2D"/>
    <w:rsid w:val="00ED07B5"/>
    <w:rsid w:val="00ED1125"/>
    <w:rsid w:val="00ED15C6"/>
    <w:rsid w:val="00ED4478"/>
    <w:rsid w:val="00ED629C"/>
    <w:rsid w:val="00EE345F"/>
    <w:rsid w:val="00EE6E98"/>
    <w:rsid w:val="00EF3E4D"/>
    <w:rsid w:val="00EF3F67"/>
    <w:rsid w:val="00EF4E2B"/>
    <w:rsid w:val="00EF73D9"/>
    <w:rsid w:val="00F03B18"/>
    <w:rsid w:val="00F10A6D"/>
    <w:rsid w:val="00F10F84"/>
    <w:rsid w:val="00F13EB4"/>
    <w:rsid w:val="00F20B89"/>
    <w:rsid w:val="00F24D26"/>
    <w:rsid w:val="00F25836"/>
    <w:rsid w:val="00F348F6"/>
    <w:rsid w:val="00F37293"/>
    <w:rsid w:val="00F44572"/>
    <w:rsid w:val="00F47CDC"/>
    <w:rsid w:val="00F51C18"/>
    <w:rsid w:val="00F559D3"/>
    <w:rsid w:val="00F5797B"/>
    <w:rsid w:val="00F70D41"/>
    <w:rsid w:val="00F737BC"/>
    <w:rsid w:val="00F841F4"/>
    <w:rsid w:val="00F8448B"/>
    <w:rsid w:val="00F8457E"/>
    <w:rsid w:val="00F87ACF"/>
    <w:rsid w:val="00F9060D"/>
    <w:rsid w:val="00F90A5D"/>
    <w:rsid w:val="00F92679"/>
    <w:rsid w:val="00F93128"/>
    <w:rsid w:val="00FA048E"/>
    <w:rsid w:val="00FA47BC"/>
    <w:rsid w:val="00FA49F1"/>
    <w:rsid w:val="00FA5F55"/>
    <w:rsid w:val="00FA77E8"/>
    <w:rsid w:val="00FC4CD2"/>
    <w:rsid w:val="00FC722F"/>
    <w:rsid w:val="00FD17EC"/>
    <w:rsid w:val="00FD2FCB"/>
    <w:rsid w:val="00FE28F5"/>
    <w:rsid w:val="00FE34B9"/>
    <w:rsid w:val="00FE3989"/>
    <w:rsid w:val="00FE40B7"/>
    <w:rsid w:val="00FE454C"/>
    <w:rsid w:val="00FE5A25"/>
    <w:rsid w:val="00FE634E"/>
    <w:rsid w:val="00FE6B4C"/>
    <w:rsid w:val="00FF07C6"/>
    <w:rsid w:val="00FF4573"/>
    <w:rsid w:val="00FF6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72E8D"/>
  <w15:chartTrackingRefBased/>
  <w15:docId w15:val="{655B460D-880B-514C-A0EE-6E2D325FF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5A8E"/>
  </w:style>
  <w:style w:type="paragraph" w:styleId="Heading1">
    <w:name w:val="heading 1"/>
    <w:basedOn w:val="Normal"/>
    <w:next w:val="Normal"/>
    <w:link w:val="Heading1Char"/>
    <w:uiPriority w:val="9"/>
    <w:qFormat/>
    <w:rsid w:val="00A012B4"/>
    <w:pPr>
      <w:keepNext/>
      <w:keepLines/>
      <w:numPr>
        <w:numId w:val="2"/>
      </w:numPr>
      <w:spacing w:before="360" w:after="80"/>
      <w:outlineLvl w:val="0"/>
    </w:pPr>
    <w:rPr>
      <w:rFonts w:ascii="Arial" w:eastAsiaTheme="majorEastAsia" w:hAnsi="Arial" w:cstheme="majorBidi"/>
      <w:b/>
      <w:color w:val="000000" w:themeColor="text1"/>
      <w:szCs w:val="40"/>
    </w:rPr>
  </w:style>
  <w:style w:type="paragraph" w:styleId="Heading2">
    <w:name w:val="heading 2"/>
    <w:basedOn w:val="Normal"/>
    <w:next w:val="Normal"/>
    <w:link w:val="Heading2Char"/>
    <w:uiPriority w:val="9"/>
    <w:unhideWhenUsed/>
    <w:qFormat/>
    <w:rsid w:val="00E1059B"/>
    <w:pPr>
      <w:keepNext/>
      <w:keepLines/>
      <w:spacing w:before="160" w:after="80"/>
      <w:outlineLvl w:val="1"/>
    </w:pPr>
    <w:rPr>
      <w:rFonts w:ascii="Arial" w:eastAsiaTheme="majorEastAsia" w:hAnsi="Arial" w:cstheme="majorBidi"/>
      <w:b/>
      <w:color w:val="000000" w:themeColor="text1"/>
      <w:szCs w:val="32"/>
    </w:rPr>
  </w:style>
  <w:style w:type="paragraph" w:styleId="Heading3">
    <w:name w:val="heading 3"/>
    <w:basedOn w:val="Normal"/>
    <w:next w:val="Normal"/>
    <w:link w:val="Heading3Char"/>
    <w:uiPriority w:val="9"/>
    <w:unhideWhenUsed/>
    <w:qFormat/>
    <w:rsid w:val="003520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20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20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205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205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205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205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2B4"/>
    <w:rPr>
      <w:rFonts w:ascii="Arial" w:eastAsiaTheme="majorEastAsia" w:hAnsi="Arial" w:cstheme="majorBidi"/>
      <w:b/>
      <w:color w:val="000000" w:themeColor="text1"/>
      <w:szCs w:val="40"/>
    </w:rPr>
  </w:style>
  <w:style w:type="character" w:customStyle="1" w:styleId="Heading2Char">
    <w:name w:val="Heading 2 Char"/>
    <w:basedOn w:val="DefaultParagraphFont"/>
    <w:link w:val="Heading2"/>
    <w:uiPriority w:val="9"/>
    <w:rsid w:val="00E1059B"/>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rsid w:val="003520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20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20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20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20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20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2054"/>
    <w:rPr>
      <w:rFonts w:eastAsiaTheme="majorEastAsia" w:cstheme="majorBidi"/>
      <w:color w:val="272727" w:themeColor="text1" w:themeTint="D8"/>
    </w:rPr>
  </w:style>
  <w:style w:type="paragraph" w:styleId="Title">
    <w:name w:val="Title"/>
    <w:basedOn w:val="Normal"/>
    <w:next w:val="Normal"/>
    <w:link w:val="TitleChar"/>
    <w:uiPriority w:val="10"/>
    <w:qFormat/>
    <w:rsid w:val="0035205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20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205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20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205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52054"/>
    <w:rPr>
      <w:i/>
      <w:iCs/>
      <w:color w:val="404040" w:themeColor="text1" w:themeTint="BF"/>
    </w:rPr>
  </w:style>
  <w:style w:type="paragraph" w:styleId="ListParagraph">
    <w:name w:val="List Paragraph"/>
    <w:basedOn w:val="Normal"/>
    <w:uiPriority w:val="34"/>
    <w:qFormat/>
    <w:rsid w:val="00352054"/>
    <w:pPr>
      <w:ind w:left="720"/>
      <w:contextualSpacing/>
    </w:pPr>
  </w:style>
  <w:style w:type="character" w:styleId="IntenseEmphasis">
    <w:name w:val="Intense Emphasis"/>
    <w:basedOn w:val="DefaultParagraphFont"/>
    <w:uiPriority w:val="21"/>
    <w:qFormat/>
    <w:rsid w:val="00352054"/>
    <w:rPr>
      <w:i/>
      <w:iCs/>
      <w:color w:val="0F4761" w:themeColor="accent1" w:themeShade="BF"/>
    </w:rPr>
  </w:style>
  <w:style w:type="paragraph" w:styleId="IntenseQuote">
    <w:name w:val="Intense Quote"/>
    <w:basedOn w:val="Normal"/>
    <w:next w:val="Normal"/>
    <w:link w:val="IntenseQuoteChar"/>
    <w:uiPriority w:val="30"/>
    <w:qFormat/>
    <w:rsid w:val="003520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2054"/>
    <w:rPr>
      <w:i/>
      <w:iCs/>
      <w:color w:val="0F4761" w:themeColor="accent1" w:themeShade="BF"/>
    </w:rPr>
  </w:style>
  <w:style w:type="character" w:styleId="IntenseReference">
    <w:name w:val="Intense Reference"/>
    <w:basedOn w:val="DefaultParagraphFont"/>
    <w:uiPriority w:val="32"/>
    <w:qFormat/>
    <w:rsid w:val="00352054"/>
    <w:rPr>
      <w:b/>
      <w:bCs/>
      <w:smallCaps/>
      <w:color w:val="0F4761" w:themeColor="accent1" w:themeShade="BF"/>
      <w:spacing w:val="5"/>
    </w:rPr>
  </w:style>
  <w:style w:type="character" w:styleId="Hyperlink">
    <w:name w:val="Hyperlink"/>
    <w:basedOn w:val="DefaultParagraphFont"/>
    <w:uiPriority w:val="99"/>
    <w:unhideWhenUsed/>
    <w:rsid w:val="00C84579"/>
    <w:rPr>
      <w:color w:val="0000FF"/>
      <w:u w:val="single"/>
    </w:rPr>
  </w:style>
  <w:style w:type="character" w:styleId="UnresolvedMention">
    <w:name w:val="Unresolved Mention"/>
    <w:basedOn w:val="DefaultParagraphFont"/>
    <w:uiPriority w:val="99"/>
    <w:semiHidden/>
    <w:unhideWhenUsed/>
    <w:rsid w:val="00C10AC9"/>
    <w:rPr>
      <w:color w:val="605E5C"/>
      <w:shd w:val="clear" w:color="auto" w:fill="E1DFDD"/>
    </w:rPr>
  </w:style>
  <w:style w:type="paragraph" w:styleId="Header">
    <w:name w:val="header"/>
    <w:basedOn w:val="Normal"/>
    <w:link w:val="HeaderChar"/>
    <w:uiPriority w:val="99"/>
    <w:unhideWhenUsed/>
    <w:rsid w:val="0023020D"/>
    <w:pPr>
      <w:tabs>
        <w:tab w:val="center" w:pos="4513"/>
        <w:tab w:val="right" w:pos="9026"/>
      </w:tabs>
    </w:pPr>
  </w:style>
  <w:style w:type="character" w:customStyle="1" w:styleId="HeaderChar">
    <w:name w:val="Header Char"/>
    <w:basedOn w:val="DefaultParagraphFont"/>
    <w:link w:val="Header"/>
    <w:uiPriority w:val="99"/>
    <w:rsid w:val="0023020D"/>
  </w:style>
  <w:style w:type="paragraph" w:styleId="Footer">
    <w:name w:val="footer"/>
    <w:basedOn w:val="Normal"/>
    <w:link w:val="FooterChar"/>
    <w:uiPriority w:val="99"/>
    <w:unhideWhenUsed/>
    <w:rsid w:val="0023020D"/>
    <w:pPr>
      <w:tabs>
        <w:tab w:val="center" w:pos="4513"/>
        <w:tab w:val="right" w:pos="9026"/>
      </w:tabs>
    </w:pPr>
  </w:style>
  <w:style w:type="character" w:customStyle="1" w:styleId="FooterChar">
    <w:name w:val="Footer Char"/>
    <w:basedOn w:val="DefaultParagraphFont"/>
    <w:link w:val="Footer"/>
    <w:uiPriority w:val="99"/>
    <w:rsid w:val="0023020D"/>
  </w:style>
  <w:style w:type="character" w:styleId="FollowedHyperlink">
    <w:name w:val="FollowedHyperlink"/>
    <w:basedOn w:val="DefaultParagraphFont"/>
    <w:uiPriority w:val="99"/>
    <w:semiHidden/>
    <w:unhideWhenUsed/>
    <w:rsid w:val="007B44AB"/>
    <w:rPr>
      <w:color w:val="96607D" w:themeColor="followedHyperlink"/>
      <w:u w:val="single"/>
    </w:rPr>
  </w:style>
  <w:style w:type="table" w:styleId="TableGrid">
    <w:name w:val="Table Grid"/>
    <w:basedOn w:val="TableNormal"/>
    <w:uiPriority w:val="39"/>
    <w:rsid w:val="007B13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1059B"/>
    <w:pPr>
      <w:numPr>
        <w:numId w:val="0"/>
      </w:numPr>
      <w:spacing w:before="480" w:after="0" w:line="276" w:lineRule="auto"/>
      <w:outlineLvl w:val="9"/>
    </w:pPr>
    <w:rPr>
      <w:rFonts w:asciiTheme="majorHAnsi" w:hAnsiTheme="majorHAnsi"/>
      <w:bCs/>
      <w:color w:val="0F4761" w:themeColor="accent1" w:themeShade="BF"/>
      <w:kern w:val="0"/>
      <w:sz w:val="28"/>
      <w:szCs w:val="28"/>
      <w:lang w:val="en-US"/>
      <w14:ligatures w14:val="none"/>
    </w:rPr>
  </w:style>
  <w:style w:type="paragraph" w:styleId="TOC1">
    <w:name w:val="toc 1"/>
    <w:basedOn w:val="Normal"/>
    <w:next w:val="Normal"/>
    <w:autoRedefine/>
    <w:uiPriority w:val="39"/>
    <w:unhideWhenUsed/>
    <w:rsid w:val="00E1059B"/>
    <w:pPr>
      <w:spacing w:before="120"/>
    </w:pPr>
    <w:rPr>
      <w:b/>
      <w:bCs/>
      <w:i/>
      <w:iCs/>
    </w:rPr>
  </w:style>
  <w:style w:type="paragraph" w:styleId="TOC2">
    <w:name w:val="toc 2"/>
    <w:basedOn w:val="Normal"/>
    <w:next w:val="Normal"/>
    <w:autoRedefine/>
    <w:uiPriority w:val="39"/>
    <w:unhideWhenUsed/>
    <w:rsid w:val="00E1059B"/>
    <w:pPr>
      <w:spacing w:before="120"/>
      <w:ind w:left="240"/>
    </w:pPr>
    <w:rPr>
      <w:b/>
      <w:bCs/>
      <w:sz w:val="22"/>
      <w:szCs w:val="22"/>
    </w:rPr>
  </w:style>
  <w:style w:type="paragraph" w:styleId="TOC3">
    <w:name w:val="toc 3"/>
    <w:basedOn w:val="Normal"/>
    <w:next w:val="Normal"/>
    <w:autoRedefine/>
    <w:uiPriority w:val="39"/>
    <w:semiHidden/>
    <w:unhideWhenUsed/>
    <w:rsid w:val="00E1059B"/>
    <w:pPr>
      <w:ind w:left="480"/>
    </w:pPr>
    <w:rPr>
      <w:sz w:val="20"/>
      <w:szCs w:val="20"/>
    </w:rPr>
  </w:style>
  <w:style w:type="paragraph" w:styleId="TOC4">
    <w:name w:val="toc 4"/>
    <w:basedOn w:val="Normal"/>
    <w:next w:val="Normal"/>
    <w:autoRedefine/>
    <w:uiPriority w:val="39"/>
    <w:semiHidden/>
    <w:unhideWhenUsed/>
    <w:rsid w:val="00E1059B"/>
    <w:pPr>
      <w:ind w:left="720"/>
    </w:pPr>
    <w:rPr>
      <w:sz w:val="20"/>
      <w:szCs w:val="20"/>
    </w:rPr>
  </w:style>
  <w:style w:type="paragraph" w:styleId="TOC5">
    <w:name w:val="toc 5"/>
    <w:basedOn w:val="Normal"/>
    <w:next w:val="Normal"/>
    <w:autoRedefine/>
    <w:uiPriority w:val="39"/>
    <w:semiHidden/>
    <w:unhideWhenUsed/>
    <w:rsid w:val="00E1059B"/>
    <w:pPr>
      <w:ind w:left="960"/>
    </w:pPr>
    <w:rPr>
      <w:sz w:val="20"/>
      <w:szCs w:val="20"/>
    </w:rPr>
  </w:style>
  <w:style w:type="paragraph" w:styleId="TOC6">
    <w:name w:val="toc 6"/>
    <w:basedOn w:val="Normal"/>
    <w:next w:val="Normal"/>
    <w:autoRedefine/>
    <w:uiPriority w:val="39"/>
    <w:semiHidden/>
    <w:unhideWhenUsed/>
    <w:rsid w:val="00E1059B"/>
    <w:pPr>
      <w:ind w:left="1200"/>
    </w:pPr>
    <w:rPr>
      <w:sz w:val="20"/>
      <w:szCs w:val="20"/>
    </w:rPr>
  </w:style>
  <w:style w:type="paragraph" w:styleId="TOC7">
    <w:name w:val="toc 7"/>
    <w:basedOn w:val="Normal"/>
    <w:next w:val="Normal"/>
    <w:autoRedefine/>
    <w:uiPriority w:val="39"/>
    <w:semiHidden/>
    <w:unhideWhenUsed/>
    <w:rsid w:val="00E1059B"/>
    <w:pPr>
      <w:ind w:left="1440"/>
    </w:pPr>
    <w:rPr>
      <w:sz w:val="20"/>
      <w:szCs w:val="20"/>
    </w:rPr>
  </w:style>
  <w:style w:type="paragraph" w:styleId="TOC8">
    <w:name w:val="toc 8"/>
    <w:basedOn w:val="Normal"/>
    <w:next w:val="Normal"/>
    <w:autoRedefine/>
    <w:uiPriority w:val="39"/>
    <w:semiHidden/>
    <w:unhideWhenUsed/>
    <w:rsid w:val="00E1059B"/>
    <w:pPr>
      <w:ind w:left="1680"/>
    </w:pPr>
    <w:rPr>
      <w:sz w:val="20"/>
      <w:szCs w:val="20"/>
    </w:rPr>
  </w:style>
  <w:style w:type="paragraph" w:styleId="TOC9">
    <w:name w:val="toc 9"/>
    <w:basedOn w:val="Normal"/>
    <w:next w:val="Normal"/>
    <w:autoRedefine/>
    <w:uiPriority w:val="39"/>
    <w:semiHidden/>
    <w:unhideWhenUsed/>
    <w:rsid w:val="00E1059B"/>
    <w:pPr>
      <w:ind w:left="1920"/>
    </w:pPr>
    <w:rPr>
      <w:sz w:val="20"/>
      <w:szCs w:val="20"/>
    </w:rPr>
  </w:style>
  <w:style w:type="character" w:styleId="Emphasis">
    <w:name w:val="Emphasis"/>
    <w:basedOn w:val="DefaultParagraphFont"/>
    <w:uiPriority w:val="20"/>
    <w:qFormat/>
    <w:rsid w:val="00AE1C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93A86-29FF-8246-B586-C96CB5350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14894</Words>
  <Characters>84897</Characters>
  <Application>Microsoft Office Word</Application>
  <DocSecurity>0</DocSecurity>
  <Lines>707</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Sphurthi</dc:creator>
  <cp:keywords/>
  <dc:description/>
  <cp:lastModifiedBy>Gnana Sphurthi Kari (2229907)</cp:lastModifiedBy>
  <cp:revision>2</cp:revision>
  <dcterms:created xsi:type="dcterms:W3CDTF">2026-08-21T11:28:00Z</dcterms:created>
  <dcterms:modified xsi:type="dcterms:W3CDTF">2026-08-21T11:28:00Z</dcterms:modified>
</cp:coreProperties>
</file>