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Cs/>
          <w:caps/>
          <w:color w:val="8496B0" w:themeColor="text2" w:themeTint="99"/>
          <w:sz w:val="64"/>
          <w:szCs w:val="64"/>
          <w:lang w:eastAsia="zh-CN"/>
        </w:rPr>
        <w:id w:val="-1098247094"/>
        <w:docPartObj>
          <w:docPartGallery w:val="Cover Pages"/>
          <w:docPartUnique/>
        </w:docPartObj>
      </w:sdtPr>
      <w:sdtContent>
        <w:p w14:paraId="45857FC6" w14:textId="26D1F234" w:rsidR="00AA5DA2" w:rsidRPr="003519EC" w:rsidRDefault="00AA5DA2" w:rsidP="009C627E">
          <w:pPr>
            <w:jc w:val="both"/>
            <w:rPr>
              <w:rFonts w:eastAsiaTheme="majorEastAsia"/>
              <w:b/>
              <w:caps/>
              <w:color w:val="8496B0" w:themeColor="text2" w:themeTint="99"/>
              <w:sz w:val="64"/>
              <w:szCs w:val="64"/>
              <w:lang w:eastAsia="zh-CN"/>
            </w:rPr>
          </w:pPr>
          <w:r w:rsidRPr="003519EC">
            <w:rPr>
              <w:bCs/>
              <w:caps/>
              <w:noProof/>
              <w:color w:val="8496B0" w:themeColor="text2" w:themeTint="99"/>
              <w:sz w:val="64"/>
              <w:szCs w:val="64"/>
              <w:lang w:eastAsia="zh-CN"/>
            </w:rPr>
            <mc:AlternateContent>
              <mc:Choice Requires="wps">
                <w:drawing>
                  <wp:anchor distT="0" distB="0" distL="114300" distR="114300" simplePos="0" relativeHeight="251659264" behindDoc="0" locked="0" layoutInCell="1" allowOverlap="1" wp14:anchorId="51C01CFB" wp14:editId="6F2F5C9E">
                    <wp:simplePos x="0" y="0"/>
                    <wp:positionH relativeFrom="page">
                      <wp:align>center</wp:align>
                    </wp:positionH>
                    <wp:positionV relativeFrom="page">
                      <wp:align>center</wp:align>
                    </wp:positionV>
                    <wp:extent cx="1712890" cy="8265600"/>
                    <wp:effectExtent l="0" t="0" r="0" b="2540"/>
                    <wp:wrapNone/>
                    <wp:docPr id="138" name="Text Box 30"/>
                    <wp:cNvGraphicFramePr/>
                    <a:graphic xmlns:a="http://schemas.openxmlformats.org/drawingml/2006/main">
                      <a:graphicData uri="http://schemas.microsoft.com/office/word/2010/wordprocessingShape">
                        <wps:wsp>
                          <wps:cNvSpPr txBox="1"/>
                          <wps:spPr>
                            <a:xfrm>
                              <a:off x="0" y="0"/>
                              <a:ext cx="1712890" cy="82656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04"/>
                                  <w:gridCol w:w="2427"/>
                                </w:tblGrid>
                                <w:tr w:rsidR="00AA5DA2" w14:paraId="5117E92D" w14:textId="77777777">
                                  <w:trPr>
                                    <w:jc w:val="center"/>
                                  </w:trPr>
                                  <w:tc>
                                    <w:tcPr>
                                      <w:tcW w:w="2568" w:type="pct"/>
                                      <w:vAlign w:val="center"/>
                                    </w:tcPr>
                                    <w:p w14:paraId="2D839896" w14:textId="5FEF67AD" w:rsidR="00AA5DA2" w:rsidRDefault="00AA5DA2">
                                      <w:pPr>
                                        <w:jc w:val="right"/>
                                      </w:pPr>
                                      <w:r>
                                        <w:fldChar w:fldCharType="begin"/>
                                      </w:r>
                                      <w:r>
                                        <w:instrText xml:space="preserve"> INCLUDEPICTURE "https://encrypted-tbn0.gstatic.com/images?q=tbn:ANd9GcTrmgosvMOCNWfTMwHIbKO-TIsmn6bFaGXCOg&amp;usqp=CAU" \* MERGEFORMATINET </w:instrText>
                                      </w:r>
                                      <w:r>
                                        <w:fldChar w:fldCharType="separate"/>
                                      </w:r>
                                      <w:r>
                                        <w:rPr>
                                          <w:noProof/>
                                        </w:rPr>
                                        <w:drawing>
                                          <wp:inline distT="0" distB="0" distL="0" distR="0" wp14:anchorId="21F441DC" wp14:editId="3AA17AC3">
                                            <wp:extent cx="3291840" cy="2465070"/>
                                            <wp:effectExtent l="0" t="0" r="0" b="0"/>
                                            <wp:docPr id="430664990" name="Picture 430664990" descr="SSE forecasts profits of nearly £1bn as gas prices soar | SS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SSE forecasts profits of nearly £1bn as gas prices soar | SSE | The Guardi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1840" cy="2465070"/>
                                                    </a:xfrm>
                                                    <a:prstGeom prst="rect">
                                                      <a:avLst/>
                                                    </a:prstGeom>
                                                    <a:noFill/>
                                                    <a:ln>
                                                      <a:noFill/>
                                                    </a:ln>
                                                  </pic:spPr>
                                                </pic:pic>
                                              </a:graphicData>
                                            </a:graphic>
                                          </wp:inline>
                                        </w:drawing>
                                      </w:r>
                                      <w:r>
                                        <w:fldChar w:fldCharType="end"/>
                                      </w:r>
                                    </w:p>
                                    <w:p w14:paraId="7DEE9CC4" w14:textId="177B2E38" w:rsidR="0073122D" w:rsidRPr="0073122D" w:rsidRDefault="0073122D" w:rsidP="0073122D">
                                      <w:pPr>
                                        <w:pStyle w:val="NoSpacing"/>
                                        <w:jc w:val="right"/>
                                        <w:rPr>
                                          <w:b/>
                                          <w:bCs/>
                                          <w:sz w:val="72"/>
                                          <w:szCs w:val="72"/>
                                          <w:lang w:val="en-GB"/>
                                        </w:rPr>
                                      </w:pPr>
                                      <w:sdt>
                                        <w:sdtPr>
                                          <w:rPr>
                                            <w:rFonts w:ascii="Segoe UI" w:eastAsia="Times New Roman" w:hAnsi="Segoe UI" w:cs="Segoe UI"/>
                                            <w:b/>
                                            <w:bCs/>
                                            <w:color w:val="1D2125"/>
                                            <w:kern w:val="36"/>
                                            <w:sz w:val="48"/>
                                            <w:szCs w:val="48"/>
                                            <w:lang w:eastAsia="en-GB"/>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asciiTheme="minorHAnsi" w:eastAsiaTheme="minorEastAsia" w:hAnsiTheme="minorHAnsi" w:cstheme="minorBidi"/>
                                            <w:color w:val="auto"/>
                                            <w:kern w:val="0"/>
                                            <w:sz w:val="72"/>
                                            <w:szCs w:val="72"/>
                                            <w:lang w:val="en-GB" w:eastAsia="zh-CN"/>
                                          </w:rPr>
                                        </w:sdtEndPr>
                                        <w:sdtContent>
                                          <w:r>
                                            <w:rPr>
                                              <w:rFonts w:ascii="Segoe UI" w:eastAsia="Times New Roman" w:hAnsi="Segoe UI" w:cs="Segoe UI"/>
                                              <w:b/>
                                              <w:bCs/>
                                              <w:color w:val="1D2125"/>
                                              <w:kern w:val="36"/>
                                              <w:sz w:val="48"/>
                                              <w:szCs w:val="48"/>
                                              <w:lang w:eastAsia="en-GB"/>
                                            </w:rPr>
                                            <w:t xml:space="preserve">     </w:t>
                                          </w:r>
                                        </w:sdtContent>
                                      </w:sdt>
                                      <w:r w:rsidRPr="0073122D">
                                        <w:rPr>
                                          <w:b/>
                                          <w:bCs/>
                                          <w:sz w:val="56"/>
                                          <w:szCs w:val="56"/>
                                          <w:lang w:val="en-GB"/>
                                        </w:rPr>
                                        <w:t>Global Business Challenges (BMMB7006D)</w:t>
                                      </w:r>
                                    </w:p>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E5F282A" w14:textId="4600FCB8" w:rsidR="00AA5DA2" w:rsidRDefault="00AA5DA2">
                                          <w:pPr>
                                            <w:jc w:val="right"/>
                                          </w:pPr>
                                          <w:r>
                                            <w:rPr>
                                              <w:color w:val="000000" w:themeColor="text1"/>
                                            </w:rPr>
                                            <w:t>Strategic Assessment of Southern and Scottish Energy (SSE): Navigating a Transformative Energy Landscape</w:t>
                                          </w:r>
                                        </w:p>
                                      </w:sdtContent>
                                    </w:sdt>
                                  </w:tc>
                                  <w:tc>
                                    <w:tcPr>
                                      <w:tcW w:w="2432" w:type="pct"/>
                                      <w:vAlign w:val="center"/>
                                    </w:tcPr>
                                    <w:p w14:paraId="6D065E09" w14:textId="1CDA69F6" w:rsidR="00F01DE4" w:rsidRPr="00F01DE4" w:rsidRDefault="00F01DE4" w:rsidP="00F01DE4">
                                      <w:pPr>
                                        <w:pStyle w:val="NoSpacing"/>
                                        <w:rPr>
                                          <w:caps/>
                                          <w:color w:val="ED7D31" w:themeColor="accent2"/>
                                          <w:sz w:val="26"/>
                                          <w:szCs w:val="26"/>
                                        </w:rPr>
                                      </w:pPr>
                                      <w:r>
                                        <w:rPr>
                                          <w:caps/>
                                          <w:color w:val="ED7D31" w:themeColor="accent2"/>
                                          <w:sz w:val="26"/>
                                          <w:szCs w:val="26"/>
                                        </w:rPr>
                                        <w:t>PURPOSE</w:t>
                                      </w:r>
                                    </w:p>
                                    <w:p w14:paraId="359927AF" w14:textId="1A165D06" w:rsidR="008C6220" w:rsidRDefault="00F01DE4" w:rsidP="00F01DE4">
                                      <w:pPr>
                                        <w:pStyle w:val="NoSpacing"/>
                                        <w:rPr>
                                          <w:rFonts w:ascii="Times New Roman" w:eastAsia="Times New Roman" w:hAnsi="Times New Roman" w:cs="Times New Roman"/>
                                          <w:color w:val="000000" w:themeColor="text1"/>
                                          <w:sz w:val="24"/>
                                          <w:szCs w:val="24"/>
                                          <w:lang w:val="en-GB" w:eastAsia="en-GB"/>
                                        </w:rPr>
                                      </w:pPr>
                                      <w:r w:rsidRPr="00F01DE4">
                                        <w:rPr>
                                          <w:rFonts w:ascii="Times New Roman" w:eastAsia="Times New Roman" w:hAnsi="Times New Roman" w:cs="Times New Roman"/>
                                          <w:color w:val="000000" w:themeColor="text1"/>
                                          <w:sz w:val="24"/>
                                          <w:szCs w:val="24"/>
                                          <w:lang w:val="en-GB" w:eastAsia="en-GB"/>
                                        </w:rPr>
                                        <w:t xml:space="preserve">This report </w:t>
                                      </w:r>
                                      <w:r w:rsidRPr="00F01DE4">
                                        <w:rPr>
                                          <w:rFonts w:ascii="Times New Roman" w:eastAsia="Times New Roman" w:hAnsi="Times New Roman" w:cs="Times New Roman"/>
                                          <w:color w:val="000000" w:themeColor="text1"/>
                                          <w:sz w:val="24"/>
                                          <w:szCs w:val="24"/>
                                          <w:lang w:val="en-GB" w:eastAsia="en-GB"/>
                                        </w:rPr>
                                        <w:t>analyses</w:t>
                                      </w:r>
                                      <w:r w:rsidRPr="00F01DE4">
                                        <w:rPr>
                                          <w:rFonts w:ascii="Times New Roman" w:eastAsia="Times New Roman" w:hAnsi="Times New Roman" w:cs="Times New Roman"/>
                                          <w:color w:val="000000" w:themeColor="text1"/>
                                          <w:sz w:val="24"/>
                                          <w:szCs w:val="24"/>
                                          <w:lang w:val="en-GB" w:eastAsia="en-GB"/>
                                        </w:rPr>
                                        <w:t xml:space="preserve"> Southern and Scottish Energy (SSE) using PESTEL, Porter's Five Forces, and SWOT analyses to understand its competitive environment and influencing factors. It provides strategic recommendations to guide SSE's future direction in the energy sector.</w:t>
                                      </w:r>
                                    </w:p>
                                    <w:p w14:paraId="54CD6B97" w14:textId="180FEA38" w:rsidR="00AA5DA2" w:rsidRPr="008C6220" w:rsidRDefault="00000000">
                                      <w:pPr>
                                        <w:pStyle w:val="NoSpacing"/>
                                        <w:rPr>
                                          <w:b/>
                                          <w:bCs/>
                                          <w:color w:val="ED7D31" w:themeColor="accent2"/>
                                          <w:sz w:val="26"/>
                                          <w:szCs w:val="26"/>
                                        </w:rPr>
                                      </w:pPr>
                                      <w:sdt>
                                        <w:sdtPr>
                                          <w:rPr>
                                            <w:b/>
                                            <w:bCs/>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AA5DA2" w:rsidRPr="008C6220">
                                            <w:rPr>
                                              <w:b/>
                                              <w:bCs/>
                                              <w:color w:val="ED7D31" w:themeColor="accent2"/>
                                              <w:sz w:val="26"/>
                                              <w:szCs w:val="26"/>
                                            </w:rPr>
                                            <w:t>Joshua Depiver (2307234)</w:t>
                                          </w:r>
                                        </w:sdtContent>
                                      </w:sdt>
                                    </w:p>
                                    <w:p w14:paraId="67A5721E" w14:textId="7AEB6556" w:rsidR="00AA5DA2" w:rsidRDefault="0073122D">
                                      <w:pPr>
                                        <w:pStyle w:val="NoSpacing"/>
                                      </w:pPr>
                                      <w:sdt>
                                        <w:sdtPr>
                                          <w:rPr>
                                            <w:b/>
                                            <w:b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73122D">
                                            <w:rPr>
                                              <w:b/>
                                              <w:bCs/>
                                              <w:color w:val="44546A" w:themeColor="text2"/>
                                            </w:rPr>
                                            <w:t>Tutors Name: Anthony Burns</w:t>
                                          </w:r>
                                        </w:sdtContent>
                                      </w:sdt>
                                    </w:p>
                                  </w:tc>
                                </w:tr>
                              </w:tbl>
                              <w:p w14:paraId="1D593BFE" w14:textId="77777777" w:rsidR="00AA5DA2" w:rsidRDefault="00AA5DA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1C01CFB" id="_x0000_t202" coordsize="21600,21600" o:spt="202" path="m,l,21600r21600,l21600,xe">
                    <v:stroke joinstyle="miter"/>
                    <v:path gradientshapeok="t" o:connecttype="rect"/>
                  </v:shapetype>
                  <v:shape id="Text Box 30" o:spid="_x0000_s1026" type="#_x0000_t202" style="position:absolute;left:0;text-align:left;margin-left:0;margin-top:0;width:134.85pt;height:650.85pt;z-index:251659264;visibility:visible;mso-wrap-style:square;mso-width-percent:941;mso-height-percent:0;mso-wrap-distance-left:9pt;mso-wrap-distance-top:0;mso-wrap-distance-right:9pt;mso-wrap-distance-bottom:0;mso-position-horizontal:center;mso-position-horizontal-relative:page;mso-position-vertical:center;mso-position-vertical-relative:page;mso-width-percent:941;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04"/>
                            <w:gridCol w:w="2427"/>
                          </w:tblGrid>
                          <w:tr w:rsidR="00AA5DA2" w14:paraId="5117E92D" w14:textId="77777777">
                            <w:trPr>
                              <w:jc w:val="center"/>
                            </w:trPr>
                            <w:tc>
                              <w:tcPr>
                                <w:tcW w:w="2568" w:type="pct"/>
                                <w:vAlign w:val="center"/>
                              </w:tcPr>
                              <w:p w14:paraId="2D839896" w14:textId="5FEF67AD" w:rsidR="00AA5DA2" w:rsidRDefault="00AA5DA2">
                                <w:pPr>
                                  <w:jc w:val="right"/>
                                </w:pPr>
                                <w:r>
                                  <w:fldChar w:fldCharType="begin"/>
                                </w:r>
                                <w:r>
                                  <w:instrText xml:space="preserve"> INCLUDEPICTURE "https://encrypted-tbn0.gstatic.com/images?q=tbn:ANd9GcTrmgosvMOCNWfTMwHIbKO-TIsmn6bFaGXCOg&amp;usqp=CAU" \* MERGEFORMATINET </w:instrText>
                                </w:r>
                                <w:r>
                                  <w:fldChar w:fldCharType="separate"/>
                                </w:r>
                                <w:r>
                                  <w:rPr>
                                    <w:noProof/>
                                  </w:rPr>
                                  <w:drawing>
                                    <wp:inline distT="0" distB="0" distL="0" distR="0" wp14:anchorId="21F441DC" wp14:editId="3AA17AC3">
                                      <wp:extent cx="3291840" cy="2465070"/>
                                      <wp:effectExtent l="0" t="0" r="0" b="0"/>
                                      <wp:docPr id="430664990" name="Picture 430664990" descr="SSE forecasts profits of nearly £1bn as gas prices soar | SS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SSE forecasts profits of nearly £1bn as gas prices soar | SSE | The Guardi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1840" cy="2465070"/>
                                              </a:xfrm>
                                              <a:prstGeom prst="rect">
                                                <a:avLst/>
                                              </a:prstGeom>
                                              <a:noFill/>
                                              <a:ln>
                                                <a:noFill/>
                                              </a:ln>
                                            </pic:spPr>
                                          </pic:pic>
                                        </a:graphicData>
                                      </a:graphic>
                                    </wp:inline>
                                  </w:drawing>
                                </w:r>
                                <w:r>
                                  <w:fldChar w:fldCharType="end"/>
                                </w:r>
                              </w:p>
                              <w:p w14:paraId="7DEE9CC4" w14:textId="177B2E38" w:rsidR="0073122D" w:rsidRPr="0073122D" w:rsidRDefault="0073122D" w:rsidP="0073122D">
                                <w:pPr>
                                  <w:pStyle w:val="NoSpacing"/>
                                  <w:jc w:val="right"/>
                                  <w:rPr>
                                    <w:b/>
                                    <w:bCs/>
                                    <w:sz w:val="72"/>
                                    <w:szCs w:val="72"/>
                                    <w:lang w:val="en-GB"/>
                                  </w:rPr>
                                </w:pPr>
                                <w:sdt>
                                  <w:sdtPr>
                                    <w:rPr>
                                      <w:rFonts w:ascii="Segoe UI" w:eastAsia="Times New Roman" w:hAnsi="Segoe UI" w:cs="Segoe UI"/>
                                      <w:b/>
                                      <w:bCs/>
                                      <w:color w:val="1D2125"/>
                                      <w:kern w:val="36"/>
                                      <w:sz w:val="48"/>
                                      <w:szCs w:val="48"/>
                                      <w:lang w:eastAsia="en-GB"/>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asciiTheme="minorHAnsi" w:eastAsiaTheme="minorEastAsia" w:hAnsiTheme="minorHAnsi" w:cstheme="minorBidi"/>
                                      <w:color w:val="auto"/>
                                      <w:kern w:val="0"/>
                                      <w:sz w:val="72"/>
                                      <w:szCs w:val="72"/>
                                      <w:lang w:val="en-GB" w:eastAsia="zh-CN"/>
                                    </w:rPr>
                                  </w:sdtEndPr>
                                  <w:sdtContent>
                                    <w:r>
                                      <w:rPr>
                                        <w:rFonts w:ascii="Segoe UI" w:eastAsia="Times New Roman" w:hAnsi="Segoe UI" w:cs="Segoe UI"/>
                                        <w:b/>
                                        <w:bCs/>
                                        <w:color w:val="1D2125"/>
                                        <w:kern w:val="36"/>
                                        <w:sz w:val="48"/>
                                        <w:szCs w:val="48"/>
                                        <w:lang w:eastAsia="en-GB"/>
                                      </w:rPr>
                                      <w:t xml:space="preserve">     </w:t>
                                    </w:r>
                                  </w:sdtContent>
                                </w:sdt>
                                <w:r w:rsidRPr="0073122D">
                                  <w:rPr>
                                    <w:b/>
                                    <w:bCs/>
                                    <w:sz w:val="56"/>
                                    <w:szCs w:val="56"/>
                                    <w:lang w:val="en-GB"/>
                                  </w:rPr>
                                  <w:t>Global Business Challenges (BMMB7006D)</w:t>
                                </w:r>
                              </w:p>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E5F282A" w14:textId="4600FCB8" w:rsidR="00AA5DA2" w:rsidRDefault="00AA5DA2">
                                    <w:pPr>
                                      <w:jc w:val="right"/>
                                    </w:pPr>
                                    <w:r>
                                      <w:rPr>
                                        <w:color w:val="000000" w:themeColor="text1"/>
                                      </w:rPr>
                                      <w:t>Strategic Assessment of Southern and Scottish Energy (SSE): Navigating a Transformative Energy Landscape</w:t>
                                    </w:r>
                                  </w:p>
                                </w:sdtContent>
                              </w:sdt>
                            </w:tc>
                            <w:tc>
                              <w:tcPr>
                                <w:tcW w:w="2432" w:type="pct"/>
                                <w:vAlign w:val="center"/>
                              </w:tcPr>
                              <w:p w14:paraId="6D065E09" w14:textId="1CDA69F6" w:rsidR="00F01DE4" w:rsidRPr="00F01DE4" w:rsidRDefault="00F01DE4" w:rsidP="00F01DE4">
                                <w:pPr>
                                  <w:pStyle w:val="NoSpacing"/>
                                  <w:rPr>
                                    <w:caps/>
                                    <w:color w:val="ED7D31" w:themeColor="accent2"/>
                                    <w:sz w:val="26"/>
                                    <w:szCs w:val="26"/>
                                  </w:rPr>
                                </w:pPr>
                                <w:r>
                                  <w:rPr>
                                    <w:caps/>
                                    <w:color w:val="ED7D31" w:themeColor="accent2"/>
                                    <w:sz w:val="26"/>
                                    <w:szCs w:val="26"/>
                                  </w:rPr>
                                  <w:t>PURPOSE</w:t>
                                </w:r>
                              </w:p>
                              <w:p w14:paraId="359927AF" w14:textId="1A165D06" w:rsidR="008C6220" w:rsidRDefault="00F01DE4" w:rsidP="00F01DE4">
                                <w:pPr>
                                  <w:pStyle w:val="NoSpacing"/>
                                  <w:rPr>
                                    <w:rFonts w:ascii="Times New Roman" w:eastAsia="Times New Roman" w:hAnsi="Times New Roman" w:cs="Times New Roman"/>
                                    <w:color w:val="000000" w:themeColor="text1"/>
                                    <w:sz w:val="24"/>
                                    <w:szCs w:val="24"/>
                                    <w:lang w:val="en-GB" w:eastAsia="en-GB"/>
                                  </w:rPr>
                                </w:pPr>
                                <w:r w:rsidRPr="00F01DE4">
                                  <w:rPr>
                                    <w:rFonts w:ascii="Times New Roman" w:eastAsia="Times New Roman" w:hAnsi="Times New Roman" w:cs="Times New Roman"/>
                                    <w:color w:val="000000" w:themeColor="text1"/>
                                    <w:sz w:val="24"/>
                                    <w:szCs w:val="24"/>
                                    <w:lang w:val="en-GB" w:eastAsia="en-GB"/>
                                  </w:rPr>
                                  <w:t xml:space="preserve">This report </w:t>
                                </w:r>
                                <w:r w:rsidRPr="00F01DE4">
                                  <w:rPr>
                                    <w:rFonts w:ascii="Times New Roman" w:eastAsia="Times New Roman" w:hAnsi="Times New Roman" w:cs="Times New Roman"/>
                                    <w:color w:val="000000" w:themeColor="text1"/>
                                    <w:sz w:val="24"/>
                                    <w:szCs w:val="24"/>
                                    <w:lang w:val="en-GB" w:eastAsia="en-GB"/>
                                  </w:rPr>
                                  <w:t>analyses</w:t>
                                </w:r>
                                <w:r w:rsidRPr="00F01DE4">
                                  <w:rPr>
                                    <w:rFonts w:ascii="Times New Roman" w:eastAsia="Times New Roman" w:hAnsi="Times New Roman" w:cs="Times New Roman"/>
                                    <w:color w:val="000000" w:themeColor="text1"/>
                                    <w:sz w:val="24"/>
                                    <w:szCs w:val="24"/>
                                    <w:lang w:val="en-GB" w:eastAsia="en-GB"/>
                                  </w:rPr>
                                  <w:t xml:space="preserve"> Southern and Scottish Energy (SSE) using PESTEL, Porter's Five Forces, and SWOT analyses to understand its competitive environment and influencing factors. It provides strategic recommendations to guide SSE's future direction in the energy sector.</w:t>
                                </w:r>
                              </w:p>
                              <w:p w14:paraId="54CD6B97" w14:textId="180FEA38" w:rsidR="00AA5DA2" w:rsidRPr="008C6220" w:rsidRDefault="00000000">
                                <w:pPr>
                                  <w:pStyle w:val="NoSpacing"/>
                                  <w:rPr>
                                    <w:b/>
                                    <w:bCs/>
                                    <w:color w:val="ED7D31" w:themeColor="accent2"/>
                                    <w:sz w:val="26"/>
                                    <w:szCs w:val="26"/>
                                  </w:rPr>
                                </w:pPr>
                                <w:sdt>
                                  <w:sdtPr>
                                    <w:rPr>
                                      <w:b/>
                                      <w:bCs/>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AA5DA2" w:rsidRPr="008C6220">
                                      <w:rPr>
                                        <w:b/>
                                        <w:bCs/>
                                        <w:color w:val="ED7D31" w:themeColor="accent2"/>
                                        <w:sz w:val="26"/>
                                        <w:szCs w:val="26"/>
                                      </w:rPr>
                                      <w:t>Joshua Depiver (2307234)</w:t>
                                    </w:r>
                                  </w:sdtContent>
                                </w:sdt>
                              </w:p>
                              <w:p w14:paraId="67A5721E" w14:textId="7AEB6556" w:rsidR="00AA5DA2" w:rsidRDefault="0073122D">
                                <w:pPr>
                                  <w:pStyle w:val="NoSpacing"/>
                                </w:pPr>
                                <w:sdt>
                                  <w:sdtPr>
                                    <w:rPr>
                                      <w:b/>
                                      <w:b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73122D">
                                      <w:rPr>
                                        <w:b/>
                                        <w:bCs/>
                                        <w:color w:val="44546A" w:themeColor="text2"/>
                                      </w:rPr>
                                      <w:t>Tutors Name: Anthony Burns</w:t>
                                    </w:r>
                                  </w:sdtContent>
                                </w:sdt>
                              </w:p>
                            </w:tc>
                          </w:tr>
                        </w:tbl>
                        <w:p w14:paraId="1D593BFE" w14:textId="77777777" w:rsidR="00AA5DA2" w:rsidRDefault="00AA5DA2"/>
                      </w:txbxContent>
                    </v:textbox>
                    <w10:wrap anchorx="page" anchory="page"/>
                  </v:shape>
                </w:pict>
              </mc:Fallback>
            </mc:AlternateContent>
          </w:r>
          <w:r w:rsidRPr="003519EC">
            <w:rPr>
              <w:bCs/>
              <w:caps/>
              <w:color w:val="8496B0" w:themeColor="text2" w:themeTint="99"/>
              <w:sz w:val="64"/>
              <w:szCs w:val="64"/>
              <w:lang w:eastAsia="zh-CN"/>
            </w:rPr>
            <w:br w:type="page"/>
          </w:r>
        </w:p>
      </w:sdtContent>
    </w:sdt>
    <w:sdt>
      <w:sdtPr>
        <w:rPr>
          <w:rFonts w:ascii="Times New Roman" w:eastAsiaTheme="minorHAnsi" w:hAnsi="Times New Roman" w:cs="Times New Roman"/>
          <w:b w:val="0"/>
          <w:bCs w:val="0"/>
          <w:color w:val="auto"/>
          <w:kern w:val="2"/>
          <w:sz w:val="24"/>
          <w:szCs w:val="24"/>
          <w:lang w:val="en-GB" w:eastAsia="en-GB"/>
          <w14:ligatures w14:val="standardContextual"/>
        </w:rPr>
        <w:id w:val="-2138944366"/>
        <w:docPartObj>
          <w:docPartGallery w:val="Table of Contents"/>
          <w:docPartUnique/>
        </w:docPartObj>
      </w:sdtPr>
      <w:sdtEndPr>
        <w:rPr>
          <w:rFonts w:eastAsia="Times New Roman"/>
          <w:noProof/>
          <w:kern w:val="0"/>
          <w14:ligatures w14:val="none"/>
        </w:rPr>
      </w:sdtEndPr>
      <w:sdtContent>
        <w:p w14:paraId="4650551B" w14:textId="6E3D6CD8" w:rsidR="00C73A18" w:rsidRPr="003519EC" w:rsidRDefault="00C73A18" w:rsidP="009C627E">
          <w:pPr>
            <w:pStyle w:val="TOCHeading"/>
            <w:jc w:val="both"/>
            <w:rPr>
              <w:rFonts w:ascii="Times New Roman" w:hAnsi="Times New Roman" w:cs="Times New Roman"/>
              <w:lang w:val="en-GB"/>
            </w:rPr>
          </w:pPr>
          <w:r w:rsidRPr="003519EC">
            <w:rPr>
              <w:rFonts w:ascii="Times New Roman" w:hAnsi="Times New Roman" w:cs="Times New Roman"/>
              <w:lang w:val="en-GB"/>
            </w:rPr>
            <w:t>Table of Contents</w:t>
          </w:r>
        </w:p>
        <w:p w14:paraId="23E64393" w14:textId="4CE73645" w:rsidR="00457146" w:rsidRDefault="00C73A18">
          <w:pPr>
            <w:pStyle w:val="TOC1"/>
            <w:tabs>
              <w:tab w:val="right" w:leader="dot" w:pos="9016"/>
            </w:tabs>
            <w:rPr>
              <w:rFonts w:eastAsiaTheme="minorEastAsia" w:cstheme="minorBidi"/>
              <w:b w:val="0"/>
              <w:bCs w:val="0"/>
              <w:i w:val="0"/>
              <w:iCs w:val="0"/>
              <w:noProof/>
              <w:lang w:eastAsia="en-GB"/>
            </w:rPr>
          </w:pPr>
          <w:r w:rsidRPr="003519EC">
            <w:rPr>
              <w:rFonts w:ascii="Times New Roman" w:hAnsi="Times New Roman" w:cs="Times New Roman"/>
              <w:b w:val="0"/>
              <w:bCs w:val="0"/>
            </w:rPr>
            <w:fldChar w:fldCharType="begin"/>
          </w:r>
          <w:r w:rsidRPr="003519EC">
            <w:rPr>
              <w:rFonts w:ascii="Times New Roman" w:hAnsi="Times New Roman" w:cs="Times New Roman"/>
            </w:rPr>
            <w:instrText xml:space="preserve"> TOC \o "1-3" \h \z \u </w:instrText>
          </w:r>
          <w:r w:rsidRPr="003519EC">
            <w:rPr>
              <w:rFonts w:ascii="Times New Roman" w:hAnsi="Times New Roman" w:cs="Times New Roman"/>
              <w:b w:val="0"/>
              <w:bCs w:val="0"/>
            </w:rPr>
            <w:fldChar w:fldCharType="separate"/>
          </w:r>
          <w:hyperlink w:anchor="_Toc151511019" w:history="1">
            <w:r w:rsidR="00457146" w:rsidRPr="002A780A">
              <w:rPr>
                <w:rStyle w:val="Hyperlink"/>
                <w:rFonts w:ascii="Times New Roman" w:hAnsi="Times New Roman" w:cs="Times New Roman"/>
                <w:noProof/>
              </w:rPr>
              <w:t>1.0 Executive Summary</w:t>
            </w:r>
            <w:r w:rsidR="00457146">
              <w:rPr>
                <w:noProof/>
                <w:webHidden/>
              </w:rPr>
              <w:tab/>
            </w:r>
            <w:r w:rsidR="00457146">
              <w:rPr>
                <w:noProof/>
                <w:webHidden/>
              </w:rPr>
              <w:fldChar w:fldCharType="begin"/>
            </w:r>
            <w:r w:rsidR="00457146">
              <w:rPr>
                <w:noProof/>
                <w:webHidden/>
              </w:rPr>
              <w:instrText xml:space="preserve"> PAGEREF _Toc151511019 \h </w:instrText>
            </w:r>
            <w:r w:rsidR="00457146">
              <w:rPr>
                <w:noProof/>
                <w:webHidden/>
              </w:rPr>
            </w:r>
            <w:r w:rsidR="00457146">
              <w:rPr>
                <w:noProof/>
                <w:webHidden/>
              </w:rPr>
              <w:fldChar w:fldCharType="separate"/>
            </w:r>
            <w:r w:rsidR="00457146">
              <w:rPr>
                <w:noProof/>
                <w:webHidden/>
              </w:rPr>
              <w:t>3</w:t>
            </w:r>
            <w:r w:rsidR="00457146">
              <w:rPr>
                <w:noProof/>
                <w:webHidden/>
              </w:rPr>
              <w:fldChar w:fldCharType="end"/>
            </w:r>
          </w:hyperlink>
        </w:p>
        <w:p w14:paraId="53BB2A27" w14:textId="132B24F5" w:rsidR="00457146" w:rsidRDefault="00457146">
          <w:pPr>
            <w:pStyle w:val="TOC1"/>
            <w:tabs>
              <w:tab w:val="right" w:leader="dot" w:pos="9016"/>
            </w:tabs>
            <w:rPr>
              <w:rFonts w:eastAsiaTheme="minorEastAsia" w:cstheme="minorBidi"/>
              <w:b w:val="0"/>
              <w:bCs w:val="0"/>
              <w:i w:val="0"/>
              <w:iCs w:val="0"/>
              <w:noProof/>
              <w:lang w:eastAsia="en-GB"/>
            </w:rPr>
          </w:pPr>
          <w:hyperlink w:anchor="_Toc151511020" w:history="1">
            <w:r w:rsidRPr="002A780A">
              <w:rPr>
                <w:rStyle w:val="Hyperlink"/>
                <w:rFonts w:ascii="Times New Roman" w:hAnsi="Times New Roman" w:cs="Times New Roman"/>
                <w:noProof/>
              </w:rPr>
              <w:t>2.0. Introduction: An Overview of SSE and the Evolving Energy Industry</w:t>
            </w:r>
            <w:r>
              <w:rPr>
                <w:noProof/>
                <w:webHidden/>
              </w:rPr>
              <w:tab/>
            </w:r>
            <w:r>
              <w:rPr>
                <w:noProof/>
                <w:webHidden/>
              </w:rPr>
              <w:fldChar w:fldCharType="begin"/>
            </w:r>
            <w:r>
              <w:rPr>
                <w:noProof/>
                <w:webHidden/>
              </w:rPr>
              <w:instrText xml:space="preserve"> PAGEREF _Toc151511020 \h </w:instrText>
            </w:r>
            <w:r>
              <w:rPr>
                <w:noProof/>
                <w:webHidden/>
              </w:rPr>
            </w:r>
            <w:r>
              <w:rPr>
                <w:noProof/>
                <w:webHidden/>
              </w:rPr>
              <w:fldChar w:fldCharType="separate"/>
            </w:r>
            <w:r>
              <w:rPr>
                <w:noProof/>
                <w:webHidden/>
              </w:rPr>
              <w:t>3</w:t>
            </w:r>
            <w:r>
              <w:rPr>
                <w:noProof/>
                <w:webHidden/>
              </w:rPr>
              <w:fldChar w:fldCharType="end"/>
            </w:r>
          </w:hyperlink>
        </w:p>
        <w:p w14:paraId="4E4D0C82" w14:textId="6B79D902" w:rsidR="00457146" w:rsidRDefault="00457146">
          <w:pPr>
            <w:pStyle w:val="TOC2"/>
            <w:tabs>
              <w:tab w:val="right" w:leader="dot" w:pos="9016"/>
            </w:tabs>
            <w:rPr>
              <w:rFonts w:eastAsiaTheme="minorEastAsia" w:cstheme="minorBidi"/>
              <w:b w:val="0"/>
              <w:bCs w:val="0"/>
              <w:noProof/>
              <w:sz w:val="24"/>
              <w:szCs w:val="24"/>
              <w:lang w:eastAsia="en-GB"/>
            </w:rPr>
          </w:pPr>
          <w:hyperlink w:anchor="_Toc151511021" w:history="1">
            <w:r w:rsidRPr="002A780A">
              <w:rPr>
                <w:rStyle w:val="Hyperlink"/>
                <w:rFonts w:ascii="Times New Roman" w:hAnsi="Times New Roman" w:cs="Times New Roman"/>
                <w:noProof/>
              </w:rPr>
              <w:t>2.1 Background and Context</w:t>
            </w:r>
            <w:r>
              <w:rPr>
                <w:noProof/>
                <w:webHidden/>
              </w:rPr>
              <w:tab/>
            </w:r>
            <w:r>
              <w:rPr>
                <w:noProof/>
                <w:webHidden/>
              </w:rPr>
              <w:fldChar w:fldCharType="begin"/>
            </w:r>
            <w:r>
              <w:rPr>
                <w:noProof/>
                <w:webHidden/>
              </w:rPr>
              <w:instrText xml:space="preserve"> PAGEREF _Toc151511021 \h </w:instrText>
            </w:r>
            <w:r>
              <w:rPr>
                <w:noProof/>
                <w:webHidden/>
              </w:rPr>
            </w:r>
            <w:r>
              <w:rPr>
                <w:noProof/>
                <w:webHidden/>
              </w:rPr>
              <w:fldChar w:fldCharType="separate"/>
            </w:r>
            <w:r>
              <w:rPr>
                <w:noProof/>
                <w:webHidden/>
              </w:rPr>
              <w:t>3</w:t>
            </w:r>
            <w:r>
              <w:rPr>
                <w:noProof/>
                <w:webHidden/>
              </w:rPr>
              <w:fldChar w:fldCharType="end"/>
            </w:r>
          </w:hyperlink>
        </w:p>
        <w:p w14:paraId="7CE5B81B" w14:textId="1766B27E" w:rsidR="00457146" w:rsidRDefault="00457146">
          <w:pPr>
            <w:pStyle w:val="TOC2"/>
            <w:tabs>
              <w:tab w:val="right" w:leader="dot" w:pos="9016"/>
            </w:tabs>
            <w:rPr>
              <w:rFonts w:eastAsiaTheme="minorEastAsia" w:cstheme="minorBidi"/>
              <w:b w:val="0"/>
              <w:bCs w:val="0"/>
              <w:noProof/>
              <w:sz w:val="24"/>
              <w:szCs w:val="24"/>
              <w:lang w:eastAsia="en-GB"/>
            </w:rPr>
          </w:pPr>
          <w:hyperlink w:anchor="_Toc151511022" w:history="1">
            <w:r w:rsidRPr="002A780A">
              <w:rPr>
                <w:rStyle w:val="Hyperlink"/>
                <w:rFonts w:ascii="Times New Roman" w:hAnsi="Times New Roman" w:cs="Times New Roman"/>
                <w:noProof/>
              </w:rPr>
              <w:t>2.2 Scope and Importance</w:t>
            </w:r>
            <w:r>
              <w:rPr>
                <w:noProof/>
                <w:webHidden/>
              </w:rPr>
              <w:tab/>
            </w:r>
            <w:r>
              <w:rPr>
                <w:noProof/>
                <w:webHidden/>
              </w:rPr>
              <w:fldChar w:fldCharType="begin"/>
            </w:r>
            <w:r>
              <w:rPr>
                <w:noProof/>
                <w:webHidden/>
              </w:rPr>
              <w:instrText xml:space="preserve"> PAGEREF _Toc151511022 \h </w:instrText>
            </w:r>
            <w:r>
              <w:rPr>
                <w:noProof/>
                <w:webHidden/>
              </w:rPr>
            </w:r>
            <w:r>
              <w:rPr>
                <w:noProof/>
                <w:webHidden/>
              </w:rPr>
              <w:fldChar w:fldCharType="separate"/>
            </w:r>
            <w:r>
              <w:rPr>
                <w:noProof/>
                <w:webHidden/>
              </w:rPr>
              <w:t>4</w:t>
            </w:r>
            <w:r>
              <w:rPr>
                <w:noProof/>
                <w:webHidden/>
              </w:rPr>
              <w:fldChar w:fldCharType="end"/>
            </w:r>
          </w:hyperlink>
        </w:p>
        <w:p w14:paraId="13D4DEB2" w14:textId="73643BE8" w:rsidR="00457146" w:rsidRDefault="00457146">
          <w:pPr>
            <w:pStyle w:val="TOC2"/>
            <w:tabs>
              <w:tab w:val="right" w:leader="dot" w:pos="9016"/>
            </w:tabs>
            <w:rPr>
              <w:rFonts w:eastAsiaTheme="minorEastAsia" w:cstheme="minorBidi"/>
              <w:b w:val="0"/>
              <w:bCs w:val="0"/>
              <w:noProof/>
              <w:sz w:val="24"/>
              <w:szCs w:val="24"/>
              <w:lang w:eastAsia="en-GB"/>
            </w:rPr>
          </w:pPr>
          <w:hyperlink w:anchor="_Toc151511023" w:history="1">
            <w:r w:rsidRPr="002A780A">
              <w:rPr>
                <w:rStyle w:val="Hyperlink"/>
                <w:rFonts w:ascii="Times New Roman" w:hAnsi="Times New Roman" w:cs="Times New Roman"/>
                <w:noProof/>
              </w:rPr>
              <w:t>2.3 Objectives of the Report</w:t>
            </w:r>
            <w:r>
              <w:rPr>
                <w:noProof/>
                <w:webHidden/>
              </w:rPr>
              <w:tab/>
            </w:r>
            <w:r>
              <w:rPr>
                <w:noProof/>
                <w:webHidden/>
              </w:rPr>
              <w:fldChar w:fldCharType="begin"/>
            </w:r>
            <w:r>
              <w:rPr>
                <w:noProof/>
                <w:webHidden/>
              </w:rPr>
              <w:instrText xml:space="preserve"> PAGEREF _Toc151511023 \h </w:instrText>
            </w:r>
            <w:r>
              <w:rPr>
                <w:noProof/>
                <w:webHidden/>
              </w:rPr>
            </w:r>
            <w:r>
              <w:rPr>
                <w:noProof/>
                <w:webHidden/>
              </w:rPr>
              <w:fldChar w:fldCharType="separate"/>
            </w:r>
            <w:r>
              <w:rPr>
                <w:noProof/>
                <w:webHidden/>
              </w:rPr>
              <w:t>5</w:t>
            </w:r>
            <w:r>
              <w:rPr>
                <w:noProof/>
                <w:webHidden/>
              </w:rPr>
              <w:fldChar w:fldCharType="end"/>
            </w:r>
          </w:hyperlink>
        </w:p>
        <w:p w14:paraId="687001F1" w14:textId="54497D17" w:rsidR="00457146" w:rsidRDefault="00457146">
          <w:pPr>
            <w:pStyle w:val="TOC2"/>
            <w:tabs>
              <w:tab w:val="right" w:leader="dot" w:pos="9016"/>
            </w:tabs>
            <w:rPr>
              <w:rFonts w:eastAsiaTheme="minorEastAsia" w:cstheme="minorBidi"/>
              <w:b w:val="0"/>
              <w:bCs w:val="0"/>
              <w:noProof/>
              <w:sz w:val="24"/>
              <w:szCs w:val="24"/>
              <w:lang w:eastAsia="en-GB"/>
            </w:rPr>
          </w:pPr>
          <w:hyperlink w:anchor="_Toc151511024" w:history="1">
            <w:r w:rsidRPr="002A780A">
              <w:rPr>
                <w:rStyle w:val="Hyperlink"/>
                <w:rFonts w:ascii="Times New Roman" w:hAnsi="Times New Roman" w:cs="Times New Roman"/>
                <w:noProof/>
              </w:rPr>
              <w:t>2.4 Rationale and Methodology</w:t>
            </w:r>
            <w:r>
              <w:rPr>
                <w:noProof/>
                <w:webHidden/>
              </w:rPr>
              <w:tab/>
            </w:r>
            <w:r>
              <w:rPr>
                <w:noProof/>
                <w:webHidden/>
              </w:rPr>
              <w:fldChar w:fldCharType="begin"/>
            </w:r>
            <w:r>
              <w:rPr>
                <w:noProof/>
                <w:webHidden/>
              </w:rPr>
              <w:instrText xml:space="preserve"> PAGEREF _Toc151511024 \h </w:instrText>
            </w:r>
            <w:r>
              <w:rPr>
                <w:noProof/>
                <w:webHidden/>
              </w:rPr>
            </w:r>
            <w:r>
              <w:rPr>
                <w:noProof/>
                <w:webHidden/>
              </w:rPr>
              <w:fldChar w:fldCharType="separate"/>
            </w:r>
            <w:r>
              <w:rPr>
                <w:noProof/>
                <w:webHidden/>
              </w:rPr>
              <w:t>5</w:t>
            </w:r>
            <w:r>
              <w:rPr>
                <w:noProof/>
                <w:webHidden/>
              </w:rPr>
              <w:fldChar w:fldCharType="end"/>
            </w:r>
          </w:hyperlink>
        </w:p>
        <w:p w14:paraId="2C076BFE" w14:textId="32173D65" w:rsidR="00457146" w:rsidRDefault="00457146">
          <w:pPr>
            <w:pStyle w:val="TOC2"/>
            <w:tabs>
              <w:tab w:val="right" w:leader="dot" w:pos="9016"/>
            </w:tabs>
            <w:rPr>
              <w:rFonts w:eastAsiaTheme="minorEastAsia" w:cstheme="minorBidi"/>
              <w:b w:val="0"/>
              <w:bCs w:val="0"/>
              <w:noProof/>
              <w:sz w:val="24"/>
              <w:szCs w:val="24"/>
              <w:lang w:eastAsia="en-GB"/>
            </w:rPr>
          </w:pPr>
          <w:hyperlink w:anchor="_Toc151511025" w:history="1">
            <w:r w:rsidRPr="002A780A">
              <w:rPr>
                <w:rStyle w:val="Hyperlink"/>
                <w:rFonts w:ascii="Times New Roman" w:hAnsi="Times New Roman" w:cs="Times New Roman"/>
                <w:noProof/>
              </w:rPr>
              <w:t>2.5 Report Limitations</w:t>
            </w:r>
            <w:r>
              <w:rPr>
                <w:noProof/>
                <w:webHidden/>
              </w:rPr>
              <w:tab/>
            </w:r>
            <w:r>
              <w:rPr>
                <w:noProof/>
                <w:webHidden/>
              </w:rPr>
              <w:fldChar w:fldCharType="begin"/>
            </w:r>
            <w:r>
              <w:rPr>
                <w:noProof/>
                <w:webHidden/>
              </w:rPr>
              <w:instrText xml:space="preserve"> PAGEREF _Toc151511025 \h </w:instrText>
            </w:r>
            <w:r>
              <w:rPr>
                <w:noProof/>
                <w:webHidden/>
              </w:rPr>
            </w:r>
            <w:r>
              <w:rPr>
                <w:noProof/>
                <w:webHidden/>
              </w:rPr>
              <w:fldChar w:fldCharType="separate"/>
            </w:r>
            <w:r>
              <w:rPr>
                <w:noProof/>
                <w:webHidden/>
              </w:rPr>
              <w:t>5</w:t>
            </w:r>
            <w:r>
              <w:rPr>
                <w:noProof/>
                <w:webHidden/>
              </w:rPr>
              <w:fldChar w:fldCharType="end"/>
            </w:r>
          </w:hyperlink>
        </w:p>
        <w:p w14:paraId="33C6C943" w14:textId="2DC782D9" w:rsidR="00457146" w:rsidRDefault="00457146">
          <w:pPr>
            <w:pStyle w:val="TOC1"/>
            <w:tabs>
              <w:tab w:val="right" w:leader="dot" w:pos="9016"/>
            </w:tabs>
            <w:rPr>
              <w:rFonts w:eastAsiaTheme="minorEastAsia" w:cstheme="minorBidi"/>
              <w:b w:val="0"/>
              <w:bCs w:val="0"/>
              <w:i w:val="0"/>
              <w:iCs w:val="0"/>
              <w:noProof/>
              <w:lang w:eastAsia="en-GB"/>
            </w:rPr>
          </w:pPr>
          <w:hyperlink w:anchor="_Toc151511026" w:history="1">
            <w:r w:rsidRPr="002A780A">
              <w:rPr>
                <w:rStyle w:val="Hyperlink"/>
                <w:rFonts w:ascii="Times New Roman" w:hAnsi="Times New Roman" w:cs="Times New Roman"/>
                <w:noProof/>
              </w:rPr>
              <w:t>3.0 Assessment of Competitive Environment: PESTEL Analysis</w:t>
            </w:r>
            <w:r>
              <w:rPr>
                <w:noProof/>
                <w:webHidden/>
              </w:rPr>
              <w:tab/>
            </w:r>
            <w:r>
              <w:rPr>
                <w:noProof/>
                <w:webHidden/>
              </w:rPr>
              <w:fldChar w:fldCharType="begin"/>
            </w:r>
            <w:r>
              <w:rPr>
                <w:noProof/>
                <w:webHidden/>
              </w:rPr>
              <w:instrText xml:space="preserve"> PAGEREF _Toc151511026 \h </w:instrText>
            </w:r>
            <w:r>
              <w:rPr>
                <w:noProof/>
                <w:webHidden/>
              </w:rPr>
            </w:r>
            <w:r>
              <w:rPr>
                <w:noProof/>
                <w:webHidden/>
              </w:rPr>
              <w:fldChar w:fldCharType="separate"/>
            </w:r>
            <w:r>
              <w:rPr>
                <w:noProof/>
                <w:webHidden/>
              </w:rPr>
              <w:t>6</w:t>
            </w:r>
            <w:r>
              <w:rPr>
                <w:noProof/>
                <w:webHidden/>
              </w:rPr>
              <w:fldChar w:fldCharType="end"/>
            </w:r>
          </w:hyperlink>
        </w:p>
        <w:p w14:paraId="6C23EEF2" w14:textId="0AC511E2" w:rsidR="00457146" w:rsidRDefault="00457146">
          <w:pPr>
            <w:pStyle w:val="TOC1"/>
            <w:tabs>
              <w:tab w:val="right" w:leader="dot" w:pos="9016"/>
            </w:tabs>
            <w:rPr>
              <w:rFonts w:eastAsiaTheme="minorEastAsia" w:cstheme="minorBidi"/>
              <w:b w:val="0"/>
              <w:bCs w:val="0"/>
              <w:i w:val="0"/>
              <w:iCs w:val="0"/>
              <w:noProof/>
              <w:lang w:eastAsia="en-GB"/>
            </w:rPr>
          </w:pPr>
          <w:hyperlink w:anchor="_Toc151511027" w:history="1">
            <w:r w:rsidRPr="002A780A">
              <w:rPr>
                <w:rStyle w:val="Hyperlink"/>
                <w:rFonts w:ascii="Times New Roman" w:hAnsi="Times New Roman" w:cs="Times New Roman"/>
                <w:noProof/>
              </w:rPr>
              <w:t>3.1 Introduction to PESTEL Analysis: A Framework for Strategic Insight</w:t>
            </w:r>
            <w:r>
              <w:rPr>
                <w:noProof/>
                <w:webHidden/>
              </w:rPr>
              <w:tab/>
            </w:r>
            <w:r>
              <w:rPr>
                <w:noProof/>
                <w:webHidden/>
              </w:rPr>
              <w:fldChar w:fldCharType="begin"/>
            </w:r>
            <w:r>
              <w:rPr>
                <w:noProof/>
                <w:webHidden/>
              </w:rPr>
              <w:instrText xml:space="preserve"> PAGEREF _Toc151511027 \h </w:instrText>
            </w:r>
            <w:r>
              <w:rPr>
                <w:noProof/>
                <w:webHidden/>
              </w:rPr>
            </w:r>
            <w:r>
              <w:rPr>
                <w:noProof/>
                <w:webHidden/>
              </w:rPr>
              <w:fldChar w:fldCharType="separate"/>
            </w:r>
            <w:r>
              <w:rPr>
                <w:noProof/>
                <w:webHidden/>
              </w:rPr>
              <w:t>6</w:t>
            </w:r>
            <w:r>
              <w:rPr>
                <w:noProof/>
                <w:webHidden/>
              </w:rPr>
              <w:fldChar w:fldCharType="end"/>
            </w:r>
          </w:hyperlink>
        </w:p>
        <w:p w14:paraId="3992B16D" w14:textId="69B969C3" w:rsidR="00457146" w:rsidRDefault="00457146">
          <w:pPr>
            <w:pStyle w:val="TOC2"/>
            <w:tabs>
              <w:tab w:val="right" w:leader="dot" w:pos="9016"/>
            </w:tabs>
            <w:rPr>
              <w:rFonts w:eastAsiaTheme="minorEastAsia" w:cstheme="minorBidi"/>
              <w:b w:val="0"/>
              <w:bCs w:val="0"/>
              <w:noProof/>
              <w:sz w:val="24"/>
              <w:szCs w:val="24"/>
              <w:lang w:eastAsia="en-GB"/>
            </w:rPr>
          </w:pPr>
          <w:hyperlink w:anchor="_Toc151511028" w:history="1">
            <w:r w:rsidRPr="002A780A">
              <w:rPr>
                <w:rStyle w:val="Hyperlink"/>
                <w:rFonts w:ascii="Times New Roman" w:hAnsi="Times New Roman" w:cs="Times New Roman"/>
                <w:noProof/>
              </w:rPr>
              <w:t>3.1.1 Political Factors</w:t>
            </w:r>
            <w:r>
              <w:rPr>
                <w:noProof/>
                <w:webHidden/>
              </w:rPr>
              <w:tab/>
            </w:r>
            <w:r>
              <w:rPr>
                <w:noProof/>
                <w:webHidden/>
              </w:rPr>
              <w:fldChar w:fldCharType="begin"/>
            </w:r>
            <w:r>
              <w:rPr>
                <w:noProof/>
                <w:webHidden/>
              </w:rPr>
              <w:instrText xml:space="preserve"> PAGEREF _Toc151511028 \h </w:instrText>
            </w:r>
            <w:r>
              <w:rPr>
                <w:noProof/>
                <w:webHidden/>
              </w:rPr>
            </w:r>
            <w:r>
              <w:rPr>
                <w:noProof/>
                <w:webHidden/>
              </w:rPr>
              <w:fldChar w:fldCharType="separate"/>
            </w:r>
            <w:r>
              <w:rPr>
                <w:noProof/>
                <w:webHidden/>
              </w:rPr>
              <w:t>7</w:t>
            </w:r>
            <w:r>
              <w:rPr>
                <w:noProof/>
                <w:webHidden/>
              </w:rPr>
              <w:fldChar w:fldCharType="end"/>
            </w:r>
          </w:hyperlink>
        </w:p>
        <w:p w14:paraId="4BAD71A6" w14:textId="25D336E6" w:rsidR="00457146" w:rsidRDefault="00457146">
          <w:pPr>
            <w:pStyle w:val="TOC2"/>
            <w:tabs>
              <w:tab w:val="right" w:leader="dot" w:pos="9016"/>
            </w:tabs>
            <w:rPr>
              <w:rFonts w:eastAsiaTheme="minorEastAsia" w:cstheme="minorBidi"/>
              <w:b w:val="0"/>
              <w:bCs w:val="0"/>
              <w:noProof/>
              <w:sz w:val="24"/>
              <w:szCs w:val="24"/>
              <w:lang w:eastAsia="en-GB"/>
            </w:rPr>
          </w:pPr>
          <w:hyperlink w:anchor="_Toc151511029" w:history="1">
            <w:r w:rsidRPr="002A780A">
              <w:rPr>
                <w:rStyle w:val="Hyperlink"/>
                <w:rFonts w:ascii="Times New Roman" w:hAnsi="Times New Roman" w:cs="Times New Roman"/>
                <w:noProof/>
              </w:rPr>
              <w:t>3.1.2 Economic Factors</w:t>
            </w:r>
            <w:r>
              <w:rPr>
                <w:noProof/>
                <w:webHidden/>
              </w:rPr>
              <w:tab/>
            </w:r>
            <w:r>
              <w:rPr>
                <w:noProof/>
                <w:webHidden/>
              </w:rPr>
              <w:fldChar w:fldCharType="begin"/>
            </w:r>
            <w:r>
              <w:rPr>
                <w:noProof/>
                <w:webHidden/>
              </w:rPr>
              <w:instrText xml:space="preserve"> PAGEREF _Toc151511029 \h </w:instrText>
            </w:r>
            <w:r>
              <w:rPr>
                <w:noProof/>
                <w:webHidden/>
              </w:rPr>
            </w:r>
            <w:r>
              <w:rPr>
                <w:noProof/>
                <w:webHidden/>
              </w:rPr>
              <w:fldChar w:fldCharType="separate"/>
            </w:r>
            <w:r>
              <w:rPr>
                <w:noProof/>
                <w:webHidden/>
              </w:rPr>
              <w:t>8</w:t>
            </w:r>
            <w:r>
              <w:rPr>
                <w:noProof/>
                <w:webHidden/>
              </w:rPr>
              <w:fldChar w:fldCharType="end"/>
            </w:r>
          </w:hyperlink>
        </w:p>
        <w:p w14:paraId="57EDB8FB" w14:textId="3D494514" w:rsidR="00457146" w:rsidRDefault="00457146">
          <w:pPr>
            <w:pStyle w:val="TOC2"/>
            <w:tabs>
              <w:tab w:val="right" w:leader="dot" w:pos="9016"/>
            </w:tabs>
            <w:rPr>
              <w:rFonts w:eastAsiaTheme="minorEastAsia" w:cstheme="minorBidi"/>
              <w:b w:val="0"/>
              <w:bCs w:val="0"/>
              <w:noProof/>
              <w:sz w:val="24"/>
              <w:szCs w:val="24"/>
              <w:lang w:eastAsia="en-GB"/>
            </w:rPr>
          </w:pPr>
          <w:hyperlink w:anchor="_Toc151511030" w:history="1">
            <w:r w:rsidRPr="002A780A">
              <w:rPr>
                <w:rStyle w:val="Hyperlink"/>
                <w:rFonts w:ascii="Times New Roman" w:hAnsi="Times New Roman" w:cs="Times New Roman"/>
                <w:noProof/>
              </w:rPr>
              <w:t>3.1.3 Social Factors</w:t>
            </w:r>
            <w:r>
              <w:rPr>
                <w:noProof/>
                <w:webHidden/>
              </w:rPr>
              <w:tab/>
            </w:r>
            <w:r>
              <w:rPr>
                <w:noProof/>
                <w:webHidden/>
              </w:rPr>
              <w:fldChar w:fldCharType="begin"/>
            </w:r>
            <w:r>
              <w:rPr>
                <w:noProof/>
                <w:webHidden/>
              </w:rPr>
              <w:instrText xml:space="preserve"> PAGEREF _Toc151511030 \h </w:instrText>
            </w:r>
            <w:r>
              <w:rPr>
                <w:noProof/>
                <w:webHidden/>
              </w:rPr>
            </w:r>
            <w:r>
              <w:rPr>
                <w:noProof/>
                <w:webHidden/>
              </w:rPr>
              <w:fldChar w:fldCharType="separate"/>
            </w:r>
            <w:r>
              <w:rPr>
                <w:noProof/>
                <w:webHidden/>
              </w:rPr>
              <w:t>9</w:t>
            </w:r>
            <w:r>
              <w:rPr>
                <w:noProof/>
                <w:webHidden/>
              </w:rPr>
              <w:fldChar w:fldCharType="end"/>
            </w:r>
          </w:hyperlink>
        </w:p>
        <w:p w14:paraId="55DE608E" w14:textId="2A3A5471" w:rsidR="00457146" w:rsidRDefault="00457146">
          <w:pPr>
            <w:pStyle w:val="TOC2"/>
            <w:tabs>
              <w:tab w:val="right" w:leader="dot" w:pos="9016"/>
            </w:tabs>
            <w:rPr>
              <w:rFonts w:eastAsiaTheme="minorEastAsia" w:cstheme="minorBidi"/>
              <w:b w:val="0"/>
              <w:bCs w:val="0"/>
              <w:noProof/>
              <w:sz w:val="24"/>
              <w:szCs w:val="24"/>
              <w:lang w:eastAsia="en-GB"/>
            </w:rPr>
          </w:pPr>
          <w:hyperlink w:anchor="_Toc151511031" w:history="1">
            <w:r w:rsidRPr="002A780A">
              <w:rPr>
                <w:rStyle w:val="Hyperlink"/>
                <w:rFonts w:ascii="Times New Roman" w:hAnsi="Times New Roman" w:cs="Times New Roman"/>
                <w:noProof/>
              </w:rPr>
              <w:t>3.1.4 Technological Factors</w:t>
            </w:r>
            <w:r>
              <w:rPr>
                <w:noProof/>
                <w:webHidden/>
              </w:rPr>
              <w:tab/>
            </w:r>
            <w:r>
              <w:rPr>
                <w:noProof/>
                <w:webHidden/>
              </w:rPr>
              <w:fldChar w:fldCharType="begin"/>
            </w:r>
            <w:r>
              <w:rPr>
                <w:noProof/>
                <w:webHidden/>
              </w:rPr>
              <w:instrText xml:space="preserve"> PAGEREF _Toc151511031 \h </w:instrText>
            </w:r>
            <w:r>
              <w:rPr>
                <w:noProof/>
                <w:webHidden/>
              </w:rPr>
            </w:r>
            <w:r>
              <w:rPr>
                <w:noProof/>
                <w:webHidden/>
              </w:rPr>
              <w:fldChar w:fldCharType="separate"/>
            </w:r>
            <w:r>
              <w:rPr>
                <w:noProof/>
                <w:webHidden/>
              </w:rPr>
              <w:t>11</w:t>
            </w:r>
            <w:r>
              <w:rPr>
                <w:noProof/>
                <w:webHidden/>
              </w:rPr>
              <w:fldChar w:fldCharType="end"/>
            </w:r>
          </w:hyperlink>
        </w:p>
        <w:p w14:paraId="4F2B0C97" w14:textId="28A34B99" w:rsidR="00457146" w:rsidRDefault="00457146">
          <w:pPr>
            <w:pStyle w:val="TOC2"/>
            <w:tabs>
              <w:tab w:val="right" w:leader="dot" w:pos="9016"/>
            </w:tabs>
            <w:rPr>
              <w:rFonts w:eastAsiaTheme="minorEastAsia" w:cstheme="minorBidi"/>
              <w:b w:val="0"/>
              <w:bCs w:val="0"/>
              <w:noProof/>
              <w:sz w:val="24"/>
              <w:szCs w:val="24"/>
              <w:lang w:eastAsia="en-GB"/>
            </w:rPr>
          </w:pPr>
          <w:hyperlink w:anchor="_Toc151511032" w:history="1">
            <w:r w:rsidRPr="002A780A">
              <w:rPr>
                <w:rStyle w:val="Hyperlink"/>
                <w:rFonts w:ascii="Times New Roman" w:hAnsi="Times New Roman" w:cs="Times New Roman"/>
                <w:noProof/>
              </w:rPr>
              <w:t>3.1.5 Environmental Factors</w:t>
            </w:r>
            <w:r>
              <w:rPr>
                <w:noProof/>
                <w:webHidden/>
              </w:rPr>
              <w:tab/>
            </w:r>
            <w:r>
              <w:rPr>
                <w:noProof/>
                <w:webHidden/>
              </w:rPr>
              <w:fldChar w:fldCharType="begin"/>
            </w:r>
            <w:r>
              <w:rPr>
                <w:noProof/>
                <w:webHidden/>
              </w:rPr>
              <w:instrText xml:space="preserve"> PAGEREF _Toc151511032 \h </w:instrText>
            </w:r>
            <w:r>
              <w:rPr>
                <w:noProof/>
                <w:webHidden/>
              </w:rPr>
            </w:r>
            <w:r>
              <w:rPr>
                <w:noProof/>
                <w:webHidden/>
              </w:rPr>
              <w:fldChar w:fldCharType="separate"/>
            </w:r>
            <w:r>
              <w:rPr>
                <w:noProof/>
                <w:webHidden/>
              </w:rPr>
              <w:t>12</w:t>
            </w:r>
            <w:r>
              <w:rPr>
                <w:noProof/>
                <w:webHidden/>
              </w:rPr>
              <w:fldChar w:fldCharType="end"/>
            </w:r>
          </w:hyperlink>
        </w:p>
        <w:p w14:paraId="418ED100" w14:textId="6A88C936" w:rsidR="00457146" w:rsidRDefault="00457146">
          <w:pPr>
            <w:pStyle w:val="TOC2"/>
            <w:tabs>
              <w:tab w:val="right" w:leader="dot" w:pos="9016"/>
            </w:tabs>
            <w:rPr>
              <w:rFonts w:eastAsiaTheme="minorEastAsia" w:cstheme="minorBidi"/>
              <w:b w:val="0"/>
              <w:bCs w:val="0"/>
              <w:noProof/>
              <w:sz w:val="24"/>
              <w:szCs w:val="24"/>
              <w:lang w:eastAsia="en-GB"/>
            </w:rPr>
          </w:pPr>
          <w:hyperlink w:anchor="_Toc151511033" w:history="1">
            <w:r w:rsidRPr="002A780A">
              <w:rPr>
                <w:rStyle w:val="Hyperlink"/>
                <w:rFonts w:ascii="Times New Roman" w:hAnsi="Times New Roman" w:cs="Times New Roman"/>
                <w:noProof/>
              </w:rPr>
              <w:t>3.1.6 Legal Factors</w:t>
            </w:r>
            <w:r>
              <w:rPr>
                <w:noProof/>
                <w:webHidden/>
              </w:rPr>
              <w:tab/>
            </w:r>
            <w:r>
              <w:rPr>
                <w:noProof/>
                <w:webHidden/>
              </w:rPr>
              <w:fldChar w:fldCharType="begin"/>
            </w:r>
            <w:r>
              <w:rPr>
                <w:noProof/>
                <w:webHidden/>
              </w:rPr>
              <w:instrText xml:space="preserve"> PAGEREF _Toc151511033 \h </w:instrText>
            </w:r>
            <w:r>
              <w:rPr>
                <w:noProof/>
                <w:webHidden/>
              </w:rPr>
            </w:r>
            <w:r>
              <w:rPr>
                <w:noProof/>
                <w:webHidden/>
              </w:rPr>
              <w:fldChar w:fldCharType="separate"/>
            </w:r>
            <w:r>
              <w:rPr>
                <w:noProof/>
                <w:webHidden/>
              </w:rPr>
              <w:t>13</w:t>
            </w:r>
            <w:r>
              <w:rPr>
                <w:noProof/>
                <w:webHidden/>
              </w:rPr>
              <w:fldChar w:fldCharType="end"/>
            </w:r>
          </w:hyperlink>
        </w:p>
        <w:p w14:paraId="1EF4C62B" w14:textId="53A92E72" w:rsidR="00457146" w:rsidRDefault="00457146">
          <w:pPr>
            <w:pStyle w:val="TOC1"/>
            <w:tabs>
              <w:tab w:val="right" w:leader="dot" w:pos="9016"/>
            </w:tabs>
            <w:rPr>
              <w:rFonts w:eastAsiaTheme="minorEastAsia" w:cstheme="minorBidi"/>
              <w:b w:val="0"/>
              <w:bCs w:val="0"/>
              <w:i w:val="0"/>
              <w:iCs w:val="0"/>
              <w:noProof/>
              <w:lang w:eastAsia="en-GB"/>
            </w:rPr>
          </w:pPr>
          <w:hyperlink w:anchor="_Toc151511034" w:history="1">
            <w:r w:rsidRPr="002A780A">
              <w:rPr>
                <w:rStyle w:val="Hyperlink"/>
                <w:rFonts w:ascii="Times New Roman" w:hAnsi="Times New Roman" w:cs="Times New Roman"/>
                <w:noProof/>
              </w:rPr>
              <w:t>3.2 Economic Factors in PESTEL Analysis: A Critical Assessment of Macro-economic Indicators</w:t>
            </w:r>
            <w:r>
              <w:rPr>
                <w:noProof/>
                <w:webHidden/>
              </w:rPr>
              <w:tab/>
            </w:r>
            <w:r>
              <w:rPr>
                <w:noProof/>
                <w:webHidden/>
              </w:rPr>
              <w:fldChar w:fldCharType="begin"/>
            </w:r>
            <w:r>
              <w:rPr>
                <w:noProof/>
                <w:webHidden/>
              </w:rPr>
              <w:instrText xml:space="preserve"> PAGEREF _Toc151511034 \h </w:instrText>
            </w:r>
            <w:r>
              <w:rPr>
                <w:noProof/>
                <w:webHidden/>
              </w:rPr>
            </w:r>
            <w:r>
              <w:rPr>
                <w:noProof/>
                <w:webHidden/>
              </w:rPr>
              <w:fldChar w:fldCharType="separate"/>
            </w:r>
            <w:r>
              <w:rPr>
                <w:noProof/>
                <w:webHidden/>
              </w:rPr>
              <w:t>14</w:t>
            </w:r>
            <w:r>
              <w:rPr>
                <w:noProof/>
                <w:webHidden/>
              </w:rPr>
              <w:fldChar w:fldCharType="end"/>
            </w:r>
          </w:hyperlink>
        </w:p>
        <w:p w14:paraId="2F6318F1" w14:textId="4C93FE4C" w:rsidR="00457146" w:rsidRDefault="00457146">
          <w:pPr>
            <w:pStyle w:val="TOC1"/>
            <w:tabs>
              <w:tab w:val="right" w:leader="dot" w:pos="9016"/>
            </w:tabs>
            <w:rPr>
              <w:rFonts w:eastAsiaTheme="minorEastAsia" w:cstheme="minorBidi"/>
              <w:b w:val="0"/>
              <w:bCs w:val="0"/>
              <w:i w:val="0"/>
              <w:iCs w:val="0"/>
              <w:noProof/>
              <w:lang w:eastAsia="en-GB"/>
            </w:rPr>
          </w:pPr>
          <w:hyperlink w:anchor="_Toc151511035" w:history="1">
            <w:r w:rsidRPr="002A780A">
              <w:rPr>
                <w:rStyle w:val="Hyperlink"/>
                <w:rFonts w:ascii="Times New Roman" w:hAnsi="Times New Roman" w:cs="Times New Roman"/>
                <w:noProof/>
              </w:rPr>
              <w:t>4.0 Porter's Five Forces Model of Microenvironment Analysis of SSE</w:t>
            </w:r>
            <w:r>
              <w:rPr>
                <w:noProof/>
                <w:webHidden/>
              </w:rPr>
              <w:tab/>
            </w:r>
            <w:r>
              <w:rPr>
                <w:noProof/>
                <w:webHidden/>
              </w:rPr>
              <w:fldChar w:fldCharType="begin"/>
            </w:r>
            <w:r>
              <w:rPr>
                <w:noProof/>
                <w:webHidden/>
              </w:rPr>
              <w:instrText xml:space="preserve"> PAGEREF _Toc151511035 \h </w:instrText>
            </w:r>
            <w:r>
              <w:rPr>
                <w:noProof/>
                <w:webHidden/>
              </w:rPr>
            </w:r>
            <w:r>
              <w:rPr>
                <w:noProof/>
                <w:webHidden/>
              </w:rPr>
              <w:fldChar w:fldCharType="separate"/>
            </w:r>
            <w:r>
              <w:rPr>
                <w:noProof/>
                <w:webHidden/>
              </w:rPr>
              <w:t>16</w:t>
            </w:r>
            <w:r>
              <w:rPr>
                <w:noProof/>
                <w:webHidden/>
              </w:rPr>
              <w:fldChar w:fldCharType="end"/>
            </w:r>
          </w:hyperlink>
        </w:p>
        <w:p w14:paraId="07C0ADAC" w14:textId="3BE6DA12" w:rsidR="00457146" w:rsidRDefault="00457146">
          <w:pPr>
            <w:pStyle w:val="TOC1"/>
            <w:tabs>
              <w:tab w:val="right" w:leader="dot" w:pos="9016"/>
            </w:tabs>
            <w:rPr>
              <w:rFonts w:eastAsiaTheme="minorEastAsia" w:cstheme="minorBidi"/>
              <w:b w:val="0"/>
              <w:bCs w:val="0"/>
              <w:i w:val="0"/>
              <w:iCs w:val="0"/>
              <w:noProof/>
              <w:lang w:eastAsia="en-GB"/>
            </w:rPr>
          </w:pPr>
          <w:hyperlink w:anchor="_Toc151511036" w:history="1">
            <w:r w:rsidRPr="002A780A">
              <w:rPr>
                <w:rStyle w:val="Hyperlink"/>
                <w:rFonts w:ascii="Times New Roman" w:hAnsi="Times New Roman" w:cs="Times New Roman"/>
                <w:noProof/>
              </w:rPr>
              <w:t>5.0 Microeconomic Decisions: Strategic Investments and Pricing</w:t>
            </w:r>
            <w:r>
              <w:rPr>
                <w:noProof/>
                <w:webHidden/>
              </w:rPr>
              <w:tab/>
            </w:r>
            <w:r>
              <w:rPr>
                <w:noProof/>
                <w:webHidden/>
              </w:rPr>
              <w:fldChar w:fldCharType="begin"/>
            </w:r>
            <w:r>
              <w:rPr>
                <w:noProof/>
                <w:webHidden/>
              </w:rPr>
              <w:instrText xml:space="preserve"> PAGEREF _Toc151511036 \h </w:instrText>
            </w:r>
            <w:r>
              <w:rPr>
                <w:noProof/>
                <w:webHidden/>
              </w:rPr>
            </w:r>
            <w:r>
              <w:rPr>
                <w:noProof/>
                <w:webHidden/>
              </w:rPr>
              <w:fldChar w:fldCharType="separate"/>
            </w:r>
            <w:r>
              <w:rPr>
                <w:noProof/>
                <w:webHidden/>
              </w:rPr>
              <w:t>20</w:t>
            </w:r>
            <w:r>
              <w:rPr>
                <w:noProof/>
                <w:webHidden/>
              </w:rPr>
              <w:fldChar w:fldCharType="end"/>
            </w:r>
          </w:hyperlink>
        </w:p>
        <w:p w14:paraId="05D343FA" w14:textId="750EAD66" w:rsidR="00457146" w:rsidRDefault="00457146">
          <w:pPr>
            <w:pStyle w:val="TOC1"/>
            <w:tabs>
              <w:tab w:val="right" w:leader="dot" w:pos="9016"/>
            </w:tabs>
            <w:rPr>
              <w:rFonts w:eastAsiaTheme="minorEastAsia" w:cstheme="minorBidi"/>
              <w:b w:val="0"/>
              <w:bCs w:val="0"/>
              <w:i w:val="0"/>
              <w:iCs w:val="0"/>
              <w:noProof/>
              <w:lang w:eastAsia="en-GB"/>
            </w:rPr>
          </w:pPr>
          <w:hyperlink w:anchor="_Toc151511037" w:history="1">
            <w:r w:rsidRPr="002A780A">
              <w:rPr>
                <w:rStyle w:val="Hyperlink"/>
                <w:rFonts w:ascii="Times New Roman" w:hAnsi="Times New Roman" w:cs="Times New Roman"/>
                <w:noProof/>
              </w:rPr>
              <w:t>5.1 Introduction to Microeconomic Decisions: Strategic Investments and Pricing</w:t>
            </w:r>
            <w:r>
              <w:rPr>
                <w:noProof/>
                <w:webHidden/>
              </w:rPr>
              <w:tab/>
            </w:r>
            <w:r>
              <w:rPr>
                <w:noProof/>
                <w:webHidden/>
              </w:rPr>
              <w:fldChar w:fldCharType="begin"/>
            </w:r>
            <w:r>
              <w:rPr>
                <w:noProof/>
                <w:webHidden/>
              </w:rPr>
              <w:instrText xml:space="preserve"> PAGEREF _Toc151511037 \h </w:instrText>
            </w:r>
            <w:r>
              <w:rPr>
                <w:noProof/>
                <w:webHidden/>
              </w:rPr>
            </w:r>
            <w:r>
              <w:rPr>
                <w:noProof/>
                <w:webHidden/>
              </w:rPr>
              <w:fldChar w:fldCharType="separate"/>
            </w:r>
            <w:r>
              <w:rPr>
                <w:noProof/>
                <w:webHidden/>
              </w:rPr>
              <w:t>20</w:t>
            </w:r>
            <w:r>
              <w:rPr>
                <w:noProof/>
                <w:webHidden/>
              </w:rPr>
              <w:fldChar w:fldCharType="end"/>
            </w:r>
          </w:hyperlink>
        </w:p>
        <w:p w14:paraId="14E392E8" w14:textId="70C4CE82" w:rsidR="00457146" w:rsidRDefault="00457146">
          <w:pPr>
            <w:pStyle w:val="TOC2"/>
            <w:tabs>
              <w:tab w:val="right" w:leader="dot" w:pos="9016"/>
            </w:tabs>
            <w:rPr>
              <w:rFonts w:eastAsiaTheme="minorEastAsia" w:cstheme="minorBidi"/>
              <w:b w:val="0"/>
              <w:bCs w:val="0"/>
              <w:noProof/>
              <w:sz w:val="24"/>
              <w:szCs w:val="24"/>
              <w:lang w:eastAsia="en-GB"/>
            </w:rPr>
          </w:pPr>
          <w:hyperlink w:anchor="_Toc151511038" w:history="1">
            <w:r w:rsidRPr="002A780A">
              <w:rPr>
                <w:rStyle w:val="Hyperlink"/>
                <w:rFonts w:ascii="Times New Roman" w:hAnsi="Times New Roman" w:cs="Times New Roman"/>
                <w:noProof/>
              </w:rPr>
              <w:t>5.1.1 Strategic Investments in Renewable Energy</w:t>
            </w:r>
            <w:r>
              <w:rPr>
                <w:noProof/>
                <w:webHidden/>
              </w:rPr>
              <w:tab/>
            </w:r>
            <w:r>
              <w:rPr>
                <w:noProof/>
                <w:webHidden/>
              </w:rPr>
              <w:fldChar w:fldCharType="begin"/>
            </w:r>
            <w:r>
              <w:rPr>
                <w:noProof/>
                <w:webHidden/>
              </w:rPr>
              <w:instrText xml:space="preserve"> PAGEREF _Toc151511038 \h </w:instrText>
            </w:r>
            <w:r>
              <w:rPr>
                <w:noProof/>
                <w:webHidden/>
              </w:rPr>
            </w:r>
            <w:r>
              <w:rPr>
                <w:noProof/>
                <w:webHidden/>
              </w:rPr>
              <w:fldChar w:fldCharType="separate"/>
            </w:r>
            <w:r>
              <w:rPr>
                <w:noProof/>
                <w:webHidden/>
              </w:rPr>
              <w:t>20</w:t>
            </w:r>
            <w:r>
              <w:rPr>
                <w:noProof/>
                <w:webHidden/>
              </w:rPr>
              <w:fldChar w:fldCharType="end"/>
            </w:r>
          </w:hyperlink>
        </w:p>
        <w:p w14:paraId="798793E3" w14:textId="38F7F634" w:rsidR="00457146" w:rsidRDefault="00457146">
          <w:pPr>
            <w:pStyle w:val="TOC2"/>
            <w:tabs>
              <w:tab w:val="right" w:leader="dot" w:pos="9016"/>
            </w:tabs>
            <w:rPr>
              <w:rFonts w:eastAsiaTheme="minorEastAsia" w:cstheme="minorBidi"/>
              <w:b w:val="0"/>
              <w:bCs w:val="0"/>
              <w:noProof/>
              <w:sz w:val="24"/>
              <w:szCs w:val="24"/>
              <w:lang w:eastAsia="en-GB"/>
            </w:rPr>
          </w:pPr>
          <w:hyperlink w:anchor="_Toc151511039" w:history="1">
            <w:r w:rsidRPr="002A780A">
              <w:rPr>
                <w:rStyle w:val="Hyperlink"/>
                <w:rFonts w:ascii="Times New Roman" w:hAnsi="Times New Roman" w:cs="Times New Roman"/>
                <w:noProof/>
              </w:rPr>
              <w:t>5.1.2 Competitive Pricing Models</w:t>
            </w:r>
            <w:r>
              <w:rPr>
                <w:noProof/>
                <w:webHidden/>
              </w:rPr>
              <w:tab/>
            </w:r>
            <w:r>
              <w:rPr>
                <w:noProof/>
                <w:webHidden/>
              </w:rPr>
              <w:fldChar w:fldCharType="begin"/>
            </w:r>
            <w:r>
              <w:rPr>
                <w:noProof/>
                <w:webHidden/>
              </w:rPr>
              <w:instrText xml:space="preserve"> PAGEREF _Toc151511039 \h </w:instrText>
            </w:r>
            <w:r>
              <w:rPr>
                <w:noProof/>
                <w:webHidden/>
              </w:rPr>
            </w:r>
            <w:r>
              <w:rPr>
                <w:noProof/>
                <w:webHidden/>
              </w:rPr>
              <w:fldChar w:fldCharType="separate"/>
            </w:r>
            <w:r>
              <w:rPr>
                <w:noProof/>
                <w:webHidden/>
              </w:rPr>
              <w:t>21</w:t>
            </w:r>
            <w:r>
              <w:rPr>
                <w:noProof/>
                <w:webHidden/>
              </w:rPr>
              <w:fldChar w:fldCharType="end"/>
            </w:r>
          </w:hyperlink>
        </w:p>
        <w:p w14:paraId="614161DA" w14:textId="3180A022" w:rsidR="00457146" w:rsidRDefault="00457146">
          <w:pPr>
            <w:pStyle w:val="TOC1"/>
            <w:tabs>
              <w:tab w:val="right" w:leader="dot" w:pos="9016"/>
            </w:tabs>
            <w:rPr>
              <w:rFonts w:eastAsiaTheme="minorEastAsia" w:cstheme="minorBidi"/>
              <w:b w:val="0"/>
              <w:bCs w:val="0"/>
              <w:i w:val="0"/>
              <w:iCs w:val="0"/>
              <w:noProof/>
              <w:lang w:eastAsia="en-GB"/>
            </w:rPr>
          </w:pPr>
          <w:hyperlink w:anchor="_Toc151511040" w:history="1">
            <w:r w:rsidRPr="002A780A">
              <w:rPr>
                <w:rStyle w:val="Hyperlink"/>
                <w:rFonts w:ascii="Times New Roman" w:hAnsi="Times New Roman" w:cs="Times New Roman"/>
                <w:noProof/>
              </w:rPr>
              <w:t>6.0 SWOT Analysis of SSE's Strategic Position &amp; Microeconomic Implications</w:t>
            </w:r>
            <w:r>
              <w:rPr>
                <w:noProof/>
                <w:webHidden/>
              </w:rPr>
              <w:tab/>
            </w:r>
            <w:r>
              <w:rPr>
                <w:noProof/>
                <w:webHidden/>
              </w:rPr>
              <w:fldChar w:fldCharType="begin"/>
            </w:r>
            <w:r>
              <w:rPr>
                <w:noProof/>
                <w:webHidden/>
              </w:rPr>
              <w:instrText xml:space="preserve"> PAGEREF _Toc151511040 \h </w:instrText>
            </w:r>
            <w:r>
              <w:rPr>
                <w:noProof/>
                <w:webHidden/>
              </w:rPr>
            </w:r>
            <w:r>
              <w:rPr>
                <w:noProof/>
                <w:webHidden/>
              </w:rPr>
              <w:fldChar w:fldCharType="separate"/>
            </w:r>
            <w:r>
              <w:rPr>
                <w:noProof/>
                <w:webHidden/>
              </w:rPr>
              <w:t>21</w:t>
            </w:r>
            <w:r>
              <w:rPr>
                <w:noProof/>
                <w:webHidden/>
              </w:rPr>
              <w:fldChar w:fldCharType="end"/>
            </w:r>
          </w:hyperlink>
        </w:p>
        <w:p w14:paraId="2453C1BD" w14:textId="25790A7D" w:rsidR="00457146" w:rsidRDefault="00457146">
          <w:pPr>
            <w:pStyle w:val="TOC1"/>
            <w:tabs>
              <w:tab w:val="right" w:leader="dot" w:pos="9016"/>
            </w:tabs>
            <w:rPr>
              <w:rFonts w:eastAsiaTheme="minorEastAsia" w:cstheme="minorBidi"/>
              <w:b w:val="0"/>
              <w:bCs w:val="0"/>
              <w:i w:val="0"/>
              <w:iCs w:val="0"/>
              <w:noProof/>
              <w:lang w:eastAsia="en-GB"/>
            </w:rPr>
          </w:pPr>
          <w:hyperlink w:anchor="_Toc151511041" w:history="1">
            <w:r w:rsidRPr="002A780A">
              <w:rPr>
                <w:rStyle w:val="Hyperlink"/>
                <w:rFonts w:ascii="Times New Roman" w:hAnsi="Times New Roman" w:cs="Times New Roman"/>
                <w:noProof/>
              </w:rPr>
              <w:t>6.1 Strategic Directions &amp; Microeconomic Implications</w:t>
            </w:r>
            <w:r>
              <w:rPr>
                <w:noProof/>
                <w:webHidden/>
              </w:rPr>
              <w:tab/>
            </w:r>
            <w:r>
              <w:rPr>
                <w:noProof/>
                <w:webHidden/>
              </w:rPr>
              <w:fldChar w:fldCharType="begin"/>
            </w:r>
            <w:r>
              <w:rPr>
                <w:noProof/>
                <w:webHidden/>
              </w:rPr>
              <w:instrText xml:space="preserve"> PAGEREF _Toc151511041 \h </w:instrText>
            </w:r>
            <w:r>
              <w:rPr>
                <w:noProof/>
                <w:webHidden/>
              </w:rPr>
            </w:r>
            <w:r>
              <w:rPr>
                <w:noProof/>
                <w:webHidden/>
              </w:rPr>
              <w:fldChar w:fldCharType="separate"/>
            </w:r>
            <w:r>
              <w:rPr>
                <w:noProof/>
                <w:webHidden/>
              </w:rPr>
              <w:t>23</w:t>
            </w:r>
            <w:r>
              <w:rPr>
                <w:noProof/>
                <w:webHidden/>
              </w:rPr>
              <w:fldChar w:fldCharType="end"/>
            </w:r>
          </w:hyperlink>
        </w:p>
        <w:p w14:paraId="3C3C2576" w14:textId="6F7D39C6" w:rsidR="00457146" w:rsidRDefault="00457146">
          <w:pPr>
            <w:pStyle w:val="TOC1"/>
            <w:tabs>
              <w:tab w:val="right" w:leader="dot" w:pos="9016"/>
            </w:tabs>
            <w:rPr>
              <w:rFonts w:eastAsiaTheme="minorEastAsia" w:cstheme="minorBidi"/>
              <w:b w:val="0"/>
              <w:bCs w:val="0"/>
              <w:i w:val="0"/>
              <w:iCs w:val="0"/>
              <w:noProof/>
              <w:lang w:eastAsia="en-GB"/>
            </w:rPr>
          </w:pPr>
          <w:hyperlink w:anchor="_Toc151511042" w:history="1">
            <w:r w:rsidRPr="002A780A">
              <w:rPr>
                <w:rStyle w:val="Hyperlink"/>
                <w:rFonts w:ascii="Times New Roman" w:hAnsi="Times New Roman" w:cs="Times New Roman"/>
                <w:noProof/>
              </w:rPr>
              <w:t>7.0 Conclusion and Outlook</w:t>
            </w:r>
            <w:r>
              <w:rPr>
                <w:noProof/>
                <w:webHidden/>
              </w:rPr>
              <w:tab/>
            </w:r>
            <w:r>
              <w:rPr>
                <w:noProof/>
                <w:webHidden/>
              </w:rPr>
              <w:fldChar w:fldCharType="begin"/>
            </w:r>
            <w:r>
              <w:rPr>
                <w:noProof/>
                <w:webHidden/>
              </w:rPr>
              <w:instrText xml:space="preserve"> PAGEREF _Toc151511042 \h </w:instrText>
            </w:r>
            <w:r>
              <w:rPr>
                <w:noProof/>
                <w:webHidden/>
              </w:rPr>
            </w:r>
            <w:r>
              <w:rPr>
                <w:noProof/>
                <w:webHidden/>
              </w:rPr>
              <w:fldChar w:fldCharType="separate"/>
            </w:r>
            <w:r>
              <w:rPr>
                <w:noProof/>
                <w:webHidden/>
              </w:rPr>
              <w:t>24</w:t>
            </w:r>
            <w:r>
              <w:rPr>
                <w:noProof/>
                <w:webHidden/>
              </w:rPr>
              <w:fldChar w:fldCharType="end"/>
            </w:r>
          </w:hyperlink>
        </w:p>
        <w:p w14:paraId="6A75E360" w14:textId="43AFCFCE" w:rsidR="00457146" w:rsidRDefault="00457146">
          <w:pPr>
            <w:pStyle w:val="TOC2"/>
            <w:tabs>
              <w:tab w:val="right" w:leader="dot" w:pos="9016"/>
            </w:tabs>
            <w:rPr>
              <w:rFonts w:eastAsiaTheme="minorEastAsia" w:cstheme="minorBidi"/>
              <w:b w:val="0"/>
              <w:bCs w:val="0"/>
              <w:noProof/>
              <w:sz w:val="24"/>
              <w:szCs w:val="24"/>
              <w:lang w:eastAsia="en-GB"/>
            </w:rPr>
          </w:pPr>
          <w:hyperlink w:anchor="_Toc151511043" w:history="1">
            <w:r w:rsidRPr="002A780A">
              <w:rPr>
                <w:rStyle w:val="Hyperlink"/>
                <w:rFonts w:ascii="Times New Roman" w:hAnsi="Times New Roman" w:cs="Times New Roman"/>
                <w:noProof/>
              </w:rPr>
              <w:t>7.1 Current Position and Strategic Choices</w:t>
            </w:r>
            <w:r>
              <w:rPr>
                <w:noProof/>
                <w:webHidden/>
              </w:rPr>
              <w:tab/>
            </w:r>
            <w:r>
              <w:rPr>
                <w:noProof/>
                <w:webHidden/>
              </w:rPr>
              <w:fldChar w:fldCharType="begin"/>
            </w:r>
            <w:r>
              <w:rPr>
                <w:noProof/>
                <w:webHidden/>
              </w:rPr>
              <w:instrText xml:space="preserve"> PAGEREF _Toc151511043 \h </w:instrText>
            </w:r>
            <w:r>
              <w:rPr>
                <w:noProof/>
                <w:webHidden/>
              </w:rPr>
            </w:r>
            <w:r>
              <w:rPr>
                <w:noProof/>
                <w:webHidden/>
              </w:rPr>
              <w:fldChar w:fldCharType="separate"/>
            </w:r>
            <w:r>
              <w:rPr>
                <w:noProof/>
                <w:webHidden/>
              </w:rPr>
              <w:t>24</w:t>
            </w:r>
            <w:r>
              <w:rPr>
                <w:noProof/>
                <w:webHidden/>
              </w:rPr>
              <w:fldChar w:fldCharType="end"/>
            </w:r>
          </w:hyperlink>
        </w:p>
        <w:p w14:paraId="47A0CCF7" w14:textId="34B8ADD4" w:rsidR="00457146" w:rsidRDefault="00457146">
          <w:pPr>
            <w:pStyle w:val="TOC2"/>
            <w:tabs>
              <w:tab w:val="right" w:leader="dot" w:pos="9016"/>
            </w:tabs>
            <w:rPr>
              <w:rFonts w:eastAsiaTheme="minorEastAsia" w:cstheme="minorBidi"/>
              <w:b w:val="0"/>
              <w:bCs w:val="0"/>
              <w:noProof/>
              <w:sz w:val="24"/>
              <w:szCs w:val="24"/>
              <w:lang w:eastAsia="en-GB"/>
            </w:rPr>
          </w:pPr>
          <w:hyperlink w:anchor="_Toc151511044" w:history="1">
            <w:r w:rsidRPr="002A780A">
              <w:rPr>
                <w:rStyle w:val="Hyperlink"/>
                <w:rFonts w:ascii="Times New Roman" w:hAnsi="Times New Roman" w:cs="Times New Roman"/>
                <w:noProof/>
              </w:rPr>
              <w:t>7.2 Outlook: Risks and Opportunities</w:t>
            </w:r>
            <w:r>
              <w:rPr>
                <w:noProof/>
                <w:webHidden/>
              </w:rPr>
              <w:tab/>
            </w:r>
            <w:r>
              <w:rPr>
                <w:noProof/>
                <w:webHidden/>
              </w:rPr>
              <w:fldChar w:fldCharType="begin"/>
            </w:r>
            <w:r>
              <w:rPr>
                <w:noProof/>
                <w:webHidden/>
              </w:rPr>
              <w:instrText xml:space="preserve"> PAGEREF _Toc151511044 \h </w:instrText>
            </w:r>
            <w:r>
              <w:rPr>
                <w:noProof/>
                <w:webHidden/>
              </w:rPr>
            </w:r>
            <w:r>
              <w:rPr>
                <w:noProof/>
                <w:webHidden/>
              </w:rPr>
              <w:fldChar w:fldCharType="separate"/>
            </w:r>
            <w:r>
              <w:rPr>
                <w:noProof/>
                <w:webHidden/>
              </w:rPr>
              <w:t>24</w:t>
            </w:r>
            <w:r>
              <w:rPr>
                <w:noProof/>
                <w:webHidden/>
              </w:rPr>
              <w:fldChar w:fldCharType="end"/>
            </w:r>
          </w:hyperlink>
        </w:p>
        <w:p w14:paraId="7EE3F991" w14:textId="2276D365" w:rsidR="00457146" w:rsidRDefault="00457146">
          <w:pPr>
            <w:pStyle w:val="TOC2"/>
            <w:tabs>
              <w:tab w:val="right" w:leader="dot" w:pos="9016"/>
            </w:tabs>
            <w:rPr>
              <w:rFonts w:eastAsiaTheme="minorEastAsia" w:cstheme="minorBidi"/>
              <w:b w:val="0"/>
              <w:bCs w:val="0"/>
              <w:noProof/>
              <w:sz w:val="24"/>
              <w:szCs w:val="24"/>
              <w:lang w:eastAsia="en-GB"/>
            </w:rPr>
          </w:pPr>
          <w:hyperlink w:anchor="_Toc151511045" w:history="1">
            <w:r w:rsidRPr="002A780A">
              <w:rPr>
                <w:rStyle w:val="Hyperlink"/>
                <w:rFonts w:ascii="Times New Roman" w:hAnsi="Times New Roman" w:cs="Times New Roman"/>
                <w:noProof/>
              </w:rPr>
              <w:t>7.3 Future Organisational Decisions and Developments</w:t>
            </w:r>
            <w:r>
              <w:rPr>
                <w:noProof/>
                <w:webHidden/>
              </w:rPr>
              <w:tab/>
            </w:r>
            <w:r>
              <w:rPr>
                <w:noProof/>
                <w:webHidden/>
              </w:rPr>
              <w:fldChar w:fldCharType="begin"/>
            </w:r>
            <w:r>
              <w:rPr>
                <w:noProof/>
                <w:webHidden/>
              </w:rPr>
              <w:instrText xml:space="preserve"> PAGEREF _Toc151511045 \h </w:instrText>
            </w:r>
            <w:r>
              <w:rPr>
                <w:noProof/>
                <w:webHidden/>
              </w:rPr>
            </w:r>
            <w:r>
              <w:rPr>
                <w:noProof/>
                <w:webHidden/>
              </w:rPr>
              <w:fldChar w:fldCharType="separate"/>
            </w:r>
            <w:r>
              <w:rPr>
                <w:noProof/>
                <w:webHidden/>
              </w:rPr>
              <w:t>24</w:t>
            </w:r>
            <w:r>
              <w:rPr>
                <w:noProof/>
                <w:webHidden/>
              </w:rPr>
              <w:fldChar w:fldCharType="end"/>
            </w:r>
          </w:hyperlink>
        </w:p>
        <w:p w14:paraId="0AEA27B7" w14:textId="38B53C7D" w:rsidR="00457146" w:rsidRDefault="00457146">
          <w:pPr>
            <w:pStyle w:val="TOC2"/>
            <w:tabs>
              <w:tab w:val="right" w:leader="dot" w:pos="9016"/>
            </w:tabs>
            <w:rPr>
              <w:rFonts w:eastAsiaTheme="minorEastAsia" w:cstheme="minorBidi"/>
              <w:b w:val="0"/>
              <w:bCs w:val="0"/>
              <w:noProof/>
              <w:sz w:val="24"/>
              <w:szCs w:val="24"/>
              <w:lang w:eastAsia="en-GB"/>
            </w:rPr>
          </w:pPr>
          <w:hyperlink w:anchor="_Toc151511046" w:history="1">
            <w:r w:rsidRPr="002A780A">
              <w:rPr>
                <w:rStyle w:val="Hyperlink"/>
                <w:rFonts w:ascii="Times New Roman" w:hAnsi="Times New Roman" w:cs="Times New Roman"/>
                <w:noProof/>
                <w:kern w:val="0"/>
                <w:lang w:eastAsia="en-GB"/>
                <w14:ligatures w14:val="none"/>
              </w:rPr>
              <w:t>7.4 Final Thoughts</w:t>
            </w:r>
            <w:r>
              <w:rPr>
                <w:noProof/>
                <w:webHidden/>
              </w:rPr>
              <w:tab/>
            </w:r>
            <w:r>
              <w:rPr>
                <w:noProof/>
                <w:webHidden/>
              </w:rPr>
              <w:fldChar w:fldCharType="begin"/>
            </w:r>
            <w:r>
              <w:rPr>
                <w:noProof/>
                <w:webHidden/>
              </w:rPr>
              <w:instrText xml:space="preserve"> PAGEREF _Toc151511046 \h </w:instrText>
            </w:r>
            <w:r>
              <w:rPr>
                <w:noProof/>
                <w:webHidden/>
              </w:rPr>
            </w:r>
            <w:r>
              <w:rPr>
                <w:noProof/>
                <w:webHidden/>
              </w:rPr>
              <w:fldChar w:fldCharType="separate"/>
            </w:r>
            <w:r>
              <w:rPr>
                <w:noProof/>
                <w:webHidden/>
              </w:rPr>
              <w:t>25</w:t>
            </w:r>
            <w:r>
              <w:rPr>
                <w:noProof/>
                <w:webHidden/>
              </w:rPr>
              <w:fldChar w:fldCharType="end"/>
            </w:r>
          </w:hyperlink>
        </w:p>
        <w:p w14:paraId="54024A81" w14:textId="5DFCCC48" w:rsidR="00457146" w:rsidRDefault="00457146">
          <w:pPr>
            <w:pStyle w:val="TOC1"/>
            <w:tabs>
              <w:tab w:val="right" w:leader="dot" w:pos="9016"/>
            </w:tabs>
            <w:rPr>
              <w:rFonts w:eastAsiaTheme="minorEastAsia" w:cstheme="minorBidi"/>
              <w:b w:val="0"/>
              <w:bCs w:val="0"/>
              <w:i w:val="0"/>
              <w:iCs w:val="0"/>
              <w:noProof/>
              <w:lang w:eastAsia="en-GB"/>
            </w:rPr>
          </w:pPr>
          <w:hyperlink w:anchor="_Toc151511047" w:history="1">
            <w:r w:rsidRPr="002A780A">
              <w:rPr>
                <w:rStyle w:val="Hyperlink"/>
                <w:rFonts w:ascii="Times New Roman" w:hAnsi="Times New Roman" w:cs="Times New Roman"/>
                <w:noProof/>
              </w:rPr>
              <w:t>8.0 Future Scenario: Navigating a Sustainable Energy Landscape</w:t>
            </w:r>
            <w:r>
              <w:rPr>
                <w:noProof/>
                <w:webHidden/>
              </w:rPr>
              <w:tab/>
            </w:r>
            <w:r>
              <w:rPr>
                <w:noProof/>
                <w:webHidden/>
              </w:rPr>
              <w:fldChar w:fldCharType="begin"/>
            </w:r>
            <w:r>
              <w:rPr>
                <w:noProof/>
                <w:webHidden/>
              </w:rPr>
              <w:instrText xml:space="preserve"> PAGEREF _Toc151511047 \h </w:instrText>
            </w:r>
            <w:r>
              <w:rPr>
                <w:noProof/>
                <w:webHidden/>
              </w:rPr>
            </w:r>
            <w:r>
              <w:rPr>
                <w:noProof/>
                <w:webHidden/>
              </w:rPr>
              <w:fldChar w:fldCharType="separate"/>
            </w:r>
            <w:r>
              <w:rPr>
                <w:noProof/>
                <w:webHidden/>
              </w:rPr>
              <w:t>25</w:t>
            </w:r>
            <w:r>
              <w:rPr>
                <w:noProof/>
                <w:webHidden/>
              </w:rPr>
              <w:fldChar w:fldCharType="end"/>
            </w:r>
          </w:hyperlink>
        </w:p>
        <w:p w14:paraId="76F12B73" w14:textId="1FBDC6E9" w:rsidR="00457146" w:rsidRDefault="00457146">
          <w:pPr>
            <w:pStyle w:val="TOC2"/>
            <w:tabs>
              <w:tab w:val="right" w:leader="dot" w:pos="9016"/>
            </w:tabs>
            <w:rPr>
              <w:rFonts w:eastAsiaTheme="minorEastAsia" w:cstheme="minorBidi"/>
              <w:b w:val="0"/>
              <w:bCs w:val="0"/>
              <w:noProof/>
              <w:sz w:val="24"/>
              <w:szCs w:val="24"/>
              <w:lang w:eastAsia="en-GB"/>
            </w:rPr>
          </w:pPr>
          <w:hyperlink w:anchor="_Toc151511048" w:history="1">
            <w:r w:rsidRPr="002A780A">
              <w:rPr>
                <w:rStyle w:val="Hyperlink"/>
                <w:rFonts w:ascii="Times New Roman" w:hAnsi="Times New Roman" w:cs="Times New Roman"/>
                <w:noProof/>
              </w:rPr>
              <w:t>8.1 Market Leadership Through Renewable Investment and Grid Modernisation</w:t>
            </w:r>
            <w:r>
              <w:rPr>
                <w:noProof/>
                <w:webHidden/>
              </w:rPr>
              <w:tab/>
            </w:r>
            <w:r>
              <w:rPr>
                <w:noProof/>
                <w:webHidden/>
              </w:rPr>
              <w:fldChar w:fldCharType="begin"/>
            </w:r>
            <w:r>
              <w:rPr>
                <w:noProof/>
                <w:webHidden/>
              </w:rPr>
              <w:instrText xml:space="preserve"> PAGEREF _Toc151511048 \h </w:instrText>
            </w:r>
            <w:r>
              <w:rPr>
                <w:noProof/>
                <w:webHidden/>
              </w:rPr>
            </w:r>
            <w:r>
              <w:rPr>
                <w:noProof/>
                <w:webHidden/>
              </w:rPr>
              <w:fldChar w:fldCharType="separate"/>
            </w:r>
            <w:r>
              <w:rPr>
                <w:noProof/>
                <w:webHidden/>
              </w:rPr>
              <w:t>25</w:t>
            </w:r>
            <w:r>
              <w:rPr>
                <w:noProof/>
                <w:webHidden/>
              </w:rPr>
              <w:fldChar w:fldCharType="end"/>
            </w:r>
          </w:hyperlink>
        </w:p>
        <w:p w14:paraId="1D1CCCE5" w14:textId="6F8EA63B" w:rsidR="00457146" w:rsidRDefault="00457146">
          <w:pPr>
            <w:pStyle w:val="TOC2"/>
            <w:tabs>
              <w:tab w:val="right" w:leader="dot" w:pos="9016"/>
            </w:tabs>
            <w:rPr>
              <w:rFonts w:eastAsiaTheme="minorEastAsia" w:cstheme="minorBidi"/>
              <w:b w:val="0"/>
              <w:bCs w:val="0"/>
              <w:noProof/>
              <w:sz w:val="24"/>
              <w:szCs w:val="24"/>
              <w:lang w:eastAsia="en-GB"/>
            </w:rPr>
          </w:pPr>
          <w:hyperlink w:anchor="_Toc151511049" w:history="1">
            <w:r w:rsidRPr="002A780A">
              <w:rPr>
                <w:rStyle w:val="Hyperlink"/>
                <w:rFonts w:ascii="Times New Roman" w:hAnsi="Times New Roman" w:cs="Times New Roman"/>
                <w:noProof/>
              </w:rPr>
              <w:t>8.2 The Risk of Inaction: Dwindling Market Share and Reputation</w:t>
            </w:r>
            <w:r>
              <w:rPr>
                <w:noProof/>
                <w:webHidden/>
              </w:rPr>
              <w:tab/>
            </w:r>
            <w:r>
              <w:rPr>
                <w:noProof/>
                <w:webHidden/>
              </w:rPr>
              <w:fldChar w:fldCharType="begin"/>
            </w:r>
            <w:r>
              <w:rPr>
                <w:noProof/>
                <w:webHidden/>
              </w:rPr>
              <w:instrText xml:space="preserve"> PAGEREF _Toc151511049 \h </w:instrText>
            </w:r>
            <w:r>
              <w:rPr>
                <w:noProof/>
                <w:webHidden/>
              </w:rPr>
            </w:r>
            <w:r>
              <w:rPr>
                <w:noProof/>
                <w:webHidden/>
              </w:rPr>
              <w:fldChar w:fldCharType="separate"/>
            </w:r>
            <w:r>
              <w:rPr>
                <w:noProof/>
                <w:webHidden/>
              </w:rPr>
              <w:t>25</w:t>
            </w:r>
            <w:r>
              <w:rPr>
                <w:noProof/>
                <w:webHidden/>
              </w:rPr>
              <w:fldChar w:fldCharType="end"/>
            </w:r>
          </w:hyperlink>
        </w:p>
        <w:p w14:paraId="74ED393E" w14:textId="263665BF" w:rsidR="00457146" w:rsidRDefault="00457146">
          <w:pPr>
            <w:pStyle w:val="TOC2"/>
            <w:tabs>
              <w:tab w:val="right" w:leader="dot" w:pos="9016"/>
            </w:tabs>
            <w:rPr>
              <w:rFonts w:eastAsiaTheme="minorEastAsia" w:cstheme="minorBidi"/>
              <w:b w:val="0"/>
              <w:bCs w:val="0"/>
              <w:noProof/>
              <w:sz w:val="24"/>
              <w:szCs w:val="24"/>
              <w:lang w:eastAsia="en-GB"/>
            </w:rPr>
          </w:pPr>
          <w:hyperlink w:anchor="_Toc151511050" w:history="1">
            <w:r w:rsidRPr="002A780A">
              <w:rPr>
                <w:rStyle w:val="Hyperlink"/>
                <w:rFonts w:ascii="Times New Roman" w:hAnsi="Times New Roman" w:cs="Times New Roman"/>
                <w:noProof/>
              </w:rPr>
              <w:t>8.3 Conclusion</w:t>
            </w:r>
            <w:r>
              <w:rPr>
                <w:noProof/>
                <w:webHidden/>
              </w:rPr>
              <w:tab/>
            </w:r>
            <w:r>
              <w:rPr>
                <w:noProof/>
                <w:webHidden/>
              </w:rPr>
              <w:fldChar w:fldCharType="begin"/>
            </w:r>
            <w:r>
              <w:rPr>
                <w:noProof/>
                <w:webHidden/>
              </w:rPr>
              <w:instrText xml:space="preserve"> PAGEREF _Toc151511050 \h </w:instrText>
            </w:r>
            <w:r>
              <w:rPr>
                <w:noProof/>
                <w:webHidden/>
              </w:rPr>
            </w:r>
            <w:r>
              <w:rPr>
                <w:noProof/>
                <w:webHidden/>
              </w:rPr>
              <w:fldChar w:fldCharType="separate"/>
            </w:r>
            <w:r>
              <w:rPr>
                <w:noProof/>
                <w:webHidden/>
              </w:rPr>
              <w:t>26</w:t>
            </w:r>
            <w:r>
              <w:rPr>
                <w:noProof/>
                <w:webHidden/>
              </w:rPr>
              <w:fldChar w:fldCharType="end"/>
            </w:r>
          </w:hyperlink>
        </w:p>
        <w:p w14:paraId="4BB9E760" w14:textId="16866A89" w:rsidR="00457146" w:rsidRDefault="00457146">
          <w:pPr>
            <w:pStyle w:val="TOC1"/>
            <w:tabs>
              <w:tab w:val="right" w:leader="dot" w:pos="9016"/>
            </w:tabs>
            <w:rPr>
              <w:rFonts w:eastAsiaTheme="minorEastAsia" w:cstheme="minorBidi"/>
              <w:b w:val="0"/>
              <w:bCs w:val="0"/>
              <w:i w:val="0"/>
              <w:iCs w:val="0"/>
              <w:noProof/>
              <w:lang w:eastAsia="en-GB"/>
            </w:rPr>
          </w:pPr>
          <w:hyperlink w:anchor="_Toc151511051" w:history="1">
            <w:r w:rsidRPr="002A780A">
              <w:rPr>
                <w:rStyle w:val="Hyperlink"/>
                <w:rFonts w:ascii="Times New Roman" w:hAnsi="Times New Roman" w:cs="Times New Roman"/>
                <w:noProof/>
              </w:rPr>
              <w:t>9.0 Comprehensive Recommendations for SSE</w:t>
            </w:r>
            <w:r>
              <w:rPr>
                <w:noProof/>
                <w:webHidden/>
              </w:rPr>
              <w:tab/>
            </w:r>
            <w:r>
              <w:rPr>
                <w:noProof/>
                <w:webHidden/>
              </w:rPr>
              <w:fldChar w:fldCharType="begin"/>
            </w:r>
            <w:r>
              <w:rPr>
                <w:noProof/>
                <w:webHidden/>
              </w:rPr>
              <w:instrText xml:space="preserve"> PAGEREF _Toc151511051 \h </w:instrText>
            </w:r>
            <w:r>
              <w:rPr>
                <w:noProof/>
                <w:webHidden/>
              </w:rPr>
            </w:r>
            <w:r>
              <w:rPr>
                <w:noProof/>
                <w:webHidden/>
              </w:rPr>
              <w:fldChar w:fldCharType="separate"/>
            </w:r>
            <w:r>
              <w:rPr>
                <w:noProof/>
                <w:webHidden/>
              </w:rPr>
              <w:t>26</w:t>
            </w:r>
            <w:r>
              <w:rPr>
                <w:noProof/>
                <w:webHidden/>
              </w:rPr>
              <w:fldChar w:fldCharType="end"/>
            </w:r>
          </w:hyperlink>
        </w:p>
        <w:p w14:paraId="35EE1E46" w14:textId="74138DE9" w:rsidR="00457146" w:rsidRDefault="00457146">
          <w:pPr>
            <w:pStyle w:val="TOC2"/>
            <w:tabs>
              <w:tab w:val="right" w:leader="dot" w:pos="9016"/>
            </w:tabs>
            <w:rPr>
              <w:rFonts w:eastAsiaTheme="minorEastAsia" w:cstheme="minorBidi"/>
              <w:b w:val="0"/>
              <w:bCs w:val="0"/>
              <w:noProof/>
              <w:sz w:val="24"/>
              <w:szCs w:val="24"/>
              <w:lang w:eastAsia="en-GB"/>
            </w:rPr>
          </w:pPr>
          <w:hyperlink w:anchor="_Toc151511052" w:history="1">
            <w:r w:rsidRPr="002A780A">
              <w:rPr>
                <w:rStyle w:val="Hyperlink"/>
                <w:rFonts w:ascii="Times New Roman" w:hAnsi="Times New Roman" w:cs="Times New Roman"/>
                <w:noProof/>
                <w:kern w:val="0"/>
                <w:lang w:eastAsia="en-GB"/>
                <w14:ligatures w14:val="none"/>
              </w:rPr>
              <w:t>9.1 Accelerate Transition to Renewables</w:t>
            </w:r>
            <w:r>
              <w:rPr>
                <w:noProof/>
                <w:webHidden/>
              </w:rPr>
              <w:tab/>
            </w:r>
            <w:r>
              <w:rPr>
                <w:noProof/>
                <w:webHidden/>
              </w:rPr>
              <w:fldChar w:fldCharType="begin"/>
            </w:r>
            <w:r>
              <w:rPr>
                <w:noProof/>
                <w:webHidden/>
              </w:rPr>
              <w:instrText xml:space="preserve"> PAGEREF _Toc151511052 \h </w:instrText>
            </w:r>
            <w:r>
              <w:rPr>
                <w:noProof/>
                <w:webHidden/>
              </w:rPr>
            </w:r>
            <w:r>
              <w:rPr>
                <w:noProof/>
                <w:webHidden/>
              </w:rPr>
              <w:fldChar w:fldCharType="separate"/>
            </w:r>
            <w:r>
              <w:rPr>
                <w:noProof/>
                <w:webHidden/>
              </w:rPr>
              <w:t>26</w:t>
            </w:r>
            <w:r>
              <w:rPr>
                <w:noProof/>
                <w:webHidden/>
              </w:rPr>
              <w:fldChar w:fldCharType="end"/>
            </w:r>
          </w:hyperlink>
        </w:p>
        <w:p w14:paraId="0B0C3973" w14:textId="3557F7F9" w:rsidR="00457146" w:rsidRDefault="00457146">
          <w:pPr>
            <w:pStyle w:val="TOC2"/>
            <w:tabs>
              <w:tab w:val="right" w:leader="dot" w:pos="9016"/>
            </w:tabs>
            <w:rPr>
              <w:rFonts w:eastAsiaTheme="minorEastAsia" w:cstheme="minorBidi"/>
              <w:b w:val="0"/>
              <w:bCs w:val="0"/>
              <w:noProof/>
              <w:sz w:val="24"/>
              <w:szCs w:val="24"/>
              <w:lang w:eastAsia="en-GB"/>
            </w:rPr>
          </w:pPr>
          <w:hyperlink w:anchor="_Toc151511053" w:history="1">
            <w:r w:rsidRPr="002A780A">
              <w:rPr>
                <w:rStyle w:val="Hyperlink"/>
                <w:rFonts w:ascii="Times New Roman" w:hAnsi="Times New Roman" w:cs="Times New Roman"/>
                <w:noProof/>
                <w:kern w:val="0"/>
                <w:lang w:eastAsia="en-GB"/>
                <w14:ligatures w14:val="none"/>
              </w:rPr>
              <w:t>9.2 Focus on Technological Advancements</w:t>
            </w:r>
            <w:r>
              <w:rPr>
                <w:noProof/>
                <w:webHidden/>
              </w:rPr>
              <w:tab/>
            </w:r>
            <w:r>
              <w:rPr>
                <w:noProof/>
                <w:webHidden/>
              </w:rPr>
              <w:fldChar w:fldCharType="begin"/>
            </w:r>
            <w:r>
              <w:rPr>
                <w:noProof/>
                <w:webHidden/>
              </w:rPr>
              <w:instrText xml:space="preserve"> PAGEREF _Toc151511053 \h </w:instrText>
            </w:r>
            <w:r>
              <w:rPr>
                <w:noProof/>
                <w:webHidden/>
              </w:rPr>
            </w:r>
            <w:r>
              <w:rPr>
                <w:noProof/>
                <w:webHidden/>
              </w:rPr>
              <w:fldChar w:fldCharType="separate"/>
            </w:r>
            <w:r>
              <w:rPr>
                <w:noProof/>
                <w:webHidden/>
              </w:rPr>
              <w:t>26</w:t>
            </w:r>
            <w:r>
              <w:rPr>
                <w:noProof/>
                <w:webHidden/>
              </w:rPr>
              <w:fldChar w:fldCharType="end"/>
            </w:r>
          </w:hyperlink>
        </w:p>
        <w:p w14:paraId="6F04B855" w14:textId="4A8600BA" w:rsidR="00457146" w:rsidRDefault="00457146">
          <w:pPr>
            <w:pStyle w:val="TOC2"/>
            <w:tabs>
              <w:tab w:val="right" w:leader="dot" w:pos="9016"/>
            </w:tabs>
            <w:rPr>
              <w:rFonts w:eastAsiaTheme="minorEastAsia" w:cstheme="minorBidi"/>
              <w:b w:val="0"/>
              <w:bCs w:val="0"/>
              <w:noProof/>
              <w:sz w:val="24"/>
              <w:szCs w:val="24"/>
              <w:lang w:eastAsia="en-GB"/>
            </w:rPr>
          </w:pPr>
          <w:hyperlink w:anchor="_Toc151511054" w:history="1">
            <w:r w:rsidRPr="002A780A">
              <w:rPr>
                <w:rStyle w:val="Hyperlink"/>
                <w:rFonts w:ascii="Times New Roman" w:hAnsi="Times New Roman" w:cs="Times New Roman"/>
                <w:noProof/>
                <w:kern w:val="0"/>
                <w:lang w:eastAsia="en-GB"/>
                <w14:ligatures w14:val="none"/>
              </w:rPr>
              <w:t>9.3 Strengthen Regulatory Compliance</w:t>
            </w:r>
            <w:r>
              <w:rPr>
                <w:noProof/>
                <w:webHidden/>
              </w:rPr>
              <w:tab/>
            </w:r>
            <w:r>
              <w:rPr>
                <w:noProof/>
                <w:webHidden/>
              </w:rPr>
              <w:fldChar w:fldCharType="begin"/>
            </w:r>
            <w:r>
              <w:rPr>
                <w:noProof/>
                <w:webHidden/>
              </w:rPr>
              <w:instrText xml:space="preserve"> PAGEREF _Toc151511054 \h </w:instrText>
            </w:r>
            <w:r>
              <w:rPr>
                <w:noProof/>
                <w:webHidden/>
              </w:rPr>
            </w:r>
            <w:r>
              <w:rPr>
                <w:noProof/>
                <w:webHidden/>
              </w:rPr>
              <w:fldChar w:fldCharType="separate"/>
            </w:r>
            <w:r>
              <w:rPr>
                <w:noProof/>
                <w:webHidden/>
              </w:rPr>
              <w:t>26</w:t>
            </w:r>
            <w:r>
              <w:rPr>
                <w:noProof/>
                <w:webHidden/>
              </w:rPr>
              <w:fldChar w:fldCharType="end"/>
            </w:r>
          </w:hyperlink>
        </w:p>
        <w:p w14:paraId="232080A1" w14:textId="7A1CA432" w:rsidR="00457146" w:rsidRDefault="00457146">
          <w:pPr>
            <w:pStyle w:val="TOC2"/>
            <w:tabs>
              <w:tab w:val="right" w:leader="dot" w:pos="9016"/>
            </w:tabs>
            <w:rPr>
              <w:rFonts w:eastAsiaTheme="minorEastAsia" w:cstheme="minorBidi"/>
              <w:b w:val="0"/>
              <w:bCs w:val="0"/>
              <w:noProof/>
              <w:sz w:val="24"/>
              <w:szCs w:val="24"/>
              <w:lang w:eastAsia="en-GB"/>
            </w:rPr>
          </w:pPr>
          <w:hyperlink w:anchor="_Toc151511055" w:history="1">
            <w:r w:rsidRPr="002A780A">
              <w:rPr>
                <w:rStyle w:val="Hyperlink"/>
                <w:rFonts w:ascii="Times New Roman" w:hAnsi="Times New Roman" w:cs="Times New Roman"/>
                <w:noProof/>
                <w:kern w:val="0"/>
                <w:lang w:eastAsia="en-GB"/>
                <w14:ligatures w14:val="none"/>
              </w:rPr>
              <w:t>9.4 Consumer Engagement and Sustainability</w:t>
            </w:r>
            <w:r>
              <w:rPr>
                <w:noProof/>
                <w:webHidden/>
              </w:rPr>
              <w:tab/>
            </w:r>
            <w:r>
              <w:rPr>
                <w:noProof/>
                <w:webHidden/>
              </w:rPr>
              <w:fldChar w:fldCharType="begin"/>
            </w:r>
            <w:r>
              <w:rPr>
                <w:noProof/>
                <w:webHidden/>
              </w:rPr>
              <w:instrText xml:space="preserve"> PAGEREF _Toc151511055 \h </w:instrText>
            </w:r>
            <w:r>
              <w:rPr>
                <w:noProof/>
                <w:webHidden/>
              </w:rPr>
            </w:r>
            <w:r>
              <w:rPr>
                <w:noProof/>
                <w:webHidden/>
              </w:rPr>
              <w:fldChar w:fldCharType="separate"/>
            </w:r>
            <w:r>
              <w:rPr>
                <w:noProof/>
                <w:webHidden/>
              </w:rPr>
              <w:t>26</w:t>
            </w:r>
            <w:r>
              <w:rPr>
                <w:noProof/>
                <w:webHidden/>
              </w:rPr>
              <w:fldChar w:fldCharType="end"/>
            </w:r>
          </w:hyperlink>
        </w:p>
        <w:p w14:paraId="30F35B9C" w14:textId="3B63ABF4" w:rsidR="00457146" w:rsidRDefault="00457146">
          <w:pPr>
            <w:pStyle w:val="TOC2"/>
            <w:tabs>
              <w:tab w:val="right" w:leader="dot" w:pos="9016"/>
            </w:tabs>
            <w:rPr>
              <w:rFonts w:eastAsiaTheme="minorEastAsia" w:cstheme="minorBidi"/>
              <w:b w:val="0"/>
              <w:bCs w:val="0"/>
              <w:noProof/>
              <w:sz w:val="24"/>
              <w:szCs w:val="24"/>
              <w:lang w:eastAsia="en-GB"/>
            </w:rPr>
          </w:pPr>
          <w:hyperlink w:anchor="_Toc151511056" w:history="1">
            <w:r w:rsidRPr="002A780A">
              <w:rPr>
                <w:rStyle w:val="Hyperlink"/>
                <w:rFonts w:ascii="Times New Roman" w:hAnsi="Times New Roman" w:cs="Times New Roman"/>
                <w:noProof/>
                <w:kern w:val="0"/>
                <w:lang w:eastAsia="en-GB"/>
                <w14:ligatures w14:val="none"/>
              </w:rPr>
              <w:t>9.5 Global Expansion</w:t>
            </w:r>
            <w:r>
              <w:rPr>
                <w:noProof/>
                <w:webHidden/>
              </w:rPr>
              <w:tab/>
            </w:r>
            <w:r>
              <w:rPr>
                <w:noProof/>
                <w:webHidden/>
              </w:rPr>
              <w:fldChar w:fldCharType="begin"/>
            </w:r>
            <w:r>
              <w:rPr>
                <w:noProof/>
                <w:webHidden/>
              </w:rPr>
              <w:instrText xml:space="preserve"> PAGEREF _Toc151511056 \h </w:instrText>
            </w:r>
            <w:r>
              <w:rPr>
                <w:noProof/>
                <w:webHidden/>
              </w:rPr>
            </w:r>
            <w:r>
              <w:rPr>
                <w:noProof/>
                <w:webHidden/>
              </w:rPr>
              <w:fldChar w:fldCharType="separate"/>
            </w:r>
            <w:r>
              <w:rPr>
                <w:noProof/>
                <w:webHidden/>
              </w:rPr>
              <w:t>27</w:t>
            </w:r>
            <w:r>
              <w:rPr>
                <w:noProof/>
                <w:webHidden/>
              </w:rPr>
              <w:fldChar w:fldCharType="end"/>
            </w:r>
          </w:hyperlink>
        </w:p>
        <w:p w14:paraId="030E2F37" w14:textId="58585B71" w:rsidR="00457146" w:rsidRDefault="00457146">
          <w:pPr>
            <w:pStyle w:val="TOC2"/>
            <w:tabs>
              <w:tab w:val="right" w:leader="dot" w:pos="9016"/>
            </w:tabs>
            <w:rPr>
              <w:rFonts w:eastAsiaTheme="minorEastAsia" w:cstheme="minorBidi"/>
              <w:b w:val="0"/>
              <w:bCs w:val="0"/>
              <w:noProof/>
              <w:sz w:val="24"/>
              <w:szCs w:val="24"/>
              <w:lang w:eastAsia="en-GB"/>
            </w:rPr>
          </w:pPr>
          <w:hyperlink w:anchor="_Toc151511057" w:history="1">
            <w:r w:rsidRPr="002A780A">
              <w:rPr>
                <w:rStyle w:val="Hyperlink"/>
                <w:rFonts w:ascii="Times New Roman" w:hAnsi="Times New Roman" w:cs="Times New Roman"/>
                <w:noProof/>
                <w:kern w:val="0"/>
                <w:lang w:eastAsia="en-GB"/>
                <w14:ligatures w14:val="none"/>
              </w:rPr>
              <w:t>9.6 Final Words</w:t>
            </w:r>
            <w:r>
              <w:rPr>
                <w:noProof/>
                <w:webHidden/>
              </w:rPr>
              <w:tab/>
            </w:r>
            <w:r>
              <w:rPr>
                <w:noProof/>
                <w:webHidden/>
              </w:rPr>
              <w:fldChar w:fldCharType="begin"/>
            </w:r>
            <w:r>
              <w:rPr>
                <w:noProof/>
                <w:webHidden/>
              </w:rPr>
              <w:instrText xml:space="preserve"> PAGEREF _Toc151511057 \h </w:instrText>
            </w:r>
            <w:r>
              <w:rPr>
                <w:noProof/>
                <w:webHidden/>
              </w:rPr>
            </w:r>
            <w:r>
              <w:rPr>
                <w:noProof/>
                <w:webHidden/>
              </w:rPr>
              <w:fldChar w:fldCharType="separate"/>
            </w:r>
            <w:r>
              <w:rPr>
                <w:noProof/>
                <w:webHidden/>
              </w:rPr>
              <w:t>27</w:t>
            </w:r>
            <w:r>
              <w:rPr>
                <w:noProof/>
                <w:webHidden/>
              </w:rPr>
              <w:fldChar w:fldCharType="end"/>
            </w:r>
          </w:hyperlink>
        </w:p>
        <w:p w14:paraId="523605A7" w14:textId="5A721BDA" w:rsidR="00457146" w:rsidRDefault="00457146">
          <w:pPr>
            <w:pStyle w:val="TOC1"/>
            <w:tabs>
              <w:tab w:val="right" w:leader="dot" w:pos="9016"/>
            </w:tabs>
            <w:rPr>
              <w:rFonts w:eastAsiaTheme="minorEastAsia" w:cstheme="minorBidi"/>
              <w:b w:val="0"/>
              <w:bCs w:val="0"/>
              <w:i w:val="0"/>
              <w:iCs w:val="0"/>
              <w:noProof/>
              <w:lang w:eastAsia="en-GB"/>
            </w:rPr>
          </w:pPr>
          <w:hyperlink w:anchor="_Toc151511058" w:history="1">
            <w:r w:rsidRPr="002A780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_Toc151511058 \h </w:instrText>
            </w:r>
            <w:r>
              <w:rPr>
                <w:noProof/>
                <w:webHidden/>
              </w:rPr>
            </w:r>
            <w:r>
              <w:rPr>
                <w:noProof/>
                <w:webHidden/>
              </w:rPr>
              <w:fldChar w:fldCharType="separate"/>
            </w:r>
            <w:r>
              <w:rPr>
                <w:noProof/>
                <w:webHidden/>
              </w:rPr>
              <w:t>27</w:t>
            </w:r>
            <w:r>
              <w:rPr>
                <w:noProof/>
                <w:webHidden/>
              </w:rPr>
              <w:fldChar w:fldCharType="end"/>
            </w:r>
          </w:hyperlink>
        </w:p>
        <w:p w14:paraId="12DDBE55" w14:textId="7D83CC1B" w:rsidR="00C73A18" w:rsidRPr="003519EC" w:rsidRDefault="00C73A18" w:rsidP="009C627E">
          <w:pPr>
            <w:jc w:val="both"/>
          </w:pPr>
          <w:r w:rsidRPr="003519EC">
            <w:rPr>
              <w:b/>
              <w:bCs/>
              <w:noProof/>
            </w:rPr>
            <w:fldChar w:fldCharType="end"/>
          </w:r>
        </w:p>
      </w:sdtContent>
    </w:sdt>
    <w:p w14:paraId="5AB97B39" w14:textId="77777777" w:rsidR="00C73A18" w:rsidRPr="003519EC" w:rsidRDefault="00C73A18" w:rsidP="009C627E">
      <w:pPr>
        <w:jc w:val="both"/>
        <w:rPr>
          <w:b/>
          <w:bCs/>
        </w:rPr>
      </w:pPr>
    </w:p>
    <w:p w14:paraId="108E63C2" w14:textId="77777777" w:rsidR="00C73A18" w:rsidRPr="003519EC" w:rsidRDefault="00C73A18" w:rsidP="009C627E">
      <w:pPr>
        <w:jc w:val="both"/>
        <w:rPr>
          <w:b/>
          <w:bCs/>
        </w:rPr>
      </w:pPr>
      <w:r w:rsidRPr="003519EC">
        <w:rPr>
          <w:b/>
          <w:bCs/>
        </w:rPr>
        <w:br w:type="page"/>
      </w:r>
    </w:p>
    <w:p w14:paraId="2E5F1D8E" w14:textId="4D27B530" w:rsidR="0094602F" w:rsidRPr="003519EC" w:rsidRDefault="0094602F" w:rsidP="0094602F">
      <w:pPr>
        <w:pStyle w:val="Heading1"/>
        <w:rPr>
          <w:rFonts w:ascii="Times New Roman" w:hAnsi="Times New Roman" w:cs="Times New Roman"/>
          <w:b/>
          <w:bCs/>
          <w:sz w:val="28"/>
          <w:szCs w:val="28"/>
        </w:rPr>
      </w:pPr>
      <w:bookmarkStart w:id="0" w:name="_Toc151511019"/>
      <w:r w:rsidRPr="003519EC">
        <w:rPr>
          <w:rFonts w:ascii="Times New Roman" w:hAnsi="Times New Roman" w:cs="Times New Roman"/>
          <w:b/>
          <w:bCs/>
          <w:sz w:val="28"/>
          <w:szCs w:val="28"/>
        </w:rPr>
        <w:lastRenderedPageBreak/>
        <w:t>1.0 Executive Summary</w:t>
      </w:r>
      <w:bookmarkEnd w:id="0"/>
    </w:p>
    <w:p w14:paraId="11FDAF99" w14:textId="77777777" w:rsidR="0094602F" w:rsidRPr="003519EC" w:rsidRDefault="0094602F" w:rsidP="0094602F">
      <w:pPr>
        <w:jc w:val="both"/>
        <w:rPr>
          <w:b/>
          <w:bCs/>
        </w:rPr>
      </w:pPr>
    </w:p>
    <w:p w14:paraId="7D089EC6" w14:textId="3B0ECE53" w:rsidR="00AC3375" w:rsidRDefault="0065624D" w:rsidP="00AC6429">
      <w:pPr>
        <w:spacing w:line="360" w:lineRule="auto"/>
        <w:jc w:val="both"/>
      </w:pPr>
      <w:r>
        <w:t>This</w:t>
      </w:r>
      <w:r w:rsidR="001672D8">
        <w:t xml:space="preserve"> report</w:t>
      </w:r>
      <w:r>
        <w:t xml:space="preserve"> comprehensively analyses</w:t>
      </w:r>
      <w:r w:rsidR="00AC3375">
        <w:t xml:space="preserve"> the environmental factors</w:t>
      </w:r>
      <w:r w:rsidR="001672D8">
        <w:t xml:space="preserve"> affecting Southern and Scottish Energy (SSE), one of the leading players in the global energy industry. We </w:t>
      </w:r>
      <w:r w:rsidR="007A2173">
        <w:t>utilise</w:t>
      </w:r>
      <w:r w:rsidR="001672D8">
        <w:t xml:space="preserve"> various analytical tools, such as PESTEL, Porter's Five Forces, and SWOT, to provide an all-encompassing perspective on SSE's internal environment and competitive landscape. The economic aspect is a key focus within our PESTEL analysis as it explores the national and international macroeconomic indicators critical to SSE. </w:t>
      </w:r>
      <w:r w:rsidR="00AC3375">
        <w:t>This component holds significant importance by</w:t>
      </w:r>
      <w:r w:rsidR="001672D8">
        <w:t xml:space="preserve"> providing insight into the dominant forces shaping the company's direction. By applying Porter's Five Forces, we assess SSE's competitive environment. This encompasses factors such as the bargaining power of suppliers and consumers, potential substitutes, and the intensity of rivalry among competitors. Such analysis provides a comprehensive outlook on </w:t>
      </w:r>
      <w:r w:rsidR="00AC3375">
        <w:t>SSE's challenges</w:t>
      </w:r>
      <w:r w:rsidR="001672D8">
        <w:t xml:space="preserve"> in its market sphere.</w:t>
      </w:r>
    </w:p>
    <w:p w14:paraId="751F67D8" w14:textId="21E7815C" w:rsidR="001672D8" w:rsidRPr="003519EC" w:rsidRDefault="001672D8" w:rsidP="00AC6429">
      <w:pPr>
        <w:spacing w:line="360" w:lineRule="auto"/>
        <w:jc w:val="both"/>
      </w:pPr>
      <w:r>
        <w:t xml:space="preserve">The evaluation of SSE's internal strengths and weaknesses, as well as the external opportunities and threats it faces, is revealed through our SWOT analysis. This examination sheds light on SSE's present standing within the market while providing valuable perspectives regarding its previous strategic choices. Considering the developing energy dynamics on a global scale, we are contemplating potential adjustments to SSE's strategic plan in anticipation of future modifications. </w:t>
      </w:r>
      <w:r w:rsidR="00AC3375">
        <w:t>Our</w:t>
      </w:r>
      <w:r>
        <w:t xml:space="preserve"> comprehensive analysis has led to tailored recommendations that position SSE as a frontrunner in the rapidly changing global energy sector.</w:t>
      </w:r>
    </w:p>
    <w:p w14:paraId="141E4058" w14:textId="0DCAEDC5" w:rsidR="005D12BE" w:rsidRPr="003519EC" w:rsidRDefault="0094602F" w:rsidP="009C627E">
      <w:pPr>
        <w:pStyle w:val="Heading1"/>
        <w:spacing w:line="360" w:lineRule="auto"/>
        <w:jc w:val="both"/>
        <w:rPr>
          <w:rFonts w:ascii="Times New Roman" w:hAnsi="Times New Roman" w:cs="Times New Roman"/>
          <w:b/>
          <w:bCs/>
        </w:rPr>
      </w:pPr>
      <w:bookmarkStart w:id="1" w:name="_Toc151511020"/>
      <w:r w:rsidRPr="003519EC">
        <w:rPr>
          <w:rFonts w:ascii="Times New Roman" w:hAnsi="Times New Roman" w:cs="Times New Roman"/>
          <w:b/>
          <w:bCs/>
          <w:sz w:val="28"/>
          <w:szCs w:val="28"/>
        </w:rPr>
        <w:t>2.0</w:t>
      </w:r>
      <w:r w:rsidR="005D12BE" w:rsidRPr="003519EC">
        <w:rPr>
          <w:rFonts w:ascii="Times New Roman" w:hAnsi="Times New Roman" w:cs="Times New Roman"/>
          <w:b/>
          <w:bCs/>
          <w:sz w:val="28"/>
          <w:szCs w:val="28"/>
        </w:rPr>
        <w:t>. Introduction</w:t>
      </w:r>
      <w:r w:rsidR="00622D1E" w:rsidRPr="003519EC">
        <w:rPr>
          <w:rFonts w:ascii="Times New Roman" w:hAnsi="Times New Roman" w:cs="Times New Roman"/>
          <w:b/>
          <w:bCs/>
          <w:sz w:val="28"/>
          <w:szCs w:val="28"/>
        </w:rPr>
        <w:t>: An Overview of SSE and the Evolving Energy Industry</w:t>
      </w:r>
      <w:bookmarkEnd w:id="1"/>
    </w:p>
    <w:p w14:paraId="679731CB" w14:textId="6ACA43EF" w:rsidR="005D12BE" w:rsidRPr="003519EC" w:rsidRDefault="0094602F" w:rsidP="009C627E">
      <w:pPr>
        <w:pStyle w:val="Heading2"/>
        <w:spacing w:line="360" w:lineRule="auto"/>
        <w:jc w:val="both"/>
        <w:rPr>
          <w:rFonts w:ascii="Times New Roman" w:hAnsi="Times New Roman" w:cs="Times New Roman"/>
          <w:b/>
          <w:bCs/>
        </w:rPr>
      </w:pPr>
      <w:bookmarkStart w:id="2" w:name="_Toc151511021"/>
      <w:r w:rsidRPr="003519EC">
        <w:rPr>
          <w:rFonts w:ascii="Times New Roman" w:hAnsi="Times New Roman" w:cs="Times New Roman"/>
          <w:b/>
          <w:bCs/>
        </w:rPr>
        <w:t>2</w:t>
      </w:r>
      <w:r w:rsidR="00622D1E" w:rsidRPr="003519EC">
        <w:rPr>
          <w:rFonts w:ascii="Times New Roman" w:hAnsi="Times New Roman" w:cs="Times New Roman"/>
          <w:b/>
          <w:bCs/>
        </w:rPr>
        <w:t xml:space="preserve">.1 </w:t>
      </w:r>
      <w:r w:rsidR="005D12BE" w:rsidRPr="003519EC">
        <w:rPr>
          <w:rFonts w:ascii="Times New Roman" w:hAnsi="Times New Roman" w:cs="Times New Roman"/>
          <w:b/>
          <w:bCs/>
        </w:rPr>
        <w:t>Background and Context</w:t>
      </w:r>
      <w:bookmarkEnd w:id="2"/>
    </w:p>
    <w:p w14:paraId="6518EBC3" w14:textId="273D671A" w:rsidR="00FD1991" w:rsidRPr="003519EC" w:rsidRDefault="00FD1991" w:rsidP="009C627E">
      <w:pPr>
        <w:spacing w:line="360" w:lineRule="auto"/>
        <w:jc w:val="both"/>
      </w:pPr>
      <w:r w:rsidRPr="003519EC">
        <w:t xml:space="preserve">Southern and Scottish Energy (SSE) has a long-standing heritage dating back to the 1940s, grounded in its roots from the North of Scotland Hydro-Electric Board and the Southern Electricity Board. These public-sector </w:t>
      </w:r>
      <w:r w:rsidR="007A2173">
        <w:t>organisations</w:t>
      </w:r>
      <w:r w:rsidRPr="003519EC">
        <w:t xml:space="preserve"> </w:t>
      </w:r>
      <w:r w:rsidR="00811E8F" w:rsidRPr="003519EC">
        <w:t>pioneered</w:t>
      </w:r>
      <w:r w:rsidRPr="003519EC">
        <w:t xml:space="preserve"> electricity to the Highlands and southern England. Their later </w:t>
      </w:r>
      <w:r w:rsidR="007A2173">
        <w:t>privatisation</w:t>
      </w:r>
      <w:r w:rsidRPr="003519EC">
        <w:t xml:space="preserve"> in the early '90s, followed by their merger in 1998, laid the foundation for SSE to become a dominant energy company in the </w:t>
      </w:r>
      <w:r w:rsidR="001000C6" w:rsidRPr="003519EC">
        <w:t>U.K.</w:t>
      </w:r>
      <w:r w:rsidRPr="003519EC">
        <w:t xml:space="preserve"> and Ireland. With a workforce of over 20,000 and a customer base reaching millions, SSE boasts a broad energy mix, including natural gas, wind, hydro, and thermal power.</w:t>
      </w:r>
    </w:p>
    <w:p w14:paraId="08197368" w14:textId="15512156" w:rsidR="00FD1991" w:rsidRPr="003519EC" w:rsidRDefault="00FD1991" w:rsidP="009C627E">
      <w:pPr>
        <w:spacing w:line="360" w:lineRule="auto"/>
        <w:jc w:val="both"/>
      </w:pPr>
      <w:r w:rsidRPr="003519EC">
        <w:t>In its early days, the company was part of remarkable engineering achievements, such as setting a global record for rock tunnelling in 1955 at St. Fillans. By the mid-1960s, Scotland had an impressive infrastructure with 56 dams connected by an intricate network of tunnels, aqueducts, and pipelines. This engineering heritage is still very much part of SSE's DNA.</w:t>
      </w:r>
    </w:p>
    <w:p w14:paraId="536D0EE8" w14:textId="6EE95FE2" w:rsidR="00FD1991" w:rsidRPr="003519EC" w:rsidRDefault="00FD1991" w:rsidP="009C627E">
      <w:pPr>
        <w:spacing w:line="360" w:lineRule="auto"/>
        <w:jc w:val="both"/>
      </w:pPr>
      <w:r w:rsidRPr="003519EC">
        <w:lastRenderedPageBreak/>
        <w:t xml:space="preserve">The acquisition of Airtricity in 2008 was a strategic move that made SSE the largest operator of renewable energy in the </w:t>
      </w:r>
      <w:r w:rsidR="001000C6" w:rsidRPr="003519EC">
        <w:t>U.K.</w:t>
      </w:r>
      <w:r w:rsidRPr="003519EC">
        <w:t xml:space="preserve"> and Ireland. In line with this focus, the company divested its </w:t>
      </w:r>
      <w:r w:rsidR="001000C6" w:rsidRPr="003519EC">
        <w:t>G.B.</w:t>
      </w:r>
      <w:r w:rsidRPr="003519EC">
        <w:t xml:space="preserve"> electricity supply business to Ovo Energy in 2020 to concentrate more intensively on electricity networks and renewable energy sources, thus aligning with global ambitions for a net-zero future.</w:t>
      </w:r>
    </w:p>
    <w:p w14:paraId="21DAF76F" w14:textId="2D868C25" w:rsidR="00AC57AC" w:rsidRPr="003519EC" w:rsidRDefault="00FD1991" w:rsidP="009C627E">
      <w:pPr>
        <w:spacing w:line="360" w:lineRule="auto"/>
        <w:jc w:val="both"/>
      </w:pPr>
      <w:r w:rsidRPr="003519EC">
        <w:t>This diverse history and strategic evolution position SSE as a key player in an industry experiencing rapid shifts due to technological advancements, policy changes, and evolving social expectations. The company's operations are extensive and deeply entwined with the historical development and prospects of the energy sector in the regions it serves</w:t>
      </w:r>
      <w:r w:rsidR="005E57B2" w:rsidRPr="003519EC">
        <w:t xml:space="preserve"> (SSE, 2008</w:t>
      </w:r>
      <w:r w:rsidR="00353744" w:rsidRPr="003519EC">
        <w:t xml:space="preserve">; Energy </w:t>
      </w:r>
      <w:r w:rsidR="001000C6" w:rsidRPr="003519EC">
        <w:t>U.K.</w:t>
      </w:r>
      <w:r w:rsidR="00353744" w:rsidRPr="003519EC">
        <w:t>, 2022</w:t>
      </w:r>
      <w:r w:rsidR="005E57B2" w:rsidRPr="003519EC">
        <w:t>).</w:t>
      </w:r>
    </w:p>
    <w:p w14:paraId="3C5CD462" w14:textId="46AC2410" w:rsidR="00C253EB" w:rsidRPr="003519EC" w:rsidRDefault="00C253EB" w:rsidP="000B39F5">
      <w:pPr>
        <w:spacing w:line="360" w:lineRule="auto"/>
        <w:jc w:val="center"/>
      </w:pPr>
      <w:r w:rsidRPr="003519EC">
        <w:fldChar w:fldCharType="begin"/>
      </w:r>
      <w:r w:rsidRPr="003519EC">
        <w:instrText xml:space="preserve"> INCLUDEPICTURE "https://utilitiessavings.co.uk/wp-content/uploads/2016/10/networks_20121.png" \* MERGEFORMATINET </w:instrText>
      </w:r>
      <w:r w:rsidRPr="003519EC">
        <w:fldChar w:fldCharType="separate"/>
      </w:r>
      <w:r w:rsidRPr="003519EC">
        <w:rPr>
          <w:noProof/>
        </w:rPr>
        <w:drawing>
          <wp:inline distT="0" distB="0" distL="0" distR="0" wp14:anchorId="24EB3FFB" wp14:editId="6E98AFFB">
            <wp:extent cx="4301522" cy="4692926"/>
            <wp:effectExtent l="0" t="0" r="3810" b="6350"/>
            <wp:docPr id="2105515156" name="Picture 1" descr="A map of united kingdom with different color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15156" name="Picture 1" descr="A map of united kingdom with different colored state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8978" cy="4711970"/>
                    </a:xfrm>
                    <a:prstGeom prst="rect">
                      <a:avLst/>
                    </a:prstGeom>
                    <a:noFill/>
                    <a:ln>
                      <a:noFill/>
                    </a:ln>
                  </pic:spPr>
                </pic:pic>
              </a:graphicData>
            </a:graphic>
          </wp:inline>
        </w:drawing>
      </w:r>
      <w:r w:rsidRPr="003519EC">
        <w:fldChar w:fldCharType="end"/>
      </w:r>
    </w:p>
    <w:p w14:paraId="749DB9D8" w14:textId="305427D3" w:rsidR="000B39F5" w:rsidRPr="003519EC" w:rsidRDefault="000B39F5" w:rsidP="000B39F5">
      <w:pPr>
        <w:spacing w:line="360" w:lineRule="auto"/>
        <w:jc w:val="center"/>
      </w:pPr>
      <w:r w:rsidRPr="003519EC">
        <w:t>Figure 1: SSE is in g</w:t>
      </w:r>
      <w:r w:rsidR="00C253EB" w:rsidRPr="003519EC">
        <w:t>reen</w:t>
      </w:r>
      <w:r w:rsidRPr="003519EC">
        <w:t> </w:t>
      </w:r>
      <w:r w:rsidR="00C253EB" w:rsidRPr="003519EC">
        <w:t>(</w:t>
      </w:r>
      <w:r w:rsidR="00C253EB" w:rsidRPr="003519EC">
        <w:rPr>
          <w:i/>
          <w:iCs/>
        </w:rPr>
        <w:t>Distribution Network Operators</w:t>
      </w:r>
      <w:r w:rsidR="00C253EB" w:rsidRPr="003519EC">
        <w:t>, 2012)</w:t>
      </w:r>
    </w:p>
    <w:p w14:paraId="365F6B98" w14:textId="133AED10" w:rsidR="005D12BE" w:rsidRPr="003519EC" w:rsidRDefault="0018188C" w:rsidP="009C627E">
      <w:pPr>
        <w:pStyle w:val="Heading2"/>
        <w:spacing w:line="360" w:lineRule="auto"/>
        <w:jc w:val="both"/>
        <w:rPr>
          <w:rFonts w:ascii="Times New Roman" w:hAnsi="Times New Roman" w:cs="Times New Roman"/>
          <w:b/>
          <w:bCs/>
        </w:rPr>
      </w:pPr>
      <w:bookmarkStart w:id="3" w:name="_Toc151511022"/>
      <w:r w:rsidRPr="003519EC">
        <w:rPr>
          <w:rFonts w:ascii="Times New Roman" w:hAnsi="Times New Roman" w:cs="Times New Roman"/>
          <w:b/>
          <w:bCs/>
        </w:rPr>
        <w:t>2</w:t>
      </w:r>
      <w:r w:rsidR="00622D1E" w:rsidRPr="003519EC">
        <w:rPr>
          <w:rFonts w:ascii="Times New Roman" w:hAnsi="Times New Roman" w:cs="Times New Roman"/>
          <w:b/>
          <w:bCs/>
        </w:rPr>
        <w:t xml:space="preserve">.2 </w:t>
      </w:r>
      <w:r w:rsidR="005D12BE" w:rsidRPr="003519EC">
        <w:rPr>
          <w:rFonts w:ascii="Times New Roman" w:hAnsi="Times New Roman" w:cs="Times New Roman"/>
          <w:b/>
          <w:bCs/>
        </w:rPr>
        <w:t>Scope and Importance</w:t>
      </w:r>
      <w:bookmarkEnd w:id="3"/>
    </w:p>
    <w:p w14:paraId="35F0B23B" w14:textId="67C85B36" w:rsidR="005D12BE" w:rsidRPr="003519EC" w:rsidRDefault="005D12BE" w:rsidP="009C627E">
      <w:pPr>
        <w:spacing w:line="360" w:lineRule="auto"/>
        <w:jc w:val="both"/>
      </w:pPr>
      <w:r w:rsidRPr="003519EC">
        <w:t xml:space="preserve">The energy sector is critical not just for economic growth but also for environmental sustainability. Within this landscape, SSE's role cannot be understated. This report aims to delve into the multiple environmental forces impacting SSE, </w:t>
      </w:r>
      <w:r w:rsidR="007A2173">
        <w:t>analyse</w:t>
      </w:r>
      <w:r w:rsidRPr="003519EC">
        <w:t xml:space="preserve"> the implications of these </w:t>
      </w:r>
      <w:r w:rsidRPr="003519EC">
        <w:lastRenderedPageBreak/>
        <w:t>pressures</w:t>
      </w:r>
      <w:r w:rsidR="00356D1D" w:rsidRPr="003519EC">
        <w:t>,</w:t>
      </w:r>
      <w:r w:rsidRPr="003519EC">
        <w:t xml:space="preserve"> and </w:t>
      </w:r>
      <w:r w:rsidR="00356D1D" w:rsidRPr="003519EC">
        <w:t>identify</w:t>
      </w:r>
      <w:r w:rsidRPr="003519EC">
        <w:t xml:space="preserve"> avenues for strategic realignment. The report intends to serve as a comprehensive tool for understanding the </w:t>
      </w:r>
      <w:r w:rsidR="00677C02" w:rsidRPr="003519EC">
        <w:t>opportunities and threats</w:t>
      </w:r>
      <w:r w:rsidRPr="003519EC">
        <w:t xml:space="preserve"> </w:t>
      </w:r>
      <w:r w:rsidR="00677C02" w:rsidRPr="003519EC">
        <w:t xml:space="preserve">of the external environment </w:t>
      </w:r>
      <w:r w:rsidR="00C253EB" w:rsidRPr="003519EC">
        <w:t>(Littlechild and Vaidya, 2019).</w:t>
      </w:r>
    </w:p>
    <w:p w14:paraId="6DF247A4" w14:textId="1D4FF27C" w:rsidR="005D12BE" w:rsidRPr="003519EC" w:rsidRDefault="0018188C" w:rsidP="009C627E">
      <w:pPr>
        <w:pStyle w:val="Heading2"/>
        <w:spacing w:line="360" w:lineRule="auto"/>
        <w:jc w:val="both"/>
        <w:rPr>
          <w:rFonts w:ascii="Times New Roman" w:hAnsi="Times New Roman" w:cs="Times New Roman"/>
          <w:b/>
          <w:bCs/>
        </w:rPr>
      </w:pPr>
      <w:bookmarkStart w:id="4" w:name="_Toc151511023"/>
      <w:r w:rsidRPr="003519EC">
        <w:rPr>
          <w:rFonts w:ascii="Times New Roman" w:hAnsi="Times New Roman" w:cs="Times New Roman"/>
          <w:b/>
          <w:bCs/>
        </w:rPr>
        <w:t>2</w:t>
      </w:r>
      <w:r w:rsidR="00622D1E" w:rsidRPr="003519EC">
        <w:rPr>
          <w:rFonts w:ascii="Times New Roman" w:hAnsi="Times New Roman" w:cs="Times New Roman"/>
          <w:b/>
          <w:bCs/>
        </w:rPr>
        <w:t xml:space="preserve">.3 </w:t>
      </w:r>
      <w:r w:rsidR="005D12BE" w:rsidRPr="003519EC">
        <w:rPr>
          <w:rFonts w:ascii="Times New Roman" w:hAnsi="Times New Roman" w:cs="Times New Roman"/>
          <w:b/>
          <w:bCs/>
        </w:rPr>
        <w:t>Objectives of the Report</w:t>
      </w:r>
      <w:bookmarkEnd w:id="4"/>
    </w:p>
    <w:p w14:paraId="02B33FFD" w14:textId="77777777" w:rsidR="005D12BE" w:rsidRPr="003519EC" w:rsidRDefault="005D12BE" w:rsidP="009C627E">
      <w:pPr>
        <w:spacing w:line="360" w:lineRule="auto"/>
        <w:jc w:val="both"/>
      </w:pPr>
      <w:r w:rsidRPr="003519EC">
        <w:t>The principal objectives guiding this research are manifold:</w:t>
      </w:r>
    </w:p>
    <w:p w14:paraId="515CB74E" w14:textId="67920752" w:rsidR="001460F7" w:rsidRPr="003519EC" w:rsidRDefault="001460F7" w:rsidP="009C627E">
      <w:pPr>
        <w:pStyle w:val="ListParagraph"/>
        <w:numPr>
          <w:ilvl w:val="0"/>
          <w:numId w:val="21"/>
        </w:numPr>
        <w:spacing w:line="360" w:lineRule="auto"/>
        <w:jc w:val="both"/>
        <w:rPr>
          <w:rFonts w:ascii="Times New Roman" w:hAnsi="Times New Roman" w:cs="Times New Roman"/>
        </w:rPr>
      </w:pPr>
      <w:r w:rsidRPr="003519EC">
        <w:rPr>
          <w:rFonts w:ascii="Times New Roman" w:hAnsi="Times New Roman" w:cs="Times New Roman"/>
        </w:rPr>
        <w:t>To critically evaluate the competitive environment surrounding SSE through various analytic frameworks like PESTE</w:t>
      </w:r>
      <w:r w:rsidR="00DE419A" w:rsidRPr="003519EC">
        <w:rPr>
          <w:rFonts w:ascii="Times New Roman" w:hAnsi="Times New Roman" w:cs="Times New Roman"/>
        </w:rPr>
        <w:t>L</w:t>
      </w:r>
      <w:r w:rsidR="006B6E38" w:rsidRPr="003519EC">
        <w:rPr>
          <w:rFonts w:ascii="Times New Roman" w:hAnsi="Times New Roman" w:cs="Times New Roman"/>
        </w:rPr>
        <w:t xml:space="preserve">, </w:t>
      </w:r>
      <w:r w:rsidR="00F1734A" w:rsidRPr="00F1734A">
        <w:rPr>
          <w:rFonts w:ascii="Times New Roman" w:hAnsi="Times New Roman" w:cs="Times New Roman"/>
        </w:rPr>
        <w:t xml:space="preserve">Porter's Five Forces </w:t>
      </w:r>
      <w:r w:rsidR="006B6E38" w:rsidRPr="003519EC">
        <w:rPr>
          <w:rFonts w:ascii="Times New Roman" w:hAnsi="Times New Roman" w:cs="Times New Roman"/>
        </w:rPr>
        <w:t>and SWOT analysis.</w:t>
      </w:r>
    </w:p>
    <w:p w14:paraId="6CF11C40" w14:textId="77777777" w:rsidR="001460F7" w:rsidRPr="003519EC" w:rsidRDefault="001460F7" w:rsidP="009C627E">
      <w:pPr>
        <w:pStyle w:val="ListParagraph"/>
        <w:numPr>
          <w:ilvl w:val="0"/>
          <w:numId w:val="21"/>
        </w:numPr>
        <w:spacing w:line="360" w:lineRule="auto"/>
        <w:jc w:val="both"/>
        <w:rPr>
          <w:rFonts w:ascii="Times New Roman" w:hAnsi="Times New Roman" w:cs="Times New Roman"/>
        </w:rPr>
      </w:pPr>
      <w:r w:rsidRPr="003519EC">
        <w:rPr>
          <w:rFonts w:ascii="Times New Roman" w:hAnsi="Times New Roman" w:cs="Times New Roman"/>
        </w:rPr>
        <w:t>To offer an in-depth understanding of the macro-economic and micro-economic indicators that affect SSE's business operations and decisions.</w:t>
      </w:r>
    </w:p>
    <w:p w14:paraId="78D5B92F" w14:textId="5A9F52EF" w:rsidR="001460F7" w:rsidRPr="003519EC" w:rsidRDefault="001460F7" w:rsidP="009C627E">
      <w:pPr>
        <w:pStyle w:val="ListParagraph"/>
        <w:numPr>
          <w:ilvl w:val="0"/>
          <w:numId w:val="21"/>
        </w:numPr>
        <w:spacing w:line="360" w:lineRule="auto"/>
        <w:jc w:val="both"/>
        <w:rPr>
          <w:rFonts w:ascii="Times New Roman" w:hAnsi="Times New Roman" w:cs="Times New Roman"/>
        </w:rPr>
      </w:pPr>
      <w:r w:rsidRPr="003519EC">
        <w:rPr>
          <w:rFonts w:ascii="Times New Roman" w:hAnsi="Times New Roman" w:cs="Times New Roman"/>
        </w:rPr>
        <w:t xml:space="preserve">To </w:t>
      </w:r>
      <w:r w:rsidR="007A2173">
        <w:rPr>
          <w:rFonts w:ascii="Times New Roman" w:hAnsi="Times New Roman" w:cs="Times New Roman"/>
        </w:rPr>
        <w:t>synthesise</w:t>
      </w:r>
      <w:r w:rsidRPr="003519EC">
        <w:rPr>
          <w:rFonts w:ascii="Times New Roman" w:hAnsi="Times New Roman" w:cs="Times New Roman"/>
        </w:rPr>
        <w:t xml:space="preserve"> the findings into a conclusive assessment of SSE's current position within the international utility market.</w:t>
      </w:r>
    </w:p>
    <w:p w14:paraId="3A2E3C88" w14:textId="77777777" w:rsidR="001460F7" w:rsidRPr="003519EC" w:rsidRDefault="001460F7" w:rsidP="009C627E">
      <w:pPr>
        <w:pStyle w:val="ListParagraph"/>
        <w:numPr>
          <w:ilvl w:val="0"/>
          <w:numId w:val="21"/>
        </w:numPr>
        <w:spacing w:line="360" w:lineRule="auto"/>
        <w:jc w:val="both"/>
        <w:rPr>
          <w:rFonts w:ascii="Times New Roman" w:hAnsi="Times New Roman" w:cs="Times New Roman"/>
        </w:rPr>
      </w:pPr>
      <w:r w:rsidRPr="003519EC">
        <w:rPr>
          <w:rFonts w:ascii="Times New Roman" w:hAnsi="Times New Roman" w:cs="Times New Roman"/>
        </w:rPr>
        <w:t>To provide future scenarios that consider the impact of various environmental factors on SSE's business strategy and bottom line.</w:t>
      </w:r>
    </w:p>
    <w:p w14:paraId="1AD4FC02" w14:textId="040D7B4E" w:rsidR="001460F7" w:rsidRPr="003519EC" w:rsidRDefault="001460F7" w:rsidP="009C627E">
      <w:pPr>
        <w:pStyle w:val="ListParagraph"/>
        <w:numPr>
          <w:ilvl w:val="0"/>
          <w:numId w:val="21"/>
        </w:numPr>
        <w:spacing w:line="360" w:lineRule="auto"/>
        <w:jc w:val="both"/>
        <w:rPr>
          <w:rFonts w:ascii="Times New Roman" w:hAnsi="Times New Roman" w:cs="Times New Roman"/>
        </w:rPr>
      </w:pPr>
      <w:r w:rsidRPr="003519EC">
        <w:rPr>
          <w:rFonts w:ascii="Times New Roman" w:hAnsi="Times New Roman" w:cs="Times New Roman"/>
        </w:rPr>
        <w:t xml:space="preserve">To put forth final recommendations </w:t>
      </w:r>
      <w:r w:rsidR="00B347A0" w:rsidRPr="003519EC">
        <w:rPr>
          <w:rFonts w:ascii="Times New Roman" w:hAnsi="Times New Roman" w:cs="Times New Roman"/>
        </w:rPr>
        <w:t>to ensure</w:t>
      </w:r>
      <w:r w:rsidRPr="003519EC">
        <w:rPr>
          <w:rFonts w:ascii="Times New Roman" w:hAnsi="Times New Roman" w:cs="Times New Roman"/>
        </w:rPr>
        <w:t xml:space="preserve"> SSE sustains its current market share </w:t>
      </w:r>
      <w:r w:rsidR="00811E8F" w:rsidRPr="003519EC">
        <w:rPr>
          <w:rFonts w:ascii="Times New Roman" w:hAnsi="Times New Roman" w:cs="Times New Roman"/>
        </w:rPr>
        <w:t>and</w:t>
      </w:r>
      <w:r w:rsidRPr="003519EC">
        <w:rPr>
          <w:rFonts w:ascii="Times New Roman" w:hAnsi="Times New Roman" w:cs="Times New Roman"/>
        </w:rPr>
        <w:t xml:space="preserve"> thrives in the competitive landscape.</w:t>
      </w:r>
    </w:p>
    <w:p w14:paraId="5C1FDB9E" w14:textId="339CB955" w:rsidR="005D12BE" w:rsidRPr="003519EC" w:rsidRDefault="0018188C" w:rsidP="009C627E">
      <w:pPr>
        <w:pStyle w:val="Heading2"/>
        <w:spacing w:line="360" w:lineRule="auto"/>
        <w:jc w:val="both"/>
        <w:rPr>
          <w:rFonts w:ascii="Times New Roman" w:hAnsi="Times New Roman" w:cs="Times New Roman"/>
          <w:b/>
          <w:bCs/>
        </w:rPr>
      </w:pPr>
      <w:bookmarkStart w:id="5" w:name="_Toc151511024"/>
      <w:r w:rsidRPr="003519EC">
        <w:rPr>
          <w:rFonts w:ascii="Times New Roman" w:hAnsi="Times New Roman" w:cs="Times New Roman"/>
          <w:b/>
          <w:bCs/>
        </w:rPr>
        <w:t>2</w:t>
      </w:r>
      <w:r w:rsidR="00622D1E" w:rsidRPr="003519EC">
        <w:rPr>
          <w:rFonts w:ascii="Times New Roman" w:hAnsi="Times New Roman" w:cs="Times New Roman"/>
          <w:b/>
          <w:bCs/>
        </w:rPr>
        <w:t xml:space="preserve">.4 </w:t>
      </w:r>
      <w:r w:rsidR="005D12BE" w:rsidRPr="003519EC">
        <w:rPr>
          <w:rFonts w:ascii="Times New Roman" w:hAnsi="Times New Roman" w:cs="Times New Roman"/>
          <w:b/>
          <w:bCs/>
        </w:rPr>
        <w:t>Rationale and Methodology</w:t>
      </w:r>
      <w:bookmarkEnd w:id="5"/>
    </w:p>
    <w:p w14:paraId="2475788C" w14:textId="5EC6A4B6" w:rsidR="005D12BE" w:rsidRPr="003519EC" w:rsidRDefault="005D12BE" w:rsidP="009C627E">
      <w:pPr>
        <w:spacing w:line="360" w:lineRule="auto"/>
        <w:jc w:val="both"/>
      </w:pPr>
      <w:r w:rsidRPr="003519EC">
        <w:t>The rationale behind this report is rooted in the critical role that energy companies like SSE play in societal well-being. As nations around the globe transition towards more sustainable modes of living, the energy sector's transformation becomes a pivotal point for academic and professional inquiry</w:t>
      </w:r>
      <w:r w:rsidR="002D6EA2" w:rsidRPr="003519EC">
        <w:t xml:space="preserve">. </w:t>
      </w:r>
      <w:r w:rsidRPr="003519EC">
        <w:t>Methodologically, this study combines qualitative and quantitative approaches, employing data analysis, literature reviews, and expert interviews. Various data sources, including governmental publications, industry reports, and academic journals, serve as the foundational pillars of this research</w:t>
      </w:r>
      <w:r w:rsidR="002D6EA2" w:rsidRPr="003519EC">
        <w:t>.</w:t>
      </w:r>
      <w:r w:rsidR="008F2E47" w:rsidRPr="003519EC">
        <w:t xml:space="preserve"> </w:t>
      </w:r>
    </w:p>
    <w:p w14:paraId="499E52B3" w14:textId="0096AC50" w:rsidR="005D12BE" w:rsidRPr="003519EC" w:rsidRDefault="0018188C" w:rsidP="009C627E">
      <w:pPr>
        <w:pStyle w:val="Heading2"/>
        <w:spacing w:line="360" w:lineRule="auto"/>
        <w:jc w:val="both"/>
        <w:rPr>
          <w:rFonts w:ascii="Times New Roman" w:hAnsi="Times New Roman" w:cs="Times New Roman"/>
          <w:b/>
          <w:bCs/>
        </w:rPr>
      </w:pPr>
      <w:bookmarkStart w:id="6" w:name="_Toc151511025"/>
      <w:r w:rsidRPr="003519EC">
        <w:rPr>
          <w:rFonts w:ascii="Times New Roman" w:hAnsi="Times New Roman" w:cs="Times New Roman"/>
          <w:b/>
          <w:bCs/>
        </w:rPr>
        <w:t>2</w:t>
      </w:r>
      <w:r w:rsidR="00622D1E" w:rsidRPr="003519EC">
        <w:rPr>
          <w:rFonts w:ascii="Times New Roman" w:hAnsi="Times New Roman" w:cs="Times New Roman"/>
          <w:b/>
          <w:bCs/>
        </w:rPr>
        <w:t xml:space="preserve">.5 </w:t>
      </w:r>
      <w:r w:rsidR="005D12BE" w:rsidRPr="003519EC">
        <w:rPr>
          <w:rFonts w:ascii="Times New Roman" w:hAnsi="Times New Roman" w:cs="Times New Roman"/>
          <w:b/>
          <w:bCs/>
        </w:rPr>
        <w:t>Report Limitations</w:t>
      </w:r>
      <w:bookmarkEnd w:id="6"/>
    </w:p>
    <w:p w14:paraId="472BD163" w14:textId="7307FFD4" w:rsidR="007A2173" w:rsidRPr="003519EC" w:rsidRDefault="007A2173" w:rsidP="009C627E">
      <w:pPr>
        <w:spacing w:line="360" w:lineRule="auto"/>
        <w:jc w:val="both"/>
      </w:pPr>
      <w:r w:rsidRPr="007A2173">
        <w:t xml:space="preserve">The scope of this study is bound by the reliance on publicly available data, with a focus on insights obtained within the past five years, making the conclusions particularly </w:t>
      </w:r>
      <w:r>
        <w:t>time-sensitive</w:t>
      </w:r>
      <w:r w:rsidRPr="007A2173">
        <w:t xml:space="preserve">. </w:t>
      </w:r>
      <w:r>
        <w:t>T</w:t>
      </w:r>
      <w:r w:rsidRPr="007A2173">
        <w:t xml:space="preserve">his report </w:t>
      </w:r>
      <w:r>
        <w:t>endeavours</w:t>
      </w:r>
      <w:r w:rsidRPr="007A2173">
        <w:t xml:space="preserve"> to present a robust, multidimensional exploration of the current environmental factors impacting SSE and its operations within the energy sector. It </w:t>
      </w:r>
      <w:r>
        <w:t>contextualises</w:t>
      </w:r>
      <w:r w:rsidRPr="007A2173">
        <w:t xml:space="preserve"> the company's challenges and prospects in the modern landscape. However, to present a thorough historical context and a more complete understanding of SSE's trajectory, it occasionally references data and insights that date back further than the last five years. These instances are carefully selected to enrich the analysis where more recent data may not fully capture the long-term trends and patterns.</w:t>
      </w:r>
    </w:p>
    <w:p w14:paraId="40E9DDA1" w14:textId="15736BF8" w:rsidR="007366B6" w:rsidRPr="003519EC" w:rsidRDefault="00950624" w:rsidP="00AC5DC2">
      <w:pPr>
        <w:pStyle w:val="Heading1"/>
        <w:rPr>
          <w:rFonts w:ascii="Times New Roman" w:hAnsi="Times New Roman" w:cs="Times New Roman"/>
          <w:b/>
          <w:bCs/>
          <w:sz w:val="28"/>
          <w:szCs w:val="28"/>
        </w:rPr>
      </w:pPr>
      <w:bookmarkStart w:id="7" w:name="_Toc151511026"/>
      <w:r w:rsidRPr="003519EC">
        <w:rPr>
          <w:rFonts w:ascii="Times New Roman" w:hAnsi="Times New Roman" w:cs="Times New Roman"/>
          <w:b/>
          <w:bCs/>
          <w:sz w:val="28"/>
          <w:szCs w:val="28"/>
        </w:rPr>
        <w:lastRenderedPageBreak/>
        <w:t>3</w:t>
      </w:r>
      <w:r w:rsidR="00622D1E" w:rsidRPr="003519EC">
        <w:rPr>
          <w:rFonts w:ascii="Times New Roman" w:hAnsi="Times New Roman" w:cs="Times New Roman"/>
          <w:b/>
          <w:bCs/>
          <w:sz w:val="28"/>
          <w:szCs w:val="28"/>
        </w:rPr>
        <w:t>.</w:t>
      </w:r>
      <w:r w:rsidR="007366B6" w:rsidRPr="003519EC">
        <w:rPr>
          <w:rFonts w:ascii="Times New Roman" w:hAnsi="Times New Roman" w:cs="Times New Roman"/>
          <w:b/>
          <w:bCs/>
          <w:sz w:val="28"/>
          <w:szCs w:val="28"/>
        </w:rPr>
        <w:t>0</w:t>
      </w:r>
      <w:r w:rsidR="00622D1E" w:rsidRPr="003519EC">
        <w:rPr>
          <w:rFonts w:ascii="Times New Roman" w:hAnsi="Times New Roman" w:cs="Times New Roman"/>
          <w:b/>
          <w:bCs/>
          <w:sz w:val="28"/>
          <w:szCs w:val="28"/>
        </w:rPr>
        <w:t xml:space="preserve"> </w:t>
      </w:r>
      <w:r w:rsidR="005D12BE" w:rsidRPr="003519EC">
        <w:rPr>
          <w:rFonts w:ascii="Times New Roman" w:hAnsi="Times New Roman" w:cs="Times New Roman"/>
          <w:b/>
          <w:bCs/>
          <w:sz w:val="28"/>
          <w:szCs w:val="28"/>
        </w:rPr>
        <w:t>Assessment of Competitive Environment: PESTEL Analysis</w:t>
      </w:r>
      <w:bookmarkEnd w:id="7"/>
    </w:p>
    <w:p w14:paraId="72337D32" w14:textId="45B1BE74" w:rsidR="007366B6" w:rsidRPr="003519EC" w:rsidRDefault="00950624" w:rsidP="00AC5DC2">
      <w:pPr>
        <w:pStyle w:val="Heading1"/>
        <w:spacing w:line="360" w:lineRule="auto"/>
        <w:rPr>
          <w:rFonts w:ascii="Times New Roman" w:hAnsi="Times New Roman" w:cs="Times New Roman"/>
          <w:b/>
          <w:bCs/>
          <w:sz w:val="28"/>
          <w:szCs w:val="28"/>
        </w:rPr>
      </w:pPr>
      <w:bookmarkStart w:id="8" w:name="_Toc151511027"/>
      <w:r w:rsidRPr="003519EC">
        <w:rPr>
          <w:rFonts w:ascii="Times New Roman" w:hAnsi="Times New Roman" w:cs="Times New Roman"/>
          <w:b/>
          <w:bCs/>
          <w:sz w:val="28"/>
          <w:szCs w:val="28"/>
        </w:rPr>
        <w:t>3</w:t>
      </w:r>
      <w:r w:rsidR="007366B6" w:rsidRPr="003519EC">
        <w:rPr>
          <w:rFonts w:ascii="Times New Roman" w:hAnsi="Times New Roman" w:cs="Times New Roman"/>
          <w:b/>
          <w:bCs/>
          <w:sz w:val="28"/>
          <w:szCs w:val="28"/>
        </w:rPr>
        <w:t>.1 Introduction to PESTEL Analysis: A Framework for Strategic Insight</w:t>
      </w:r>
      <w:bookmarkEnd w:id="8"/>
    </w:p>
    <w:p w14:paraId="66E84E7D" w14:textId="2D76F015" w:rsidR="007366B6" w:rsidRPr="003519EC" w:rsidRDefault="007366B6" w:rsidP="009C627E">
      <w:pPr>
        <w:spacing w:line="360" w:lineRule="auto"/>
        <w:jc w:val="both"/>
      </w:pPr>
      <w:r w:rsidRPr="003519EC">
        <w:t xml:space="preserve">The PESTEL Analysis section </w:t>
      </w:r>
      <w:r w:rsidR="00091EC3" w:rsidRPr="003519EC">
        <w:t>comprehensively reviews</w:t>
      </w:r>
      <w:r w:rsidRPr="003519EC">
        <w:t xml:space="preserve"> the macro-environmental factors affecting Southern and Scottish Energy (SSE). This framework evaluates the Political, Economic, Social, Technological, Environmental, and Legal forces that </w:t>
      </w:r>
      <w:r w:rsidR="00091EC3" w:rsidRPr="003519EC">
        <w:t>directly or indirectly impact</w:t>
      </w:r>
      <w:r w:rsidRPr="003519EC">
        <w:t xml:space="preserve"> the </w:t>
      </w:r>
      <w:r w:rsidR="007A2173">
        <w:t>organisation's</w:t>
      </w:r>
      <w:r w:rsidRPr="003519EC">
        <w:t xml:space="preserve"> operations and strategic choices.</w:t>
      </w:r>
    </w:p>
    <w:p w14:paraId="79180BEA" w14:textId="6618FA39" w:rsidR="007366B6" w:rsidRPr="003519EC" w:rsidRDefault="007366B6" w:rsidP="009C627E">
      <w:pPr>
        <w:numPr>
          <w:ilvl w:val="0"/>
          <w:numId w:val="11"/>
        </w:numPr>
        <w:spacing w:line="360" w:lineRule="auto"/>
        <w:jc w:val="both"/>
      </w:pPr>
      <w:r w:rsidRPr="003519EC">
        <w:rPr>
          <w:b/>
          <w:bCs/>
        </w:rPr>
        <w:t>Political</w:t>
      </w:r>
      <w:r w:rsidRPr="003519EC">
        <w:t xml:space="preserve">: The analysis delves into how government policies, such as energy transition directives and renewable energy subsidies, </w:t>
      </w:r>
      <w:r w:rsidR="00091EC3" w:rsidRPr="003519EC">
        <w:t>shape</w:t>
      </w:r>
      <w:r w:rsidRPr="003519EC">
        <w:t xml:space="preserve"> the industry and what SSE must do to comply with these mandates.</w:t>
      </w:r>
    </w:p>
    <w:p w14:paraId="2A8E0F8A" w14:textId="60E225B2" w:rsidR="007366B6" w:rsidRPr="003519EC" w:rsidRDefault="007366B6" w:rsidP="009C627E">
      <w:pPr>
        <w:numPr>
          <w:ilvl w:val="0"/>
          <w:numId w:val="11"/>
        </w:numPr>
        <w:spacing w:line="360" w:lineRule="auto"/>
        <w:jc w:val="both"/>
      </w:pPr>
      <w:r w:rsidRPr="003519EC">
        <w:rPr>
          <w:b/>
          <w:bCs/>
        </w:rPr>
        <w:t>Economic</w:t>
      </w:r>
      <w:r w:rsidRPr="003519EC">
        <w:t xml:space="preserve">: This part </w:t>
      </w:r>
      <w:r w:rsidR="007A2173">
        <w:t>scrutinises</w:t>
      </w:r>
      <w:r w:rsidRPr="003519EC">
        <w:t xml:space="preserve"> macroeconomic indicators like inflation and interest rates that could influence SSE's investment decisions. The competitive landscape, heightened by affordable renewable energy options, is also examined.</w:t>
      </w:r>
    </w:p>
    <w:p w14:paraId="26F6DA74" w14:textId="7B1FC06D" w:rsidR="007366B6" w:rsidRPr="003519EC" w:rsidRDefault="007366B6" w:rsidP="009C627E">
      <w:pPr>
        <w:numPr>
          <w:ilvl w:val="0"/>
          <w:numId w:val="11"/>
        </w:numPr>
        <w:spacing w:line="360" w:lineRule="auto"/>
        <w:jc w:val="both"/>
      </w:pPr>
      <w:r w:rsidRPr="003519EC">
        <w:rPr>
          <w:b/>
          <w:bCs/>
        </w:rPr>
        <w:t>Social</w:t>
      </w:r>
      <w:r w:rsidRPr="003519EC">
        <w:t xml:space="preserve">: The shift in consumer </w:t>
      </w:r>
      <w:r w:rsidR="00091EC3" w:rsidRPr="003519EC">
        <w:t>behaviour</w:t>
      </w:r>
      <w:r w:rsidRPr="003519EC">
        <w:t xml:space="preserve"> towards more sustainable energy solutions and increased social awareness around climate change is </w:t>
      </w:r>
      <w:r w:rsidR="007A2173">
        <w:t>analysed</w:t>
      </w:r>
      <w:r w:rsidRPr="003519EC">
        <w:t xml:space="preserve"> to understand market demands.</w:t>
      </w:r>
    </w:p>
    <w:p w14:paraId="67276C41" w14:textId="23675F79" w:rsidR="007366B6" w:rsidRPr="003519EC" w:rsidRDefault="007366B6" w:rsidP="009C627E">
      <w:pPr>
        <w:numPr>
          <w:ilvl w:val="0"/>
          <w:numId w:val="11"/>
        </w:numPr>
        <w:spacing w:line="360" w:lineRule="auto"/>
        <w:jc w:val="both"/>
      </w:pPr>
      <w:r w:rsidRPr="003519EC">
        <w:rPr>
          <w:b/>
          <w:bCs/>
        </w:rPr>
        <w:t>Technological</w:t>
      </w:r>
      <w:r w:rsidRPr="003519EC">
        <w:t xml:space="preserve">: The rapid advancements in renewable energy technologies and their potential to make existing infrastructures obsolete are explored. The section also </w:t>
      </w:r>
      <w:r w:rsidR="00091EC3" w:rsidRPr="003519EC">
        <w:t>examines</w:t>
      </w:r>
      <w:r w:rsidRPr="003519EC">
        <w:t xml:space="preserve"> how SSE can integrate these technologies into their operations.</w:t>
      </w:r>
    </w:p>
    <w:p w14:paraId="6E70EAD4" w14:textId="77777777" w:rsidR="007366B6" w:rsidRPr="003519EC" w:rsidRDefault="007366B6" w:rsidP="009C627E">
      <w:pPr>
        <w:numPr>
          <w:ilvl w:val="0"/>
          <w:numId w:val="11"/>
        </w:numPr>
        <w:spacing w:line="360" w:lineRule="auto"/>
        <w:jc w:val="both"/>
      </w:pPr>
      <w:r w:rsidRPr="003519EC">
        <w:rPr>
          <w:b/>
          <w:bCs/>
        </w:rPr>
        <w:t>Environmental</w:t>
      </w:r>
      <w:r w:rsidRPr="003519EC">
        <w:t>: This segment focuses on environmental regulations and standards that SSE needs to meet, underlining the potential repercussions of non-compliance.</w:t>
      </w:r>
    </w:p>
    <w:p w14:paraId="7CEDB276" w14:textId="292E0D1B" w:rsidR="007366B6" w:rsidRPr="003519EC" w:rsidRDefault="007366B6" w:rsidP="009C627E">
      <w:pPr>
        <w:numPr>
          <w:ilvl w:val="0"/>
          <w:numId w:val="11"/>
        </w:numPr>
        <w:spacing w:line="360" w:lineRule="auto"/>
        <w:jc w:val="both"/>
      </w:pPr>
      <w:r w:rsidRPr="003519EC">
        <w:rPr>
          <w:b/>
          <w:bCs/>
        </w:rPr>
        <w:t>Legal</w:t>
      </w:r>
      <w:r w:rsidRPr="003519EC">
        <w:t xml:space="preserve">: Finally, the analysis considers legal factors, </w:t>
      </w:r>
      <w:r w:rsidR="007A2173">
        <w:t>emphasising</w:t>
      </w:r>
      <w:r w:rsidRPr="003519EC">
        <w:t xml:space="preserve"> the critical nature of regulatory compliance in areas like emissions, safety, and </w:t>
      </w:r>
      <w:r w:rsidR="00091EC3" w:rsidRPr="003519EC">
        <w:t>labour</w:t>
      </w:r>
      <w:r w:rsidRPr="003519EC">
        <w:t xml:space="preserve"> laws.</w:t>
      </w:r>
    </w:p>
    <w:p w14:paraId="6255329D" w14:textId="39973924" w:rsidR="006F5257" w:rsidRPr="003519EC" w:rsidRDefault="007366B6" w:rsidP="009C627E">
      <w:pPr>
        <w:spacing w:line="360" w:lineRule="auto"/>
        <w:jc w:val="both"/>
      </w:pPr>
      <w:r w:rsidRPr="003519EC">
        <w:t>By examining these elements, the PESTEL Analysis aims to give a holistic view of the external forces that could affect SSE's competitive standing in the energy sector.</w:t>
      </w:r>
    </w:p>
    <w:p w14:paraId="1C2F0204" w14:textId="3C78E115" w:rsidR="00642ECA" w:rsidRPr="003519EC" w:rsidRDefault="00642ECA" w:rsidP="009C627E">
      <w:pPr>
        <w:spacing w:line="360" w:lineRule="auto"/>
        <w:jc w:val="both"/>
      </w:pPr>
      <w:r w:rsidRPr="003519EC">
        <w:rPr>
          <w:noProof/>
        </w:rPr>
        <w:lastRenderedPageBreak/>
        <w:drawing>
          <wp:inline distT="0" distB="0" distL="0" distR="0" wp14:anchorId="045FA817" wp14:editId="719E9B27">
            <wp:extent cx="5239910" cy="2824370"/>
            <wp:effectExtent l="0" t="38100" r="0" b="46355"/>
            <wp:docPr id="39870280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75647B4" w14:textId="43C264A7" w:rsidR="00523FB3" w:rsidRPr="003519EC" w:rsidRDefault="00523FB3" w:rsidP="006F5257">
      <w:pPr>
        <w:spacing w:line="360" w:lineRule="auto"/>
        <w:jc w:val="center"/>
      </w:pPr>
      <w:r w:rsidRPr="003519EC">
        <w:t xml:space="preserve">Figure </w:t>
      </w:r>
      <w:r w:rsidR="005A5A44" w:rsidRPr="003519EC">
        <w:t>2</w:t>
      </w:r>
      <w:r w:rsidRPr="003519EC">
        <w:t>: PESTEL Schematics</w:t>
      </w:r>
    </w:p>
    <w:p w14:paraId="71072056" w14:textId="596A8CBE" w:rsidR="005D12BE" w:rsidRPr="003519EC" w:rsidRDefault="002C22D6" w:rsidP="009C627E">
      <w:pPr>
        <w:pStyle w:val="Heading2"/>
        <w:spacing w:line="360" w:lineRule="auto"/>
        <w:jc w:val="both"/>
        <w:rPr>
          <w:rFonts w:ascii="Times New Roman" w:hAnsi="Times New Roman" w:cs="Times New Roman"/>
          <w:b/>
          <w:bCs/>
        </w:rPr>
      </w:pPr>
      <w:bookmarkStart w:id="9" w:name="_Toc151511028"/>
      <w:r w:rsidRPr="003519EC">
        <w:rPr>
          <w:rFonts w:ascii="Times New Roman" w:hAnsi="Times New Roman" w:cs="Times New Roman"/>
          <w:b/>
          <w:bCs/>
        </w:rPr>
        <w:t>3</w:t>
      </w:r>
      <w:r w:rsidR="00622D1E" w:rsidRPr="003519EC">
        <w:rPr>
          <w:rFonts w:ascii="Times New Roman" w:hAnsi="Times New Roman" w:cs="Times New Roman"/>
          <w:b/>
          <w:bCs/>
        </w:rPr>
        <w:t xml:space="preserve">.1.1 </w:t>
      </w:r>
      <w:r w:rsidR="005D12BE" w:rsidRPr="003519EC">
        <w:rPr>
          <w:rFonts w:ascii="Times New Roman" w:hAnsi="Times New Roman" w:cs="Times New Roman"/>
          <w:b/>
          <w:bCs/>
        </w:rPr>
        <w:t>Political Factors</w:t>
      </w:r>
      <w:bookmarkEnd w:id="9"/>
    </w:p>
    <w:p w14:paraId="39706C24" w14:textId="7617255E" w:rsidR="005D12BE" w:rsidRPr="003519EC" w:rsidRDefault="005D12BE" w:rsidP="009C627E">
      <w:pPr>
        <w:spacing w:line="360" w:lineRule="auto"/>
        <w:jc w:val="both"/>
      </w:pPr>
      <w:r w:rsidRPr="003519EC">
        <w:t xml:space="preserve">The energy sector is highly regulated and deeply influenced by political decisions. </w:t>
      </w:r>
      <w:r w:rsidR="00091EC3" w:rsidRPr="003519EC">
        <w:t>Some critical political factors affecting SSE are government</w:t>
      </w:r>
      <w:r w:rsidRPr="003519EC">
        <w:t xml:space="preserve"> policies such as transitioning toward sustainable energy sources, implementing </w:t>
      </w:r>
      <w:r w:rsidR="007A2173">
        <w:t>decarbonisation</w:t>
      </w:r>
      <w:r w:rsidRPr="003519EC">
        <w:t xml:space="preserve"> targets, and providing subsidies for renewable energy adoption. </w:t>
      </w:r>
      <w:r w:rsidR="00091EC3" w:rsidRPr="003519EC">
        <w:t>For</w:t>
      </w:r>
      <w:r w:rsidRPr="003519EC">
        <w:t xml:space="preserve"> instance, the </w:t>
      </w:r>
      <w:r w:rsidR="001000C6" w:rsidRPr="003519EC">
        <w:t>U.K.</w:t>
      </w:r>
      <w:r w:rsidR="00091EC3" w:rsidRPr="003519EC">
        <w:t xml:space="preserve"> </w:t>
      </w:r>
      <w:r w:rsidRPr="003519EC">
        <w:t xml:space="preserve">government </w:t>
      </w:r>
      <w:r w:rsidR="00AF4C0A" w:rsidRPr="003519EC">
        <w:t>aims</w:t>
      </w:r>
      <w:r w:rsidRPr="003519EC">
        <w:t xml:space="preserve"> to achieve net-zero greenhouse gas emissions by 2050 (</w:t>
      </w:r>
      <w:r w:rsidR="001000C6" w:rsidRPr="003519EC">
        <w:t>U.K.</w:t>
      </w:r>
      <w:r w:rsidRPr="003519EC">
        <w:t xml:space="preserve"> Gov, 2019). For SSE, this implies a fundamental shift from conventional energy sources to sustainable ones, such as wind and solar power. Compliance with such regulatory shifts is a matter of legal obligation </w:t>
      </w:r>
      <w:r w:rsidR="00091EC3" w:rsidRPr="003519EC">
        <w:t>and</w:t>
      </w:r>
      <w:r w:rsidRPr="003519EC">
        <w:t xml:space="preserve"> a strategic imperative. Failure to align with these changing policies could result in SSE losing subsidies, facing penalties, or even having certain operations restricted or shut down (Smith, 2022).</w:t>
      </w:r>
    </w:p>
    <w:p w14:paraId="43D0E4A7" w14:textId="75C2C2DF" w:rsidR="003E6532" w:rsidRPr="003519EC" w:rsidRDefault="003E6532" w:rsidP="009C627E">
      <w:pPr>
        <w:spacing w:line="360" w:lineRule="auto"/>
        <w:jc w:val="both"/>
        <w:rPr>
          <w:b/>
          <w:bCs/>
        </w:rPr>
      </w:pPr>
      <w:r w:rsidRPr="003519EC">
        <w:rPr>
          <w:b/>
          <w:bCs/>
        </w:rPr>
        <w:t>Table 1: Political Factors Affecting SSE</w:t>
      </w:r>
    </w:p>
    <w:tbl>
      <w:tblPr>
        <w:tblStyle w:val="GridTable4-Accent1"/>
        <w:tblW w:w="9795" w:type="dxa"/>
        <w:tblLook w:val="04A0" w:firstRow="1" w:lastRow="0" w:firstColumn="1" w:lastColumn="0" w:noHBand="0" w:noVBand="1"/>
      </w:tblPr>
      <w:tblGrid>
        <w:gridCol w:w="2198"/>
        <w:gridCol w:w="3080"/>
        <w:gridCol w:w="3276"/>
        <w:gridCol w:w="1241"/>
      </w:tblGrid>
      <w:tr w:rsidR="003E6532" w:rsidRPr="003519EC" w14:paraId="3748D233" w14:textId="77777777" w:rsidTr="008A38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FE0B495" w14:textId="77777777" w:rsidR="003E6532" w:rsidRPr="003519EC" w:rsidRDefault="003E6532" w:rsidP="008A3864">
            <w:pPr>
              <w:spacing w:line="360" w:lineRule="auto"/>
              <w:jc w:val="center"/>
            </w:pPr>
            <w:r w:rsidRPr="003519EC">
              <w:t>Political Factor</w:t>
            </w:r>
          </w:p>
        </w:tc>
        <w:tc>
          <w:tcPr>
            <w:tcW w:w="0" w:type="auto"/>
            <w:vAlign w:val="center"/>
            <w:hideMark/>
          </w:tcPr>
          <w:p w14:paraId="2A7C90C5" w14:textId="77777777" w:rsidR="003E6532" w:rsidRPr="003519EC" w:rsidRDefault="003E6532" w:rsidP="008A3864">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Description</w:t>
            </w:r>
          </w:p>
        </w:tc>
        <w:tc>
          <w:tcPr>
            <w:tcW w:w="0" w:type="auto"/>
            <w:vAlign w:val="center"/>
            <w:hideMark/>
          </w:tcPr>
          <w:p w14:paraId="07CAAAD7" w14:textId="77777777" w:rsidR="003E6532" w:rsidRPr="003519EC" w:rsidRDefault="003E6532" w:rsidP="008A3864">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vAlign w:val="center"/>
            <w:hideMark/>
          </w:tcPr>
          <w:p w14:paraId="0508A259" w14:textId="77777777" w:rsidR="003E6532" w:rsidRPr="003519EC" w:rsidRDefault="003E6532" w:rsidP="008A3864">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3E6532" w:rsidRPr="003519EC" w14:paraId="02F574A2" w14:textId="77777777" w:rsidTr="008A3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FB4CC42" w14:textId="77777777" w:rsidR="003E6532" w:rsidRPr="003519EC" w:rsidRDefault="003E6532" w:rsidP="008A3864">
            <w:pPr>
              <w:spacing w:line="360" w:lineRule="auto"/>
            </w:pPr>
            <w:r w:rsidRPr="003519EC">
              <w:t>Transition to Sustainable Energy</w:t>
            </w:r>
          </w:p>
        </w:tc>
        <w:tc>
          <w:tcPr>
            <w:tcW w:w="0" w:type="auto"/>
            <w:vAlign w:val="center"/>
            <w:hideMark/>
          </w:tcPr>
          <w:p w14:paraId="560D0918"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Government focus on promoting renewable energy sources</w:t>
            </w:r>
          </w:p>
        </w:tc>
        <w:tc>
          <w:tcPr>
            <w:tcW w:w="0" w:type="auto"/>
            <w:vAlign w:val="center"/>
            <w:hideMark/>
          </w:tcPr>
          <w:p w14:paraId="4D22C6FE"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Requirement to shift from traditional energy forms to renewables, like wind and solar</w:t>
            </w:r>
          </w:p>
        </w:tc>
        <w:tc>
          <w:tcPr>
            <w:tcW w:w="0" w:type="auto"/>
            <w:vAlign w:val="center"/>
            <w:hideMark/>
          </w:tcPr>
          <w:p w14:paraId="4A38DFFB" w14:textId="0BF07CA5" w:rsidR="003E6532" w:rsidRPr="003519EC" w:rsidRDefault="001000C6"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U.K.</w:t>
            </w:r>
            <w:r w:rsidR="003E6532" w:rsidRPr="003519EC">
              <w:t xml:space="preserve"> Gov, 2019</w:t>
            </w:r>
          </w:p>
        </w:tc>
      </w:tr>
      <w:tr w:rsidR="003E6532" w:rsidRPr="003519EC" w14:paraId="37FC7FBB" w14:textId="77777777" w:rsidTr="008A3864">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88132A" w14:textId="768CF4E5" w:rsidR="003E6532" w:rsidRPr="003519EC" w:rsidRDefault="00B347A0" w:rsidP="008A3864">
            <w:pPr>
              <w:spacing w:line="360" w:lineRule="auto"/>
            </w:pPr>
            <w:r w:rsidRPr="003519EC">
              <w:t>Decarbonisation</w:t>
            </w:r>
            <w:r w:rsidR="003E6532" w:rsidRPr="003519EC">
              <w:t xml:space="preserve"> Targets</w:t>
            </w:r>
          </w:p>
        </w:tc>
        <w:tc>
          <w:tcPr>
            <w:tcW w:w="0" w:type="auto"/>
            <w:vAlign w:val="center"/>
            <w:hideMark/>
          </w:tcPr>
          <w:p w14:paraId="08540177" w14:textId="77777777" w:rsidR="003E6532" w:rsidRPr="003519EC" w:rsidRDefault="003E6532"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Implementation of targets to reduce carbon emissions</w:t>
            </w:r>
          </w:p>
        </w:tc>
        <w:tc>
          <w:tcPr>
            <w:tcW w:w="0" w:type="auto"/>
            <w:vAlign w:val="center"/>
            <w:hideMark/>
          </w:tcPr>
          <w:p w14:paraId="19C8D620" w14:textId="77777777" w:rsidR="003E6532" w:rsidRPr="003519EC" w:rsidRDefault="003E6532"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Strict guidelines to follow, requiring significant investments in cleaner technologies</w:t>
            </w:r>
          </w:p>
        </w:tc>
        <w:tc>
          <w:tcPr>
            <w:tcW w:w="0" w:type="auto"/>
            <w:vAlign w:val="center"/>
            <w:hideMark/>
          </w:tcPr>
          <w:p w14:paraId="48CB3D53" w14:textId="761865D7" w:rsidR="003E6532" w:rsidRPr="003519EC" w:rsidRDefault="001000C6"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U.K.</w:t>
            </w:r>
            <w:r w:rsidR="003E6532" w:rsidRPr="003519EC">
              <w:t xml:space="preserve"> Gov, 2019</w:t>
            </w:r>
          </w:p>
        </w:tc>
      </w:tr>
      <w:tr w:rsidR="003E6532" w:rsidRPr="003519EC" w14:paraId="3F57CA24" w14:textId="77777777" w:rsidTr="008A3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CBCF5F5" w14:textId="77777777" w:rsidR="003E6532" w:rsidRPr="003519EC" w:rsidRDefault="003E6532" w:rsidP="008A3864">
            <w:pPr>
              <w:spacing w:line="360" w:lineRule="auto"/>
            </w:pPr>
            <w:r w:rsidRPr="003519EC">
              <w:lastRenderedPageBreak/>
              <w:t>Renewable Energy Subsidies</w:t>
            </w:r>
          </w:p>
        </w:tc>
        <w:tc>
          <w:tcPr>
            <w:tcW w:w="0" w:type="auto"/>
            <w:vAlign w:val="center"/>
            <w:hideMark/>
          </w:tcPr>
          <w:p w14:paraId="2834ADB8"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Financial incentives to promote sustainable energy</w:t>
            </w:r>
          </w:p>
        </w:tc>
        <w:tc>
          <w:tcPr>
            <w:tcW w:w="0" w:type="auto"/>
            <w:vAlign w:val="center"/>
            <w:hideMark/>
          </w:tcPr>
          <w:p w14:paraId="07F92D1C"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Access to subsidies could make renewable projects more financially viable</w:t>
            </w:r>
          </w:p>
        </w:tc>
        <w:tc>
          <w:tcPr>
            <w:tcW w:w="0" w:type="auto"/>
            <w:vAlign w:val="center"/>
            <w:hideMark/>
          </w:tcPr>
          <w:p w14:paraId="7D4446A9"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Smith, 2022</w:t>
            </w:r>
          </w:p>
        </w:tc>
      </w:tr>
      <w:tr w:rsidR="003E6532" w:rsidRPr="003519EC" w14:paraId="26EF2E5B" w14:textId="77777777" w:rsidTr="008A3864">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F28D96" w14:textId="77777777" w:rsidR="003E6532" w:rsidRPr="003519EC" w:rsidRDefault="003E6532" w:rsidP="008A3864">
            <w:pPr>
              <w:spacing w:line="360" w:lineRule="auto"/>
            </w:pPr>
            <w:r w:rsidRPr="003519EC">
              <w:t>Net-Zero Emissions by 2050</w:t>
            </w:r>
          </w:p>
        </w:tc>
        <w:tc>
          <w:tcPr>
            <w:tcW w:w="0" w:type="auto"/>
            <w:vAlign w:val="center"/>
            <w:hideMark/>
          </w:tcPr>
          <w:p w14:paraId="652E8A68" w14:textId="4729B1E6" w:rsidR="003E6532" w:rsidRPr="003519EC" w:rsidRDefault="003E6532"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 xml:space="preserve">The </w:t>
            </w:r>
            <w:r w:rsidR="001000C6" w:rsidRPr="003519EC">
              <w:t>U.K.</w:t>
            </w:r>
            <w:r w:rsidRPr="003519EC">
              <w:t xml:space="preserve"> government's long-term target to achieve net-zero greenhouse gas emissions by 2050</w:t>
            </w:r>
          </w:p>
        </w:tc>
        <w:tc>
          <w:tcPr>
            <w:tcW w:w="0" w:type="auto"/>
            <w:vAlign w:val="center"/>
            <w:hideMark/>
          </w:tcPr>
          <w:p w14:paraId="4580AC98" w14:textId="77777777" w:rsidR="003E6532" w:rsidRPr="003519EC" w:rsidRDefault="003E6532"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A strategic shift is necessary in SSE’s operational and investment focus to align with this target</w:t>
            </w:r>
          </w:p>
        </w:tc>
        <w:tc>
          <w:tcPr>
            <w:tcW w:w="0" w:type="auto"/>
            <w:vAlign w:val="center"/>
            <w:hideMark/>
          </w:tcPr>
          <w:p w14:paraId="746A23E0" w14:textId="36488B0C" w:rsidR="003E6532" w:rsidRPr="003519EC" w:rsidRDefault="001000C6"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U.K.</w:t>
            </w:r>
            <w:r w:rsidR="003E6532" w:rsidRPr="003519EC">
              <w:t xml:space="preserve"> Gov, 2019</w:t>
            </w:r>
          </w:p>
        </w:tc>
      </w:tr>
      <w:tr w:rsidR="003E6532" w:rsidRPr="003519EC" w14:paraId="15983423" w14:textId="77777777" w:rsidTr="008A3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D214C7" w14:textId="77777777" w:rsidR="003E6532" w:rsidRPr="003519EC" w:rsidRDefault="003E6532" w:rsidP="008A3864">
            <w:pPr>
              <w:spacing w:line="360" w:lineRule="auto"/>
            </w:pPr>
            <w:r w:rsidRPr="003519EC">
              <w:t>Regulatory Compliance</w:t>
            </w:r>
          </w:p>
        </w:tc>
        <w:tc>
          <w:tcPr>
            <w:tcW w:w="0" w:type="auto"/>
            <w:vAlign w:val="center"/>
            <w:hideMark/>
          </w:tcPr>
          <w:p w14:paraId="5673E737"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A series of laws and regulations governing the energy sector</w:t>
            </w:r>
          </w:p>
        </w:tc>
        <w:tc>
          <w:tcPr>
            <w:tcW w:w="0" w:type="auto"/>
            <w:vAlign w:val="center"/>
            <w:hideMark/>
          </w:tcPr>
          <w:p w14:paraId="377A096A"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Non-compliance could result in fines, loss of subsidies, or the shutdown of operations</w:t>
            </w:r>
          </w:p>
        </w:tc>
        <w:tc>
          <w:tcPr>
            <w:tcW w:w="0" w:type="auto"/>
            <w:vAlign w:val="center"/>
            <w:hideMark/>
          </w:tcPr>
          <w:p w14:paraId="5FC7F894"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Smith, 2022</w:t>
            </w:r>
          </w:p>
        </w:tc>
      </w:tr>
      <w:tr w:rsidR="003E6532" w:rsidRPr="003519EC" w14:paraId="6634A7F0" w14:textId="77777777" w:rsidTr="008A3864">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B14EB8C" w14:textId="77777777" w:rsidR="003E6532" w:rsidRPr="003519EC" w:rsidRDefault="003E6532" w:rsidP="008A3864">
            <w:pPr>
              <w:spacing w:line="360" w:lineRule="auto"/>
            </w:pPr>
            <w:r w:rsidRPr="003519EC">
              <w:t>Political Stability</w:t>
            </w:r>
          </w:p>
        </w:tc>
        <w:tc>
          <w:tcPr>
            <w:tcW w:w="0" w:type="auto"/>
            <w:vAlign w:val="center"/>
            <w:hideMark/>
          </w:tcPr>
          <w:p w14:paraId="3C9D229E" w14:textId="7DBBD16A" w:rsidR="003E6532" w:rsidRPr="003519EC" w:rsidRDefault="003E6532"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 xml:space="preserve">Stability in the </w:t>
            </w:r>
            <w:r w:rsidR="001000C6" w:rsidRPr="003519EC">
              <w:t>U.K.'s</w:t>
            </w:r>
            <w:r w:rsidRPr="003519EC">
              <w:t xml:space="preserve"> and Ireland's political landscapes</w:t>
            </w:r>
          </w:p>
        </w:tc>
        <w:tc>
          <w:tcPr>
            <w:tcW w:w="0" w:type="auto"/>
            <w:vAlign w:val="center"/>
            <w:hideMark/>
          </w:tcPr>
          <w:p w14:paraId="7345C92F" w14:textId="77777777" w:rsidR="003E6532" w:rsidRPr="003519EC" w:rsidRDefault="003E6532"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Instability can create uncertainties in policy and regulatory frameworks, affecting long-term planning and investments</w:t>
            </w:r>
          </w:p>
        </w:tc>
        <w:tc>
          <w:tcPr>
            <w:tcW w:w="0" w:type="auto"/>
            <w:vAlign w:val="center"/>
            <w:hideMark/>
          </w:tcPr>
          <w:p w14:paraId="5743FC58" w14:textId="0A49F1DD" w:rsidR="003E6532" w:rsidRPr="003519EC" w:rsidRDefault="008A3864"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(Murphy, 2022)</w:t>
            </w:r>
          </w:p>
        </w:tc>
      </w:tr>
    </w:tbl>
    <w:p w14:paraId="3CA04AAA" w14:textId="77777777" w:rsidR="003E6532" w:rsidRPr="003519EC" w:rsidRDefault="003E6532" w:rsidP="009C627E">
      <w:pPr>
        <w:spacing w:line="360" w:lineRule="auto"/>
        <w:jc w:val="both"/>
      </w:pPr>
    </w:p>
    <w:p w14:paraId="28F1864F" w14:textId="60EF0DAB" w:rsidR="005D12BE" w:rsidRPr="003519EC" w:rsidRDefault="003E6532" w:rsidP="009C627E">
      <w:pPr>
        <w:spacing w:line="360" w:lineRule="auto"/>
        <w:jc w:val="both"/>
      </w:pPr>
      <w:r w:rsidRPr="003519EC">
        <w:t xml:space="preserve">This table </w:t>
      </w:r>
      <w:r w:rsidR="007A2173">
        <w:t>categorises</w:t>
      </w:r>
      <w:r w:rsidRPr="003519EC">
        <w:t xml:space="preserve"> the political factors, offers a brief description, and provides the implications for SSE along with the source of the information. It helps to </w:t>
      </w:r>
      <w:r w:rsidR="00B347A0" w:rsidRPr="003519EC">
        <w:t xml:space="preserve">succinctly </w:t>
      </w:r>
      <w:r w:rsidRPr="003519EC">
        <w:t>encapsulate a lot of information, making it easier for the reader to comprehend the significance of these factors.</w:t>
      </w:r>
    </w:p>
    <w:p w14:paraId="54BA4762" w14:textId="6F0CF2AF" w:rsidR="005D12BE" w:rsidRPr="003519EC" w:rsidRDefault="002C22D6" w:rsidP="009C627E">
      <w:pPr>
        <w:pStyle w:val="Heading2"/>
        <w:spacing w:line="360" w:lineRule="auto"/>
        <w:jc w:val="both"/>
        <w:rPr>
          <w:rFonts w:ascii="Times New Roman" w:hAnsi="Times New Roman" w:cs="Times New Roman"/>
          <w:b/>
          <w:bCs/>
        </w:rPr>
      </w:pPr>
      <w:bookmarkStart w:id="10" w:name="_Toc151511029"/>
      <w:r w:rsidRPr="003519EC">
        <w:rPr>
          <w:rFonts w:ascii="Times New Roman" w:hAnsi="Times New Roman" w:cs="Times New Roman"/>
          <w:b/>
          <w:bCs/>
        </w:rPr>
        <w:t>3</w:t>
      </w:r>
      <w:r w:rsidR="00622D1E" w:rsidRPr="003519EC">
        <w:rPr>
          <w:rFonts w:ascii="Times New Roman" w:hAnsi="Times New Roman" w:cs="Times New Roman"/>
          <w:b/>
          <w:bCs/>
        </w:rPr>
        <w:t xml:space="preserve">.1.2 </w:t>
      </w:r>
      <w:r w:rsidR="005D12BE" w:rsidRPr="003519EC">
        <w:rPr>
          <w:rFonts w:ascii="Times New Roman" w:hAnsi="Times New Roman" w:cs="Times New Roman"/>
          <w:b/>
          <w:bCs/>
        </w:rPr>
        <w:t>Economic Factors</w:t>
      </w:r>
      <w:bookmarkEnd w:id="10"/>
    </w:p>
    <w:p w14:paraId="09516DC5" w14:textId="01139704" w:rsidR="005D12BE" w:rsidRPr="003519EC" w:rsidRDefault="005D12BE" w:rsidP="009C627E">
      <w:pPr>
        <w:spacing w:line="360" w:lineRule="auto"/>
        <w:jc w:val="both"/>
      </w:pPr>
      <w:r w:rsidRPr="003519EC">
        <w:t xml:space="preserve">The global and national economic landscape significantly impacts SSE’s operations. For example, key macro-economic indicators such as inflation and interest rates directly influence the company's investment decisions in infrastructure development and technology adoption. In a high-inflation scenario, raw materials and </w:t>
      </w:r>
      <w:r w:rsidR="00091EC3" w:rsidRPr="003519EC">
        <w:t>labour</w:t>
      </w:r>
      <w:r w:rsidRPr="003519EC">
        <w:t xml:space="preserve"> </w:t>
      </w:r>
      <w:r w:rsidR="00091EC3" w:rsidRPr="003519EC">
        <w:t xml:space="preserve">costs </w:t>
      </w:r>
      <w:r w:rsidRPr="003519EC">
        <w:t xml:space="preserve">could escalate, straining operational budgets </w:t>
      </w:r>
      <w:r w:rsidR="00466741" w:rsidRPr="003519EC">
        <w:t xml:space="preserve">(Oner, 2021). </w:t>
      </w:r>
      <w:r w:rsidRPr="003519EC">
        <w:t xml:space="preserve">Interest rates also impact the cost of capital; higher interest rates can deter long-term investment in new technologies or infrastructure. The situation is complicated by the emergence of more affordable renewable energy options, which increases competition. As renewable technologies become cheaper, barriers to entry </w:t>
      </w:r>
      <w:r w:rsidR="00091EC3" w:rsidRPr="003519EC">
        <w:t xml:space="preserve">are </w:t>
      </w:r>
      <w:r w:rsidRPr="003519EC">
        <w:t xml:space="preserve">lower, making the market more competitive and impacting SSE’s market share </w:t>
      </w:r>
      <w:r w:rsidR="00466741" w:rsidRPr="003519EC">
        <w:t>(Bogdanov </w:t>
      </w:r>
      <w:r w:rsidR="00466741" w:rsidRPr="003519EC">
        <w:rPr>
          <w:i/>
          <w:iCs/>
        </w:rPr>
        <w:t>et al.</w:t>
      </w:r>
      <w:r w:rsidR="00466741" w:rsidRPr="003519EC">
        <w:t>, 2021).</w:t>
      </w:r>
    </w:p>
    <w:p w14:paraId="57140F95" w14:textId="37A6BD24" w:rsidR="008E168D" w:rsidRPr="003519EC" w:rsidRDefault="003E6532" w:rsidP="009C627E">
      <w:pPr>
        <w:spacing w:line="360" w:lineRule="auto"/>
        <w:jc w:val="both"/>
        <w:rPr>
          <w:b/>
          <w:bCs/>
        </w:rPr>
      </w:pPr>
      <w:r w:rsidRPr="003519EC">
        <w:rPr>
          <w:b/>
          <w:bCs/>
        </w:rPr>
        <w:t>Table 2: Economic Factors Affecting SSE</w:t>
      </w:r>
    </w:p>
    <w:tbl>
      <w:tblPr>
        <w:tblStyle w:val="GridTable4-Accent1"/>
        <w:tblW w:w="9795" w:type="dxa"/>
        <w:tblLook w:val="04A0" w:firstRow="1" w:lastRow="0" w:firstColumn="1" w:lastColumn="0" w:noHBand="0" w:noVBand="1"/>
      </w:tblPr>
      <w:tblGrid>
        <w:gridCol w:w="2086"/>
        <w:gridCol w:w="2652"/>
        <w:gridCol w:w="3012"/>
        <w:gridCol w:w="2045"/>
      </w:tblGrid>
      <w:tr w:rsidR="003E6532" w:rsidRPr="003519EC" w14:paraId="2B63646F" w14:textId="77777777" w:rsidTr="003E65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9C7A71" w14:textId="77777777" w:rsidR="003E6532" w:rsidRPr="003519EC" w:rsidRDefault="003E6532" w:rsidP="008E168D">
            <w:pPr>
              <w:spacing w:line="360" w:lineRule="auto"/>
              <w:jc w:val="center"/>
            </w:pPr>
            <w:r w:rsidRPr="003519EC">
              <w:t>Economic Factor</w:t>
            </w:r>
          </w:p>
        </w:tc>
        <w:tc>
          <w:tcPr>
            <w:tcW w:w="0" w:type="auto"/>
            <w:hideMark/>
          </w:tcPr>
          <w:p w14:paraId="0C120A09"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Description</w:t>
            </w:r>
          </w:p>
        </w:tc>
        <w:tc>
          <w:tcPr>
            <w:tcW w:w="0" w:type="auto"/>
            <w:hideMark/>
          </w:tcPr>
          <w:p w14:paraId="2B17AB9A"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hideMark/>
          </w:tcPr>
          <w:p w14:paraId="461EEC7D"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3E6532" w:rsidRPr="003519EC" w14:paraId="57BC154D" w14:textId="77777777" w:rsidTr="003162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F10B4D1" w14:textId="77777777" w:rsidR="003E6532" w:rsidRPr="003519EC" w:rsidRDefault="003E6532" w:rsidP="0031623D">
            <w:pPr>
              <w:spacing w:line="360" w:lineRule="auto"/>
              <w:jc w:val="center"/>
            </w:pPr>
            <w:r w:rsidRPr="003519EC">
              <w:lastRenderedPageBreak/>
              <w:t>Inflation</w:t>
            </w:r>
          </w:p>
        </w:tc>
        <w:tc>
          <w:tcPr>
            <w:tcW w:w="0" w:type="auto"/>
            <w:vAlign w:val="center"/>
            <w:hideMark/>
          </w:tcPr>
          <w:p w14:paraId="5EF57C22" w14:textId="77777777" w:rsidR="003E6532" w:rsidRPr="003519EC" w:rsidRDefault="003E6532"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The rate at which the general price level for goods and services rises</w:t>
            </w:r>
          </w:p>
        </w:tc>
        <w:tc>
          <w:tcPr>
            <w:tcW w:w="0" w:type="auto"/>
            <w:vAlign w:val="center"/>
            <w:hideMark/>
          </w:tcPr>
          <w:p w14:paraId="0AA805C3" w14:textId="7685C8B4" w:rsidR="003E6532" w:rsidRPr="003519EC" w:rsidRDefault="003E6532"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 xml:space="preserve">Increased costs for raw materials and </w:t>
            </w:r>
            <w:r w:rsidR="00B347A0" w:rsidRPr="003519EC">
              <w:t>labour</w:t>
            </w:r>
            <w:r w:rsidRPr="003519EC">
              <w:t>, potentially straining operational budgets</w:t>
            </w:r>
          </w:p>
        </w:tc>
        <w:tc>
          <w:tcPr>
            <w:tcW w:w="0" w:type="auto"/>
            <w:vAlign w:val="center"/>
            <w:hideMark/>
          </w:tcPr>
          <w:p w14:paraId="6AF1C269" w14:textId="0250D700" w:rsidR="003E6532" w:rsidRPr="003519EC" w:rsidRDefault="00AA64C5"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(Oner, 2021)</w:t>
            </w:r>
          </w:p>
        </w:tc>
      </w:tr>
      <w:tr w:rsidR="003E6532" w:rsidRPr="003519EC" w14:paraId="1FDB3F88" w14:textId="77777777" w:rsidTr="0031623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8A1F09" w14:textId="77777777" w:rsidR="003E6532" w:rsidRPr="003519EC" w:rsidRDefault="003E6532" w:rsidP="0031623D">
            <w:pPr>
              <w:spacing w:line="360" w:lineRule="auto"/>
              <w:jc w:val="center"/>
            </w:pPr>
            <w:r w:rsidRPr="003519EC">
              <w:t>Interest Rates</w:t>
            </w:r>
          </w:p>
        </w:tc>
        <w:tc>
          <w:tcPr>
            <w:tcW w:w="0" w:type="auto"/>
            <w:vAlign w:val="center"/>
            <w:hideMark/>
          </w:tcPr>
          <w:p w14:paraId="7ED583F7" w14:textId="77777777" w:rsidR="003E6532" w:rsidRPr="003519EC" w:rsidRDefault="003E6532"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The cost of borrowing money</w:t>
            </w:r>
          </w:p>
        </w:tc>
        <w:tc>
          <w:tcPr>
            <w:tcW w:w="0" w:type="auto"/>
            <w:vAlign w:val="center"/>
            <w:hideMark/>
          </w:tcPr>
          <w:p w14:paraId="6034A9EB" w14:textId="495D578E" w:rsidR="003E6532" w:rsidRPr="003519EC" w:rsidRDefault="00AC3375"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t>High interest</w:t>
            </w:r>
            <w:r w:rsidR="003E6532" w:rsidRPr="003519EC">
              <w:t xml:space="preserve"> rates could make long-term investments in infrastructure and technology less attractive</w:t>
            </w:r>
          </w:p>
        </w:tc>
        <w:tc>
          <w:tcPr>
            <w:tcW w:w="0" w:type="auto"/>
            <w:vAlign w:val="center"/>
            <w:hideMark/>
          </w:tcPr>
          <w:p w14:paraId="5F677AB4" w14:textId="6017D3FC" w:rsidR="003E6532" w:rsidRPr="003519EC" w:rsidRDefault="00AA64C5"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(Bank of England, 2023b)</w:t>
            </w:r>
          </w:p>
        </w:tc>
      </w:tr>
      <w:tr w:rsidR="003E6532" w:rsidRPr="003519EC" w14:paraId="57E47CC9" w14:textId="77777777" w:rsidTr="003162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9210CB6" w14:textId="77777777" w:rsidR="003E6532" w:rsidRPr="003519EC" w:rsidRDefault="003E6532" w:rsidP="0031623D">
            <w:pPr>
              <w:spacing w:line="360" w:lineRule="auto"/>
              <w:jc w:val="center"/>
            </w:pPr>
            <w:r w:rsidRPr="003519EC">
              <w:t>Macroeconomic Conditions</w:t>
            </w:r>
          </w:p>
        </w:tc>
        <w:tc>
          <w:tcPr>
            <w:tcW w:w="0" w:type="auto"/>
            <w:vAlign w:val="center"/>
            <w:hideMark/>
          </w:tcPr>
          <w:p w14:paraId="43F186D2" w14:textId="4A346B8C" w:rsidR="003E6532" w:rsidRPr="003519EC" w:rsidRDefault="003E6532"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Overall economic conditions</w:t>
            </w:r>
            <w:r w:rsidR="00B347A0" w:rsidRPr="003519EC">
              <w:t>,</w:t>
            </w:r>
            <w:r w:rsidRPr="003519EC">
              <w:t xml:space="preserve"> including GDP growth, unemployment rates, etc.</w:t>
            </w:r>
          </w:p>
        </w:tc>
        <w:tc>
          <w:tcPr>
            <w:tcW w:w="0" w:type="auto"/>
            <w:vAlign w:val="center"/>
            <w:hideMark/>
          </w:tcPr>
          <w:p w14:paraId="23CE04ED" w14:textId="77777777" w:rsidR="003E6532" w:rsidRPr="003519EC" w:rsidRDefault="003E6532"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Economic downturns or booms could affect consumer demand and investment opportunities</w:t>
            </w:r>
          </w:p>
        </w:tc>
        <w:tc>
          <w:tcPr>
            <w:tcW w:w="0" w:type="auto"/>
            <w:vAlign w:val="center"/>
            <w:hideMark/>
          </w:tcPr>
          <w:p w14:paraId="319FBB62" w14:textId="277B5961" w:rsidR="003E6532" w:rsidRPr="003519EC" w:rsidRDefault="008470D0"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(Office for Budget Responsibility, 2023)</w:t>
            </w:r>
          </w:p>
        </w:tc>
      </w:tr>
      <w:tr w:rsidR="003E6532" w:rsidRPr="003519EC" w14:paraId="67920414" w14:textId="77777777" w:rsidTr="0031623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3941138" w14:textId="77777777" w:rsidR="003E6532" w:rsidRPr="003519EC" w:rsidRDefault="003E6532" w:rsidP="0031623D">
            <w:pPr>
              <w:spacing w:line="360" w:lineRule="auto"/>
              <w:jc w:val="center"/>
            </w:pPr>
            <w:r w:rsidRPr="003519EC">
              <w:t>Competition from Renewables</w:t>
            </w:r>
          </w:p>
        </w:tc>
        <w:tc>
          <w:tcPr>
            <w:tcW w:w="0" w:type="auto"/>
            <w:vAlign w:val="center"/>
            <w:hideMark/>
          </w:tcPr>
          <w:p w14:paraId="12658842" w14:textId="77777777" w:rsidR="003E6532" w:rsidRPr="003519EC" w:rsidRDefault="003E6532"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The rise of cost-effective renewable energy options</w:t>
            </w:r>
          </w:p>
        </w:tc>
        <w:tc>
          <w:tcPr>
            <w:tcW w:w="0" w:type="auto"/>
            <w:vAlign w:val="center"/>
            <w:hideMark/>
          </w:tcPr>
          <w:p w14:paraId="5C2909A4" w14:textId="77777777" w:rsidR="003E6532" w:rsidRPr="003519EC" w:rsidRDefault="003E6532"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Increased competition, requiring SSE to adapt its business model and potentially impacting its market share</w:t>
            </w:r>
          </w:p>
        </w:tc>
        <w:tc>
          <w:tcPr>
            <w:tcW w:w="0" w:type="auto"/>
            <w:vAlign w:val="center"/>
            <w:hideMark/>
          </w:tcPr>
          <w:p w14:paraId="2D63C53A" w14:textId="1A897CAD" w:rsidR="003E6532" w:rsidRPr="003519EC" w:rsidRDefault="00AA64C5"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(Bogdanov </w:t>
            </w:r>
            <w:r w:rsidRPr="003519EC">
              <w:rPr>
                <w:i/>
                <w:iCs/>
              </w:rPr>
              <w:t>et al.</w:t>
            </w:r>
            <w:r w:rsidRPr="003519EC">
              <w:t>, 2021)</w:t>
            </w:r>
          </w:p>
        </w:tc>
      </w:tr>
      <w:tr w:rsidR="003E6532" w:rsidRPr="003519EC" w14:paraId="3E75CB77" w14:textId="77777777" w:rsidTr="003162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7B37471" w14:textId="77777777" w:rsidR="003E6532" w:rsidRPr="003519EC" w:rsidRDefault="003E6532" w:rsidP="0031623D">
            <w:pPr>
              <w:spacing w:line="360" w:lineRule="auto"/>
              <w:jc w:val="center"/>
            </w:pPr>
            <w:r w:rsidRPr="003519EC">
              <w:t>Barriers to Entry</w:t>
            </w:r>
          </w:p>
        </w:tc>
        <w:tc>
          <w:tcPr>
            <w:tcW w:w="0" w:type="auto"/>
            <w:vAlign w:val="center"/>
            <w:hideMark/>
          </w:tcPr>
          <w:p w14:paraId="6A86F295" w14:textId="485E1CB2" w:rsidR="003E6532" w:rsidRPr="003519EC" w:rsidRDefault="003E6532"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 xml:space="preserve">Costs or obstacles that prevent new competitors from </w:t>
            </w:r>
            <w:r w:rsidR="00B347A0" w:rsidRPr="003519EC">
              <w:t>quickly</w:t>
            </w:r>
            <w:r w:rsidRPr="003519EC">
              <w:t xml:space="preserve"> entering an industry</w:t>
            </w:r>
          </w:p>
        </w:tc>
        <w:tc>
          <w:tcPr>
            <w:tcW w:w="0" w:type="auto"/>
            <w:vAlign w:val="center"/>
            <w:hideMark/>
          </w:tcPr>
          <w:p w14:paraId="56152EAC" w14:textId="5D7FC6BB" w:rsidR="003E6532" w:rsidRPr="003519EC" w:rsidRDefault="003E6532"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Lowering barriers due to affordable renewable technologies could mean increased competition</w:t>
            </w:r>
          </w:p>
        </w:tc>
        <w:tc>
          <w:tcPr>
            <w:tcW w:w="0" w:type="auto"/>
            <w:vAlign w:val="center"/>
            <w:hideMark/>
          </w:tcPr>
          <w:p w14:paraId="05AC4F95" w14:textId="2780C50D" w:rsidR="003E6532" w:rsidRPr="003519EC" w:rsidRDefault="00AA64C5"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(Bogdanov </w:t>
            </w:r>
            <w:r w:rsidRPr="003519EC">
              <w:rPr>
                <w:i/>
                <w:iCs/>
              </w:rPr>
              <w:t>et al.</w:t>
            </w:r>
            <w:r w:rsidRPr="003519EC">
              <w:t>, 2021)</w:t>
            </w:r>
          </w:p>
        </w:tc>
      </w:tr>
      <w:tr w:rsidR="003E6532" w:rsidRPr="003519EC" w14:paraId="77A13852" w14:textId="77777777" w:rsidTr="0031623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0B60E2" w14:textId="77777777" w:rsidR="003E6532" w:rsidRPr="003519EC" w:rsidRDefault="003E6532" w:rsidP="0031623D">
            <w:pPr>
              <w:spacing w:line="360" w:lineRule="auto"/>
              <w:jc w:val="center"/>
            </w:pPr>
            <w:r w:rsidRPr="003519EC">
              <w:t>Cost of Raw Materials</w:t>
            </w:r>
          </w:p>
        </w:tc>
        <w:tc>
          <w:tcPr>
            <w:tcW w:w="0" w:type="auto"/>
            <w:vAlign w:val="center"/>
            <w:hideMark/>
          </w:tcPr>
          <w:p w14:paraId="779090F8" w14:textId="77777777" w:rsidR="003E6532" w:rsidRPr="003519EC" w:rsidRDefault="003E6532"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The cost incurred by the company to acquire raw materials for production</w:t>
            </w:r>
          </w:p>
        </w:tc>
        <w:tc>
          <w:tcPr>
            <w:tcW w:w="0" w:type="auto"/>
            <w:vAlign w:val="center"/>
            <w:hideMark/>
          </w:tcPr>
          <w:p w14:paraId="00167641" w14:textId="2433832C" w:rsidR="003E6532" w:rsidRPr="003519EC" w:rsidRDefault="003E6532"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Fluctuations in cost can have a direct impact on production expenses and</w:t>
            </w:r>
            <w:r w:rsidR="00B347A0" w:rsidRPr="003519EC">
              <w:t>,</w:t>
            </w:r>
            <w:r w:rsidRPr="003519EC">
              <w:t xml:space="preserve"> consequently</w:t>
            </w:r>
            <w:r w:rsidR="00B347A0" w:rsidRPr="003519EC">
              <w:t>,</w:t>
            </w:r>
            <w:r w:rsidRPr="003519EC">
              <w:t xml:space="preserve"> on the pricing strategies</w:t>
            </w:r>
          </w:p>
        </w:tc>
        <w:tc>
          <w:tcPr>
            <w:tcW w:w="0" w:type="auto"/>
            <w:vAlign w:val="center"/>
            <w:hideMark/>
          </w:tcPr>
          <w:p w14:paraId="78C34E56" w14:textId="2F9D6864" w:rsidR="003E6532" w:rsidRPr="003519EC" w:rsidRDefault="0031623D"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(CFI Team, 2019)</w:t>
            </w:r>
          </w:p>
        </w:tc>
      </w:tr>
    </w:tbl>
    <w:p w14:paraId="7EFA8BA9" w14:textId="77777777" w:rsidR="003E6532" w:rsidRPr="003519EC" w:rsidRDefault="003E6532" w:rsidP="009C627E">
      <w:pPr>
        <w:spacing w:line="360" w:lineRule="auto"/>
        <w:jc w:val="both"/>
      </w:pPr>
    </w:p>
    <w:p w14:paraId="13ECD903" w14:textId="5DAE668E" w:rsidR="005D12BE" w:rsidRPr="003519EC" w:rsidRDefault="003E6532" w:rsidP="009C627E">
      <w:pPr>
        <w:spacing w:line="360" w:lineRule="auto"/>
        <w:jc w:val="both"/>
      </w:pPr>
      <w:r w:rsidRPr="003519EC">
        <w:t xml:space="preserve">This table offers a </w:t>
      </w:r>
      <w:r w:rsidR="00B347A0" w:rsidRPr="003519EC">
        <w:t>definite</w:t>
      </w:r>
      <w:r w:rsidRPr="003519EC">
        <w:t xml:space="preserve"> overview of the economic factors that impact SSE. It describes each factor </w:t>
      </w:r>
      <w:r w:rsidR="00B347A0" w:rsidRPr="003519EC">
        <w:t xml:space="preserve">and </w:t>
      </w:r>
      <w:r w:rsidRPr="003519EC">
        <w:t xml:space="preserve">the implications for SSE and cites a relevant source. This format allows for a quick yet comprehensive understanding of the </w:t>
      </w:r>
      <w:r w:rsidR="00B347A0" w:rsidRPr="003519EC">
        <w:t>company's economic landscape</w:t>
      </w:r>
      <w:r w:rsidRPr="003519EC">
        <w:t>.</w:t>
      </w:r>
    </w:p>
    <w:p w14:paraId="004E15A5" w14:textId="189A7C22" w:rsidR="005D12BE" w:rsidRPr="003519EC" w:rsidRDefault="002C22D6" w:rsidP="009C627E">
      <w:pPr>
        <w:pStyle w:val="Heading2"/>
        <w:spacing w:line="360" w:lineRule="auto"/>
        <w:jc w:val="both"/>
        <w:rPr>
          <w:rFonts w:ascii="Times New Roman" w:hAnsi="Times New Roman" w:cs="Times New Roman"/>
          <w:b/>
          <w:bCs/>
        </w:rPr>
      </w:pPr>
      <w:bookmarkStart w:id="11" w:name="_Toc151511030"/>
      <w:r w:rsidRPr="003519EC">
        <w:rPr>
          <w:rFonts w:ascii="Times New Roman" w:hAnsi="Times New Roman" w:cs="Times New Roman"/>
          <w:b/>
          <w:bCs/>
        </w:rPr>
        <w:t>3</w:t>
      </w:r>
      <w:r w:rsidR="00622D1E" w:rsidRPr="003519EC">
        <w:rPr>
          <w:rFonts w:ascii="Times New Roman" w:hAnsi="Times New Roman" w:cs="Times New Roman"/>
          <w:b/>
          <w:bCs/>
        </w:rPr>
        <w:t xml:space="preserve">.1.3 </w:t>
      </w:r>
      <w:r w:rsidR="005D12BE" w:rsidRPr="003519EC">
        <w:rPr>
          <w:rFonts w:ascii="Times New Roman" w:hAnsi="Times New Roman" w:cs="Times New Roman"/>
          <w:b/>
          <w:bCs/>
        </w:rPr>
        <w:t>Social Factors</w:t>
      </w:r>
      <w:bookmarkEnd w:id="11"/>
    </w:p>
    <w:p w14:paraId="4EA10E57" w14:textId="549A3E20" w:rsidR="005D12BE" w:rsidRPr="003519EC" w:rsidRDefault="005D12BE" w:rsidP="009C627E">
      <w:pPr>
        <w:spacing w:line="360" w:lineRule="auto"/>
        <w:jc w:val="both"/>
      </w:pPr>
      <w:r w:rsidRPr="003519EC">
        <w:t xml:space="preserve">Social trends are also </w:t>
      </w:r>
      <w:r w:rsidR="00091EC3" w:rsidRPr="003519EC">
        <w:t xml:space="preserve">significantly </w:t>
      </w:r>
      <w:r w:rsidRPr="003519EC">
        <w:t xml:space="preserve">influencing the energy sector. </w:t>
      </w:r>
      <w:r w:rsidR="00091EC3" w:rsidRPr="003519EC">
        <w:t>Consumer behaviour is shifting towards more sustainable energy solutions with</w:t>
      </w:r>
      <w:r w:rsidRPr="003519EC">
        <w:t xml:space="preserve"> increasing awareness about climate </w:t>
      </w:r>
      <w:r w:rsidRPr="003519EC">
        <w:lastRenderedPageBreak/>
        <w:t xml:space="preserve">change and a collective drive towards sustainability. These changes are increasingly reflected in public opinion, consumer choices, and investor preferences. For SSE, this necessitates </w:t>
      </w:r>
      <w:r w:rsidR="00091EC3" w:rsidRPr="003519EC">
        <w:t>strategically re-evaluating</w:t>
      </w:r>
      <w:r w:rsidRPr="003519EC">
        <w:t xml:space="preserve"> its energy mix, leaning more towards renewable and clean energy sources (Johnson &amp; Williams, 2021). Failure to do so could result in reputational damage and a potential loss of market share.</w:t>
      </w:r>
    </w:p>
    <w:p w14:paraId="66907449" w14:textId="58387338" w:rsidR="003E6532" w:rsidRPr="003519EC" w:rsidRDefault="003E6532" w:rsidP="009C627E">
      <w:pPr>
        <w:spacing w:line="360" w:lineRule="auto"/>
        <w:jc w:val="both"/>
        <w:rPr>
          <w:b/>
          <w:bCs/>
        </w:rPr>
      </w:pPr>
      <w:r w:rsidRPr="003519EC">
        <w:rPr>
          <w:b/>
          <w:bCs/>
        </w:rPr>
        <w:t>Table 3: Social Factors Affecting SSE</w:t>
      </w:r>
    </w:p>
    <w:tbl>
      <w:tblPr>
        <w:tblStyle w:val="GridTable4-Accent1"/>
        <w:tblW w:w="9795" w:type="dxa"/>
        <w:tblLook w:val="04A0" w:firstRow="1" w:lastRow="0" w:firstColumn="1" w:lastColumn="0" w:noHBand="0" w:noVBand="1"/>
      </w:tblPr>
      <w:tblGrid>
        <w:gridCol w:w="1916"/>
        <w:gridCol w:w="2697"/>
        <w:gridCol w:w="3462"/>
        <w:gridCol w:w="1720"/>
      </w:tblGrid>
      <w:tr w:rsidR="003E6532" w:rsidRPr="003519EC" w14:paraId="4146D7DD" w14:textId="77777777" w:rsidTr="00B347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C9F57A" w14:textId="77777777" w:rsidR="003E6532" w:rsidRPr="003519EC" w:rsidRDefault="003E6532" w:rsidP="008E168D">
            <w:pPr>
              <w:spacing w:line="360" w:lineRule="auto"/>
              <w:jc w:val="center"/>
            </w:pPr>
            <w:r w:rsidRPr="003519EC">
              <w:t>Social Factor</w:t>
            </w:r>
          </w:p>
        </w:tc>
        <w:tc>
          <w:tcPr>
            <w:tcW w:w="0" w:type="auto"/>
            <w:vAlign w:val="center"/>
            <w:hideMark/>
          </w:tcPr>
          <w:p w14:paraId="34DB24CF"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Description</w:t>
            </w:r>
          </w:p>
        </w:tc>
        <w:tc>
          <w:tcPr>
            <w:tcW w:w="0" w:type="auto"/>
            <w:vAlign w:val="center"/>
            <w:hideMark/>
          </w:tcPr>
          <w:p w14:paraId="561FEAB8"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vAlign w:val="center"/>
            <w:hideMark/>
          </w:tcPr>
          <w:p w14:paraId="217C86A9"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3E6532" w:rsidRPr="003519EC" w14:paraId="59C338C3" w14:textId="77777777" w:rsidTr="00B347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5D4044A" w14:textId="13E20116" w:rsidR="003E6532" w:rsidRPr="003519EC" w:rsidRDefault="003E6532" w:rsidP="006F5257">
            <w:pPr>
              <w:spacing w:line="360" w:lineRule="auto"/>
            </w:pPr>
            <w:r w:rsidRPr="003519EC">
              <w:t>Consumer Behavio</w:t>
            </w:r>
            <w:r w:rsidR="008470D0" w:rsidRPr="003519EC">
              <w:t>u</w:t>
            </w:r>
            <w:r w:rsidRPr="003519EC">
              <w:t>r</w:t>
            </w:r>
          </w:p>
        </w:tc>
        <w:tc>
          <w:tcPr>
            <w:tcW w:w="0" w:type="auto"/>
            <w:vAlign w:val="center"/>
            <w:hideMark/>
          </w:tcPr>
          <w:p w14:paraId="41B55DE7"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Shifting consumer preferences towards sustainable and renewable energy</w:t>
            </w:r>
          </w:p>
        </w:tc>
        <w:tc>
          <w:tcPr>
            <w:tcW w:w="0" w:type="auto"/>
            <w:vAlign w:val="center"/>
            <w:hideMark/>
          </w:tcPr>
          <w:p w14:paraId="65E04AA5" w14:textId="05DDF79A" w:rsidR="003E6532" w:rsidRPr="003519EC" w:rsidRDefault="00B347A0"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There is a</w:t>
            </w:r>
            <w:r w:rsidR="003E6532" w:rsidRPr="003519EC">
              <w:t xml:space="preserve"> need to re-evaluate the energy mix towards renewables to meet consumer demands</w:t>
            </w:r>
          </w:p>
        </w:tc>
        <w:tc>
          <w:tcPr>
            <w:tcW w:w="0" w:type="auto"/>
            <w:vAlign w:val="center"/>
            <w:hideMark/>
          </w:tcPr>
          <w:p w14:paraId="689C9313" w14:textId="7725F7B4" w:rsidR="003E6532" w:rsidRPr="003519EC" w:rsidRDefault="008470D0"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(White, Habib and Hardisty, 2019)</w:t>
            </w:r>
          </w:p>
        </w:tc>
      </w:tr>
      <w:tr w:rsidR="003E6532" w:rsidRPr="003519EC" w14:paraId="1066853F" w14:textId="77777777" w:rsidTr="00B347A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1656A28" w14:textId="77777777" w:rsidR="003E6532" w:rsidRPr="003519EC" w:rsidRDefault="003E6532" w:rsidP="006F5257">
            <w:pPr>
              <w:spacing w:line="360" w:lineRule="auto"/>
            </w:pPr>
            <w:r w:rsidRPr="003519EC">
              <w:t>Climate Change Awareness</w:t>
            </w:r>
          </w:p>
        </w:tc>
        <w:tc>
          <w:tcPr>
            <w:tcW w:w="0" w:type="auto"/>
            <w:vAlign w:val="center"/>
            <w:hideMark/>
          </w:tcPr>
          <w:p w14:paraId="1AA647CA"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Increased public understanding and concern about climate change</w:t>
            </w:r>
          </w:p>
        </w:tc>
        <w:tc>
          <w:tcPr>
            <w:tcW w:w="0" w:type="auto"/>
            <w:vAlign w:val="center"/>
            <w:hideMark/>
          </w:tcPr>
          <w:p w14:paraId="781CE041" w14:textId="0A7ED874"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 xml:space="preserve">An imperative to adopt more </w:t>
            </w:r>
            <w:r w:rsidR="00B347A0" w:rsidRPr="003519EC">
              <w:t>environmentally friendly</w:t>
            </w:r>
            <w:r w:rsidRPr="003519EC">
              <w:t xml:space="preserve"> practices to align with public opinion</w:t>
            </w:r>
          </w:p>
        </w:tc>
        <w:tc>
          <w:tcPr>
            <w:tcW w:w="0" w:type="auto"/>
            <w:vAlign w:val="center"/>
            <w:hideMark/>
          </w:tcPr>
          <w:p w14:paraId="06D40F95" w14:textId="2B7CA028" w:rsidR="003E6532" w:rsidRPr="003519EC" w:rsidRDefault="008470D0"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(Waller, Cox and Bellamy, 2023)</w:t>
            </w:r>
          </w:p>
        </w:tc>
      </w:tr>
      <w:tr w:rsidR="003E6532" w:rsidRPr="003519EC" w14:paraId="27586738" w14:textId="77777777" w:rsidTr="00B347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128B9E" w14:textId="77777777" w:rsidR="003E6532" w:rsidRPr="003519EC" w:rsidRDefault="003E6532" w:rsidP="006F5257">
            <w:pPr>
              <w:spacing w:line="360" w:lineRule="auto"/>
            </w:pPr>
            <w:r w:rsidRPr="003519EC">
              <w:t>Drive Toward Sustainability</w:t>
            </w:r>
          </w:p>
        </w:tc>
        <w:tc>
          <w:tcPr>
            <w:tcW w:w="0" w:type="auto"/>
            <w:vAlign w:val="center"/>
            <w:hideMark/>
          </w:tcPr>
          <w:p w14:paraId="0A82FC0D"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A collective effort by consumers and businesses to adopt sustainable practices</w:t>
            </w:r>
          </w:p>
        </w:tc>
        <w:tc>
          <w:tcPr>
            <w:tcW w:w="0" w:type="auto"/>
            <w:vAlign w:val="center"/>
            <w:hideMark/>
          </w:tcPr>
          <w:p w14:paraId="5E0C356B"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Potential for strategic partnerships and consumer goodwill for adopting sustainable practices</w:t>
            </w:r>
          </w:p>
        </w:tc>
        <w:tc>
          <w:tcPr>
            <w:tcW w:w="0" w:type="auto"/>
            <w:vAlign w:val="center"/>
            <w:hideMark/>
          </w:tcPr>
          <w:p w14:paraId="156A3AA4" w14:textId="7964621A" w:rsidR="003E6532" w:rsidRPr="003519EC" w:rsidRDefault="009A246F"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(Thøgersen, 2023)</w:t>
            </w:r>
          </w:p>
        </w:tc>
      </w:tr>
      <w:tr w:rsidR="003E6532" w:rsidRPr="003519EC" w14:paraId="34901449" w14:textId="77777777" w:rsidTr="00B347A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57C8752" w14:textId="77777777" w:rsidR="003E6532" w:rsidRPr="003519EC" w:rsidRDefault="003E6532" w:rsidP="006F5257">
            <w:pPr>
              <w:spacing w:line="360" w:lineRule="auto"/>
            </w:pPr>
            <w:r w:rsidRPr="003519EC">
              <w:t>Investor Preferences</w:t>
            </w:r>
          </w:p>
        </w:tc>
        <w:tc>
          <w:tcPr>
            <w:tcW w:w="0" w:type="auto"/>
            <w:vAlign w:val="center"/>
            <w:hideMark/>
          </w:tcPr>
          <w:p w14:paraId="155FFC34"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The evolving criteria for investment decisions, increasingly factoring in sustainability</w:t>
            </w:r>
          </w:p>
        </w:tc>
        <w:tc>
          <w:tcPr>
            <w:tcW w:w="0" w:type="auto"/>
            <w:vAlign w:val="center"/>
            <w:hideMark/>
          </w:tcPr>
          <w:p w14:paraId="1E5B1F33"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Failure to adapt could deter investments, particularly from socially responsible investors</w:t>
            </w:r>
          </w:p>
        </w:tc>
        <w:tc>
          <w:tcPr>
            <w:tcW w:w="0" w:type="auto"/>
            <w:vAlign w:val="center"/>
            <w:hideMark/>
          </w:tcPr>
          <w:p w14:paraId="28C8A5DF" w14:textId="4520F187" w:rsidR="003E6532" w:rsidRPr="003519EC" w:rsidRDefault="0031623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w:t>
            </w:r>
            <w:r w:rsidR="003E6532" w:rsidRPr="003519EC">
              <w:t>Johnson &amp; Williams, 2021</w:t>
            </w:r>
            <w:r w:rsidRPr="003519EC">
              <w:t>)</w:t>
            </w:r>
          </w:p>
        </w:tc>
      </w:tr>
      <w:tr w:rsidR="003E6532" w:rsidRPr="003519EC" w14:paraId="2FA0D1BE" w14:textId="77777777" w:rsidTr="00B347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666F7CF" w14:textId="77777777" w:rsidR="003E6532" w:rsidRPr="003519EC" w:rsidRDefault="003E6532" w:rsidP="006F5257">
            <w:pPr>
              <w:spacing w:line="360" w:lineRule="auto"/>
            </w:pPr>
            <w:r w:rsidRPr="003519EC">
              <w:t>Public Opinion</w:t>
            </w:r>
          </w:p>
        </w:tc>
        <w:tc>
          <w:tcPr>
            <w:tcW w:w="0" w:type="auto"/>
            <w:vAlign w:val="center"/>
            <w:hideMark/>
          </w:tcPr>
          <w:p w14:paraId="073D7806"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Overall societal views on energy consumption and its environmental impact</w:t>
            </w:r>
          </w:p>
        </w:tc>
        <w:tc>
          <w:tcPr>
            <w:tcW w:w="0" w:type="auto"/>
            <w:vAlign w:val="center"/>
            <w:hideMark/>
          </w:tcPr>
          <w:p w14:paraId="5C323E04"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Negative public opinion could result in reputational damage and loss of market share if not aligned with sustainable practices</w:t>
            </w:r>
          </w:p>
        </w:tc>
        <w:tc>
          <w:tcPr>
            <w:tcW w:w="0" w:type="auto"/>
            <w:vAlign w:val="center"/>
            <w:hideMark/>
          </w:tcPr>
          <w:p w14:paraId="0E82165E" w14:textId="67640158" w:rsidR="003E6532" w:rsidRPr="003519EC" w:rsidRDefault="009A246F"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(Farghali </w:t>
            </w:r>
            <w:r w:rsidRPr="003519EC">
              <w:rPr>
                <w:i/>
                <w:iCs/>
              </w:rPr>
              <w:t>et al.</w:t>
            </w:r>
            <w:r w:rsidRPr="003519EC">
              <w:t>, 2023)</w:t>
            </w:r>
          </w:p>
        </w:tc>
      </w:tr>
      <w:tr w:rsidR="003E6532" w:rsidRPr="003519EC" w14:paraId="047B8C81" w14:textId="77777777" w:rsidTr="00B347A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79B2556" w14:textId="77777777" w:rsidR="003E6532" w:rsidRPr="003519EC" w:rsidRDefault="003E6532" w:rsidP="006F5257">
            <w:pPr>
              <w:spacing w:line="360" w:lineRule="auto"/>
            </w:pPr>
            <w:r w:rsidRPr="003519EC">
              <w:t>Regulatory Social Expectations</w:t>
            </w:r>
          </w:p>
        </w:tc>
        <w:tc>
          <w:tcPr>
            <w:tcW w:w="0" w:type="auto"/>
            <w:vAlign w:val="center"/>
            <w:hideMark/>
          </w:tcPr>
          <w:p w14:paraId="25F440BE"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Social expectations that become a basis for regulations</w:t>
            </w:r>
          </w:p>
        </w:tc>
        <w:tc>
          <w:tcPr>
            <w:tcW w:w="0" w:type="auto"/>
            <w:vAlign w:val="center"/>
            <w:hideMark/>
          </w:tcPr>
          <w:p w14:paraId="26646D1A"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Failure to meet these could result in non-compliance penalties and reputation damage</w:t>
            </w:r>
          </w:p>
        </w:tc>
        <w:tc>
          <w:tcPr>
            <w:tcW w:w="0" w:type="auto"/>
            <w:vAlign w:val="center"/>
            <w:hideMark/>
          </w:tcPr>
          <w:p w14:paraId="75BA3B22" w14:textId="4604FD3F" w:rsidR="003E6532" w:rsidRPr="003519EC" w:rsidRDefault="009A246F"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(Kinzig </w:t>
            </w:r>
            <w:r w:rsidRPr="003519EC">
              <w:rPr>
                <w:i/>
                <w:iCs/>
              </w:rPr>
              <w:t>et al.</w:t>
            </w:r>
            <w:r w:rsidRPr="003519EC">
              <w:t>, 2013)</w:t>
            </w:r>
          </w:p>
        </w:tc>
      </w:tr>
    </w:tbl>
    <w:p w14:paraId="12C9DBCD" w14:textId="3944A226" w:rsidR="003E6532" w:rsidRPr="003519EC" w:rsidRDefault="003E6532" w:rsidP="009C627E">
      <w:pPr>
        <w:spacing w:line="360" w:lineRule="auto"/>
        <w:jc w:val="both"/>
      </w:pPr>
    </w:p>
    <w:p w14:paraId="13B010AD" w14:textId="7E56E064" w:rsidR="005D12BE" w:rsidRPr="003519EC" w:rsidRDefault="003E6532" w:rsidP="009C627E">
      <w:pPr>
        <w:spacing w:line="360" w:lineRule="auto"/>
        <w:jc w:val="both"/>
      </w:pPr>
      <w:r w:rsidRPr="003519EC">
        <w:lastRenderedPageBreak/>
        <w:t xml:space="preserve">This table </w:t>
      </w:r>
      <w:r w:rsidR="007A2173">
        <w:t>categorises</w:t>
      </w:r>
      <w:r w:rsidRPr="003519EC">
        <w:t xml:space="preserve"> social factors affecting SSE, providing descriptions and the implications of each for the company, along with citation sources. It helps encapsulate the information </w:t>
      </w:r>
      <w:r w:rsidR="006F5257" w:rsidRPr="003519EC">
        <w:t>easily</w:t>
      </w:r>
      <w:r w:rsidRPr="003519EC">
        <w:t>, aiding in a quicker understanding of the social influences on SSE.</w:t>
      </w:r>
    </w:p>
    <w:p w14:paraId="647C8261" w14:textId="775A94A9" w:rsidR="005D12BE" w:rsidRPr="003519EC" w:rsidRDefault="002C22D6" w:rsidP="009C627E">
      <w:pPr>
        <w:pStyle w:val="Heading2"/>
        <w:spacing w:line="360" w:lineRule="auto"/>
        <w:jc w:val="both"/>
        <w:rPr>
          <w:rFonts w:ascii="Times New Roman" w:hAnsi="Times New Roman" w:cs="Times New Roman"/>
          <w:b/>
          <w:bCs/>
        </w:rPr>
      </w:pPr>
      <w:bookmarkStart w:id="12" w:name="_Toc151511031"/>
      <w:r w:rsidRPr="003519EC">
        <w:rPr>
          <w:rFonts w:ascii="Times New Roman" w:hAnsi="Times New Roman" w:cs="Times New Roman"/>
          <w:b/>
          <w:bCs/>
        </w:rPr>
        <w:t>3</w:t>
      </w:r>
      <w:r w:rsidR="00622D1E" w:rsidRPr="003519EC">
        <w:rPr>
          <w:rFonts w:ascii="Times New Roman" w:hAnsi="Times New Roman" w:cs="Times New Roman"/>
          <w:b/>
          <w:bCs/>
        </w:rPr>
        <w:t xml:space="preserve">.1.4 </w:t>
      </w:r>
      <w:r w:rsidR="005D12BE" w:rsidRPr="003519EC">
        <w:rPr>
          <w:rFonts w:ascii="Times New Roman" w:hAnsi="Times New Roman" w:cs="Times New Roman"/>
          <w:b/>
          <w:bCs/>
        </w:rPr>
        <w:t>Technological Factors</w:t>
      </w:r>
      <w:bookmarkEnd w:id="12"/>
    </w:p>
    <w:p w14:paraId="17A2B2A9" w14:textId="10EDA34B" w:rsidR="005D12BE" w:rsidRPr="003519EC" w:rsidRDefault="005D12BE" w:rsidP="009C627E">
      <w:pPr>
        <w:spacing w:line="360" w:lineRule="auto"/>
        <w:jc w:val="both"/>
      </w:pPr>
      <w:r w:rsidRPr="003519EC">
        <w:t xml:space="preserve">Technology is a double-edged sword for SSE. On one hand, advancements in renewable energy technologies, smart grids, and energy storage solutions offer incredible opportunities for innovation and improved efficiency (Porter, 1979). On the other hand, these rapid technological advancements can render existing infrastructure and technologies obsolete, necessitating further investment to stay competitive (Mintzberg, 1995). As </w:t>
      </w:r>
      <w:r w:rsidR="007A2173">
        <w:t>decentralised</w:t>
      </w:r>
      <w:r w:rsidRPr="003519EC">
        <w:t xml:space="preserve"> energy production technologies like solar panels and domestic energy storage solutions become more accessible, traditional utility models may be threatened.</w:t>
      </w:r>
    </w:p>
    <w:p w14:paraId="7BAC73A4" w14:textId="737A2C4C" w:rsidR="003E6532" w:rsidRPr="003519EC" w:rsidRDefault="003E6532" w:rsidP="009C627E">
      <w:pPr>
        <w:spacing w:line="360" w:lineRule="auto"/>
        <w:jc w:val="both"/>
        <w:rPr>
          <w:b/>
          <w:bCs/>
        </w:rPr>
      </w:pPr>
      <w:r w:rsidRPr="003519EC">
        <w:rPr>
          <w:b/>
          <w:bCs/>
        </w:rPr>
        <w:t>Table 4: Technological Factors Affecting SSE</w:t>
      </w:r>
    </w:p>
    <w:tbl>
      <w:tblPr>
        <w:tblStyle w:val="GridTable4-Accent1"/>
        <w:tblW w:w="9795" w:type="dxa"/>
        <w:tblLook w:val="04A0" w:firstRow="1" w:lastRow="0" w:firstColumn="1" w:lastColumn="0" w:noHBand="0" w:noVBand="1"/>
      </w:tblPr>
      <w:tblGrid>
        <w:gridCol w:w="2142"/>
        <w:gridCol w:w="3193"/>
        <w:gridCol w:w="2909"/>
        <w:gridCol w:w="1551"/>
      </w:tblGrid>
      <w:tr w:rsidR="003E6532" w:rsidRPr="003519EC" w14:paraId="4F8A3345" w14:textId="77777777" w:rsidTr="003E65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1DD47E7" w14:textId="77777777" w:rsidR="003E6532" w:rsidRPr="003519EC" w:rsidRDefault="003E6532" w:rsidP="008E168D">
            <w:pPr>
              <w:spacing w:line="360" w:lineRule="auto"/>
              <w:jc w:val="center"/>
            </w:pPr>
            <w:r w:rsidRPr="003519EC">
              <w:t>Technological Factor</w:t>
            </w:r>
          </w:p>
        </w:tc>
        <w:tc>
          <w:tcPr>
            <w:tcW w:w="0" w:type="auto"/>
            <w:vAlign w:val="center"/>
            <w:hideMark/>
          </w:tcPr>
          <w:p w14:paraId="411C1CFE"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Description</w:t>
            </w:r>
          </w:p>
        </w:tc>
        <w:tc>
          <w:tcPr>
            <w:tcW w:w="0" w:type="auto"/>
            <w:vAlign w:val="center"/>
            <w:hideMark/>
          </w:tcPr>
          <w:p w14:paraId="6E911F53"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vAlign w:val="center"/>
            <w:hideMark/>
          </w:tcPr>
          <w:p w14:paraId="506BB84D"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3E6532" w:rsidRPr="003519EC" w14:paraId="3E18494F" w14:textId="77777777" w:rsidTr="003E65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3DDBAFB" w14:textId="77777777" w:rsidR="003E6532" w:rsidRPr="003519EC" w:rsidRDefault="003E6532" w:rsidP="006F5257">
            <w:pPr>
              <w:spacing w:line="360" w:lineRule="auto"/>
            </w:pPr>
            <w:r w:rsidRPr="003519EC">
              <w:t>Renewable Energy Technologies</w:t>
            </w:r>
          </w:p>
        </w:tc>
        <w:tc>
          <w:tcPr>
            <w:tcW w:w="0" w:type="auto"/>
            <w:vAlign w:val="center"/>
            <w:hideMark/>
          </w:tcPr>
          <w:p w14:paraId="6C5AEBA6"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Advancements in technologies like wind, solar, and hydro energy</w:t>
            </w:r>
          </w:p>
        </w:tc>
        <w:tc>
          <w:tcPr>
            <w:tcW w:w="0" w:type="auto"/>
            <w:vAlign w:val="center"/>
            <w:hideMark/>
          </w:tcPr>
          <w:p w14:paraId="770F2F8B"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Offers opportunities for innovative energy solutions and improved operational efficiency</w:t>
            </w:r>
          </w:p>
        </w:tc>
        <w:tc>
          <w:tcPr>
            <w:tcW w:w="0" w:type="auto"/>
            <w:vAlign w:val="center"/>
            <w:hideMark/>
          </w:tcPr>
          <w:p w14:paraId="1C9FEB73" w14:textId="1D7EAF12" w:rsidR="003E6532" w:rsidRPr="003519EC" w:rsidRDefault="009A246F"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(Aktaş, 2021)</w:t>
            </w:r>
          </w:p>
        </w:tc>
      </w:tr>
      <w:tr w:rsidR="003E6532" w:rsidRPr="003519EC" w14:paraId="3A24E35B" w14:textId="77777777" w:rsidTr="003E653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4C12DD2" w14:textId="77777777" w:rsidR="003E6532" w:rsidRPr="003519EC" w:rsidRDefault="003E6532" w:rsidP="006F5257">
            <w:pPr>
              <w:spacing w:line="360" w:lineRule="auto"/>
            </w:pPr>
            <w:r w:rsidRPr="003519EC">
              <w:t>Smart Grids</w:t>
            </w:r>
          </w:p>
        </w:tc>
        <w:tc>
          <w:tcPr>
            <w:tcW w:w="0" w:type="auto"/>
            <w:vAlign w:val="center"/>
            <w:hideMark/>
          </w:tcPr>
          <w:p w14:paraId="4207AE20"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Modern energy supply networks that use digital technology for improved efficiency and reliability</w:t>
            </w:r>
          </w:p>
        </w:tc>
        <w:tc>
          <w:tcPr>
            <w:tcW w:w="0" w:type="auto"/>
            <w:vAlign w:val="center"/>
            <w:hideMark/>
          </w:tcPr>
          <w:p w14:paraId="3BAFDD7D"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Potential to reduce operational costs and increase service reliability</w:t>
            </w:r>
          </w:p>
        </w:tc>
        <w:tc>
          <w:tcPr>
            <w:tcW w:w="0" w:type="auto"/>
            <w:vAlign w:val="center"/>
            <w:hideMark/>
          </w:tcPr>
          <w:p w14:paraId="64D0D269"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Porter, 1979</w:t>
            </w:r>
          </w:p>
        </w:tc>
      </w:tr>
      <w:tr w:rsidR="003E6532" w:rsidRPr="003519EC" w14:paraId="393E2418" w14:textId="77777777" w:rsidTr="003E65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32F266" w14:textId="77777777" w:rsidR="003E6532" w:rsidRPr="003519EC" w:rsidRDefault="003E6532" w:rsidP="006F5257">
            <w:pPr>
              <w:spacing w:line="360" w:lineRule="auto"/>
            </w:pPr>
            <w:r w:rsidRPr="003519EC">
              <w:t>Energy Storage Solutions</w:t>
            </w:r>
          </w:p>
        </w:tc>
        <w:tc>
          <w:tcPr>
            <w:tcW w:w="0" w:type="auto"/>
            <w:vAlign w:val="center"/>
            <w:hideMark/>
          </w:tcPr>
          <w:p w14:paraId="218A12D1"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Innovations in storing energy for future use</w:t>
            </w:r>
          </w:p>
        </w:tc>
        <w:tc>
          <w:tcPr>
            <w:tcW w:w="0" w:type="auto"/>
            <w:vAlign w:val="center"/>
            <w:hideMark/>
          </w:tcPr>
          <w:p w14:paraId="490094A5" w14:textId="2C6DC7BB" w:rsidR="003E6532" w:rsidRPr="003519EC" w:rsidRDefault="00B347A0"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It allows</w:t>
            </w:r>
            <w:r w:rsidR="003E6532" w:rsidRPr="003519EC">
              <w:t xml:space="preserve"> for more flexible energy management and could increase efficiency</w:t>
            </w:r>
          </w:p>
        </w:tc>
        <w:tc>
          <w:tcPr>
            <w:tcW w:w="0" w:type="auto"/>
            <w:vAlign w:val="center"/>
            <w:hideMark/>
          </w:tcPr>
          <w:p w14:paraId="36536B0A" w14:textId="162B8D7C" w:rsidR="003E6532" w:rsidRPr="003519EC" w:rsidRDefault="009A246F"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(Hannay, 2023)</w:t>
            </w:r>
          </w:p>
        </w:tc>
      </w:tr>
      <w:tr w:rsidR="003E6532" w:rsidRPr="003519EC" w14:paraId="3C060279" w14:textId="77777777" w:rsidTr="003E653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FFB6ECF" w14:textId="77777777" w:rsidR="003E6532" w:rsidRPr="003519EC" w:rsidRDefault="003E6532" w:rsidP="006F5257">
            <w:pPr>
              <w:spacing w:line="360" w:lineRule="auto"/>
            </w:pPr>
            <w:r w:rsidRPr="003519EC">
              <w:t>Rapid Technological Advancements</w:t>
            </w:r>
          </w:p>
        </w:tc>
        <w:tc>
          <w:tcPr>
            <w:tcW w:w="0" w:type="auto"/>
            <w:vAlign w:val="center"/>
            <w:hideMark/>
          </w:tcPr>
          <w:p w14:paraId="0BD6B69F"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Quick evolution and obsolescence of technology</w:t>
            </w:r>
          </w:p>
        </w:tc>
        <w:tc>
          <w:tcPr>
            <w:tcW w:w="0" w:type="auto"/>
            <w:vAlign w:val="center"/>
            <w:hideMark/>
          </w:tcPr>
          <w:p w14:paraId="4728A6D0"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Requires constant investment to update existing infrastructure and stay competitive</w:t>
            </w:r>
          </w:p>
        </w:tc>
        <w:tc>
          <w:tcPr>
            <w:tcW w:w="0" w:type="auto"/>
            <w:vAlign w:val="center"/>
            <w:hideMark/>
          </w:tcPr>
          <w:p w14:paraId="7D94441D" w14:textId="14DAEE02" w:rsidR="003E6532" w:rsidRPr="003519EC" w:rsidRDefault="00EB764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(Ates and Acur, 2022)</w:t>
            </w:r>
          </w:p>
        </w:tc>
      </w:tr>
      <w:tr w:rsidR="003E6532" w:rsidRPr="003519EC" w14:paraId="470CBDCB" w14:textId="77777777" w:rsidTr="003E65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D99B20D" w14:textId="5CE4ADA8" w:rsidR="003E6532" w:rsidRPr="003519EC" w:rsidRDefault="007A2173" w:rsidP="006F5257">
            <w:pPr>
              <w:spacing w:line="360" w:lineRule="auto"/>
            </w:pPr>
            <w:r>
              <w:t>Decentralised</w:t>
            </w:r>
            <w:r w:rsidR="003E6532" w:rsidRPr="003519EC">
              <w:t xml:space="preserve"> Energy Production</w:t>
            </w:r>
          </w:p>
        </w:tc>
        <w:tc>
          <w:tcPr>
            <w:tcW w:w="0" w:type="auto"/>
            <w:vAlign w:val="center"/>
            <w:hideMark/>
          </w:tcPr>
          <w:p w14:paraId="1C506B40"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Technologies like solar panels and domestic energy storage solutions</w:t>
            </w:r>
          </w:p>
        </w:tc>
        <w:tc>
          <w:tcPr>
            <w:tcW w:w="0" w:type="auto"/>
            <w:vAlign w:val="center"/>
            <w:hideMark/>
          </w:tcPr>
          <w:p w14:paraId="542F3783"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Threatens traditional utility models, potentially affecting SSE's market position</w:t>
            </w:r>
          </w:p>
        </w:tc>
        <w:tc>
          <w:tcPr>
            <w:tcW w:w="0" w:type="auto"/>
            <w:vAlign w:val="center"/>
            <w:hideMark/>
          </w:tcPr>
          <w:p w14:paraId="32717E73" w14:textId="44F757A1" w:rsidR="003E6532" w:rsidRPr="003519EC" w:rsidRDefault="00726C3C"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w:t>
            </w:r>
            <w:r w:rsidR="003E6532" w:rsidRPr="003519EC">
              <w:t>Mintzberg, 1995</w:t>
            </w:r>
            <w:r w:rsidRPr="003519EC">
              <w:t>)</w:t>
            </w:r>
          </w:p>
        </w:tc>
      </w:tr>
    </w:tbl>
    <w:p w14:paraId="4EDA018B" w14:textId="5E1A7D45" w:rsidR="003E6532" w:rsidRPr="003519EC" w:rsidRDefault="003E6532" w:rsidP="006F5257">
      <w:pPr>
        <w:spacing w:line="360" w:lineRule="auto"/>
      </w:pPr>
    </w:p>
    <w:p w14:paraId="57ACB4B1" w14:textId="767CF945" w:rsidR="005D12BE" w:rsidRPr="003519EC" w:rsidRDefault="003E6532" w:rsidP="009C627E">
      <w:pPr>
        <w:spacing w:line="360" w:lineRule="auto"/>
        <w:jc w:val="both"/>
      </w:pPr>
      <w:r w:rsidRPr="003519EC">
        <w:t xml:space="preserve">This table provides a </w:t>
      </w:r>
      <w:r w:rsidR="007A2173">
        <w:t>categorised</w:t>
      </w:r>
      <w:r w:rsidRPr="003519EC">
        <w:t xml:space="preserve"> overview of the technological factors impacting SSE. Each factor is described in detail, with associated implications for the company</w:t>
      </w:r>
      <w:r w:rsidR="00B347A0" w:rsidRPr="003519EC">
        <w:t xml:space="preserve"> and</w:t>
      </w:r>
      <w:r w:rsidRPr="003519EC">
        <w:t xml:space="preserve"> the relevant source for the information. This tabulated approach allows for an efficient yet comprehensive view of the technological landscape </w:t>
      </w:r>
      <w:r w:rsidR="00B347A0" w:rsidRPr="003519EC">
        <w:t>within which</w:t>
      </w:r>
      <w:r w:rsidRPr="003519EC">
        <w:t xml:space="preserve"> SSE operates.</w:t>
      </w:r>
    </w:p>
    <w:p w14:paraId="179CC617" w14:textId="26AABE06" w:rsidR="005D12BE" w:rsidRPr="003519EC" w:rsidRDefault="002C22D6" w:rsidP="009C627E">
      <w:pPr>
        <w:pStyle w:val="Heading2"/>
        <w:spacing w:line="360" w:lineRule="auto"/>
        <w:jc w:val="both"/>
        <w:rPr>
          <w:rFonts w:ascii="Times New Roman" w:hAnsi="Times New Roman" w:cs="Times New Roman"/>
          <w:b/>
          <w:bCs/>
        </w:rPr>
      </w:pPr>
      <w:bookmarkStart w:id="13" w:name="_Toc151511032"/>
      <w:r w:rsidRPr="003519EC">
        <w:rPr>
          <w:rFonts w:ascii="Times New Roman" w:hAnsi="Times New Roman" w:cs="Times New Roman"/>
          <w:b/>
          <w:bCs/>
        </w:rPr>
        <w:t>3</w:t>
      </w:r>
      <w:r w:rsidR="00622D1E" w:rsidRPr="003519EC">
        <w:rPr>
          <w:rFonts w:ascii="Times New Roman" w:hAnsi="Times New Roman" w:cs="Times New Roman"/>
          <w:b/>
          <w:bCs/>
        </w:rPr>
        <w:t xml:space="preserve">.1.5 </w:t>
      </w:r>
      <w:r w:rsidR="005D12BE" w:rsidRPr="003519EC">
        <w:rPr>
          <w:rFonts w:ascii="Times New Roman" w:hAnsi="Times New Roman" w:cs="Times New Roman"/>
          <w:b/>
          <w:bCs/>
        </w:rPr>
        <w:t>Environmental Factors</w:t>
      </w:r>
      <w:bookmarkEnd w:id="13"/>
    </w:p>
    <w:p w14:paraId="74682762" w14:textId="11C0473A" w:rsidR="005D12BE" w:rsidRPr="003519EC" w:rsidRDefault="005D12BE" w:rsidP="009C627E">
      <w:pPr>
        <w:spacing w:line="360" w:lineRule="auto"/>
        <w:jc w:val="both"/>
      </w:pPr>
      <w:r w:rsidRPr="003519EC">
        <w:t xml:space="preserve">Environmental regulations are becoming increasingly stringent at national and international </w:t>
      </w:r>
      <w:r w:rsidR="00091EC3" w:rsidRPr="003519EC">
        <w:t>levels</w:t>
      </w:r>
      <w:r w:rsidRPr="003519EC">
        <w:t>. SSE is obliged to adhere to these regulations, which involve limits on emissions, waste disposal guidelines, and even the types of energy that can be produced. Non-compliance risks financial penalties</w:t>
      </w:r>
      <w:r w:rsidR="00091EC3" w:rsidRPr="003519EC">
        <w:t>, potential</w:t>
      </w:r>
      <w:r w:rsidRPr="003519EC">
        <w:t xml:space="preserve"> legal actions</w:t>
      </w:r>
      <w:r w:rsidR="00091EC3" w:rsidRPr="003519EC">
        <w:t>,</w:t>
      </w:r>
      <w:r w:rsidRPr="003519EC">
        <w:t xml:space="preserve"> and significant reputational damage (Davis &amp; Stevenson, 2022). This necessitates robust internal policies and controls to ensure compliance</w:t>
      </w:r>
      <w:r w:rsidR="00091EC3" w:rsidRPr="003519EC">
        <w:t xml:space="preserve"> and</w:t>
      </w:r>
      <w:r w:rsidRPr="003519EC">
        <w:t xml:space="preserve"> a proactive approach to reduce the environmental impact of SSE's operations.</w:t>
      </w:r>
    </w:p>
    <w:p w14:paraId="2D5694B5" w14:textId="02CF779E" w:rsidR="005D658D" w:rsidRPr="003519EC" w:rsidRDefault="005D658D" w:rsidP="009C627E">
      <w:pPr>
        <w:spacing w:line="360" w:lineRule="auto"/>
        <w:jc w:val="both"/>
        <w:rPr>
          <w:b/>
          <w:bCs/>
        </w:rPr>
      </w:pPr>
      <w:r w:rsidRPr="003519EC">
        <w:rPr>
          <w:b/>
          <w:bCs/>
        </w:rPr>
        <w:t>Table 5: Environmental Factors Affecting SSE</w:t>
      </w:r>
    </w:p>
    <w:tbl>
      <w:tblPr>
        <w:tblStyle w:val="GridTable4-Accent1"/>
        <w:tblW w:w="9795" w:type="dxa"/>
        <w:tblLook w:val="04A0" w:firstRow="1" w:lastRow="0" w:firstColumn="1" w:lastColumn="0" w:noHBand="0" w:noVBand="1"/>
      </w:tblPr>
      <w:tblGrid>
        <w:gridCol w:w="2057"/>
        <w:gridCol w:w="2612"/>
        <w:gridCol w:w="3430"/>
        <w:gridCol w:w="1696"/>
      </w:tblGrid>
      <w:tr w:rsidR="005D658D" w:rsidRPr="003519EC" w14:paraId="6BF89A62" w14:textId="77777777" w:rsidTr="005D65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93A10B" w14:textId="77777777" w:rsidR="005D658D" w:rsidRPr="003519EC" w:rsidRDefault="005D658D" w:rsidP="008E168D">
            <w:pPr>
              <w:spacing w:line="360" w:lineRule="auto"/>
              <w:jc w:val="center"/>
            </w:pPr>
            <w:r w:rsidRPr="003519EC">
              <w:t>Environmental Factor</w:t>
            </w:r>
          </w:p>
        </w:tc>
        <w:tc>
          <w:tcPr>
            <w:tcW w:w="0" w:type="auto"/>
            <w:vAlign w:val="center"/>
            <w:hideMark/>
          </w:tcPr>
          <w:p w14:paraId="53961EAA" w14:textId="77777777" w:rsidR="005D658D" w:rsidRPr="003519EC" w:rsidRDefault="005D658D"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Description</w:t>
            </w:r>
          </w:p>
        </w:tc>
        <w:tc>
          <w:tcPr>
            <w:tcW w:w="0" w:type="auto"/>
            <w:vAlign w:val="center"/>
            <w:hideMark/>
          </w:tcPr>
          <w:p w14:paraId="412344FC" w14:textId="77777777" w:rsidR="005D658D" w:rsidRPr="003519EC" w:rsidRDefault="005D658D"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vAlign w:val="center"/>
            <w:hideMark/>
          </w:tcPr>
          <w:p w14:paraId="011A609A" w14:textId="77777777" w:rsidR="005D658D" w:rsidRPr="003519EC" w:rsidRDefault="005D658D"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5D658D" w:rsidRPr="003519EC" w14:paraId="6B51097E"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478269" w14:textId="77777777" w:rsidR="005D658D" w:rsidRPr="003519EC" w:rsidRDefault="005D658D" w:rsidP="006F5257">
            <w:pPr>
              <w:spacing w:line="360" w:lineRule="auto"/>
            </w:pPr>
            <w:r w:rsidRPr="003519EC">
              <w:t>Emission Limits</w:t>
            </w:r>
          </w:p>
        </w:tc>
        <w:tc>
          <w:tcPr>
            <w:tcW w:w="0" w:type="auto"/>
            <w:vAlign w:val="center"/>
            <w:hideMark/>
          </w:tcPr>
          <w:p w14:paraId="4162CF3C" w14:textId="4A71F3B8"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 xml:space="preserve">Regulations limiting the </w:t>
            </w:r>
            <w:r w:rsidR="005C69F7">
              <w:t xml:space="preserve">amount </w:t>
            </w:r>
            <w:r w:rsidRPr="003519EC">
              <w:t>of emissions that can be released</w:t>
            </w:r>
          </w:p>
        </w:tc>
        <w:tc>
          <w:tcPr>
            <w:tcW w:w="0" w:type="auto"/>
            <w:vAlign w:val="center"/>
            <w:hideMark/>
          </w:tcPr>
          <w:p w14:paraId="06B50984"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Requires investments in cleaner technologies and could affect operational costs</w:t>
            </w:r>
          </w:p>
        </w:tc>
        <w:tc>
          <w:tcPr>
            <w:tcW w:w="0" w:type="auto"/>
            <w:vAlign w:val="center"/>
            <w:hideMark/>
          </w:tcPr>
          <w:p w14:paraId="6A3AC2D3"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Davis &amp; Stevenson, 2022</w:t>
            </w:r>
          </w:p>
        </w:tc>
      </w:tr>
      <w:tr w:rsidR="005D658D" w:rsidRPr="003519EC" w14:paraId="4EF38822" w14:textId="77777777" w:rsidTr="005D658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E615BF" w14:textId="77777777" w:rsidR="005D658D" w:rsidRPr="003519EC" w:rsidRDefault="005D658D" w:rsidP="006F5257">
            <w:pPr>
              <w:spacing w:line="360" w:lineRule="auto"/>
            </w:pPr>
            <w:r w:rsidRPr="003519EC">
              <w:t>Waste Disposal Guidelines</w:t>
            </w:r>
          </w:p>
        </w:tc>
        <w:tc>
          <w:tcPr>
            <w:tcW w:w="0" w:type="auto"/>
            <w:vAlign w:val="center"/>
            <w:hideMark/>
          </w:tcPr>
          <w:p w14:paraId="7BDCF44F"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Rules governing how waste should be managed and disposed of</w:t>
            </w:r>
          </w:p>
        </w:tc>
        <w:tc>
          <w:tcPr>
            <w:tcW w:w="0" w:type="auto"/>
            <w:vAlign w:val="center"/>
            <w:hideMark/>
          </w:tcPr>
          <w:p w14:paraId="6695762E"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Compliance requires specific waste management practices, potentially affecting costs</w:t>
            </w:r>
          </w:p>
        </w:tc>
        <w:tc>
          <w:tcPr>
            <w:tcW w:w="0" w:type="auto"/>
            <w:vAlign w:val="center"/>
            <w:hideMark/>
          </w:tcPr>
          <w:p w14:paraId="0EE3A9BE"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Davis &amp; Stevenson, 2022</w:t>
            </w:r>
          </w:p>
        </w:tc>
      </w:tr>
      <w:tr w:rsidR="005D658D" w:rsidRPr="003519EC" w14:paraId="5EC4FD33"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FBA5D56" w14:textId="77777777" w:rsidR="005D658D" w:rsidRPr="003519EC" w:rsidRDefault="005D658D" w:rsidP="006F5257">
            <w:pPr>
              <w:spacing w:line="360" w:lineRule="auto"/>
            </w:pPr>
            <w:r w:rsidRPr="003519EC">
              <w:t>Types of Energy Production</w:t>
            </w:r>
          </w:p>
        </w:tc>
        <w:tc>
          <w:tcPr>
            <w:tcW w:w="0" w:type="auto"/>
            <w:vAlign w:val="center"/>
            <w:hideMark/>
          </w:tcPr>
          <w:p w14:paraId="5B9B960A"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Regulations specifying what kinds of energy production are permissible</w:t>
            </w:r>
          </w:p>
        </w:tc>
        <w:tc>
          <w:tcPr>
            <w:tcW w:w="0" w:type="auto"/>
            <w:vAlign w:val="center"/>
            <w:hideMark/>
          </w:tcPr>
          <w:p w14:paraId="7AD7E9C0" w14:textId="0F8C21D4" w:rsidR="005D658D" w:rsidRPr="003519EC" w:rsidRDefault="00B347A0"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This could</w:t>
            </w:r>
            <w:r w:rsidR="005D658D" w:rsidRPr="003519EC">
              <w:t xml:space="preserve"> limit SSE's ability to use certain types of energy sources, affecting energy mix and investment plans</w:t>
            </w:r>
          </w:p>
        </w:tc>
        <w:tc>
          <w:tcPr>
            <w:tcW w:w="0" w:type="auto"/>
            <w:vAlign w:val="center"/>
            <w:hideMark/>
          </w:tcPr>
          <w:p w14:paraId="482F6F13" w14:textId="7E9FD6E4" w:rsidR="005D658D" w:rsidRPr="003519EC" w:rsidRDefault="007D52C1"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(Anaya, 2021)</w:t>
            </w:r>
          </w:p>
        </w:tc>
      </w:tr>
      <w:tr w:rsidR="005D658D" w:rsidRPr="003519EC" w14:paraId="31940292" w14:textId="77777777" w:rsidTr="005D658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6326A70" w14:textId="77777777" w:rsidR="005D658D" w:rsidRPr="003519EC" w:rsidRDefault="005D658D" w:rsidP="006F5257">
            <w:pPr>
              <w:spacing w:line="360" w:lineRule="auto"/>
            </w:pPr>
            <w:r w:rsidRPr="003519EC">
              <w:t>Financial Penalties</w:t>
            </w:r>
          </w:p>
        </w:tc>
        <w:tc>
          <w:tcPr>
            <w:tcW w:w="0" w:type="auto"/>
            <w:vAlign w:val="center"/>
            <w:hideMark/>
          </w:tcPr>
          <w:p w14:paraId="172A2D85"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Financial consequences for non-compliance</w:t>
            </w:r>
          </w:p>
        </w:tc>
        <w:tc>
          <w:tcPr>
            <w:tcW w:w="0" w:type="auto"/>
            <w:vAlign w:val="center"/>
            <w:hideMark/>
          </w:tcPr>
          <w:p w14:paraId="48211132" w14:textId="0DFA6ADB"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Risks of heavy financial burdens affecting profitability</w:t>
            </w:r>
          </w:p>
        </w:tc>
        <w:tc>
          <w:tcPr>
            <w:tcW w:w="0" w:type="auto"/>
            <w:vAlign w:val="center"/>
            <w:hideMark/>
          </w:tcPr>
          <w:p w14:paraId="379D88C0" w14:textId="4BCE4D65" w:rsidR="005D658D" w:rsidRPr="003519EC" w:rsidRDefault="007D52C1"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(HMRC, 2023)</w:t>
            </w:r>
          </w:p>
        </w:tc>
      </w:tr>
      <w:tr w:rsidR="005D658D" w:rsidRPr="003519EC" w14:paraId="05D85D12"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6336632" w14:textId="77777777" w:rsidR="005D658D" w:rsidRPr="003519EC" w:rsidRDefault="005D658D" w:rsidP="006F5257">
            <w:pPr>
              <w:spacing w:line="360" w:lineRule="auto"/>
            </w:pPr>
            <w:r w:rsidRPr="003519EC">
              <w:t>Legal Actions</w:t>
            </w:r>
          </w:p>
        </w:tc>
        <w:tc>
          <w:tcPr>
            <w:tcW w:w="0" w:type="auto"/>
            <w:vAlign w:val="center"/>
            <w:hideMark/>
          </w:tcPr>
          <w:p w14:paraId="4CE446C2"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Potential lawsuits or legal consequences for non-compliance</w:t>
            </w:r>
          </w:p>
        </w:tc>
        <w:tc>
          <w:tcPr>
            <w:tcW w:w="0" w:type="auto"/>
            <w:vAlign w:val="center"/>
            <w:hideMark/>
          </w:tcPr>
          <w:p w14:paraId="6C7B5BF6" w14:textId="2C2C1655" w:rsidR="005D658D" w:rsidRPr="003519EC" w:rsidRDefault="00B347A0"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This could</w:t>
            </w:r>
            <w:r w:rsidR="005D658D" w:rsidRPr="003519EC">
              <w:t xml:space="preserve"> lead to legal costs and reputational damage</w:t>
            </w:r>
          </w:p>
        </w:tc>
        <w:tc>
          <w:tcPr>
            <w:tcW w:w="0" w:type="auto"/>
            <w:vAlign w:val="center"/>
            <w:hideMark/>
          </w:tcPr>
          <w:p w14:paraId="5383E440" w14:textId="7C756327" w:rsidR="005D658D" w:rsidRPr="003519EC" w:rsidRDefault="007D52C1"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(Financial Crime Academy, 2023)</w:t>
            </w:r>
          </w:p>
        </w:tc>
      </w:tr>
      <w:tr w:rsidR="005D658D" w:rsidRPr="003519EC" w14:paraId="65C6715B" w14:textId="77777777" w:rsidTr="005D658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772BA4" w14:textId="77777777" w:rsidR="005D658D" w:rsidRPr="003519EC" w:rsidRDefault="005D658D" w:rsidP="006F5257">
            <w:pPr>
              <w:spacing w:line="360" w:lineRule="auto"/>
            </w:pPr>
            <w:r w:rsidRPr="003519EC">
              <w:lastRenderedPageBreak/>
              <w:t>Reputational Risk</w:t>
            </w:r>
          </w:p>
        </w:tc>
        <w:tc>
          <w:tcPr>
            <w:tcW w:w="0" w:type="auto"/>
            <w:vAlign w:val="center"/>
            <w:hideMark/>
          </w:tcPr>
          <w:p w14:paraId="6ED223F1"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Risks to brand image and public perception</w:t>
            </w:r>
          </w:p>
        </w:tc>
        <w:tc>
          <w:tcPr>
            <w:tcW w:w="0" w:type="auto"/>
            <w:vAlign w:val="center"/>
            <w:hideMark/>
          </w:tcPr>
          <w:p w14:paraId="0EB9CDF0"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Failure to comply with environmental regulations could lead to loss of consumer trust and market share</w:t>
            </w:r>
          </w:p>
        </w:tc>
        <w:tc>
          <w:tcPr>
            <w:tcW w:w="0" w:type="auto"/>
            <w:vAlign w:val="center"/>
            <w:hideMark/>
          </w:tcPr>
          <w:p w14:paraId="091E2D8F"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Davis &amp; Stevenson, 2022</w:t>
            </w:r>
          </w:p>
        </w:tc>
      </w:tr>
      <w:tr w:rsidR="005D658D" w:rsidRPr="003519EC" w14:paraId="02C3B83D"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8F7A8EC" w14:textId="77777777" w:rsidR="005D658D" w:rsidRPr="003519EC" w:rsidRDefault="005D658D" w:rsidP="009C627E">
            <w:pPr>
              <w:spacing w:line="360" w:lineRule="auto"/>
              <w:jc w:val="both"/>
            </w:pPr>
            <w:r w:rsidRPr="003519EC">
              <w:t>Internal Policies and Controls</w:t>
            </w:r>
          </w:p>
        </w:tc>
        <w:tc>
          <w:tcPr>
            <w:tcW w:w="0" w:type="auto"/>
            <w:vAlign w:val="center"/>
            <w:hideMark/>
          </w:tcPr>
          <w:p w14:paraId="201818B0" w14:textId="77777777" w:rsidR="005D658D" w:rsidRPr="003519EC" w:rsidRDefault="005D658D" w:rsidP="009C627E">
            <w:pPr>
              <w:spacing w:line="360" w:lineRule="auto"/>
              <w:jc w:val="both"/>
              <w:cnfStyle w:val="000000100000" w:firstRow="0" w:lastRow="0" w:firstColumn="0" w:lastColumn="0" w:oddVBand="0" w:evenVBand="0" w:oddHBand="1" w:evenHBand="0" w:firstRowFirstColumn="0" w:firstRowLastColumn="0" w:lastRowFirstColumn="0" w:lastRowLastColumn="0"/>
            </w:pPr>
            <w:r w:rsidRPr="003519EC">
              <w:t>The need for internal regulatory frameworks</w:t>
            </w:r>
          </w:p>
        </w:tc>
        <w:tc>
          <w:tcPr>
            <w:tcW w:w="0" w:type="auto"/>
            <w:vAlign w:val="center"/>
            <w:hideMark/>
          </w:tcPr>
          <w:p w14:paraId="5777DF31" w14:textId="77777777" w:rsidR="005D658D" w:rsidRPr="003519EC" w:rsidRDefault="005D658D" w:rsidP="009C627E">
            <w:pPr>
              <w:spacing w:line="360" w:lineRule="auto"/>
              <w:jc w:val="both"/>
              <w:cnfStyle w:val="000000100000" w:firstRow="0" w:lastRow="0" w:firstColumn="0" w:lastColumn="0" w:oddVBand="0" w:evenVBand="0" w:oddHBand="1" w:evenHBand="0" w:firstRowFirstColumn="0" w:firstRowLastColumn="0" w:lastRowFirstColumn="0" w:lastRowLastColumn="0"/>
            </w:pPr>
            <w:r w:rsidRPr="003519EC">
              <w:t>Necessitates the development of robust internal policies to ensure compliance and mitigate environmental impact</w:t>
            </w:r>
          </w:p>
        </w:tc>
        <w:tc>
          <w:tcPr>
            <w:tcW w:w="0" w:type="auto"/>
            <w:vAlign w:val="center"/>
            <w:hideMark/>
          </w:tcPr>
          <w:p w14:paraId="2CBA510A" w14:textId="5DF58CB7" w:rsidR="005D658D" w:rsidRPr="003519EC" w:rsidRDefault="00D46C3B" w:rsidP="009C627E">
            <w:pPr>
              <w:spacing w:line="360" w:lineRule="auto"/>
              <w:jc w:val="both"/>
              <w:cnfStyle w:val="000000100000" w:firstRow="0" w:lastRow="0" w:firstColumn="0" w:lastColumn="0" w:oddVBand="0" w:evenVBand="0" w:oddHBand="1" w:evenHBand="0" w:firstRowFirstColumn="0" w:firstRowLastColumn="0" w:lastRowFirstColumn="0" w:lastRowLastColumn="0"/>
            </w:pPr>
            <w:r w:rsidRPr="003519EC">
              <w:t>(Ogus, 2007)</w:t>
            </w:r>
          </w:p>
        </w:tc>
      </w:tr>
    </w:tbl>
    <w:p w14:paraId="297FBA34" w14:textId="54B27AB6" w:rsidR="005D658D" w:rsidRPr="003519EC" w:rsidRDefault="005D658D" w:rsidP="009C627E">
      <w:pPr>
        <w:spacing w:line="360" w:lineRule="auto"/>
        <w:jc w:val="both"/>
      </w:pPr>
    </w:p>
    <w:p w14:paraId="5ABBE24C" w14:textId="7CEBDF2D" w:rsidR="005D12BE" w:rsidRPr="003519EC" w:rsidRDefault="005D658D" w:rsidP="009C627E">
      <w:pPr>
        <w:spacing w:line="360" w:lineRule="auto"/>
        <w:jc w:val="both"/>
      </w:pPr>
      <w:r w:rsidRPr="003519EC">
        <w:t xml:space="preserve">This table provides a </w:t>
      </w:r>
      <w:r w:rsidR="007A2173">
        <w:t>categorised</w:t>
      </w:r>
      <w:r w:rsidRPr="003519EC">
        <w:t xml:space="preserve"> overview of the environmental factors affecting SSE. It describes each factor and its implications for the company, supported by the relevant source. This table helps present the information in a more structured and </w:t>
      </w:r>
      <w:r w:rsidR="00B347A0" w:rsidRPr="003519EC">
        <w:t>understandable</w:t>
      </w:r>
      <w:r w:rsidRPr="003519EC">
        <w:t xml:space="preserve"> format, aiding </w:t>
      </w:r>
      <w:r w:rsidR="00B347A0" w:rsidRPr="003519EC">
        <w:t xml:space="preserve">a </w:t>
      </w:r>
      <w:r w:rsidRPr="003519EC">
        <w:t>quick understanding of the environmental influences on SSE.</w:t>
      </w:r>
    </w:p>
    <w:p w14:paraId="74E555A6" w14:textId="24D62B84" w:rsidR="005D12BE" w:rsidRPr="003519EC" w:rsidRDefault="002C22D6" w:rsidP="009C627E">
      <w:pPr>
        <w:pStyle w:val="Heading2"/>
        <w:spacing w:line="360" w:lineRule="auto"/>
        <w:jc w:val="both"/>
        <w:rPr>
          <w:rFonts w:ascii="Times New Roman" w:hAnsi="Times New Roman" w:cs="Times New Roman"/>
          <w:b/>
          <w:bCs/>
        </w:rPr>
      </w:pPr>
      <w:bookmarkStart w:id="14" w:name="_Toc151511033"/>
      <w:r w:rsidRPr="003519EC">
        <w:rPr>
          <w:rFonts w:ascii="Times New Roman" w:hAnsi="Times New Roman" w:cs="Times New Roman"/>
          <w:b/>
          <w:bCs/>
        </w:rPr>
        <w:t>3</w:t>
      </w:r>
      <w:r w:rsidR="00622D1E" w:rsidRPr="003519EC">
        <w:rPr>
          <w:rFonts w:ascii="Times New Roman" w:hAnsi="Times New Roman" w:cs="Times New Roman"/>
          <w:b/>
          <w:bCs/>
        </w:rPr>
        <w:t xml:space="preserve">.1.6 </w:t>
      </w:r>
      <w:r w:rsidR="005D12BE" w:rsidRPr="003519EC">
        <w:rPr>
          <w:rFonts w:ascii="Times New Roman" w:hAnsi="Times New Roman" w:cs="Times New Roman"/>
          <w:b/>
          <w:bCs/>
        </w:rPr>
        <w:t>Legal Factors</w:t>
      </w:r>
      <w:bookmarkEnd w:id="14"/>
    </w:p>
    <w:p w14:paraId="1D13AB8E" w14:textId="7763A123" w:rsidR="005D12BE" w:rsidRPr="003519EC" w:rsidRDefault="005D12BE" w:rsidP="009C627E">
      <w:pPr>
        <w:spacing w:line="360" w:lineRule="auto"/>
        <w:jc w:val="both"/>
      </w:pPr>
      <w:r w:rsidRPr="003519EC">
        <w:t xml:space="preserve">Legal considerations go hand-in-hand with the environmental and political aspects but are distinct </w:t>
      </w:r>
      <w:r w:rsidR="00091EC3" w:rsidRPr="003519EC">
        <w:t>regarding</w:t>
      </w:r>
      <w:r w:rsidRPr="003519EC">
        <w:t xml:space="preserve"> compliance and governance. This includes emissions and environmental standards </w:t>
      </w:r>
      <w:r w:rsidR="00091EC3" w:rsidRPr="003519EC">
        <w:t>and</w:t>
      </w:r>
      <w:r w:rsidRPr="003519EC">
        <w:t xml:space="preserve"> extends to occupational safety standards, </w:t>
      </w:r>
      <w:r w:rsidR="00091EC3" w:rsidRPr="003519EC">
        <w:t>labour</w:t>
      </w:r>
      <w:r w:rsidRPr="003519EC">
        <w:t xml:space="preserve"> laws, and contractual obligations. Violations can result in penalties, legal action, and damage to brand reputation (IEA, 2021).</w:t>
      </w:r>
    </w:p>
    <w:p w14:paraId="09E5A622" w14:textId="60FBF0B1" w:rsidR="005D658D" w:rsidRPr="003519EC" w:rsidRDefault="005D658D" w:rsidP="009C627E">
      <w:pPr>
        <w:spacing w:line="360" w:lineRule="auto"/>
        <w:jc w:val="both"/>
        <w:rPr>
          <w:b/>
          <w:bCs/>
        </w:rPr>
      </w:pPr>
      <w:r w:rsidRPr="003519EC">
        <w:rPr>
          <w:b/>
          <w:bCs/>
        </w:rPr>
        <w:t>Table 6: Legal Factors Affecting SSE</w:t>
      </w:r>
    </w:p>
    <w:tbl>
      <w:tblPr>
        <w:tblStyle w:val="GridTable4-Accent1"/>
        <w:tblW w:w="9795" w:type="dxa"/>
        <w:tblLook w:val="04A0" w:firstRow="1" w:lastRow="0" w:firstColumn="1" w:lastColumn="0" w:noHBand="0" w:noVBand="1"/>
      </w:tblPr>
      <w:tblGrid>
        <w:gridCol w:w="2251"/>
        <w:gridCol w:w="2772"/>
        <w:gridCol w:w="2931"/>
        <w:gridCol w:w="1841"/>
      </w:tblGrid>
      <w:tr w:rsidR="005D658D" w:rsidRPr="003519EC" w14:paraId="5740C8B6" w14:textId="77777777" w:rsidTr="005D65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A231149" w14:textId="77777777" w:rsidR="005D658D" w:rsidRPr="003519EC" w:rsidRDefault="005D658D" w:rsidP="008E168D">
            <w:pPr>
              <w:spacing w:line="360" w:lineRule="auto"/>
              <w:jc w:val="center"/>
            </w:pPr>
            <w:r w:rsidRPr="003519EC">
              <w:t>Legal Factor</w:t>
            </w:r>
          </w:p>
        </w:tc>
        <w:tc>
          <w:tcPr>
            <w:tcW w:w="0" w:type="auto"/>
            <w:vAlign w:val="center"/>
            <w:hideMark/>
          </w:tcPr>
          <w:p w14:paraId="3E5AFA6E" w14:textId="77777777" w:rsidR="005D658D" w:rsidRPr="003519EC" w:rsidRDefault="005D658D"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Description</w:t>
            </w:r>
          </w:p>
        </w:tc>
        <w:tc>
          <w:tcPr>
            <w:tcW w:w="0" w:type="auto"/>
            <w:vAlign w:val="center"/>
            <w:hideMark/>
          </w:tcPr>
          <w:p w14:paraId="434630CB" w14:textId="77777777" w:rsidR="005D658D" w:rsidRPr="003519EC" w:rsidRDefault="005D658D"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vAlign w:val="center"/>
            <w:hideMark/>
          </w:tcPr>
          <w:p w14:paraId="76CAA59F" w14:textId="77777777" w:rsidR="005D658D" w:rsidRPr="003519EC" w:rsidRDefault="005D658D"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5D658D" w:rsidRPr="003519EC" w14:paraId="76767A3B"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B60C302" w14:textId="77777777" w:rsidR="005D658D" w:rsidRPr="003519EC" w:rsidRDefault="005D658D" w:rsidP="006F5257">
            <w:pPr>
              <w:spacing w:line="360" w:lineRule="auto"/>
            </w:pPr>
            <w:r w:rsidRPr="003519EC">
              <w:t>Emissions and Environmental Standards</w:t>
            </w:r>
          </w:p>
        </w:tc>
        <w:tc>
          <w:tcPr>
            <w:tcW w:w="0" w:type="auto"/>
            <w:vAlign w:val="center"/>
            <w:hideMark/>
          </w:tcPr>
          <w:p w14:paraId="7A261C35"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Laws governing the allowable level of emissions and environmental compliance</w:t>
            </w:r>
          </w:p>
        </w:tc>
        <w:tc>
          <w:tcPr>
            <w:tcW w:w="0" w:type="auto"/>
            <w:vAlign w:val="center"/>
            <w:hideMark/>
          </w:tcPr>
          <w:p w14:paraId="23152075"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Non-compliance could result in financial penalties, legal action, and damage to reputation</w:t>
            </w:r>
          </w:p>
        </w:tc>
        <w:tc>
          <w:tcPr>
            <w:tcW w:w="0" w:type="auto"/>
            <w:vAlign w:val="center"/>
            <w:hideMark/>
          </w:tcPr>
          <w:p w14:paraId="7C8ADE13" w14:textId="710E55B1" w:rsidR="005D658D" w:rsidRPr="003519EC" w:rsidRDefault="00995191"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(Environment Agency, 2022)</w:t>
            </w:r>
          </w:p>
        </w:tc>
      </w:tr>
      <w:tr w:rsidR="005D658D" w:rsidRPr="003519EC" w14:paraId="6F16C848" w14:textId="77777777" w:rsidTr="005D658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3C28E3" w14:textId="77777777" w:rsidR="005D658D" w:rsidRPr="003519EC" w:rsidRDefault="005D658D" w:rsidP="006F5257">
            <w:pPr>
              <w:spacing w:line="360" w:lineRule="auto"/>
            </w:pPr>
            <w:r w:rsidRPr="003519EC">
              <w:t>Occupational Safety Standards</w:t>
            </w:r>
          </w:p>
        </w:tc>
        <w:tc>
          <w:tcPr>
            <w:tcW w:w="0" w:type="auto"/>
            <w:vAlign w:val="center"/>
            <w:hideMark/>
          </w:tcPr>
          <w:p w14:paraId="30F96542"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Regulations ensuring the safety and well-being of employees</w:t>
            </w:r>
          </w:p>
        </w:tc>
        <w:tc>
          <w:tcPr>
            <w:tcW w:w="0" w:type="auto"/>
            <w:vAlign w:val="center"/>
            <w:hideMark/>
          </w:tcPr>
          <w:p w14:paraId="6AAE51D1"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Failure to adhere could lead to legal repercussions and employee dissatisfaction</w:t>
            </w:r>
          </w:p>
        </w:tc>
        <w:tc>
          <w:tcPr>
            <w:tcW w:w="0" w:type="auto"/>
            <w:vAlign w:val="center"/>
            <w:hideMark/>
          </w:tcPr>
          <w:p w14:paraId="3C85ABA6" w14:textId="76184231" w:rsidR="005D658D" w:rsidRPr="003519EC" w:rsidRDefault="00995191"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(British Safety Council, 2023)</w:t>
            </w:r>
          </w:p>
        </w:tc>
      </w:tr>
      <w:tr w:rsidR="005D658D" w:rsidRPr="003519EC" w14:paraId="5A8BAA83"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0E6F36" w14:textId="77777777" w:rsidR="005D658D" w:rsidRPr="003519EC" w:rsidRDefault="005D658D" w:rsidP="006F5257">
            <w:pPr>
              <w:spacing w:line="360" w:lineRule="auto"/>
            </w:pPr>
            <w:r w:rsidRPr="003519EC">
              <w:t>Labour Laws</w:t>
            </w:r>
          </w:p>
        </w:tc>
        <w:tc>
          <w:tcPr>
            <w:tcW w:w="0" w:type="auto"/>
            <w:vAlign w:val="center"/>
            <w:hideMark/>
          </w:tcPr>
          <w:p w14:paraId="3CCD4A9A"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Laws regulating employment contracts, wages, and working conditions</w:t>
            </w:r>
          </w:p>
        </w:tc>
        <w:tc>
          <w:tcPr>
            <w:tcW w:w="0" w:type="auto"/>
            <w:vAlign w:val="center"/>
            <w:hideMark/>
          </w:tcPr>
          <w:p w14:paraId="2AB3C393"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Violations could result in legal penalties and strained relations with employees</w:t>
            </w:r>
          </w:p>
        </w:tc>
        <w:tc>
          <w:tcPr>
            <w:tcW w:w="0" w:type="auto"/>
            <w:vAlign w:val="center"/>
            <w:hideMark/>
          </w:tcPr>
          <w:p w14:paraId="4D6298C5" w14:textId="0BF10D95" w:rsidR="005D658D" w:rsidRPr="003519EC" w:rsidRDefault="00995191"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(GOV.</w:t>
            </w:r>
            <w:r w:rsidR="00677C02" w:rsidRPr="003519EC">
              <w:t xml:space="preserve"> </w:t>
            </w:r>
            <w:r w:rsidR="001000C6" w:rsidRPr="003519EC">
              <w:t>U.K.</w:t>
            </w:r>
            <w:r w:rsidRPr="003519EC">
              <w:t>, 2012)</w:t>
            </w:r>
          </w:p>
        </w:tc>
      </w:tr>
      <w:tr w:rsidR="005D658D" w:rsidRPr="003519EC" w14:paraId="2254256E" w14:textId="77777777" w:rsidTr="005D658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19417A" w14:textId="77777777" w:rsidR="005D658D" w:rsidRPr="003519EC" w:rsidRDefault="005D658D" w:rsidP="006F5257">
            <w:pPr>
              <w:spacing w:line="360" w:lineRule="auto"/>
            </w:pPr>
            <w:r w:rsidRPr="003519EC">
              <w:lastRenderedPageBreak/>
              <w:t>Contractual Obligations</w:t>
            </w:r>
          </w:p>
        </w:tc>
        <w:tc>
          <w:tcPr>
            <w:tcW w:w="0" w:type="auto"/>
            <w:vAlign w:val="center"/>
            <w:hideMark/>
          </w:tcPr>
          <w:p w14:paraId="52F1AFA6" w14:textId="35B24B9E"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Legal commitments within contracts</w:t>
            </w:r>
            <w:r w:rsidR="00B347A0" w:rsidRPr="003519EC">
              <w:t>,</w:t>
            </w:r>
            <w:r w:rsidRPr="003519EC">
              <w:t xml:space="preserve"> such as supply agreements</w:t>
            </w:r>
          </w:p>
        </w:tc>
        <w:tc>
          <w:tcPr>
            <w:tcW w:w="0" w:type="auto"/>
            <w:vAlign w:val="center"/>
            <w:hideMark/>
          </w:tcPr>
          <w:p w14:paraId="1CEC5457"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Breach of contracts could result in legal action and financial penalties</w:t>
            </w:r>
          </w:p>
        </w:tc>
        <w:tc>
          <w:tcPr>
            <w:tcW w:w="0" w:type="auto"/>
            <w:vAlign w:val="center"/>
            <w:hideMark/>
          </w:tcPr>
          <w:p w14:paraId="316C49B3" w14:textId="2D5B741E" w:rsidR="005D658D" w:rsidRPr="003519EC" w:rsidRDefault="00995191"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(WTO, 2023)</w:t>
            </w:r>
          </w:p>
        </w:tc>
      </w:tr>
      <w:tr w:rsidR="005D658D" w:rsidRPr="003519EC" w14:paraId="4A81C50F"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12CB8CB" w14:textId="77777777" w:rsidR="005D658D" w:rsidRPr="003519EC" w:rsidRDefault="005D658D" w:rsidP="006F5257">
            <w:pPr>
              <w:spacing w:line="360" w:lineRule="auto"/>
            </w:pPr>
            <w:r w:rsidRPr="003519EC">
              <w:t>Governance and Compliance</w:t>
            </w:r>
          </w:p>
        </w:tc>
        <w:tc>
          <w:tcPr>
            <w:tcW w:w="0" w:type="auto"/>
            <w:vAlign w:val="center"/>
            <w:hideMark/>
          </w:tcPr>
          <w:p w14:paraId="7BB9F053"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Regulations related to the company’s governance and compliance with laws</w:t>
            </w:r>
          </w:p>
        </w:tc>
        <w:tc>
          <w:tcPr>
            <w:tcW w:w="0" w:type="auto"/>
            <w:vAlign w:val="center"/>
            <w:hideMark/>
          </w:tcPr>
          <w:p w14:paraId="2745A347"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Non-compliance could lead to legal scrutiny and potential penalties</w:t>
            </w:r>
          </w:p>
        </w:tc>
        <w:tc>
          <w:tcPr>
            <w:tcW w:w="0" w:type="auto"/>
            <w:vAlign w:val="center"/>
            <w:hideMark/>
          </w:tcPr>
          <w:p w14:paraId="3595AFB0" w14:textId="040D9C76" w:rsidR="005D658D" w:rsidRPr="003519EC" w:rsidRDefault="002D600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(FRC, 2023)</w:t>
            </w:r>
          </w:p>
        </w:tc>
      </w:tr>
    </w:tbl>
    <w:p w14:paraId="6F71AD48" w14:textId="512AB32C" w:rsidR="005D658D" w:rsidRPr="003519EC" w:rsidRDefault="005D658D" w:rsidP="009C627E">
      <w:pPr>
        <w:spacing w:line="360" w:lineRule="auto"/>
        <w:jc w:val="both"/>
      </w:pPr>
    </w:p>
    <w:p w14:paraId="5DE2062C" w14:textId="75B699AA" w:rsidR="00E61E02" w:rsidRPr="003519EC" w:rsidRDefault="005D658D" w:rsidP="009C627E">
      <w:pPr>
        <w:spacing w:line="360" w:lineRule="auto"/>
        <w:jc w:val="both"/>
      </w:pPr>
      <w:r w:rsidRPr="003519EC">
        <w:t xml:space="preserve">This table </w:t>
      </w:r>
      <w:r w:rsidR="007A2173">
        <w:t>categorises</w:t>
      </w:r>
      <w:r w:rsidRPr="003519EC">
        <w:t xml:space="preserve"> the legal factors affecting SSE, providing a brief description of each, along with its implications for the company and the source of the information. This structured presentation allows for an easier understanding of the complex legal landscape </w:t>
      </w:r>
      <w:r w:rsidR="00B347A0" w:rsidRPr="003519EC">
        <w:t xml:space="preserve">within which </w:t>
      </w:r>
      <w:r w:rsidRPr="003519EC">
        <w:t>SSE operates.</w:t>
      </w:r>
    </w:p>
    <w:p w14:paraId="7619C2B6" w14:textId="0EA8D9CF" w:rsidR="006C4890" w:rsidRPr="003519EC" w:rsidRDefault="005D12BE" w:rsidP="009C627E">
      <w:pPr>
        <w:spacing w:line="360" w:lineRule="auto"/>
        <w:jc w:val="both"/>
      </w:pPr>
      <w:r w:rsidRPr="003519EC">
        <w:t xml:space="preserve">The PESTEL analysis reveals a challenging and volatile environment for SSE. Political, economic, social, technological, environmental, and legal factors exert considerable pressure on the </w:t>
      </w:r>
      <w:r w:rsidR="007A2173">
        <w:t>organisation</w:t>
      </w:r>
      <w:r w:rsidRPr="003519EC">
        <w:t xml:space="preserve">. While these challenges are significant, they also present opportunities for SSE to innovate, adapt, and lead the sector more </w:t>
      </w:r>
      <w:r w:rsidR="00091EC3" w:rsidRPr="003519EC">
        <w:t>sustainably</w:t>
      </w:r>
      <w:r w:rsidRPr="003519EC">
        <w:t xml:space="preserve">. The company must navigate this complex landscape carefully, balancing compliance with innovation and economic viability. Through agile strategic planning and focused execution, SSE has the potential </w:t>
      </w:r>
      <w:r w:rsidR="00091EC3" w:rsidRPr="003519EC">
        <w:t>to</w:t>
      </w:r>
      <w:r w:rsidRPr="003519EC">
        <w:t xml:space="preserve"> weather these multifaceted challenges </w:t>
      </w:r>
      <w:r w:rsidR="00091EC3" w:rsidRPr="003519EC">
        <w:t xml:space="preserve">and </w:t>
      </w:r>
      <w:r w:rsidRPr="003519EC">
        <w:t>thrive in the evolving energy landscape.</w:t>
      </w:r>
    </w:p>
    <w:p w14:paraId="6A368227" w14:textId="7C7077AF" w:rsidR="00AF4C0A" w:rsidRPr="003519EC" w:rsidRDefault="002C22D6" w:rsidP="008E168D">
      <w:pPr>
        <w:pStyle w:val="Heading1"/>
        <w:spacing w:line="360" w:lineRule="auto"/>
        <w:jc w:val="both"/>
        <w:rPr>
          <w:rFonts w:ascii="Times New Roman" w:hAnsi="Times New Roman" w:cs="Times New Roman"/>
          <w:b/>
          <w:bCs/>
          <w:sz w:val="28"/>
          <w:szCs w:val="28"/>
        </w:rPr>
      </w:pPr>
      <w:bookmarkStart w:id="15" w:name="_Toc151511034"/>
      <w:r w:rsidRPr="003519EC">
        <w:rPr>
          <w:rFonts w:ascii="Times New Roman" w:hAnsi="Times New Roman" w:cs="Times New Roman"/>
          <w:b/>
          <w:bCs/>
          <w:sz w:val="28"/>
          <w:szCs w:val="28"/>
        </w:rPr>
        <w:t>3</w:t>
      </w:r>
      <w:r w:rsidR="00AF4C0A" w:rsidRPr="003519EC">
        <w:rPr>
          <w:rFonts w:ascii="Times New Roman" w:hAnsi="Times New Roman" w:cs="Times New Roman"/>
          <w:b/>
          <w:bCs/>
          <w:sz w:val="28"/>
          <w:szCs w:val="28"/>
        </w:rPr>
        <w:t>.</w:t>
      </w:r>
      <w:r w:rsidR="00012B04" w:rsidRPr="003519EC">
        <w:rPr>
          <w:rFonts w:ascii="Times New Roman" w:hAnsi="Times New Roman" w:cs="Times New Roman"/>
          <w:b/>
          <w:bCs/>
          <w:sz w:val="28"/>
          <w:szCs w:val="28"/>
        </w:rPr>
        <w:t xml:space="preserve">2 </w:t>
      </w:r>
      <w:r w:rsidR="00AF4C0A" w:rsidRPr="003519EC">
        <w:rPr>
          <w:rFonts w:ascii="Times New Roman" w:hAnsi="Times New Roman" w:cs="Times New Roman"/>
          <w:b/>
          <w:bCs/>
          <w:sz w:val="28"/>
          <w:szCs w:val="28"/>
        </w:rPr>
        <w:t>Economic Factors in PESTEL Analysis: A Critical Assessment of Macro-economic Indicators</w:t>
      </w:r>
      <w:bookmarkEnd w:id="15"/>
    </w:p>
    <w:p w14:paraId="6AF9B75E" w14:textId="7021E0EA" w:rsidR="00223ACF" w:rsidRPr="003519EC" w:rsidRDefault="00CA3B1A" w:rsidP="001E4AA7">
      <w:pPr>
        <w:spacing w:line="360" w:lineRule="auto"/>
        <w:jc w:val="both"/>
      </w:pPr>
      <w:r w:rsidRPr="003519EC">
        <w:t>Macroeconomic performance indicators are crucial when</w:t>
      </w:r>
      <w:r w:rsidR="00223ACF" w:rsidRPr="003519EC">
        <w:t xml:space="preserve"> dissecting the economic landscape using the PESTEL framework. For Southern and Scottish Energy (SSE), these markers offer valuable insights for strategic planning and risk mitigation.</w:t>
      </w:r>
    </w:p>
    <w:p w14:paraId="08FC8E6F" w14:textId="77777777" w:rsidR="00223ACF" w:rsidRPr="003519EC" w:rsidRDefault="00223ACF" w:rsidP="001E4AA7">
      <w:pPr>
        <w:spacing w:line="360" w:lineRule="auto"/>
        <w:jc w:val="both"/>
        <w:rPr>
          <w:b/>
          <w:bCs/>
        </w:rPr>
      </w:pPr>
      <w:r w:rsidRPr="003519EC">
        <w:rPr>
          <w:b/>
          <w:bCs/>
        </w:rPr>
        <w:t>1. Gross Domestic Product (GDP)</w:t>
      </w:r>
    </w:p>
    <w:p w14:paraId="5BF0E069" w14:textId="331A339D" w:rsidR="00223ACF" w:rsidRPr="003519EC" w:rsidRDefault="00223ACF" w:rsidP="001E4AA7">
      <w:pPr>
        <w:spacing w:line="360" w:lineRule="auto"/>
        <w:jc w:val="both"/>
      </w:pPr>
      <w:r w:rsidRPr="003519EC">
        <w:t xml:space="preserve">As of 2022, the </w:t>
      </w:r>
      <w:r w:rsidR="001000C6" w:rsidRPr="003519EC">
        <w:t>U.K.'s</w:t>
      </w:r>
      <w:r w:rsidRPr="003519EC">
        <w:t xml:space="preserve"> GDP grew by 1.8% </w:t>
      </w:r>
      <w:r w:rsidR="00CE1073" w:rsidRPr="003519EC">
        <w:t xml:space="preserve">(Graham, 2023). </w:t>
      </w:r>
      <w:r w:rsidRPr="003519EC">
        <w:t>A growing GDP generally signals a rise in energy consumption, providing growth avenues for SSE. However, a recession would lead to cutbacks in renewable energy subsidies, impacting SSE negatively.</w:t>
      </w:r>
    </w:p>
    <w:p w14:paraId="42DDFCCD" w14:textId="77777777" w:rsidR="00223ACF" w:rsidRPr="003519EC" w:rsidRDefault="00223ACF" w:rsidP="001E4AA7">
      <w:pPr>
        <w:spacing w:line="360" w:lineRule="auto"/>
        <w:jc w:val="both"/>
        <w:rPr>
          <w:b/>
          <w:bCs/>
        </w:rPr>
      </w:pPr>
      <w:r w:rsidRPr="003519EC">
        <w:rPr>
          <w:b/>
          <w:bCs/>
        </w:rPr>
        <w:t>2. Inflation Rates</w:t>
      </w:r>
    </w:p>
    <w:p w14:paraId="59382A73" w14:textId="5DFE9AAA" w:rsidR="00223ACF" w:rsidRPr="003519EC" w:rsidRDefault="00223ACF" w:rsidP="001E4AA7">
      <w:pPr>
        <w:spacing w:line="360" w:lineRule="auto"/>
        <w:jc w:val="both"/>
      </w:pPr>
      <w:r w:rsidRPr="003519EC">
        <w:t xml:space="preserve">The inflation rate in the </w:t>
      </w:r>
      <w:r w:rsidR="001000C6" w:rsidRPr="003519EC">
        <w:t>U.K.</w:t>
      </w:r>
      <w:r w:rsidRPr="003519EC">
        <w:t xml:space="preserve"> stands at around 2.5% </w:t>
      </w:r>
      <w:r w:rsidR="00CE1073" w:rsidRPr="003519EC">
        <w:t xml:space="preserve">(Gooding, 2023). </w:t>
      </w:r>
      <w:r w:rsidRPr="003519EC">
        <w:t xml:space="preserve">Inflation impacts the cost of goods and services, including </w:t>
      </w:r>
      <w:r w:rsidR="00CA3B1A" w:rsidRPr="003519EC">
        <w:t>SSE's</w:t>
      </w:r>
      <w:r w:rsidRPr="003519EC">
        <w:t xml:space="preserve"> operational expenses</w:t>
      </w:r>
      <w:r w:rsidR="00FD1991" w:rsidRPr="003519EC">
        <w:t>.</w:t>
      </w:r>
    </w:p>
    <w:p w14:paraId="5AC15FC8" w14:textId="77777777" w:rsidR="00223ACF" w:rsidRPr="003519EC" w:rsidRDefault="00223ACF" w:rsidP="009C627E">
      <w:pPr>
        <w:spacing w:line="360" w:lineRule="auto"/>
        <w:jc w:val="both"/>
        <w:rPr>
          <w:b/>
          <w:bCs/>
        </w:rPr>
      </w:pPr>
      <w:r w:rsidRPr="003519EC">
        <w:rPr>
          <w:b/>
          <w:bCs/>
        </w:rPr>
        <w:t>3. Interest Rates</w:t>
      </w:r>
    </w:p>
    <w:p w14:paraId="47846BF9" w14:textId="72B7013C" w:rsidR="00223ACF" w:rsidRPr="003519EC" w:rsidRDefault="00223ACF" w:rsidP="009C627E">
      <w:pPr>
        <w:spacing w:line="360" w:lineRule="auto"/>
        <w:jc w:val="both"/>
      </w:pPr>
      <w:r w:rsidRPr="003519EC">
        <w:t xml:space="preserve">The Bank of England's interest rate is currently 0.5% (BoE, 2022). </w:t>
      </w:r>
      <w:r w:rsidR="00AC3375">
        <w:t>Low-interest</w:t>
      </w:r>
      <w:r w:rsidRPr="003519EC">
        <w:t xml:space="preserve"> rates can boost investments in infrastructure and technology for SSE.</w:t>
      </w:r>
    </w:p>
    <w:p w14:paraId="3E2F1403" w14:textId="77777777" w:rsidR="00223ACF" w:rsidRPr="003519EC" w:rsidRDefault="00223ACF" w:rsidP="009C627E">
      <w:pPr>
        <w:spacing w:line="360" w:lineRule="auto"/>
        <w:jc w:val="both"/>
        <w:rPr>
          <w:b/>
          <w:bCs/>
        </w:rPr>
      </w:pPr>
      <w:r w:rsidRPr="003519EC">
        <w:rPr>
          <w:b/>
          <w:bCs/>
        </w:rPr>
        <w:lastRenderedPageBreak/>
        <w:t>4. Currency Fluctuations</w:t>
      </w:r>
    </w:p>
    <w:p w14:paraId="2F1F87CA" w14:textId="4FC53718" w:rsidR="00223ACF" w:rsidRPr="003519EC" w:rsidRDefault="00223ACF" w:rsidP="009C627E">
      <w:pPr>
        <w:spacing w:line="360" w:lineRule="auto"/>
        <w:jc w:val="both"/>
      </w:pPr>
      <w:r w:rsidRPr="003519EC">
        <w:t xml:space="preserve">The pound sterling has depreciated against the dollar by 1.5% last year </w:t>
      </w:r>
      <w:r w:rsidR="00CE1073" w:rsidRPr="003519EC">
        <w:t xml:space="preserve">(Forbes, 2022). </w:t>
      </w:r>
      <w:r w:rsidRPr="003519EC">
        <w:t>Currency value directly affects SSE's operational costs in international ventures.</w:t>
      </w:r>
    </w:p>
    <w:p w14:paraId="67A91BE9" w14:textId="77777777" w:rsidR="00223ACF" w:rsidRPr="003519EC" w:rsidRDefault="00223ACF" w:rsidP="009C627E">
      <w:pPr>
        <w:spacing w:line="360" w:lineRule="auto"/>
        <w:jc w:val="both"/>
        <w:rPr>
          <w:b/>
          <w:bCs/>
        </w:rPr>
      </w:pPr>
      <w:r w:rsidRPr="003519EC">
        <w:rPr>
          <w:b/>
          <w:bCs/>
        </w:rPr>
        <w:t>5. Unemployment Rates</w:t>
      </w:r>
    </w:p>
    <w:p w14:paraId="5DA09714" w14:textId="5342AD05" w:rsidR="00223ACF" w:rsidRPr="003519EC" w:rsidRDefault="00223ACF" w:rsidP="009C627E">
      <w:pPr>
        <w:spacing w:line="360" w:lineRule="auto"/>
        <w:jc w:val="both"/>
      </w:pPr>
      <w:r w:rsidRPr="003519EC">
        <w:t xml:space="preserve">The </w:t>
      </w:r>
      <w:r w:rsidR="001000C6" w:rsidRPr="003519EC">
        <w:t>U.K.’s</w:t>
      </w:r>
      <w:r w:rsidRPr="003519EC">
        <w:t xml:space="preserve"> unemployment rate </w:t>
      </w:r>
      <w:r w:rsidR="00CA3B1A" w:rsidRPr="003519EC">
        <w:t>is</w:t>
      </w:r>
      <w:r w:rsidRPr="003519EC">
        <w:t xml:space="preserve"> 4.2% (ONS, 2022). Low unemployment rates imply higher disposable income and a probable increase in energy demand, benefiting SSE.</w:t>
      </w:r>
    </w:p>
    <w:p w14:paraId="74D0C782" w14:textId="77777777" w:rsidR="00223ACF" w:rsidRPr="003519EC" w:rsidRDefault="00223ACF" w:rsidP="009C627E">
      <w:pPr>
        <w:spacing w:line="360" w:lineRule="auto"/>
        <w:jc w:val="both"/>
        <w:rPr>
          <w:b/>
          <w:bCs/>
        </w:rPr>
      </w:pPr>
      <w:r w:rsidRPr="003519EC">
        <w:rPr>
          <w:b/>
          <w:bCs/>
        </w:rPr>
        <w:t>6. Global Energy Trends</w:t>
      </w:r>
    </w:p>
    <w:p w14:paraId="0882BFFD" w14:textId="0B30DFBA" w:rsidR="00223ACF" w:rsidRPr="003519EC" w:rsidRDefault="00223ACF" w:rsidP="009C627E">
      <w:pPr>
        <w:spacing w:line="360" w:lineRule="auto"/>
        <w:jc w:val="both"/>
      </w:pPr>
      <w:r w:rsidRPr="003519EC">
        <w:t xml:space="preserve">Global oil prices have seen a 20% increase </w:t>
      </w:r>
      <w:r w:rsidR="00CE1073" w:rsidRPr="003519EC">
        <w:t>(World Bank Group, 2022)</w:t>
      </w:r>
      <w:r w:rsidR="00677C02" w:rsidRPr="003519EC">
        <w:t>,</w:t>
      </w:r>
      <w:r w:rsidR="00CE1073" w:rsidRPr="003519EC">
        <w:t xml:space="preserve"> </w:t>
      </w:r>
      <w:r w:rsidRPr="003519EC">
        <w:t xml:space="preserve">making renewable energy solutions more attractive, a trend SSE can </w:t>
      </w:r>
      <w:r w:rsidR="007A2173">
        <w:t>capitalise</w:t>
      </w:r>
      <w:r w:rsidRPr="003519EC">
        <w:t xml:space="preserve"> on.</w:t>
      </w:r>
    </w:p>
    <w:p w14:paraId="1B0C06D5" w14:textId="77777777" w:rsidR="00223ACF" w:rsidRPr="003519EC" w:rsidRDefault="00223ACF" w:rsidP="009C627E">
      <w:pPr>
        <w:spacing w:line="360" w:lineRule="auto"/>
        <w:jc w:val="both"/>
        <w:rPr>
          <w:b/>
          <w:bCs/>
        </w:rPr>
      </w:pPr>
      <w:r w:rsidRPr="003519EC">
        <w:rPr>
          <w:b/>
          <w:bCs/>
        </w:rPr>
        <w:t>7. Economic Policies</w:t>
      </w:r>
    </w:p>
    <w:p w14:paraId="376EDC84" w14:textId="219CF4A9" w:rsidR="00223ACF" w:rsidRPr="003519EC" w:rsidRDefault="00223ACF" w:rsidP="009C627E">
      <w:pPr>
        <w:spacing w:line="360" w:lineRule="auto"/>
        <w:jc w:val="both"/>
      </w:pPr>
      <w:r w:rsidRPr="003519EC">
        <w:t xml:space="preserve">Brexit has led to a 5% increase in trade tariffs with </w:t>
      </w:r>
      <w:r w:rsidR="001000C6" w:rsidRPr="003519EC">
        <w:t>E.U.</w:t>
      </w:r>
      <w:r w:rsidRPr="003519EC">
        <w:t xml:space="preserve"> countries </w:t>
      </w:r>
      <w:r w:rsidR="00CE1073" w:rsidRPr="003519EC">
        <w:t xml:space="preserve">(Spital and van Aerssen, 2023), </w:t>
      </w:r>
      <w:r w:rsidRPr="003519EC">
        <w:t>affecting the cost structure for SSE's operations in Europe.</w:t>
      </w:r>
    </w:p>
    <w:p w14:paraId="330E8434" w14:textId="77777777" w:rsidR="00223ACF" w:rsidRPr="003519EC" w:rsidRDefault="00223ACF" w:rsidP="009C627E">
      <w:pPr>
        <w:spacing w:line="360" w:lineRule="auto"/>
        <w:jc w:val="both"/>
        <w:rPr>
          <w:b/>
          <w:bCs/>
        </w:rPr>
      </w:pPr>
      <w:r w:rsidRPr="003519EC">
        <w:rPr>
          <w:b/>
          <w:bCs/>
        </w:rPr>
        <w:t>8. Industry-specific Indicators</w:t>
      </w:r>
    </w:p>
    <w:p w14:paraId="4325D944" w14:textId="6E2ED440" w:rsidR="00AF4C0A" w:rsidRPr="003519EC" w:rsidRDefault="00223ACF" w:rsidP="009C627E">
      <w:pPr>
        <w:spacing w:line="360" w:lineRule="auto"/>
        <w:jc w:val="both"/>
      </w:pPr>
      <w:r w:rsidRPr="003519EC">
        <w:t>The cost of solar technology has fallen by 22% in the last two years (IEA, 2022). This decline affects SSE's decisions on investment in renewable technologies.</w:t>
      </w:r>
    </w:p>
    <w:p w14:paraId="76A0B7CA" w14:textId="2DC30D85" w:rsidR="00AA5DA2" w:rsidRPr="003519EC" w:rsidRDefault="00AA5DA2" w:rsidP="009C627E">
      <w:pPr>
        <w:spacing w:line="360" w:lineRule="auto"/>
        <w:jc w:val="both"/>
        <w:rPr>
          <w:b/>
          <w:bCs/>
        </w:rPr>
      </w:pPr>
      <w:r w:rsidRPr="003519EC">
        <w:rPr>
          <w:b/>
          <w:bCs/>
        </w:rPr>
        <w:t>Table 7: Economic Indicators Affecting SSE</w:t>
      </w:r>
    </w:p>
    <w:tbl>
      <w:tblPr>
        <w:tblStyle w:val="GridTable4-Accent1"/>
        <w:tblW w:w="9795" w:type="dxa"/>
        <w:tblLook w:val="04A0" w:firstRow="1" w:lastRow="0" w:firstColumn="1" w:lastColumn="0" w:noHBand="0" w:noVBand="1"/>
      </w:tblPr>
      <w:tblGrid>
        <w:gridCol w:w="2092"/>
        <w:gridCol w:w="2475"/>
        <w:gridCol w:w="3666"/>
        <w:gridCol w:w="1562"/>
      </w:tblGrid>
      <w:tr w:rsidR="00AA5DA2" w:rsidRPr="003519EC" w14:paraId="5A6F0F88" w14:textId="77777777" w:rsidTr="00AA5D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EB7BA5F" w14:textId="77777777" w:rsidR="00AA5DA2" w:rsidRPr="003519EC" w:rsidRDefault="00AA5DA2" w:rsidP="008E168D">
            <w:pPr>
              <w:spacing w:line="360" w:lineRule="auto"/>
              <w:jc w:val="center"/>
            </w:pPr>
            <w:r w:rsidRPr="003519EC">
              <w:t>Economic Indicator</w:t>
            </w:r>
          </w:p>
        </w:tc>
        <w:tc>
          <w:tcPr>
            <w:tcW w:w="0" w:type="auto"/>
            <w:vAlign w:val="center"/>
            <w:hideMark/>
          </w:tcPr>
          <w:p w14:paraId="397576E6" w14:textId="77777777" w:rsidR="00AA5DA2" w:rsidRPr="003519EC" w:rsidRDefault="00AA5DA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Current Status</w:t>
            </w:r>
          </w:p>
        </w:tc>
        <w:tc>
          <w:tcPr>
            <w:tcW w:w="0" w:type="auto"/>
            <w:vAlign w:val="center"/>
            <w:hideMark/>
          </w:tcPr>
          <w:p w14:paraId="6A5F2BB8" w14:textId="77777777" w:rsidR="00AA5DA2" w:rsidRPr="003519EC" w:rsidRDefault="00AA5DA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vAlign w:val="center"/>
            <w:hideMark/>
          </w:tcPr>
          <w:p w14:paraId="601D2DB3" w14:textId="77777777" w:rsidR="00AA5DA2" w:rsidRPr="003519EC" w:rsidRDefault="00AA5DA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AA5DA2" w:rsidRPr="003519EC" w14:paraId="74DF2275" w14:textId="77777777" w:rsidTr="00AA5D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1B3B6A2" w14:textId="77777777" w:rsidR="00AA5DA2" w:rsidRPr="003519EC" w:rsidRDefault="00AA5DA2" w:rsidP="006F5257">
            <w:pPr>
              <w:spacing w:line="360" w:lineRule="auto"/>
            </w:pPr>
            <w:r w:rsidRPr="003519EC">
              <w:t>Gross Domestic Product (GDP)</w:t>
            </w:r>
          </w:p>
        </w:tc>
        <w:tc>
          <w:tcPr>
            <w:tcW w:w="0" w:type="auto"/>
            <w:vAlign w:val="center"/>
            <w:hideMark/>
          </w:tcPr>
          <w:p w14:paraId="16726A14" w14:textId="6F33484F" w:rsidR="00AA5DA2" w:rsidRPr="003519EC" w:rsidRDefault="001000C6"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U.K.'s</w:t>
            </w:r>
            <w:r w:rsidR="00AA5DA2" w:rsidRPr="003519EC">
              <w:t xml:space="preserve"> GDP grew by </w:t>
            </w:r>
            <w:r w:rsidR="00F53638" w:rsidRPr="003519EC">
              <w:t>4.1</w:t>
            </w:r>
            <w:r w:rsidR="00AA5DA2" w:rsidRPr="003519EC">
              <w:t>% in 2022</w:t>
            </w:r>
          </w:p>
        </w:tc>
        <w:tc>
          <w:tcPr>
            <w:tcW w:w="0" w:type="auto"/>
            <w:vAlign w:val="center"/>
            <w:hideMark/>
          </w:tcPr>
          <w:p w14:paraId="3E5C3318" w14:textId="77777777" w:rsidR="00AA5DA2" w:rsidRPr="003519EC" w:rsidRDefault="00AA5DA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Positive GDP growth could lead to increased energy demand, offering growth opportunities. A recession could impact subsidies.</w:t>
            </w:r>
          </w:p>
        </w:tc>
        <w:tc>
          <w:tcPr>
            <w:tcW w:w="0" w:type="auto"/>
            <w:vAlign w:val="center"/>
            <w:hideMark/>
          </w:tcPr>
          <w:p w14:paraId="7220F18A" w14:textId="4D3A8A45" w:rsidR="00AA5DA2" w:rsidRPr="003519EC" w:rsidRDefault="005C2929"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(Graham, 2023)</w:t>
            </w:r>
          </w:p>
        </w:tc>
      </w:tr>
      <w:tr w:rsidR="00AA5DA2" w:rsidRPr="003519EC" w14:paraId="4F5B6E41" w14:textId="77777777" w:rsidTr="00AA5DA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F39CEED" w14:textId="77777777" w:rsidR="00AA5DA2" w:rsidRPr="003519EC" w:rsidRDefault="00AA5DA2" w:rsidP="006F5257">
            <w:pPr>
              <w:spacing w:line="360" w:lineRule="auto"/>
            </w:pPr>
            <w:r w:rsidRPr="003519EC">
              <w:t>Inflation Rates</w:t>
            </w:r>
          </w:p>
        </w:tc>
        <w:tc>
          <w:tcPr>
            <w:tcW w:w="0" w:type="auto"/>
            <w:vAlign w:val="center"/>
            <w:hideMark/>
          </w:tcPr>
          <w:p w14:paraId="57C42DA4" w14:textId="02F7FD0A" w:rsidR="00AA5DA2" w:rsidRPr="003519EC" w:rsidRDefault="001000C6"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U.K.</w:t>
            </w:r>
            <w:r w:rsidR="00AA5DA2" w:rsidRPr="003519EC">
              <w:t xml:space="preserve"> inflation rate at around </w:t>
            </w:r>
            <w:r w:rsidR="00F53638" w:rsidRPr="003519EC">
              <w:t>6.7</w:t>
            </w:r>
            <w:r w:rsidR="00AA5DA2" w:rsidRPr="003519EC">
              <w:t>%</w:t>
            </w:r>
            <w:r w:rsidR="00F53638" w:rsidRPr="003519EC">
              <w:t xml:space="preserve"> (August 2023)</w:t>
            </w:r>
          </w:p>
        </w:tc>
        <w:tc>
          <w:tcPr>
            <w:tcW w:w="0" w:type="auto"/>
            <w:vAlign w:val="center"/>
            <w:hideMark/>
          </w:tcPr>
          <w:p w14:paraId="1C17DABA" w14:textId="77777777" w:rsidR="00AA5DA2" w:rsidRPr="003519EC" w:rsidRDefault="00AA5DA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Increased operational costs due to higher prices for goods and services</w:t>
            </w:r>
          </w:p>
        </w:tc>
        <w:tc>
          <w:tcPr>
            <w:tcW w:w="0" w:type="auto"/>
            <w:vAlign w:val="center"/>
            <w:hideMark/>
          </w:tcPr>
          <w:p w14:paraId="5A2EC57F" w14:textId="2A05AF10" w:rsidR="00AA5DA2" w:rsidRPr="003519EC" w:rsidRDefault="005C2929"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(Gooding, 2023)</w:t>
            </w:r>
          </w:p>
        </w:tc>
      </w:tr>
      <w:tr w:rsidR="00AA5DA2" w:rsidRPr="003519EC" w14:paraId="4DEFC37E" w14:textId="77777777" w:rsidTr="00AA5D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1A19AA5" w14:textId="77777777" w:rsidR="00AA5DA2" w:rsidRPr="003519EC" w:rsidRDefault="00AA5DA2" w:rsidP="006F5257">
            <w:pPr>
              <w:spacing w:line="360" w:lineRule="auto"/>
            </w:pPr>
            <w:r w:rsidRPr="003519EC">
              <w:t>Interest Rates</w:t>
            </w:r>
          </w:p>
        </w:tc>
        <w:tc>
          <w:tcPr>
            <w:tcW w:w="0" w:type="auto"/>
            <w:vAlign w:val="center"/>
            <w:hideMark/>
          </w:tcPr>
          <w:p w14:paraId="2FB6560D" w14:textId="2D394ABF" w:rsidR="00AA5DA2" w:rsidRPr="003519EC" w:rsidRDefault="00AA5DA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 xml:space="preserve">Bank of England interest rate at </w:t>
            </w:r>
            <w:r w:rsidR="00F53638" w:rsidRPr="003519EC">
              <w:t>5.2</w:t>
            </w:r>
            <w:r w:rsidRPr="003519EC">
              <w:t>5%</w:t>
            </w:r>
          </w:p>
        </w:tc>
        <w:tc>
          <w:tcPr>
            <w:tcW w:w="0" w:type="auto"/>
            <w:vAlign w:val="center"/>
            <w:hideMark/>
          </w:tcPr>
          <w:p w14:paraId="01100DB7" w14:textId="1FCF3BE8" w:rsidR="00AA5DA2" w:rsidRPr="003519EC" w:rsidRDefault="00AC3375" w:rsidP="006F5257">
            <w:pPr>
              <w:spacing w:line="360" w:lineRule="auto"/>
              <w:cnfStyle w:val="000000100000" w:firstRow="0" w:lastRow="0" w:firstColumn="0" w:lastColumn="0" w:oddVBand="0" w:evenVBand="0" w:oddHBand="1" w:evenHBand="0" w:firstRowFirstColumn="0" w:firstRowLastColumn="0" w:lastRowFirstColumn="0" w:lastRowLastColumn="0"/>
            </w:pPr>
            <w:r>
              <w:t>Low interest</w:t>
            </w:r>
            <w:r w:rsidR="00AA5DA2" w:rsidRPr="003519EC">
              <w:t xml:space="preserve"> rates may encourage further investment in infrastructure and technology</w:t>
            </w:r>
          </w:p>
        </w:tc>
        <w:tc>
          <w:tcPr>
            <w:tcW w:w="0" w:type="auto"/>
            <w:vAlign w:val="center"/>
            <w:hideMark/>
          </w:tcPr>
          <w:p w14:paraId="5FEACE0D" w14:textId="75DA4FDA" w:rsidR="00AA5DA2" w:rsidRPr="003519EC" w:rsidRDefault="005C2929"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(BoE, 2023)</w:t>
            </w:r>
          </w:p>
        </w:tc>
      </w:tr>
      <w:tr w:rsidR="00AA5DA2" w:rsidRPr="003519EC" w14:paraId="55EAAD22" w14:textId="77777777" w:rsidTr="00AA5DA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22BA2A7" w14:textId="77777777" w:rsidR="00AA5DA2" w:rsidRPr="003519EC" w:rsidRDefault="00AA5DA2" w:rsidP="006F5257">
            <w:pPr>
              <w:spacing w:line="360" w:lineRule="auto"/>
            </w:pPr>
            <w:r w:rsidRPr="003519EC">
              <w:t>Currency Fluctuations</w:t>
            </w:r>
          </w:p>
        </w:tc>
        <w:tc>
          <w:tcPr>
            <w:tcW w:w="0" w:type="auto"/>
            <w:vAlign w:val="center"/>
            <w:hideMark/>
          </w:tcPr>
          <w:p w14:paraId="5F0B8708" w14:textId="77777777" w:rsidR="00AA5DA2" w:rsidRPr="003519EC" w:rsidRDefault="00AA5DA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Pound sterling depreciated against the dollar by 1.5%</w:t>
            </w:r>
          </w:p>
        </w:tc>
        <w:tc>
          <w:tcPr>
            <w:tcW w:w="0" w:type="auto"/>
            <w:vAlign w:val="center"/>
            <w:hideMark/>
          </w:tcPr>
          <w:p w14:paraId="584817BF" w14:textId="77777777" w:rsidR="00AA5DA2" w:rsidRPr="003519EC" w:rsidRDefault="00AA5DA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Could increase operational costs for international ventures</w:t>
            </w:r>
          </w:p>
        </w:tc>
        <w:tc>
          <w:tcPr>
            <w:tcW w:w="0" w:type="auto"/>
            <w:vAlign w:val="center"/>
            <w:hideMark/>
          </w:tcPr>
          <w:p w14:paraId="60C3E30F" w14:textId="00A9AA73" w:rsidR="00AA5DA2" w:rsidRPr="003519EC" w:rsidRDefault="005C2929"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(Forbes, 2022)</w:t>
            </w:r>
          </w:p>
        </w:tc>
      </w:tr>
      <w:tr w:rsidR="00AA5DA2" w:rsidRPr="003519EC" w14:paraId="6790807D" w14:textId="77777777" w:rsidTr="00AA5D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700E6C4" w14:textId="77777777" w:rsidR="00AA5DA2" w:rsidRPr="003519EC" w:rsidRDefault="00AA5DA2" w:rsidP="006F5257">
            <w:pPr>
              <w:spacing w:line="360" w:lineRule="auto"/>
            </w:pPr>
            <w:r w:rsidRPr="003519EC">
              <w:lastRenderedPageBreak/>
              <w:t>Unemployment Rates</w:t>
            </w:r>
          </w:p>
        </w:tc>
        <w:tc>
          <w:tcPr>
            <w:tcW w:w="0" w:type="auto"/>
            <w:vAlign w:val="center"/>
            <w:hideMark/>
          </w:tcPr>
          <w:p w14:paraId="68A1B8E1" w14:textId="36DD2045" w:rsidR="00AA5DA2" w:rsidRPr="003519EC" w:rsidRDefault="001000C6"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U.K.</w:t>
            </w:r>
            <w:r w:rsidR="00AA5DA2" w:rsidRPr="003519EC">
              <w:t xml:space="preserve"> unemployment rate is at 4.</w:t>
            </w:r>
            <w:r w:rsidR="00711B28" w:rsidRPr="003519EC">
              <w:t>3</w:t>
            </w:r>
            <w:r w:rsidR="00AA5DA2" w:rsidRPr="003519EC">
              <w:t>%</w:t>
            </w:r>
            <w:r w:rsidR="00711B28" w:rsidRPr="003519EC">
              <w:t xml:space="preserve"> (May-July 2023)</w:t>
            </w:r>
          </w:p>
        </w:tc>
        <w:tc>
          <w:tcPr>
            <w:tcW w:w="0" w:type="auto"/>
            <w:vAlign w:val="center"/>
            <w:hideMark/>
          </w:tcPr>
          <w:p w14:paraId="1F3E7B1D" w14:textId="77777777" w:rsidR="00AA5DA2" w:rsidRPr="003519EC" w:rsidRDefault="00AA5DA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Lower unemployment could mean higher disposable income and increased energy demand</w:t>
            </w:r>
          </w:p>
        </w:tc>
        <w:tc>
          <w:tcPr>
            <w:tcW w:w="0" w:type="auto"/>
            <w:vAlign w:val="center"/>
            <w:hideMark/>
          </w:tcPr>
          <w:p w14:paraId="3B05C62D" w14:textId="698772AF" w:rsidR="00AA5DA2" w:rsidRPr="003519EC" w:rsidRDefault="005C2929"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(ONS, 2023)</w:t>
            </w:r>
          </w:p>
        </w:tc>
      </w:tr>
      <w:tr w:rsidR="00AA5DA2" w:rsidRPr="003519EC" w14:paraId="46F7928D" w14:textId="77777777" w:rsidTr="00AA5DA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D9E3AF1" w14:textId="77777777" w:rsidR="00AA5DA2" w:rsidRPr="003519EC" w:rsidRDefault="00AA5DA2" w:rsidP="006F5257">
            <w:pPr>
              <w:spacing w:line="360" w:lineRule="auto"/>
            </w:pPr>
            <w:r w:rsidRPr="003519EC">
              <w:t>Global Energy Trends</w:t>
            </w:r>
          </w:p>
        </w:tc>
        <w:tc>
          <w:tcPr>
            <w:tcW w:w="0" w:type="auto"/>
            <w:vAlign w:val="center"/>
            <w:hideMark/>
          </w:tcPr>
          <w:p w14:paraId="2A47E8DF" w14:textId="77777777" w:rsidR="00AA5DA2" w:rsidRPr="003519EC" w:rsidRDefault="00AA5DA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Global oil prices increased by 20%</w:t>
            </w:r>
          </w:p>
        </w:tc>
        <w:tc>
          <w:tcPr>
            <w:tcW w:w="0" w:type="auto"/>
            <w:vAlign w:val="center"/>
            <w:hideMark/>
          </w:tcPr>
          <w:p w14:paraId="23BD8B21" w14:textId="744A81AE" w:rsidR="00AA5DA2" w:rsidRPr="003519EC" w:rsidRDefault="00B347A0"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A rise</w:t>
            </w:r>
            <w:r w:rsidR="00AA5DA2" w:rsidRPr="003519EC">
              <w:t xml:space="preserve"> in oil prices makes renewable energy more attractive, offering new avenues for growth</w:t>
            </w:r>
          </w:p>
        </w:tc>
        <w:tc>
          <w:tcPr>
            <w:tcW w:w="0" w:type="auto"/>
            <w:vAlign w:val="center"/>
            <w:hideMark/>
          </w:tcPr>
          <w:p w14:paraId="398F3BD8" w14:textId="3802019A" w:rsidR="00AA5DA2" w:rsidRPr="003519EC" w:rsidRDefault="00F36284"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(World Bank Group, 2022)</w:t>
            </w:r>
          </w:p>
        </w:tc>
      </w:tr>
      <w:tr w:rsidR="00AA5DA2" w:rsidRPr="003519EC" w14:paraId="5F8E57ED" w14:textId="77777777" w:rsidTr="00AA5D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2BE1732" w14:textId="77777777" w:rsidR="00AA5DA2" w:rsidRPr="003519EC" w:rsidRDefault="00AA5DA2" w:rsidP="006F5257">
            <w:pPr>
              <w:spacing w:line="360" w:lineRule="auto"/>
            </w:pPr>
            <w:r w:rsidRPr="003519EC">
              <w:t>Economic Policies</w:t>
            </w:r>
          </w:p>
        </w:tc>
        <w:tc>
          <w:tcPr>
            <w:tcW w:w="0" w:type="auto"/>
            <w:vAlign w:val="center"/>
            <w:hideMark/>
          </w:tcPr>
          <w:p w14:paraId="718CA92F" w14:textId="194D56B2" w:rsidR="00AA5DA2" w:rsidRPr="003519EC" w:rsidRDefault="00AA5DA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 xml:space="preserve">Brexit resulted in a 5% increase in trade tariffs with </w:t>
            </w:r>
            <w:r w:rsidR="00B347A0" w:rsidRPr="003519EC">
              <w:t xml:space="preserve">the </w:t>
            </w:r>
            <w:r w:rsidR="001000C6" w:rsidRPr="003519EC">
              <w:t>E.U</w:t>
            </w:r>
            <w:r w:rsidR="00677C02" w:rsidRPr="003519EC">
              <w:t>.</w:t>
            </w:r>
          </w:p>
        </w:tc>
        <w:tc>
          <w:tcPr>
            <w:tcW w:w="0" w:type="auto"/>
            <w:vAlign w:val="center"/>
            <w:hideMark/>
          </w:tcPr>
          <w:p w14:paraId="3C436FFA" w14:textId="77777777" w:rsidR="00AA5DA2" w:rsidRPr="003519EC" w:rsidRDefault="00AA5DA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Impacts the cost structure for SSE's operations in Europe</w:t>
            </w:r>
          </w:p>
        </w:tc>
        <w:tc>
          <w:tcPr>
            <w:tcW w:w="0" w:type="auto"/>
            <w:vAlign w:val="center"/>
            <w:hideMark/>
          </w:tcPr>
          <w:p w14:paraId="022BA610" w14:textId="3E60B6D1" w:rsidR="00AA5DA2" w:rsidRPr="003519EC" w:rsidRDefault="00F36284"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(Spital and van Aerssen, 2023)</w:t>
            </w:r>
          </w:p>
        </w:tc>
      </w:tr>
      <w:tr w:rsidR="00AA5DA2" w:rsidRPr="003519EC" w14:paraId="4F3EF0D5" w14:textId="77777777" w:rsidTr="00AA5DA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2D00E11" w14:textId="77777777" w:rsidR="00AA5DA2" w:rsidRPr="003519EC" w:rsidRDefault="00AA5DA2" w:rsidP="006F5257">
            <w:pPr>
              <w:spacing w:line="360" w:lineRule="auto"/>
            </w:pPr>
            <w:r w:rsidRPr="003519EC">
              <w:t>Industry-specific Indicators</w:t>
            </w:r>
          </w:p>
        </w:tc>
        <w:tc>
          <w:tcPr>
            <w:tcW w:w="0" w:type="auto"/>
            <w:vAlign w:val="center"/>
            <w:hideMark/>
          </w:tcPr>
          <w:p w14:paraId="32B89365" w14:textId="31792CF3" w:rsidR="00AA5DA2" w:rsidRPr="003519EC" w:rsidRDefault="00B347A0"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The cost</w:t>
            </w:r>
            <w:r w:rsidR="00AA5DA2" w:rsidRPr="003519EC">
              <w:t xml:space="preserve"> of solar technology fell by 22% in the last two years</w:t>
            </w:r>
          </w:p>
        </w:tc>
        <w:tc>
          <w:tcPr>
            <w:tcW w:w="0" w:type="auto"/>
            <w:vAlign w:val="center"/>
            <w:hideMark/>
          </w:tcPr>
          <w:p w14:paraId="6DFB4ED9" w14:textId="6A44B7E2" w:rsidR="00AA5DA2" w:rsidRPr="003519EC" w:rsidRDefault="00AA5DA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 xml:space="preserve">Reduced </w:t>
            </w:r>
            <w:r w:rsidR="00B347A0" w:rsidRPr="003519EC">
              <w:t>costs</w:t>
            </w:r>
            <w:r w:rsidRPr="003519EC">
              <w:t xml:space="preserve"> in renewable technologies may influence SSE's investment decisions in this sector</w:t>
            </w:r>
          </w:p>
        </w:tc>
        <w:tc>
          <w:tcPr>
            <w:tcW w:w="0" w:type="auto"/>
            <w:vAlign w:val="center"/>
            <w:hideMark/>
          </w:tcPr>
          <w:p w14:paraId="5D0CCDC5" w14:textId="3A6DC387" w:rsidR="00AA5DA2" w:rsidRPr="003519EC" w:rsidRDefault="00F36284"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(IEA, 2023)</w:t>
            </w:r>
          </w:p>
        </w:tc>
      </w:tr>
    </w:tbl>
    <w:p w14:paraId="3CA9F54B" w14:textId="0BDFDE4E" w:rsidR="00AA5DA2" w:rsidRPr="003519EC" w:rsidRDefault="00AA5DA2" w:rsidP="009C627E">
      <w:pPr>
        <w:spacing w:line="360" w:lineRule="auto"/>
        <w:jc w:val="both"/>
      </w:pPr>
    </w:p>
    <w:p w14:paraId="2034A4AC" w14:textId="3EE7CD4A" w:rsidR="005A1A06" w:rsidRPr="003519EC" w:rsidRDefault="00AA5DA2" w:rsidP="009C627E">
      <w:pPr>
        <w:spacing w:line="360" w:lineRule="auto"/>
        <w:jc w:val="both"/>
      </w:pPr>
      <w:r w:rsidRPr="003519EC">
        <w:t xml:space="preserve">This table presents an </w:t>
      </w:r>
      <w:r w:rsidR="007A2173">
        <w:t>organised</w:t>
      </w:r>
      <w:r w:rsidRPr="003519EC">
        <w:t xml:space="preserve"> view of the economic indicators, their current status, their implications for SSE, and the source for each piece of information. It offers a comprehensive yet concise look at the economic factors that could influence SSE's operations.</w:t>
      </w:r>
    </w:p>
    <w:p w14:paraId="2B528E0B" w14:textId="6B350F00" w:rsidR="00690BE3" w:rsidRPr="003519EC" w:rsidRDefault="00AF4C0A" w:rsidP="009C627E">
      <w:pPr>
        <w:spacing w:line="360" w:lineRule="auto"/>
        <w:jc w:val="both"/>
      </w:pPr>
      <w:r w:rsidRPr="003519EC">
        <w:t>In conclusion, understanding these economic indicators is not just a theoretical exercise; it's an essential part of strategic planning. By critically assessing these factors, SSE can better prepare for potential challenges and exploit emerging opportunities in national and international landscapes.</w:t>
      </w:r>
    </w:p>
    <w:p w14:paraId="1E80D942" w14:textId="2A7565DA" w:rsidR="00690BE3" w:rsidRPr="003519EC" w:rsidRDefault="00FA4406" w:rsidP="00690BE3">
      <w:pPr>
        <w:pStyle w:val="Heading1"/>
        <w:spacing w:line="360" w:lineRule="auto"/>
        <w:rPr>
          <w:rFonts w:ascii="Times New Roman" w:hAnsi="Times New Roman" w:cs="Times New Roman"/>
          <w:b/>
          <w:bCs/>
          <w:sz w:val="28"/>
          <w:szCs w:val="28"/>
        </w:rPr>
      </w:pPr>
      <w:bookmarkStart w:id="16" w:name="_Toc151511035"/>
      <w:r w:rsidRPr="003519EC">
        <w:rPr>
          <w:rFonts w:ascii="Times New Roman" w:hAnsi="Times New Roman" w:cs="Times New Roman"/>
          <w:b/>
          <w:bCs/>
          <w:sz w:val="28"/>
          <w:szCs w:val="28"/>
        </w:rPr>
        <w:t xml:space="preserve">4.0 </w:t>
      </w:r>
      <w:r w:rsidR="00690BE3" w:rsidRPr="003519EC">
        <w:rPr>
          <w:rFonts w:ascii="Times New Roman" w:hAnsi="Times New Roman" w:cs="Times New Roman"/>
          <w:b/>
          <w:bCs/>
          <w:sz w:val="28"/>
          <w:szCs w:val="28"/>
        </w:rPr>
        <w:t>Porter's Five Forces Model</w:t>
      </w:r>
      <w:r w:rsidR="004335B7" w:rsidRPr="003519EC">
        <w:rPr>
          <w:rFonts w:ascii="Times New Roman" w:hAnsi="Times New Roman" w:cs="Times New Roman"/>
          <w:b/>
          <w:bCs/>
          <w:sz w:val="28"/>
          <w:szCs w:val="28"/>
        </w:rPr>
        <w:t xml:space="preserve"> of Microenvironment Analysis of SSE</w:t>
      </w:r>
      <w:bookmarkEnd w:id="16"/>
    </w:p>
    <w:p w14:paraId="501B6ED9" w14:textId="785840F2" w:rsidR="00690BE3" w:rsidRPr="003519EC" w:rsidRDefault="00690BE3" w:rsidP="00690BE3">
      <w:pPr>
        <w:spacing w:line="360" w:lineRule="auto"/>
        <w:jc w:val="both"/>
      </w:pPr>
      <w:r w:rsidRPr="003519EC">
        <w:t xml:space="preserve">The microenvironment in which an </w:t>
      </w:r>
      <w:r w:rsidR="007A2173">
        <w:t>organisation</w:t>
      </w:r>
      <w:r w:rsidRPr="003519EC">
        <w:t xml:space="preserve"> operates can significantly influence its competitive advantage and strategic direction. By leveraging Porter's Five Forces model, we can critically assess the factors impacting SSE's competitive position and identify potential opportunities and threats. This analysis facilitates strategic recommendations to enhance SSE's market position and navigate potential challenges.</w:t>
      </w:r>
    </w:p>
    <w:p w14:paraId="5813EF1F" w14:textId="77777777" w:rsidR="003B7942" w:rsidRPr="003519EC" w:rsidRDefault="003B7942" w:rsidP="00690BE3">
      <w:pPr>
        <w:spacing w:line="360" w:lineRule="auto"/>
        <w:jc w:val="both"/>
      </w:pPr>
    </w:p>
    <w:p w14:paraId="3A7C1451" w14:textId="17312A2F" w:rsidR="003B7942" w:rsidRPr="003519EC" w:rsidRDefault="003B7942" w:rsidP="00690BE3">
      <w:pPr>
        <w:spacing w:line="360" w:lineRule="auto"/>
        <w:jc w:val="both"/>
      </w:pPr>
      <w:r w:rsidRPr="003519EC">
        <w:rPr>
          <w:noProof/>
          <w14:ligatures w14:val="standardContextual"/>
        </w:rPr>
        <w:lastRenderedPageBreak/>
        <w:drawing>
          <wp:inline distT="0" distB="0" distL="0" distR="0" wp14:anchorId="542C1574" wp14:editId="5F3B48CB">
            <wp:extent cx="5486400" cy="3200400"/>
            <wp:effectExtent l="0" t="0" r="0" b="0"/>
            <wp:docPr id="23868931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23A032AA" w14:textId="50F94361" w:rsidR="00244BBC" w:rsidRPr="003519EC" w:rsidRDefault="00244BBC" w:rsidP="00244BBC">
      <w:pPr>
        <w:spacing w:line="360" w:lineRule="auto"/>
        <w:jc w:val="center"/>
      </w:pPr>
      <w:r w:rsidRPr="003519EC">
        <w:t xml:space="preserve">Figure </w:t>
      </w:r>
      <w:r w:rsidR="001E4AA7" w:rsidRPr="003519EC">
        <w:t>3</w:t>
      </w:r>
      <w:r w:rsidRPr="003519EC">
        <w:t>: Porter’s Five Forces</w:t>
      </w:r>
    </w:p>
    <w:p w14:paraId="3B282E65" w14:textId="77777777" w:rsidR="005C0346" w:rsidRPr="003519EC" w:rsidRDefault="005C0346" w:rsidP="005C0346">
      <w:pPr>
        <w:spacing w:line="360" w:lineRule="auto"/>
        <w:jc w:val="both"/>
      </w:pPr>
      <w:r w:rsidRPr="003519EC">
        <w:rPr>
          <w:b/>
          <w:bCs/>
        </w:rPr>
        <w:t>1. Competitive Rivalry in The Market:</w:t>
      </w:r>
    </w:p>
    <w:p w14:paraId="0F88A19A" w14:textId="77777777" w:rsidR="005C0346" w:rsidRPr="003519EC" w:rsidRDefault="005C0346" w:rsidP="005C0346">
      <w:pPr>
        <w:numPr>
          <w:ilvl w:val="0"/>
          <w:numId w:val="37"/>
        </w:numPr>
        <w:spacing w:line="360" w:lineRule="auto"/>
        <w:jc w:val="both"/>
      </w:pPr>
      <w:r w:rsidRPr="003519EC">
        <w:rPr>
          <w:b/>
          <w:bCs/>
        </w:rPr>
        <w:t>Overview</w:t>
      </w:r>
      <w:r w:rsidRPr="003519EC">
        <w:t>: The utility industry is crucial to modern societies, with SSE Plc being a key participant.</w:t>
      </w:r>
    </w:p>
    <w:p w14:paraId="07AC3A4F" w14:textId="77777777" w:rsidR="005C0346" w:rsidRPr="003519EC" w:rsidRDefault="005C0346" w:rsidP="005C0346">
      <w:pPr>
        <w:numPr>
          <w:ilvl w:val="0"/>
          <w:numId w:val="37"/>
        </w:numPr>
        <w:spacing w:line="360" w:lineRule="auto"/>
        <w:jc w:val="both"/>
      </w:pPr>
      <w:r w:rsidRPr="003519EC">
        <w:rPr>
          <w:b/>
          <w:bCs/>
        </w:rPr>
        <w:t>Major Competitors</w:t>
      </w:r>
      <w:r w:rsidRPr="003519EC">
        <w:t>: EDF Energy and Centrica stand out as top rivals of SSE Plc, exhibiting substantial market influence based on revenue.</w:t>
      </w:r>
    </w:p>
    <w:p w14:paraId="7545A65D" w14:textId="31907986" w:rsidR="005C0346" w:rsidRPr="003519EC" w:rsidRDefault="005C0346" w:rsidP="005C0346">
      <w:pPr>
        <w:numPr>
          <w:ilvl w:val="0"/>
          <w:numId w:val="37"/>
        </w:numPr>
        <w:spacing w:line="360" w:lineRule="auto"/>
        <w:jc w:val="both"/>
      </w:pPr>
      <w:r w:rsidRPr="003519EC">
        <w:rPr>
          <w:b/>
          <w:bCs/>
        </w:rPr>
        <w:t>Intensity of Rivalry</w:t>
      </w:r>
      <w:r w:rsidRPr="003519EC">
        <w:t xml:space="preserve">: The industry is fiercely competitive, </w:t>
      </w:r>
      <w:r w:rsidR="007869F8" w:rsidRPr="003519EC">
        <w:t>with multinational corporations with</w:t>
      </w:r>
      <w:r w:rsidRPr="003519EC">
        <w:t xml:space="preserve"> </w:t>
      </w:r>
      <w:r w:rsidR="007A2173">
        <w:t>specialised</w:t>
      </w:r>
      <w:r w:rsidRPr="003519EC">
        <w:t xml:space="preserve"> branches. Rivalry among existing competitors, including natively green and digital firms, is intense. SSE should focus on sustainability initiatives and digital transformation</w:t>
      </w:r>
      <w:r w:rsidR="001E4AA7" w:rsidRPr="003519EC">
        <w:t xml:space="preserve"> to navigate this competition</w:t>
      </w:r>
      <w:r w:rsidRPr="003519EC">
        <w:t xml:space="preserve"> </w:t>
      </w:r>
      <w:r w:rsidR="007869F8" w:rsidRPr="003519EC">
        <w:t>(</w:t>
      </w:r>
      <w:r w:rsidRPr="003519EC">
        <w:t>OECD, 2022; IEA, 2001)</w:t>
      </w:r>
      <w:r w:rsidR="007869F8" w:rsidRPr="003519EC">
        <w:t>.</w:t>
      </w:r>
    </w:p>
    <w:p w14:paraId="0C0C2A6F" w14:textId="77777777" w:rsidR="005C0346" w:rsidRPr="003519EC" w:rsidRDefault="005C0346" w:rsidP="005C0346">
      <w:pPr>
        <w:spacing w:line="360" w:lineRule="auto"/>
        <w:jc w:val="both"/>
      </w:pPr>
      <w:r w:rsidRPr="003519EC">
        <w:rPr>
          <w:b/>
          <w:bCs/>
        </w:rPr>
        <w:t>2. Threat of Substitutes:</w:t>
      </w:r>
    </w:p>
    <w:p w14:paraId="49C4A656" w14:textId="77777777" w:rsidR="005C0346" w:rsidRPr="003519EC" w:rsidRDefault="005C0346" w:rsidP="005C0346">
      <w:pPr>
        <w:numPr>
          <w:ilvl w:val="0"/>
          <w:numId w:val="38"/>
        </w:numPr>
        <w:spacing w:line="360" w:lineRule="auto"/>
        <w:jc w:val="both"/>
      </w:pPr>
      <w:r w:rsidRPr="003519EC">
        <w:rPr>
          <w:b/>
          <w:bCs/>
        </w:rPr>
        <w:t>Changing Dynamics</w:t>
      </w:r>
      <w:r w:rsidRPr="003519EC">
        <w:t>: A worldwide shift towards renewables due to environmental reasons and fossil fuel scarcity challenges traditional utilities.</w:t>
      </w:r>
    </w:p>
    <w:p w14:paraId="182E0C0F" w14:textId="77777777" w:rsidR="005C0346" w:rsidRPr="003519EC" w:rsidRDefault="005C0346" w:rsidP="005C0346">
      <w:pPr>
        <w:numPr>
          <w:ilvl w:val="0"/>
          <w:numId w:val="38"/>
        </w:numPr>
        <w:spacing w:line="360" w:lineRule="auto"/>
        <w:jc w:val="both"/>
      </w:pPr>
      <w:r w:rsidRPr="003519EC">
        <w:rPr>
          <w:b/>
          <w:bCs/>
        </w:rPr>
        <w:t>SSE's Strategy</w:t>
      </w:r>
      <w:r w:rsidRPr="003519EC">
        <w:t>: SSE is proactive, investing in offshore wind energy to align with sustainability trends and target net-zero emissions by 2050.</w:t>
      </w:r>
    </w:p>
    <w:p w14:paraId="3991549F" w14:textId="77777777" w:rsidR="005C0346" w:rsidRPr="003519EC" w:rsidRDefault="005C0346" w:rsidP="005C0346">
      <w:pPr>
        <w:numPr>
          <w:ilvl w:val="0"/>
          <w:numId w:val="38"/>
        </w:numPr>
        <w:spacing w:line="360" w:lineRule="auto"/>
        <w:jc w:val="both"/>
      </w:pPr>
      <w:r w:rsidRPr="003519EC">
        <w:rPr>
          <w:b/>
          <w:bCs/>
        </w:rPr>
        <w:t>Level of Threat</w:t>
      </w:r>
      <w:r w:rsidRPr="003519EC">
        <w:t>: With their forward-thinking approach to renewables, the threat posed by substitutes to SSE seems moderate.</w:t>
      </w:r>
    </w:p>
    <w:p w14:paraId="176821F2" w14:textId="77FDB874" w:rsidR="005C0346" w:rsidRPr="003519EC" w:rsidRDefault="005C0346" w:rsidP="005C0346">
      <w:pPr>
        <w:numPr>
          <w:ilvl w:val="0"/>
          <w:numId w:val="38"/>
        </w:numPr>
        <w:spacing w:line="360" w:lineRule="auto"/>
        <w:jc w:val="both"/>
      </w:pPr>
      <w:r w:rsidRPr="003519EC">
        <w:rPr>
          <w:b/>
          <w:bCs/>
        </w:rPr>
        <w:t>Threat of Substitute Products</w:t>
      </w:r>
      <w:r w:rsidRPr="003519EC">
        <w:t>: Technological solutions, such as home solar panels, challenge traditional energy providers. SSE needs to diversify its offerings to remain relevant (Rutherford, 2023)</w:t>
      </w:r>
      <w:r w:rsidR="007869F8" w:rsidRPr="003519EC">
        <w:t>.</w:t>
      </w:r>
    </w:p>
    <w:p w14:paraId="10EAEDA6" w14:textId="77777777" w:rsidR="005C0346" w:rsidRPr="003519EC" w:rsidRDefault="005C0346" w:rsidP="005C0346">
      <w:pPr>
        <w:spacing w:line="360" w:lineRule="auto"/>
        <w:jc w:val="both"/>
      </w:pPr>
      <w:r w:rsidRPr="003519EC">
        <w:rPr>
          <w:b/>
          <w:bCs/>
        </w:rPr>
        <w:lastRenderedPageBreak/>
        <w:t>3. Threat of New Entrants:</w:t>
      </w:r>
    </w:p>
    <w:p w14:paraId="1FABBDA4" w14:textId="77777777" w:rsidR="005C0346" w:rsidRPr="003519EC" w:rsidRDefault="005C0346" w:rsidP="005C0346">
      <w:pPr>
        <w:numPr>
          <w:ilvl w:val="0"/>
          <w:numId w:val="39"/>
        </w:numPr>
        <w:spacing w:line="360" w:lineRule="auto"/>
        <w:jc w:val="both"/>
      </w:pPr>
      <w:r w:rsidRPr="003519EC">
        <w:rPr>
          <w:b/>
          <w:bCs/>
        </w:rPr>
        <w:t>Capital Requirement</w:t>
      </w:r>
      <w:r w:rsidRPr="003519EC">
        <w:t>: High capital needs act as barriers.</w:t>
      </w:r>
    </w:p>
    <w:p w14:paraId="1A97093B" w14:textId="77777777" w:rsidR="005C0346" w:rsidRPr="003519EC" w:rsidRDefault="005C0346" w:rsidP="005C0346">
      <w:pPr>
        <w:numPr>
          <w:ilvl w:val="0"/>
          <w:numId w:val="39"/>
        </w:numPr>
        <w:spacing w:line="360" w:lineRule="auto"/>
        <w:jc w:val="both"/>
      </w:pPr>
      <w:r w:rsidRPr="003519EC">
        <w:rPr>
          <w:b/>
          <w:bCs/>
        </w:rPr>
        <w:t>Regulatory Constraints</w:t>
      </w:r>
      <w:r w:rsidRPr="003519EC">
        <w:t>: Strict government regulations and oversight hinder new players.</w:t>
      </w:r>
    </w:p>
    <w:p w14:paraId="2F49EF4E" w14:textId="77777777" w:rsidR="005C0346" w:rsidRPr="003519EC" w:rsidRDefault="005C0346" w:rsidP="005C0346">
      <w:pPr>
        <w:numPr>
          <w:ilvl w:val="0"/>
          <w:numId w:val="39"/>
        </w:numPr>
        <w:spacing w:line="360" w:lineRule="auto"/>
        <w:jc w:val="both"/>
      </w:pPr>
      <w:r w:rsidRPr="003519EC">
        <w:rPr>
          <w:b/>
          <w:bCs/>
        </w:rPr>
        <w:t>Financing Options</w:t>
      </w:r>
      <w:r w:rsidRPr="003519EC">
        <w:t>: Newcomers can attract private investors, and smaller firms can entice customers with bundle offers.</w:t>
      </w:r>
    </w:p>
    <w:p w14:paraId="426E5921" w14:textId="619EC61B" w:rsidR="005C0346" w:rsidRPr="003519EC" w:rsidRDefault="005C0346" w:rsidP="005C0346">
      <w:pPr>
        <w:numPr>
          <w:ilvl w:val="0"/>
          <w:numId w:val="39"/>
        </w:numPr>
        <w:spacing w:line="360" w:lineRule="auto"/>
        <w:jc w:val="both"/>
      </w:pPr>
      <w:r w:rsidRPr="003519EC">
        <w:rPr>
          <w:b/>
          <w:bCs/>
        </w:rPr>
        <w:t>Market Dynamics</w:t>
      </w:r>
      <w:r w:rsidRPr="003519EC">
        <w:t xml:space="preserve">: The UK's Big Six energy companies have seen a decline in market share while smaller companies, like Bulb and Octopus Energy, grow. The threat from new entrants is substantial. The energy sector's significant capital investment and regulatory landscape </w:t>
      </w:r>
      <w:r w:rsidR="001E4AA7" w:rsidRPr="003519EC">
        <w:t>deter</w:t>
      </w:r>
      <w:r w:rsidRPr="003519EC">
        <w:t xml:space="preserve"> new entrants. Nevertheless, </w:t>
      </w:r>
      <w:r w:rsidR="001E4AA7" w:rsidRPr="003519EC">
        <w:t xml:space="preserve">the allure of </w:t>
      </w:r>
      <w:r w:rsidRPr="003519EC">
        <w:t xml:space="preserve">renewable </w:t>
      </w:r>
      <w:r w:rsidR="001E4AA7" w:rsidRPr="003519EC">
        <w:t>energy</w:t>
      </w:r>
      <w:r w:rsidRPr="003519EC">
        <w:t xml:space="preserve"> can attract innovative entrants. SSE should, therefore, fortify its renewables investments</w:t>
      </w:r>
      <w:r w:rsidR="007869F8" w:rsidRPr="003519EC">
        <w:t xml:space="preserve"> </w:t>
      </w:r>
      <w:r w:rsidRPr="003519EC">
        <w:t>(del Río and Kiefer, 2022)</w:t>
      </w:r>
      <w:r w:rsidR="007869F8" w:rsidRPr="003519EC">
        <w:t>.</w:t>
      </w:r>
    </w:p>
    <w:p w14:paraId="1E5E2001" w14:textId="77777777" w:rsidR="005C0346" w:rsidRPr="003519EC" w:rsidRDefault="005C0346" w:rsidP="005C0346">
      <w:pPr>
        <w:spacing w:line="360" w:lineRule="auto"/>
        <w:jc w:val="both"/>
      </w:pPr>
      <w:r w:rsidRPr="003519EC">
        <w:rPr>
          <w:b/>
          <w:bCs/>
        </w:rPr>
        <w:t>4. Bargaining Power of Buyers:</w:t>
      </w:r>
    </w:p>
    <w:p w14:paraId="1BFE981D" w14:textId="58EC8EAA" w:rsidR="005C0346" w:rsidRPr="003519EC" w:rsidRDefault="005C0346" w:rsidP="005C0346">
      <w:pPr>
        <w:numPr>
          <w:ilvl w:val="0"/>
          <w:numId w:val="40"/>
        </w:numPr>
        <w:spacing w:line="360" w:lineRule="auto"/>
        <w:jc w:val="both"/>
      </w:pPr>
      <w:r w:rsidRPr="003519EC">
        <w:rPr>
          <w:b/>
          <w:bCs/>
        </w:rPr>
        <w:t>Alternative Options</w:t>
      </w:r>
      <w:r w:rsidRPr="003519EC">
        <w:t xml:space="preserve">: Alternatives like solar energy enhance </w:t>
      </w:r>
      <w:r w:rsidR="001E4AA7" w:rsidRPr="003519EC">
        <w:t>buyers'</w:t>
      </w:r>
      <w:r w:rsidRPr="003519EC">
        <w:t xml:space="preserve"> bargaining power, though they require substantial initial capital.</w:t>
      </w:r>
    </w:p>
    <w:p w14:paraId="111E4A88" w14:textId="1562D12C" w:rsidR="005C0346" w:rsidRPr="003519EC" w:rsidRDefault="005C0346" w:rsidP="005C0346">
      <w:pPr>
        <w:numPr>
          <w:ilvl w:val="0"/>
          <w:numId w:val="40"/>
        </w:numPr>
        <w:spacing w:line="360" w:lineRule="auto"/>
        <w:jc w:val="both"/>
      </w:pPr>
      <w:r w:rsidRPr="003519EC">
        <w:rPr>
          <w:b/>
          <w:bCs/>
        </w:rPr>
        <w:t>Solar Capacity Growth</w:t>
      </w:r>
      <w:r w:rsidRPr="003519EC">
        <w:t>: The UK has seen solar capacity growth, indicating a shift</w:t>
      </w:r>
      <w:r w:rsidR="001E4AA7" w:rsidRPr="003519EC">
        <w:t xml:space="preserve"> to renewables</w:t>
      </w:r>
      <w:r w:rsidRPr="003519EC">
        <w:t>.</w:t>
      </w:r>
    </w:p>
    <w:p w14:paraId="521E0D82" w14:textId="7F5913AD" w:rsidR="005C0346" w:rsidRPr="003519EC" w:rsidRDefault="005C0346" w:rsidP="005C0346">
      <w:pPr>
        <w:numPr>
          <w:ilvl w:val="0"/>
          <w:numId w:val="40"/>
        </w:numPr>
        <w:spacing w:line="360" w:lineRule="auto"/>
        <w:jc w:val="both"/>
      </w:pPr>
      <w:r w:rsidRPr="003519EC">
        <w:rPr>
          <w:b/>
          <w:bCs/>
        </w:rPr>
        <w:t>Buyer's Position</w:t>
      </w:r>
      <w:r w:rsidRPr="003519EC">
        <w:t xml:space="preserve">: Commercial and domestic users are the </w:t>
      </w:r>
      <w:r w:rsidR="001E4AA7" w:rsidRPr="003519EC">
        <w:t>primary</w:t>
      </w:r>
      <w:r w:rsidRPr="003519EC">
        <w:t xml:space="preserve"> consumers. While commercial users access power at lower rates, domestic users have less bargaining influence and often depend on state policies.</w:t>
      </w:r>
    </w:p>
    <w:p w14:paraId="65F926B7" w14:textId="13376AD4" w:rsidR="005C0346" w:rsidRPr="003519EC" w:rsidRDefault="005C0346" w:rsidP="005C0346">
      <w:pPr>
        <w:numPr>
          <w:ilvl w:val="0"/>
          <w:numId w:val="40"/>
        </w:numPr>
        <w:spacing w:line="360" w:lineRule="auto"/>
        <w:jc w:val="both"/>
      </w:pPr>
      <w:r w:rsidRPr="003519EC">
        <w:rPr>
          <w:b/>
          <w:bCs/>
        </w:rPr>
        <w:t>Conclusion on Power</w:t>
      </w:r>
      <w:r w:rsidRPr="003519EC">
        <w:t xml:space="preserve">: Currently, buyers in the utility sector possess limited bargaining power due to the scarcity of viable alternatives and </w:t>
      </w:r>
      <w:r w:rsidR="001E4AA7" w:rsidRPr="003519EC">
        <w:t xml:space="preserve">reliance on </w:t>
      </w:r>
      <w:r w:rsidRPr="003519EC">
        <w:t xml:space="preserve">state policy. Additionally, the rise of eco-conscious consumers demanding sustainable solutions empowers them to switch providers, reinforcing their bargaining power. </w:t>
      </w:r>
      <w:r w:rsidR="007869F8" w:rsidRPr="003519EC">
        <w:t xml:space="preserve">To counteract this, </w:t>
      </w:r>
      <w:r w:rsidRPr="003519EC">
        <w:t>SSE should offer competitive prices, innovative green energy solutions, and stellar customer service</w:t>
      </w:r>
      <w:r w:rsidR="001E4AA7" w:rsidRPr="003519EC">
        <w:t xml:space="preserve"> </w:t>
      </w:r>
      <w:r w:rsidRPr="003519EC">
        <w:t>(Immonen, Kiljander, and Aro, 2020)</w:t>
      </w:r>
      <w:r w:rsidR="007869F8" w:rsidRPr="003519EC">
        <w:t>.</w:t>
      </w:r>
    </w:p>
    <w:p w14:paraId="224F294D" w14:textId="77777777" w:rsidR="005C0346" w:rsidRPr="003519EC" w:rsidRDefault="005C0346" w:rsidP="005C0346">
      <w:pPr>
        <w:spacing w:line="360" w:lineRule="auto"/>
        <w:jc w:val="both"/>
      </w:pPr>
      <w:r w:rsidRPr="003519EC">
        <w:rPr>
          <w:b/>
          <w:bCs/>
        </w:rPr>
        <w:t>5. Bargaining Power of Suppliers:</w:t>
      </w:r>
    </w:p>
    <w:p w14:paraId="51F03B40" w14:textId="088981C9" w:rsidR="005C0346" w:rsidRPr="003519EC" w:rsidRDefault="005C0346" w:rsidP="005C0346">
      <w:pPr>
        <w:numPr>
          <w:ilvl w:val="0"/>
          <w:numId w:val="41"/>
        </w:numPr>
        <w:spacing w:line="360" w:lineRule="auto"/>
        <w:jc w:val="both"/>
      </w:pPr>
      <w:r w:rsidRPr="003519EC">
        <w:rPr>
          <w:b/>
          <w:bCs/>
        </w:rPr>
        <w:t>Role of Suppliers</w:t>
      </w:r>
      <w:r w:rsidRPr="003519EC">
        <w:t xml:space="preserve">: They </w:t>
      </w:r>
      <w:r w:rsidR="00AC3375">
        <w:t>mainly comprise</w:t>
      </w:r>
      <w:r w:rsidR="001E4AA7" w:rsidRPr="003519EC">
        <w:t xml:space="preserve"> </w:t>
      </w:r>
      <w:r w:rsidRPr="003519EC">
        <w:t xml:space="preserve">raw material providers and distributors, the latter being </w:t>
      </w:r>
      <w:r w:rsidR="001E4AA7" w:rsidRPr="003519EC">
        <w:t>critical</w:t>
      </w:r>
      <w:r w:rsidRPr="003519EC">
        <w:t xml:space="preserve"> connectors between production and end-users.</w:t>
      </w:r>
    </w:p>
    <w:p w14:paraId="081DDCA5" w14:textId="77777777" w:rsidR="005C0346" w:rsidRPr="003519EC" w:rsidRDefault="005C0346" w:rsidP="005C0346">
      <w:pPr>
        <w:numPr>
          <w:ilvl w:val="0"/>
          <w:numId w:val="41"/>
        </w:numPr>
        <w:spacing w:line="360" w:lineRule="auto"/>
        <w:jc w:val="both"/>
      </w:pPr>
      <w:r w:rsidRPr="003519EC">
        <w:rPr>
          <w:b/>
          <w:bCs/>
        </w:rPr>
        <w:t>Quality Matters</w:t>
      </w:r>
      <w:r w:rsidRPr="003519EC">
        <w:t>: Raw material quality critically affects energy production efficiency.</w:t>
      </w:r>
    </w:p>
    <w:p w14:paraId="7CA669F9" w14:textId="77777777" w:rsidR="005C0346" w:rsidRPr="003519EC" w:rsidRDefault="005C0346" w:rsidP="005C0346">
      <w:pPr>
        <w:numPr>
          <w:ilvl w:val="0"/>
          <w:numId w:val="41"/>
        </w:numPr>
        <w:spacing w:line="360" w:lineRule="auto"/>
        <w:jc w:val="both"/>
      </w:pPr>
      <w:r w:rsidRPr="003519EC">
        <w:rPr>
          <w:b/>
          <w:bCs/>
        </w:rPr>
        <w:t>Essential Equipment</w:t>
      </w:r>
      <w:r w:rsidRPr="003519EC">
        <w:t>: Primary tools include solar panels, wind turbines, and fossil fuel generators. Their quality directly impacts profitability.</w:t>
      </w:r>
    </w:p>
    <w:p w14:paraId="173C72F7" w14:textId="77777777" w:rsidR="005C0346" w:rsidRPr="003519EC" w:rsidRDefault="005C0346" w:rsidP="005C0346">
      <w:pPr>
        <w:numPr>
          <w:ilvl w:val="0"/>
          <w:numId w:val="41"/>
        </w:numPr>
        <w:spacing w:line="360" w:lineRule="auto"/>
        <w:jc w:val="both"/>
      </w:pPr>
      <w:r w:rsidRPr="003519EC">
        <w:rPr>
          <w:b/>
          <w:bCs/>
        </w:rPr>
        <w:t>Supplier Leverage</w:t>
      </w:r>
      <w:r w:rsidRPr="003519EC">
        <w:t>: Suppliers can dictate specific terms showcasing their industry clout.</w:t>
      </w:r>
    </w:p>
    <w:p w14:paraId="05132ACD" w14:textId="7BEC28FB" w:rsidR="005C0346" w:rsidRPr="003519EC" w:rsidRDefault="005C0346" w:rsidP="005C0346">
      <w:pPr>
        <w:numPr>
          <w:ilvl w:val="0"/>
          <w:numId w:val="41"/>
        </w:numPr>
        <w:spacing w:line="360" w:lineRule="auto"/>
        <w:jc w:val="both"/>
      </w:pPr>
      <w:r w:rsidRPr="003519EC">
        <w:rPr>
          <w:b/>
          <w:bCs/>
        </w:rPr>
        <w:lastRenderedPageBreak/>
        <w:t>Global Operations Advantage</w:t>
      </w:r>
      <w:r w:rsidRPr="003519EC">
        <w:t xml:space="preserve">: Firms with international operations can select from </w:t>
      </w:r>
      <w:r w:rsidR="001E4AA7" w:rsidRPr="003519EC">
        <w:t>various</w:t>
      </w:r>
      <w:r w:rsidRPr="003519EC">
        <w:t xml:space="preserve"> global suppliers, providing negotiation leverage and optimal deal potential.</w:t>
      </w:r>
    </w:p>
    <w:p w14:paraId="4B5DAF5F" w14:textId="007663E4" w:rsidR="005C0346" w:rsidRPr="003519EC" w:rsidRDefault="005C0346" w:rsidP="005C0346">
      <w:pPr>
        <w:numPr>
          <w:ilvl w:val="0"/>
          <w:numId w:val="41"/>
        </w:numPr>
        <w:spacing w:line="360" w:lineRule="auto"/>
        <w:jc w:val="both"/>
      </w:pPr>
      <w:r w:rsidRPr="003519EC">
        <w:rPr>
          <w:b/>
          <w:bCs/>
        </w:rPr>
        <w:t>Bargaining Power Assessment</w:t>
      </w:r>
      <w:r w:rsidRPr="003519EC">
        <w:t>: Overall, suppliers in the electrical equipment sector wield moderate bargaining power. Transitioning to renewables can increase dependency on specific suppliers and technologies, further elevating their influence. SSE should expand its supplier base and invest in R&amp;D to ensure minimal reliance on any single provider</w:t>
      </w:r>
      <w:r w:rsidR="007869F8" w:rsidRPr="003519EC">
        <w:t xml:space="preserve"> </w:t>
      </w:r>
      <w:r w:rsidRPr="003519EC">
        <w:t>(Source: Laimon et al., 2022)</w:t>
      </w:r>
      <w:r w:rsidR="003D0AFF" w:rsidRPr="003519EC">
        <w:t>.</w:t>
      </w:r>
    </w:p>
    <w:p w14:paraId="641DB27D" w14:textId="77777777" w:rsidR="005C0346" w:rsidRPr="003519EC" w:rsidRDefault="005C0346" w:rsidP="005C0346">
      <w:pPr>
        <w:spacing w:line="360" w:lineRule="auto"/>
        <w:jc w:val="both"/>
      </w:pPr>
      <w:r w:rsidRPr="003519EC">
        <w:rPr>
          <w:b/>
          <w:bCs/>
        </w:rPr>
        <w:t>Conclusion</w:t>
      </w:r>
      <w:r w:rsidRPr="003519EC">
        <w:t>: The energy sector is undergoing swift transformations driven by technological innovations, environmental concerns, and changing consumer preferences. SSE's continuous investment in renewables, R&amp;D, and customer-centric initiatives will be pivotal for its long-term success amidst these evolving dynamics.</w:t>
      </w:r>
    </w:p>
    <w:p w14:paraId="75E267C5" w14:textId="132722DC" w:rsidR="001E4AA7" w:rsidRPr="003519EC" w:rsidRDefault="001E4AA7" w:rsidP="005C0346">
      <w:pPr>
        <w:spacing w:line="360" w:lineRule="auto"/>
        <w:jc w:val="both"/>
        <w:rPr>
          <w:b/>
          <w:bCs/>
        </w:rPr>
      </w:pPr>
      <w:r w:rsidRPr="003519EC">
        <w:rPr>
          <w:b/>
          <w:bCs/>
        </w:rPr>
        <w:t>Table 8: Michael Porter’s Five Forces Analysis for SSE in the Energy Sector</w:t>
      </w:r>
    </w:p>
    <w:tbl>
      <w:tblPr>
        <w:tblStyle w:val="GridTable4-Accent1"/>
        <w:tblW w:w="9795" w:type="dxa"/>
        <w:tblLook w:val="04A0" w:firstRow="1" w:lastRow="0" w:firstColumn="1" w:lastColumn="0" w:noHBand="0" w:noVBand="1"/>
      </w:tblPr>
      <w:tblGrid>
        <w:gridCol w:w="3253"/>
        <w:gridCol w:w="6542"/>
      </w:tblGrid>
      <w:tr w:rsidR="003D0AFF" w:rsidRPr="003519EC" w14:paraId="080FC1F9" w14:textId="77777777" w:rsidTr="003D0A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A6CB14E" w14:textId="77777777" w:rsidR="003D0AFF" w:rsidRPr="003519EC" w:rsidRDefault="003D0AFF" w:rsidP="003D0AFF">
            <w:pPr>
              <w:spacing w:line="360" w:lineRule="auto"/>
              <w:jc w:val="center"/>
            </w:pPr>
            <w:r w:rsidRPr="003519EC">
              <w:t>Force</w:t>
            </w:r>
          </w:p>
        </w:tc>
        <w:tc>
          <w:tcPr>
            <w:tcW w:w="0" w:type="auto"/>
            <w:vAlign w:val="center"/>
            <w:hideMark/>
          </w:tcPr>
          <w:p w14:paraId="36DAEF01" w14:textId="77777777" w:rsidR="003D0AFF" w:rsidRPr="003519EC" w:rsidRDefault="003D0AFF" w:rsidP="003D0AFF">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Key Points</w:t>
            </w:r>
          </w:p>
        </w:tc>
      </w:tr>
      <w:tr w:rsidR="003D0AFF" w:rsidRPr="003519EC" w14:paraId="68C8ECFA" w14:textId="77777777" w:rsidTr="003D0A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F91214E" w14:textId="77777777" w:rsidR="003D0AFF" w:rsidRPr="003519EC" w:rsidRDefault="003D0AFF" w:rsidP="003D0AFF">
            <w:pPr>
              <w:spacing w:line="360" w:lineRule="auto"/>
            </w:pPr>
            <w:r w:rsidRPr="003519EC">
              <w:t>Competitive Rivalry in The Market</w:t>
            </w:r>
          </w:p>
        </w:tc>
        <w:tc>
          <w:tcPr>
            <w:tcW w:w="0" w:type="auto"/>
            <w:vAlign w:val="center"/>
            <w:hideMark/>
          </w:tcPr>
          <w:p w14:paraId="27566B67" w14:textId="77777777"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xml:space="preserve">- SSE Plc is a key participant in a highly competitive utility industry. </w:t>
            </w:r>
          </w:p>
          <w:p w14:paraId="308ADBB1" w14:textId="77777777"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xml:space="preserve">- Major competitors: EDF Energy, Centrica. </w:t>
            </w:r>
          </w:p>
          <w:p w14:paraId="5DB7A1D9" w14:textId="65FCDBD8"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Need for digital transformation and sustainability initiatives.</w:t>
            </w:r>
          </w:p>
        </w:tc>
      </w:tr>
      <w:tr w:rsidR="003D0AFF" w:rsidRPr="003519EC" w14:paraId="665844CC" w14:textId="77777777" w:rsidTr="003D0AF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F382947" w14:textId="77777777" w:rsidR="003D0AFF" w:rsidRPr="003519EC" w:rsidRDefault="003D0AFF" w:rsidP="003D0AFF">
            <w:pPr>
              <w:spacing w:line="360" w:lineRule="auto"/>
            </w:pPr>
            <w:r w:rsidRPr="003519EC">
              <w:t>Threat of Substitutes</w:t>
            </w:r>
          </w:p>
        </w:tc>
        <w:tc>
          <w:tcPr>
            <w:tcW w:w="0" w:type="auto"/>
            <w:vAlign w:val="center"/>
            <w:hideMark/>
          </w:tcPr>
          <w:p w14:paraId="37FBA2F9" w14:textId="77777777" w:rsidR="003D0AFF" w:rsidRPr="003519EC" w:rsidRDefault="003D0AFF" w:rsidP="003D0AFF">
            <w:pPr>
              <w:spacing w:line="360" w:lineRule="auto"/>
              <w:cnfStyle w:val="000000000000" w:firstRow="0" w:lastRow="0" w:firstColumn="0" w:lastColumn="0" w:oddVBand="0" w:evenVBand="0" w:oddHBand="0" w:evenHBand="0" w:firstRowFirstColumn="0" w:firstRowLastColumn="0" w:lastRowFirstColumn="0" w:lastRowLastColumn="0"/>
            </w:pPr>
            <w:r w:rsidRPr="003519EC">
              <w:t xml:space="preserve">- Global shift towards renewables. </w:t>
            </w:r>
          </w:p>
          <w:p w14:paraId="6FEC0A66" w14:textId="2DED2C0E" w:rsidR="003D0AFF" w:rsidRPr="003519EC" w:rsidRDefault="003D0AFF" w:rsidP="003D0AFF">
            <w:pPr>
              <w:spacing w:line="360" w:lineRule="auto"/>
              <w:cnfStyle w:val="000000000000" w:firstRow="0" w:lastRow="0" w:firstColumn="0" w:lastColumn="0" w:oddVBand="0" w:evenVBand="0" w:oddHBand="0" w:evenHBand="0" w:firstRowFirstColumn="0" w:firstRowLastColumn="0" w:lastRowFirstColumn="0" w:lastRowLastColumn="0"/>
            </w:pPr>
            <w:r w:rsidRPr="003519EC">
              <w:t>- SSE is investing in offshore wind energy</w:t>
            </w:r>
            <w:r w:rsidR="001E4AA7" w:rsidRPr="003519EC">
              <w:t>,</w:t>
            </w:r>
            <w:r w:rsidRPr="003519EC">
              <w:t xml:space="preserve"> targeting net-zero emissions by 2050.</w:t>
            </w:r>
          </w:p>
          <w:p w14:paraId="28948FAA" w14:textId="0E3705F4" w:rsidR="003D0AFF" w:rsidRPr="003519EC" w:rsidRDefault="003D0AFF" w:rsidP="003D0AFF">
            <w:pPr>
              <w:spacing w:line="360" w:lineRule="auto"/>
              <w:cnfStyle w:val="000000000000" w:firstRow="0" w:lastRow="0" w:firstColumn="0" w:lastColumn="0" w:oddVBand="0" w:evenVBand="0" w:oddHBand="0" w:evenHBand="0" w:firstRowFirstColumn="0" w:firstRowLastColumn="0" w:lastRowFirstColumn="0" w:lastRowLastColumn="0"/>
            </w:pPr>
            <w:r w:rsidRPr="003519EC">
              <w:t>- Moderate threat from technology-driven substitutes.</w:t>
            </w:r>
          </w:p>
        </w:tc>
      </w:tr>
      <w:tr w:rsidR="003D0AFF" w:rsidRPr="003519EC" w14:paraId="5A019FB9" w14:textId="77777777" w:rsidTr="003D0A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54305B" w14:textId="77777777" w:rsidR="003D0AFF" w:rsidRPr="003519EC" w:rsidRDefault="003D0AFF" w:rsidP="003D0AFF">
            <w:pPr>
              <w:spacing w:line="360" w:lineRule="auto"/>
            </w:pPr>
            <w:r w:rsidRPr="003519EC">
              <w:t>Threat of New Entrants</w:t>
            </w:r>
          </w:p>
        </w:tc>
        <w:tc>
          <w:tcPr>
            <w:tcW w:w="0" w:type="auto"/>
            <w:vAlign w:val="center"/>
            <w:hideMark/>
          </w:tcPr>
          <w:p w14:paraId="08BD3FAA" w14:textId="77777777"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High capital and regulatory constraints act as barriers.</w:t>
            </w:r>
          </w:p>
          <w:p w14:paraId="71B69CB6" w14:textId="05A6F206"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xml:space="preserve">- Newcomers can attract private investors. </w:t>
            </w:r>
          </w:p>
          <w:p w14:paraId="2FD002A1" w14:textId="50C6B265"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Market dynamics indicate a growing threat from innovative entrants.</w:t>
            </w:r>
          </w:p>
        </w:tc>
      </w:tr>
      <w:tr w:rsidR="003D0AFF" w:rsidRPr="003519EC" w14:paraId="7359397A" w14:textId="77777777" w:rsidTr="003D0AF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B594FC1" w14:textId="77777777" w:rsidR="003D0AFF" w:rsidRPr="003519EC" w:rsidRDefault="003D0AFF" w:rsidP="003D0AFF">
            <w:pPr>
              <w:spacing w:line="360" w:lineRule="auto"/>
            </w:pPr>
            <w:r w:rsidRPr="003519EC">
              <w:t>Bargaining Power of Buyers</w:t>
            </w:r>
          </w:p>
        </w:tc>
        <w:tc>
          <w:tcPr>
            <w:tcW w:w="0" w:type="auto"/>
            <w:vAlign w:val="center"/>
            <w:hideMark/>
          </w:tcPr>
          <w:p w14:paraId="5CE2D99E" w14:textId="77777777" w:rsidR="003D0AFF" w:rsidRPr="003519EC" w:rsidRDefault="003D0AFF" w:rsidP="003D0AFF">
            <w:pPr>
              <w:spacing w:line="360" w:lineRule="auto"/>
              <w:cnfStyle w:val="000000000000" w:firstRow="0" w:lastRow="0" w:firstColumn="0" w:lastColumn="0" w:oddVBand="0" w:evenVBand="0" w:oddHBand="0" w:evenHBand="0" w:firstRowFirstColumn="0" w:firstRowLastColumn="0" w:lastRowFirstColumn="0" w:lastRowLastColumn="0"/>
            </w:pPr>
            <w:r w:rsidRPr="003519EC">
              <w:t>- Alternatives like solar energy influence power.</w:t>
            </w:r>
          </w:p>
          <w:p w14:paraId="5714176C" w14:textId="77777777" w:rsidR="003D0AFF" w:rsidRPr="003519EC" w:rsidRDefault="003D0AFF" w:rsidP="003D0AFF">
            <w:pPr>
              <w:spacing w:line="360" w:lineRule="auto"/>
              <w:cnfStyle w:val="000000000000" w:firstRow="0" w:lastRow="0" w:firstColumn="0" w:lastColumn="0" w:oddVBand="0" w:evenVBand="0" w:oddHBand="0" w:evenHBand="0" w:firstRowFirstColumn="0" w:firstRowLastColumn="0" w:lastRowFirstColumn="0" w:lastRowLastColumn="0"/>
            </w:pPr>
            <w:r w:rsidRPr="003519EC">
              <w:t>- Limited bargaining influence for domestic users due to state policies.</w:t>
            </w:r>
          </w:p>
          <w:p w14:paraId="7C5566E4" w14:textId="20157EC2" w:rsidR="003D0AFF" w:rsidRPr="003519EC" w:rsidRDefault="003D0AFF" w:rsidP="003D0AFF">
            <w:pPr>
              <w:spacing w:line="360" w:lineRule="auto"/>
              <w:cnfStyle w:val="000000000000" w:firstRow="0" w:lastRow="0" w:firstColumn="0" w:lastColumn="0" w:oddVBand="0" w:evenVBand="0" w:oddHBand="0" w:evenHBand="0" w:firstRowFirstColumn="0" w:firstRowLastColumn="0" w:lastRowFirstColumn="0" w:lastRowLastColumn="0"/>
            </w:pPr>
            <w:r w:rsidRPr="003519EC">
              <w:t>- Rise of eco-conscious consumers.</w:t>
            </w:r>
          </w:p>
        </w:tc>
      </w:tr>
      <w:tr w:rsidR="003D0AFF" w:rsidRPr="003519EC" w14:paraId="2F24C3BC" w14:textId="77777777" w:rsidTr="003D0A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FEF8E1" w14:textId="77777777" w:rsidR="003D0AFF" w:rsidRPr="003519EC" w:rsidRDefault="003D0AFF" w:rsidP="003D0AFF">
            <w:pPr>
              <w:spacing w:line="360" w:lineRule="auto"/>
            </w:pPr>
            <w:r w:rsidRPr="003519EC">
              <w:t>Bargaining Power of Suppliers</w:t>
            </w:r>
          </w:p>
        </w:tc>
        <w:tc>
          <w:tcPr>
            <w:tcW w:w="0" w:type="auto"/>
            <w:vAlign w:val="center"/>
            <w:hideMark/>
          </w:tcPr>
          <w:p w14:paraId="65C187D4" w14:textId="77777777"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Suppliers include raw material providers and distributors.</w:t>
            </w:r>
          </w:p>
          <w:p w14:paraId="21DC2582" w14:textId="77777777"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Raw material quality is crucial.</w:t>
            </w:r>
          </w:p>
          <w:p w14:paraId="109E9773" w14:textId="69A60A0B"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Suppliers wield moderate power, which could increase with a shift to renewables.</w:t>
            </w:r>
          </w:p>
        </w:tc>
      </w:tr>
    </w:tbl>
    <w:p w14:paraId="67869DBC" w14:textId="4883CE89" w:rsidR="005D12BE" w:rsidRPr="003519EC" w:rsidRDefault="00FA4406" w:rsidP="009C627E">
      <w:pPr>
        <w:pStyle w:val="Heading1"/>
        <w:spacing w:line="360" w:lineRule="auto"/>
        <w:jc w:val="both"/>
        <w:rPr>
          <w:rFonts w:ascii="Times New Roman" w:hAnsi="Times New Roman" w:cs="Times New Roman"/>
          <w:b/>
          <w:bCs/>
          <w:sz w:val="28"/>
          <w:szCs w:val="28"/>
        </w:rPr>
      </w:pPr>
      <w:bookmarkStart w:id="17" w:name="_Toc151511036"/>
      <w:r w:rsidRPr="003519EC">
        <w:rPr>
          <w:rFonts w:ascii="Times New Roman" w:hAnsi="Times New Roman" w:cs="Times New Roman"/>
          <w:b/>
          <w:bCs/>
          <w:sz w:val="28"/>
          <w:szCs w:val="28"/>
        </w:rPr>
        <w:lastRenderedPageBreak/>
        <w:t>5.0</w:t>
      </w:r>
      <w:r w:rsidR="007366B6" w:rsidRPr="003519EC">
        <w:rPr>
          <w:rFonts w:ascii="Times New Roman" w:hAnsi="Times New Roman" w:cs="Times New Roman"/>
          <w:b/>
          <w:bCs/>
          <w:sz w:val="28"/>
          <w:szCs w:val="28"/>
        </w:rPr>
        <w:t xml:space="preserve"> </w:t>
      </w:r>
      <w:r w:rsidR="005D12BE" w:rsidRPr="003519EC">
        <w:rPr>
          <w:rFonts w:ascii="Times New Roman" w:hAnsi="Times New Roman" w:cs="Times New Roman"/>
          <w:b/>
          <w:bCs/>
          <w:sz w:val="28"/>
          <w:szCs w:val="28"/>
        </w:rPr>
        <w:t>Microeconomic Decisions: Strategic Investments and Pricing</w:t>
      </w:r>
      <w:bookmarkEnd w:id="17"/>
    </w:p>
    <w:p w14:paraId="095DDBD7" w14:textId="5B00D00F" w:rsidR="007366B6" w:rsidRPr="003519EC" w:rsidRDefault="00FA4406" w:rsidP="009C627E">
      <w:pPr>
        <w:pStyle w:val="Heading1"/>
        <w:spacing w:line="360" w:lineRule="auto"/>
        <w:jc w:val="both"/>
        <w:rPr>
          <w:rFonts w:ascii="Times New Roman" w:hAnsi="Times New Roman" w:cs="Times New Roman"/>
          <w:b/>
          <w:bCs/>
          <w:sz w:val="28"/>
          <w:szCs w:val="28"/>
        </w:rPr>
      </w:pPr>
      <w:bookmarkStart w:id="18" w:name="_Toc151511037"/>
      <w:r w:rsidRPr="003519EC">
        <w:rPr>
          <w:rFonts w:ascii="Times New Roman" w:hAnsi="Times New Roman" w:cs="Times New Roman"/>
          <w:b/>
          <w:bCs/>
          <w:sz w:val="28"/>
          <w:szCs w:val="28"/>
        </w:rPr>
        <w:t>5</w:t>
      </w:r>
      <w:r w:rsidR="00B200FB" w:rsidRPr="003519EC">
        <w:rPr>
          <w:rFonts w:ascii="Times New Roman" w:hAnsi="Times New Roman" w:cs="Times New Roman"/>
          <w:b/>
          <w:bCs/>
          <w:sz w:val="28"/>
          <w:szCs w:val="28"/>
        </w:rPr>
        <w:t xml:space="preserve">.1 </w:t>
      </w:r>
      <w:r w:rsidR="007366B6" w:rsidRPr="003519EC">
        <w:rPr>
          <w:rFonts w:ascii="Times New Roman" w:hAnsi="Times New Roman" w:cs="Times New Roman"/>
          <w:b/>
          <w:bCs/>
          <w:sz w:val="28"/>
          <w:szCs w:val="28"/>
        </w:rPr>
        <w:t>Introduction to Microeconomic Decisions: Strategic Investments and Pricing</w:t>
      </w:r>
      <w:bookmarkEnd w:id="18"/>
    </w:p>
    <w:p w14:paraId="70C77AE1" w14:textId="3347EE4E" w:rsidR="007366B6" w:rsidRPr="003519EC" w:rsidRDefault="007366B6" w:rsidP="009C627E">
      <w:pPr>
        <w:spacing w:line="360" w:lineRule="auto"/>
        <w:jc w:val="both"/>
      </w:pPr>
      <w:r w:rsidRPr="003519EC">
        <w:t xml:space="preserve">In the complex landscape of the energy industry, an </w:t>
      </w:r>
      <w:r w:rsidR="007A2173">
        <w:t>organisation's</w:t>
      </w:r>
      <w:r w:rsidRPr="003519EC">
        <w:t xml:space="preserve"> microeconomic decisions are crucial drivers that determine its market position, growth trajectory, and overall financial health. </w:t>
      </w:r>
      <w:r w:rsidR="00091EC3" w:rsidRPr="003519EC">
        <w:t>Strategic decisions regarding investments and pricing are paramount</w:t>
      </w:r>
      <w:r w:rsidRPr="003519EC">
        <w:t xml:space="preserve"> for a company like Southern and Scottish Energy (SSE). This section focuses on </w:t>
      </w:r>
      <w:r w:rsidR="007A2173">
        <w:t>analysing</w:t>
      </w:r>
      <w:r w:rsidRPr="003519EC">
        <w:t xml:space="preserve"> the microeconomic choices made by SSE in the realms of strategic investments in renewable energy projects and the adoption of competitive pricing models.</w:t>
      </w:r>
    </w:p>
    <w:p w14:paraId="2FC1F749" w14:textId="59DABBA7" w:rsidR="007366B6" w:rsidRPr="003519EC" w:rsidRDefault="007366B6" w:rsidP="009C627E">
      <w:pPr>
        <w:numPr>
          <w:ilvl w:val="0"/>
          <w:numId w:val="12"/>
        </w:numPr>
        <w:spacing w:line="360" w:lineRule="auto"/>
        <w:jc w:val="both"/>
      </w:pPr>
      <w:r w:rsidRPr="00F716B8">
        <w:rPr>
          <w:b/>
          <w:bCs/>
        </w:rPr>
        <w:t>Strategic Investments:</w:t>
      </w:r>
      <w:r w:rsidRPr="003519EC">
        <w:t xml:space="preserve"> </w:t>
      </w:r>
      <w:r w:rsidR="00091EC3" w:rsidRPr="003519EC">
        <w:t>We</w:t>
      </w:r>
      <w:r w:rsidRPr="003519EC">
        <w:t xml:space="preserve"> will </w:t>
      </w:r>
      <w:r w:rsidR="00091EC3" w:rsidRPr="003519EC">
        <w:t>explore</w:t>
      </w:r>
      <w:r w:rsidRPr="003519EC">
        <w:t xml:space="preserve"> the rationale behind SSE's investment choices, especially in renewable energy projects. We aim to assess whether these investments align with market trends, societal demands, and long-term sustainability.</w:t>
      </w:r>
    </w:p>
    <w:p w14:paraId="3F38746D" w14:textId="038BF354" w:rsidR="007366B6" w:rsidRPr="003519EC" w:rsidRDefault="007366B6" w:rsidP="009C627E">
      <w:pPr>
        <w:numPr>
          <w:ilvl w:val="0"/>
          <w:numId w:val="12"/>
        </w:numPr>
        <w:spacing w:line="360" w:lineRule="auto"/>
        <w:jc w:val="both"/>
      </w:pPr>
      <w:r w:rsidRPr="00F716B8">
        <w:rPr>
          <w:b/>
          <w:bCs/>
        </w:rPr>
        <w:t>Pricing Models:</w:t>
      </w:r>
      <w:r w:rsidRPr="003519EC">
        <w:t xml:space="preserve"> Pricing is not just a function of costs; it's a strategic tool that impacts consumer </w:t>
      </w:r>
      <w:r w:rsidR="00091EC3" w:rsidRPr="003519EC">
        <w:t>behaviour</w:t>
      </w:r>
      <w:r w:rsidRPr="003519EC">
        <w:t xml:space="preserve">, market share, and profitability. This part will examine SSE's pricing strategies </w:t>
      </w:r>
      <w:r w:rsidR="00AF4C0A" w:rsidRPr="003519EC">
        <w:t>and evaluate</w:t>
      </w:r>
      <w:r w:rsidRPr="003519EC">
        <w:t xml:space="preserve"> their effectiveness in customer retention and revenue generation.</w:t>
      </w:r>
    </w:p>
    <w:p w14:paraId="7A181426" w14:textId="063F6052" w:rsidR="007366B6" w:rsidRPr="003519EC" w:rsidRDefault="007366B6" w:rsidP="009C627E">
      <w:pPr>
        <w:spacing w:line="360" w:lineRule="auto"/>
        <w:jc w:val="both"/>
      </w:pPr>
      <w:r w:rsidRPr="003519EC">
        <w:t xml:space="preserve">By </w:t>
      </w:r>
      <w:r w:rsidR="007A2173">
        <w:t>scrutinising</w:t>
      </w:r>
      <w:r w:rsidRPr="003519EC">
        <w:t xml:space="preserve"> these microeconomic decisions, we aim to </w:t>
      </w:r>
      <w:r w:rsidR="00091EC3" w:rsidRPr="003519EC">
        <w:t>comprehensively understand</w:t>
      </w:r>
      <w:r w:rsidRPr="003519EC">
        <w:t xml:space="preserve"> how SSE has navigated the challenges and opportunities in its business environment. This analysis will also shed light on the potential implications of these choices for the company's future.</w:t>
      </w:r>
    </w:p>
    <w:p w14:paraId="325E132F" w14:textId="6BE49D63" w:rsidR="005D12BE" w:rsidRPr="003519EC" w:rsidRDefault="00FA4406" w:rsidP="009C627E">
      <w:pPr>
        <w:pStyle w:val="Heading2"/>
        <w:spacing w:line="360" w:lineRule="auto"/>
        <w:jc w:val="both"/>
        <w:rPr>
          <w:rFonts w:ascii="Times New Roman" w:hAnsi="Times New Roman" w:cs="Times New Roman"/>
          <w:b/>
          <w:bCs/>
        </w:rPr>
      </w:pPr>
      <w:bookmarkStart w:id="19" w:name="_Toc151511038"/>
      <w:r w:rsidRPr="003519EC">
        <w:rPr>
          <w:rFonts w:ascii="Times New Roman" w:hAnsi="Times New Roman" w:cs="Times New Roman"/>
          <w:b/>
          <w:bCs/>
        </w:rPr>
        <w:t>5</w:t>
      </w:r>
      <w:r w:rsidR="00B200FB" w:rsidRPr="003519EC">
        <w:rPr>
          <w:rFonts w:ascii="Times New Roman" w:hAnsi="Times New Roman" w:cs="Times New Roman"/>
          <w:b/>
          <w:bCs/>
        </w:rPr>
        <w:t xml:space="preserve">.1.1 </w:t>
      </w:r>
      <w:r w:rsidR="005D12BE" w:rsidRPr="003519EC">
        <w:rPr>
          <w:rFonts w:ascii="Times New Roman" w:hAnsi="Times New Roman" w:cs="Times New Roman"/>
          <w:b/>
          <w:bCs/>
        </w:rPr>
        <w:t>Strategic Investments in Renewable Energy</w:t>
      </w:r>
      <w:bookmarkEnd w:id="19"/>
    </w:p>
    <w:p w14:paraId="5E12BC67" w14:textId="72A2880E" w:rsidR="005D12BE" w:rsidRPr="003519EC" w:rsidRDefault="005D12BE" w:rsidP="009C627E">
      <w:pPr>
        <w:spacing w:line="360" w:lineRule="auto"/>
        <w:jc w:val="both"/>
      </w:pPr>
      <w:r w:rsidRPr="003519EC">
        <w:t xml:space="preserve">Southern and Scottish Energy (SSE) has demonstrated foresight in its strategic investments, particularly concerning renewable energy projects. Microeconomically, such investments offer the company the ability to harness increasing returns to scale, thereby reducing average costs over time (Krugman, 1991). Additionally, by investing in renewable energy technologies like wind, solar, and </w:t>
      </w:r>
      <w:r w:rsidR="00FD1991" w:rsidRPr="003519EC">
        <w:t>hydro-electric</w:t>
      </w:r>
      <w:r w:rsidRPr="003519EC">
        <w:t xml:space="preserve"> power, SSE has positioned itself to align with societal expectations and regulatory norms</w:t>
      </w:r>
      <w:r w:rsidR="00091EC3" w:rsidRPr="003519EC">
        <w:t>,</w:t>
      </w:r>
      <w:r w:rsidRPr="003519EC">
        <w:t xml:space="preserve"> pushing for greener energy alternatives (</w:t>
      </w:r>
      <w:r w:rsidR="001000C6" w:rsidRPr="003519EC">
        <w:t>U.K.</w:t>
      </w:r>
      <w:r w:rsidRPr="003519EC">
        <w:t xml:space="preserve"> Gov, 20</w:t>
      </w:r>
      <w:r w:rsidR="004D2557" w:rsidRPr="003519EC">
        <w:t>21</w:t>
      </w:r>
      <w:r w:rsidRPr="003519EC">
        <w:t>).</w:t>
      </w:r>
    </w:p>
    <w:p w14:paraId="71D8BB81" w14:textId="6EC410A9" w:rsidR="00AA5DA2" w:rsidRPr="003519EC" w:rsidRDefault="005D12BE" w:rsidP="009C627E">
      <w:pPr>
        <w:spacing w:line="360" w:lineRule="auto"/>
        <w:jc w:val="both"/>
      </w:pPr>
      <w:r w:rsidRPr="003519EC">
        <w:t xml:space="preserve">Investing in renewables </w:t>
      </w:r>
      <w:r w:rsidR="00091EC3" w:rsidRPr="003519EC">
        <w:t>safeguards</w:t>
      </w:r>
      <w:r w:rsidRPr="003519EC">
        <w:t xml:space="preserve"> against future risks associated with fossil fuels, such as potential carbon taxes and the increasing social and regulatory scrutiny these traditional energy sources face </w:t>
      </w:r>
      <w:r w:rsidR="004D2557" w:rsidRPr="003519EC">
        <w:t xml:space="preserve">(Johansen and Euchner, 2013). </w:t>
      </w:r>
      <w:r w:rsidRPr="003519EC">
        <w:t xml:space="preserve">From a microeconomic perspective, such investments represent a diversification strategy </w:t>
      </w:r>
      <w:r w:rsidR="00091EC3" w:rsidRPr="003519EC">
        <w:t>to reduce</w:t>
      </w:r>
      <w:r w:rsidRPr="003519EC">
        <w:t xml:space="preserve"> exposure to these risks. Moreover, these green initiatives attract more customers willing to pay a premium for renewable energy, </w:t>
      </w:r>
      <w:r w:rsidRPr="003519EC">
        <w:lastRenderedPageBreak/>
        <w:t>thereby increasing consumer surplus and potentially generating higher revenues for SSE (Smith, 2022).</w:t>
      </w:r>
    </w:p>
    <w:p w14:paraId="3B032D33" w14:textId="34D58364" w:rsidR="005D12BE" w:rsidRPr="003519EC" w:rsidRDefault="00FA4406" w:rsidP="009C627E">
      <w:pPr>
        <w:pStyle w:val="Heading2"/>
        <w:spacing w:line="360" w:lineRule="auto"/>
        <w:jc w:val="both"/>
        <w:rPr>
          <w:rFonts w:ascii="Times New Roman" w:hAnsi="Times New Roman" w:cs="Times New Roman"/>
          <w:b/>
          <w:bCs/>
        </w:rPr>
      </w:pPr>
      <w:bookmarkStart w:id="20" w:name="_Toc151511039"/>
      <w:r w:rsidRPr="003519EC">
        <w:rPr>
          <w:rFonts w:ascii="Times New Roman" w:hAnsi="Times New Roman" w:cs="Times New Roman"/>
          <w:b/>
          <w:bCs/>
        </w:rPr>
        <w:t>5</w:t>
      </w:r>
      <w:r w:rsidR="00B200FB" w:rsidRPr="003519EC">
        <w:rPr>
          <w:rFonts w:ascii="Times New Roman" w:hAnsi="Times New Roman" w:cs="Times New Roman"/>
          <w:b/>
          <w:bCs/>
        </w:rPr>
        <w:t xml:space="preserve">.1.2 </w:t>
      </w:r>
      <w:r w:rsidR="005D12BE" w:rsidRPr="003519EC">
        <w:rPr>
          <w:rFonts w:ascii="Times New Roman" w:hAnsi="Times New Roman" w:cs="Times New Roman"/>
          <w:b/>
          <w:bCs/>
        </w:rPr>
        <w:t>Competitive Pricing Models</w:t>
      </w:r>
      <w:bookmarkEnd w:id="20"/>
    </w:p>
    <w:p w14:paraId="03E9C95C" w14:textId="779DEAED" w:rsidR="005D12BE" w:rsidRPr="003519EC" w:rsidRDefault="005D12BE" w:rsidP="009C627E">
      <w:pPr>
        <w:spacing w:line="360" w:lineRule="auto"/>
        <w:jc w:val="both"/>
      </w:pPr>
      <w:r w:rsidRPr="003519EC">
        <w:t>Pricing is another microeconomic decision of vital importance to SSE. In a highly competitive market landscape where consumers can easily switch providers, pricing decisions become a core aspect of the company's competitive strategy (Porter, 19</w:t>
      </w:r>
      <w:r w:rsidR="004D2557" w:rsidRPr="003519EC">
        <w:t>8</w:t>
      </w:r>
      <w:r w:rsidRPr="003519EC">
        <w:t xml:space="preserve">9). </w:t>
      </w:r>
      <w:r w:rsidR="007A2173">
        <w:t>Recognising</w:t>
      </w:r>
      <w:r w:rsidRPr="003519EC">
        <w:t xml:space="preserve"> this, SSE has adopted competitive pricing models sensitive to market demand and consumer </w:t>
      </w:r>
      <w:r w:rsidR="00091EC3" w:rsidRPr="003519EC">
        <w:t>behaviour</w:t>
      </w:r>
      <w:r w:rsidRPr="003519EC">
        <w:t xml:space="preserve">. The company frequently offers discounts, bundles, and loyalty programs to retain its customer base </w:t>
      </w:r>
      <w:r w:rsidR="004D2557" w:rsidRPr="003519EC">
        <w:t>(Littlechild and Vaidya, 2019).</w:t>
      </w:r>
    </w:p>
    <w:p w14:paraId="7F2D9489" w14:textId="1B572BF7" w:rsidR="00AA5DA2" w:rsidRPr="003519EC" w:rsidRDefault="005D12BE" w:rsidP="009C627E">
      <w:pPr>
        <w:spacing w:line="360" w:lineRule="auto"/>
        <w:jc w:val="both"/>
      </w:pPr>
      <w:r w:rsidRPr="003519EC">
        <w:t xml:space="preserve">While competitive pricing can attract and retain customers in the short term, it also poses challenges. For example, it may lead to reduced profit margins and less available capital for reinvestment in technology and infrastructure. </w:t>
      </w:r>
      <w:r w:rsidR="00091EC3" w:rsidRPr="003519EC">
        <w:t>Therefore, balancing</w:t>
      </w:r>
      <w:r w:rsidRPr="003519EC">
        <w:t xml:space="preserve"> competitive pricing with profitability is a crucial microeconomic decision for the company </w:t>
      </w:r>
      <w:r w:rsidR="004D2557" w:rsidRPr="003519EC">
        <w:t>(Van Parijs, 1997)</w:t>
      </w:r>
    </w:p>
    <w:p w14:paraId="652EABB4" w14:textId="77777777" w:rsidR="00E61E02" w:rsidRPr="003519EC" w:rsidRDefault="00E61E02" w:rsidP="009C627E">
      <w:pPr>
        <w:spacing w:line="360" w:lineRule="auto"/>
        <w:jc w:val="both"/>
      </w:pPr>
    </w:p>
    <w:p w14:paraId="14327F87" w14:textId="47343C87" w:rsidR="005D12BE" w:rsidRPr="003519EC" w:rsidRDefault="005D12BE" w:rsidP="009C627E">
      <w:pPr>
        <w:spacing w:line="360" w:lineRule="auto"/>
        <w:jc w:val="both"/>
      </w:pPr>
      <w:r w:rsidRPr="003519EC">
        <w:t xml:space="preserve">In summary, SSE's microeconomic decisions reflect a keen understanding of the internal and external variables affecting its business. By strategically investing in renewable energy projects, SSE is aligning itself with environmental and social shifts </w:t>
      </w:r>
      <w:r w:rsidR="00091EC3" w:rsidRPr="003519EC">
        <w:t>and</w:t>
      </w:r>
      <w:r w:rsidRPr="003519EC">
        <w:t xml:space="preserve"> placing itself in a </w:t>
      </w:r>
      <w:r w:rsidR="00091EC3" w:rsidRPr="003519EC">
        <w:t>solid</w:t>
      </w:r>
      <w:r w:rsidRPr="003519EC">
        <w:t xml:space="preserve"> position to </w:t>
      </w:r>
      <w:r w:rsidR="007A2173">
        <w:t>capitalise</w:t>
      </w:r>
      <w:r w:rsidRPr="003519EC">
        <w:t xml:space="preserve"> on future market trends. Simultaneously, its competitive pricing models indicate an acute awareness of market dynamics and consumer </w:t>
      </w:r>
      <w:r w:rsidR="00091EC3" w:rsidRPr="003519EC">
        <w:t>behaviour</w:t>
      </w:r>
      <w:r w:rsidRPr="003519EC">
        <w:t xml:space="preserve">. </w:t>
      </w:r>
      <w:r w:rsidR="00091EC3" w:rsidRPr="003519EC">
        <w:t>Although</w:t>
      </w:r>
      <w:r w:rsidRPr="003519EC">
        <w:t xml:space="preserve"> laden with challenges, </w:t>
      </w:r>
      <w:r w:rsidR="00091EC3" w:rsidRPr="003519EC">
        <w:t xml:space="preserve">these strategies </w:t>
      </w:r>
      <w:r w:rsidRPr="003519EC">
        <w:t xml:space="preserve">represent a holistic approach to </w:t>
      </w:r>
      <w:r w:rsidR="00091EC3" w:rsidRPr="003519EC">
        <w:t>adapting and thriving</w:t>
      </w:r>
      <w:r w:rsidRPr="003519EC">
        <w:t xml:space="preserve"> in a complex and evolving market landscape.</w:t>
      </w:r>
    </w:p>
    <w:p w14:paraId="278B00A3" w14:textId="7137B1D1" w:rsidR="00CF4CA8" w:rsidRPr="003519EC" w:rsidRDefault="00FA4406" w:rsidP="003001F7">
      <w:pPr>
        <w:pStyle w:val="Heading1"/>
        <w:spacing w:line="360" w:lineRule="auto"/>
        <w:rPr>
          <w:rFonts w:ascii="Times New Roman" w:hAnsi="Times New Roman" w:cs="Times New Roman"/>
          <w:b/>
          <w:bCs/>
          <w:sz w:val="28"/>
          <w:szCs w:val="28"/>
        </w:rPr>
      </w:pPr>
      <w:bookmarkStart w:id="21" w:name="_Toc151511040"/>
      <w:r w:rsidRPr="003519EC">
        <w:rPr>
          <w:rFonts w:ascii="Times New Roman" w:hAnsi="Times New Roman" w:cs="Times New Roman"/>
          <w:b/>
          <w:bCs/>
          <w:sz w:val="28"/>
          <w:szCs w:val="28"/>
        </w:rPr>
        <w:t>6</w:t>
      </w:r>
      <w:r w:rsidR="008C70A6" w:rsidRPr="003519EC">
        <w:rPr>
          <w:rFonts w:ascii="Times New Roman" w:hAnsi="Times New Roman" w:cs="Times New Roman"/>
          <w:b/>
          <w:bCs/>
          <w:sz w:val="28"/>
          <w:szCs w:val="28"/>
        </w:rPr>
        <w:t xml:space="preserve">.0 </w:t>
      </w:r>
      <w:r w:rsidR="00012B04" w:rsidRPr="003519EC">
        <w:rPr>
          <w:rFonts w:ascii="Times New Roman" w:hAnsi="Times New Roman" w:cs="Times New Roman"/>
          <w:b/>
          <w:bCs/>
          <w:sz w:val="28"/>
          <w:szCs w:val="28"/>
        </w:rPr>
        <w:t xml:space="preserve">SWOT </w:t>
      </w:r>
      <w:r w:rsidR="008C70A6" w:rsidRPr="003519EC">
        <w:rPr>
          <w:rFonts w:ascii="Times New Roman" w:hAnsi="Times New Roman" w:cs="Times New Roman"/>
          <w:b/>
          <w:bCs/>
          <w:sz w:val="28"/>
          <w:szCs w:val="28"/>
        </w:rPr>
        <w:t>Analysis of SSE's Strategic Position &amp; Microeconomic Implications</w:t>
      </w:r>
      <w:bookmarkEnd w:id="21"/>
    </w:p>
    <w:p w14:paraId="5D69241E" w14:textId="77777777" w:rsidR="00CF4CA8" w:rsidRPr="003519EC" w:rsidRDefault="00CF4CA8" w:rsidP="00CF4CA8">
      <w:pPr>
        <w:spacing w:line="360" w:lineRule="auto"/>
        <w:jc w:val="both"/>
      </w:pPr>
      <w:r w:rsidRPr="003519EC">
        <w:rPr>
          <w:b/>
          <w:bCs/>
        </w:rPr>
        <w:t>Findings from SWOT Analysis:</w:t>
      </w:r>
      <w:r w:rsidRPr="003519EC">
        <w:t xml:space="preserve"> Diving deeper into SSE's operations through our SWOT analysis, we have pinpointed several essential facets of the company's standing in the energy industry:</w:t>
      </w:r>
    </w:p>
    <w:p w14:paraId="259B7A4D" w14:textId="77777777" w:rsidR="00CF4CA8" w:rsidRPr="003519EC" w:rsidRDefault="00CF4CA8" w:rsidP="00CF4CA8">
      <w:pPr>
        <w:spacing w:line="360" w:lineRule="auto"/>
        <w:jc w:val="both"/>
      </w:pPr>
      <w:r w:rsidRPr="003519EC">
        <w:t xml:space="preserve">• </w:t>
      </w:r>
      <w:r w:rsidRPr="003519EC">
        <w:rPr>
          <w:b/>
          <w:bCs/>
        </w:rPr>
        <w:t>Strengths:</w:t>
      </w:r>
    </w:p>
    <w:p w14:paraId="58AFA8EC" w14:textId="03CFC662" w:rsidR="00CF4CA8" w:rsidRPr="003519EC" w:rsidRDefault="00CF4CA8" w:rsidP="00CF4CA8">
      <w:pPr>
        <w:numPr>
          <w:ilvl w:val="0"/>
          <w:numId w:val="26"/>
        </w:numPr>
        <w:spacing w:line="360" w:lineRule="auto"/>
        <w:jc w:val="both"/>
      </w:pPr>
      <w:r w:rsidRPr="003519EC">
        <w:t>SSE boasts of a formidable infrastructure</w:t>
      </w:r>
      <w:r w:rsidR="002315BA" w:rsidRPr="003519EC">
        <w:t>,</w:t>
      </w:r>
      <w:r w:rsidRPr="003519EC">
        <w:t xml:space="preserve"> coupled with its expansive consumer base, </w:t>
      </w:r>
      <w:r w:rsidR="002315BA" w:rsidRPr="003519EC">
        <w:t>providing</w:t>
      </w:r>
      <w:r w:rsidRPr="003519EC">
        <w:t xml:space="preserve"> it with a pronounced edge in the energy sector (Smith &amp; Johnson, 2022).</w:t>
      </w:r>
    </w:p>
    <w:p w14:paraId="65F0547A" w14:textId="6022AFF9" w:rsidR="00CF4CA8" w:rsidRPr="003519EC" w:rsidRDefault="00CF4CA8" w:rsidP="00CF4CA8">
      <w:pPr>
        <w:numPr>
          <w:ilvl w:val="0"/>
          <w:numId w:val="26"/>
        </w:numPr>
        <w:spacing w:line="360" w:lineRule="auto"/>
        <w:jc w:val="both"/>
      </w:pPr>
      <w:r w:rsidRPr="003519EC">
        <w:t xml:space="preserve">Its unwavering commitment to renewable energy initiatives has positioned it favourably in sustainability </w:t>
      </w:r>
      <w:r w:rsidR="002315BA" w:rsidRPr="003519EC">
        <w:t>and</w:t>
      </w:r>
      <w:r w:rsidRPr="003519EC">
        <w:t xml:space="preserve"> garnered considerable accolades and trust among its stakeholders </w:t>
      </w:r>
      <w:r w:rsidR="00653E11" w:rsidRPr="003519EC">
        <w:t>(Mehta, 2019).</w:t>
      </w:r>
    </w:p>
    <w:p w14:paraId="4FE5B7FE" w14:textId="77777777" w:rsidR="00CF4CA8" w:rsidRPr="003519EC" w:rsidRDefault="00CF4CA8" w:rsidP="00CF4CA8">
      <w:pPr>
        <w:numPr>
          <w:ilvl w:val="0"/>
          <w:numId w:val="26"/>
        </w:numPr>
        <w:spacing w:line="360" w:lineRule="auto"/>
        <w:jc w:val="both"/>
      </w:pPr>
      <w:r w:rsidRPr="003519EC">
        <w:lastRenderedPageBreak/>
        <w:t>Furthermore, its long-standing experience in the industry offers a rich reservoir of knowledge and expertise that many new entrants lack.</w:t>
      </w:r>
    </w:p>
    <w:p w14:paraId="3AD065CA" w14:textId="77777777" w:rsidR="00CF4CA8" w:rsidRPr="003519EC" w:rsidRDefault="00CF4CA8" w:rsidP="00CF4CA8">
      <w:pPr>
        <w:spacing w:line="360" w:lineRule="auto"/>
        <w:jc w:val="both"/>
      </w:pPr>
      <w:r w:rsidRPr="003519EC">
        <w:t xml:space="preserve">• </w:t>
      </w:r>
      <w:r w:rsidRPr="003519EC">
        <w:rPr>
          <w:b/>
          <w:bCs/>
        </w:rPr>
        <w:t>Weaknesses:</w:t>
      </w:r>
    </w:p>
    <w:p w14:paraId="67DDBA0A" w14:textId="1CB37011" w:rsidR="00CF4CA8" w:rsidRPr="003519EC" w:rsidRDefault="00CF4CA8" w:rsidP="00CF4CA8">
      <w:pPr>
        <w:numPr>
          <w:ilvl w:val="0"/>
          <w:numId w:val="27"/>
        </w:numPr>
        <w:spacing w:line="360" w:lineRule="auto"/>
        <w:jc w:val="both"/>
      </w:pPr>
      <w:r w:rsidRPr="003519EC">
        <w:t xml:space="preserve">Even with its impressive strengths, SSE grapples with a few challenges. Legacy technologies in some operations sectors might hinder rapid </w:t>
      </w:r>
      <w:r w:rsidR="007A2173">
        <w:t>modernisation</w:t>
      </w:r>
      <w:r w:rsidRPr="003519EC">
        <w:t xml:space="preserve"> </w:t>
      </w:r>
      <w:r w:rsidR="00653E11" w:rsidRPr="003519EC">
        <w:t>(Jinyue </w:t>
      </w:r>
      <w:r w:rsidR="00653E11" w:rsidRPr="003519EC">
        <w:rPr>
          <w:i/>
          <w:iCs/>
        </w:rPr>
        <w:t>et al.</w:t>
      </w:r>
      <w:r w:rsidR="00653E11" w:rsidRPr="003519EC">
        <w:t>, 2019).</w:t>
      </w:r>
    </w:p>
    <w:p w14:paraId="403712A9" w14:textId="15DA73D9" w:rsidR="00CF4CA8" w:rsidRPr="003519EC" w:rsidRDefault="00CF4CA8" w:rsidP="00CF4CA8">
      <w:pPr>
        <w:numPr>
          <w:ilvl w:val="0"/>
          <w:numId w:val="27"/>
        </w:numPr>
        <w:spacing w:line="360" w:lineRule="auto"/>
        <w:jc w:val="both"/>
      </w:pPr>
      <w:r w:rsidRPr="003519EC">
        <w:t>The financial and logistical intricacies of transitioning fully to green energy also pose challenges, especially in light of stiff competition from agile competitors who bring fresh, disruptive solutions.</w:t>
      </w:r>
    </w:p>
    <w:p w14:paraId="1BD3AEFE" w14:textId="77777777" w:rsidR="00CF4CA8" w:rsidRPr="003519EC" w:rsidRDefault="00CF4CA8" w:rsidP="00CF4CA8">
      <w:pPr>
        <w:numPr>
          <w:ilvl w:val="0"/>
          <w:numId w:val="27"/>
        </w:numPr>
        <w:spacing w:line="360" w:lineRule="auto"/>
        <w:jc w:val="both"/>
      </w:pPr>
      <w:r w:rsidRPr="003519EC">
        <w:t>Moreover, the company's traditional business model might need a revamp to stay relevant in an evolving energy landscape.</w:t>
      </w:r>
    </w:p>
    <w:p w14:paraId="22ED18B2" w14:textId="77777777" w:rsidR="00CF4CA8" w:rsidRPr="003519EC" w:rsidRDefault="00CF4CA8" w:rsidP="00CF4CA8">
      <w:pPr>
        <w:spacing w:line="360" w:lineRule="auto"/>
        <w:jc w:val="both"/>
      </w:pPr>
      <w:r w:rsidRPr="003519EC">
        <w:t xml:space="preserve">• </w:t>
      </w:r>
      <w:r w:rsidRPr="003519EC">
        <w:rPr>
          <w:b/>
          <w:bCs/>
        </w:rPr>
        <w:t>Opportunities:</w:t>
      </w:r>
    </w:p>
    <w:p w14:paraId="7CD93702" w14:textId="17FF38F0" w:rsidR="00CF4CA8" w:rsidRPr="003519EC" w:rsidRDefault="00CF4CA8" w:rsidP="00CF4CA8">
      <w:pPr>
        <w:numPr>
          <w:ilvl w:val="0"/>
          <w:numId w:val="28"/>
        </w:numPr>
        <w:spacing w:line="360" w:lineRule="auto"/>
        <w:jc w:val="both"/>
      </w:pPr>
      <w:r w:rsidRPr="003519EC">
        <w:t xml:space="preserve">As the global narrative increasingly veers towards sustainability, SSE is uniquely positioned to be a frontrunner in </w:t>
      </w:r>
      <w:r w:rsidR="002315BA" w:rsidRPr="003519EC">
        <w:t>adopting</w:t>
      </w:r>
      <w:r w:rsidRPr="003519EC">
        <w:t xml:space="preserve"> renewable energy </w:t>
      </w:r>
      <w:r w:rsidR="00653E11" w:rsidRPr="003519EC">
        <w:t>(Moore, 2022).</w:t>
      </w:r>
    </w:p>
    <w:p w14:paraId="34203978" w14:textId="77777777" w:rsidR="00CF4CA8" w:rsidRPr="003519EC" w:rsidRDefault="00CF4CA8" w:rsidP="00CF4CA8">
      <w:pPr>
        <w:numPr>
          <w:ilvl w:val="0"/>
          <w:numId w:val="28"/>
        </w:numPr>
        <w:spacing w:line="360" w:lineRule="auto"/>
        <w:jc w:val="both"/>
      </w:pPr>
      <w:r w:rsidRPr="003519EC">
        <w:t>There's a burgeoning market for new energy storage technologies and micro-grid solutions, areas where SSE can expand its portfolio.</w:t>
      </w:r>
    </w:p>
    <w:p w14:paraId="53498018" w14:textId="46D37621" w:rsidR="00CF4CA8" w:rsidRPr="003519EC" w:rsidRDefault="00CF4CA8" w:rsidP="00CF4CA8">
      <w:pPr>
        <w:numPr>
          <w:ilvl w:val="0"/>
          <w:numId w:val="28"/>
        </w:numPr>
        <w:spacing w:line="360" w:lineRule="auto"/>
        <w:jc w:val="both"/>
      </w:pPr>
      <w:r w:rsidRPr="003519EC">
        <w:t xml:space="preserve">Furthermore, strategic collaborations, mergers, or acquisitions with technology firms or </w:t>
      </w:r>
      <w:r w:rsidR="002315BA" w:rsidRPr="003519EC">
        <w:t>startups</w:t>
      </w:r>
      <w:r w:rsidRPr="003519EC">
        <w:t xml:space="preserve"> could amplify SSE's reach and technological capabilities, creating synergies that can </w:t>
      </w:r>
      <w:r w:rsidR="002315BA" w:rsidRPr="003519EC">
        <w:t>benefit immensely</w:t>
      </w:r>
      <w:r w:rsidRPr="003519EC">
        <w:t xml:space="preserve"> in the long run.</w:t>
      </w:r>
    </w:p>
    <w:p w14:paraId="45C3E7D8" w14:textId="77777777" w:rsidR="00CF4CA8" w:rsidRPr="003519EC" w:rsidRDefault="00CF4CA8" w:rsidP="00CF4CA8">
      <w:pPr>
        <w:spacing w:line="360" w:lineRule="auto"/>
        <w:jc w:val="both"/>
      </w:pPr>
      <w:r w:rsidRPr="003519EC">
        <w:t xml:space="preserve">• </w:t>
      </w:r>
      <w:r w:rsidRPr="003519EC">
        <w:rPr>
          <w:b/>
          <w:bCs/>
        </w:rPr>
        <w:t>Threats:</w:t>
      </w:r>
    </w:p>
    <w:p w14:paraId="07A21C1E" w14:textId="28865A8B" w:rsidR="00CF4CA8" w:rsidRPr="003519EC" w:rsidRDefault="00CF4CA8" w:rsidP="00CF4CA8">
      <w:pPr>
        <w:numPr>
          <w:ilvl w:val="0"/>
          <w:numId w:val="29"/>
        </w:numPr>
        <w:spacing w:line="360" w:lineRule="auto"/>
        <w:jc w:val="both"/>
      </w:pPr>
      <w:r w:rsidRPr="003519EC">
        <w:t xml:space="preserve">Regulatory dynamics remain fluid, </w:t>
      </w:r>
      <w:r w:rsidR="002315BA" w:rsidRPr="003519EC">
        <w:t>so SSE must</w:t>
      </w:r>
      <w:r w:rsidRPr="003519EC">
        <w:t xml:space="preserve"> stay abreast with policy changes and adapt promptly (Roberts, 2021).</w:t>
      </w:r>
    </w:p>
    <w:p w14:paraId="711D6BC9" w14:textId="59A74341" w:rsidR="00CF4CA8" w:rsidRPr="003519EC" w:rsidRDefault="00CF4CA8" w:rsidP="00CF4CA8">
      <w:pPr>
        <w:numPr>
          <w:ilvl w:val="0"/>
          <w:numId w:val="29"/>
        </w:numPr>
        <w:spacing w:line="360" w:lineRule="auto"/>
        <w:jc w:val="both"/>
      </w:pPr>
      <w:r w:rsidRPr="003519EC">
        <w:t xml:space="preserve">The global energy sector is notorious for its price </w:t>
      </w:r>
      <w:r w:rsidR="002315BA" w:rsidRPr="003519EC">
        <w:t>volatility</w:t>
      </w:r>
      <w:r w:rsidRPr="003519EC">
        <w:t xml:space="preserve">, </w:t>
      </w:r>
      <w:r w:rsidR="002315BA" w:rsidRPr="003519EC">
        <w:t>impacting</w:t>
      </w:r>
      <w:r w:rsidRPr="003519EC">
        <w:t xml:space="preserve"> SSE's revenue streams and operational costs.</w:t>
      </w:r>
    </w:p>
    <w:p w14:paraId="10BCE367" w14:textId="467FC11F" w:rsidR="00CF4CA8" w:rsidRPr="003519EC" w:rsidRDefault="00CF4CA8" w:rsidP="00CF4CA8">
      <w:pPr>
        <w:numPr>
          <w:ilvl w:val="0"/>
          <w:numId w:val="29"/>
        </w:numPr>
        <w:spacing w:line="360" w:lineRule="auto"/>
        <w:jc w:val="both"/>
      </w:pPr>
      <w:r w:rsidRPr="003519EC">
        <w:t xml:space="preserve">With the rise of </w:t>
      </w:r>
      <w:r w:rsidR="007A2173">
        <w:t>decentralised</w:t>
      </w:r>
      <w:r w:rsidRPr="003519EC">
        <w:t xml:space="preserve"> energy production models and peer-to-peer energy sharing platforms, the traditional utility model faces potential disruption, demanding </w:t>
      </w:r>
      <w:r w:rsidR="00550EA9" w:rsidRPr="003519EC">
        <w:t>pre-emptive</w:t>
      </w:r>
      <w:r w:rsidRPr="003519EC">
        <w:t xml:space="preserve"> strategies from established players like SSE.</w:t>
      </w:r>
    </w:p>
    <w:p w14:paraId="04E4C285" w14:textId="4B3995A9" w:rsidR="00AC4C4B" w:rsidRPr="003519EC" w:rsidRDefault="00CF4CA8" w:rsidP="00AC4C4B">
      <w:pPr>
        <w:spacing w:line="360" w:lineRule="auto"/>
        <w:jc w:val="both"/>
      </w:pPr>
      <w:r w:rsidRPr="003519EC">
        <w:t>Given these findings, it's evident that while SSE has significant strengths to lean on, a proactive, adaptive, and innovative approach will be paramount for its sustained growth and leadership in the industry.</w:t>
      </w:r>
    </w:p>
    <w:p w14:paraId="31AFFA11" w14:textId="2E6CB8C8" w:rsidR="00AC4C4B" w:rsidRPr="003519EC" w:rsidRDefault="00AC4C4B" w:rsidP="00F716B8">
      <w:pPr>
        <w:spacing w:line="360" w:lineRule="auto"/>
        <w:jc w:val="center"/>
      </w:pPr>
      <w:r w:rsidRPr="003519EC">
        <w:rPr>
          <w:noProof/>
          <w14:ligatures w14:val="standardContextual"/>
        </w:rPr>
        <w:lastRenderedPageBreak/>
        <w:drawing>
          <wp:inline distT="0" distB="0" distL="0" distR="0" wp14:anchorId="1BF99345" wp14:editId="6F522959">
            <wp:extent cx="5486400" cy="3200400"/>
            <wp:effectExtent l="0" t="0" r="0" b="0"/>
            <wp:docPr id="65223127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0F8C40B" w14:textId="06268542" w:rsidR="00012B04" w:rsidRPr="003519EC" w:rsidRDefault="00012B04" w:rsidP="008E168D">
      <w:pPr>
        <w:spacing w:line="360" w:lineRule="auto"/>
        <w:jc w:val="center"/>
        <w:rPr>
          <w:b/>
          <w:bCs/>
        </w:rPr>
      </w:pPr>
      <w:r w:rsidRPr="003519EC">
        <w:rPr>
          <w:b/>
          <w:bCs/>
        </w:rPr>
        <w:t xml:space="preserve">Figure </w:t>
      </w:r>
      <w:r w:rsidR="00550EA9" w:rsidRPr="003519EC">
        <w:rPr>
          <w:b/>
          <w:bCs/>
        </w:rPr>
        <w:t>4</w:t>
      </w:r>
      <w:r w:rsidRPr="003519EC">
        <w:rPr>
          <w:b/>
          <w:bCs/>
        </w:rPr>
        <w:t>: SWOT analysis of SSE's Strategic Position &amp; Microeconomic Implications</w:t>
      </w:r>
    </w:p>
    <w:p w14:paraId="4069232F" w14:textId="3C947D81" w:rsidR="008C70A6" w:rsidRPr="003519EC" w:rsidRDefault="00FA4406" w:rsidP="008C70A6">
      <w:pPr>
        <w:pStyle w:val="Heading1"/>
        <w:spacing w:line="360" w:lineRule="auto"/>
        <w:rPr>
          <w:rFonts w:ascii="Times New Roman" w:hAnsi="Times New Roman" w:cs="Times New Roman"/>
          <w:b/>
          <w:bCs/>
          <w:sz w:val="28"/>
          <w:szCs w:val="28"/>
        </w:rPr>
      </w:pPr>
      <w:bookmarkStart w:id="22" w:name="_Toc151511041"/>
      <w:r w:rsidRPr="003519EC">
        <w:rPr>
          <w:rFonts w:ascii="Times New Roman" w:hAnsi="Times New Roman" w:cs="Times New Roman"/>
          <w:b/>
          <w:bCs/>
          <w:sz w:val="28"/>
          <w:szCs w:val="28"/>
        </w:rPr>
        <w:t>6</w:t>
      </w:r>
      <w:r w:rsidR="008C70A6" w:rsidRPr="003519EC">
        <w:rPr>
          <w:rFonts w:ascii="Times New Roman" w:hAnsi="Times New Roman" w:cs="Times New Roman"/>
          <w:b/>
          <w:bCs/>
          <w:sz w:val="28"/>
          <w:szCs w:val="28"/>
        </w:rPr>
        <w:t>.1 Strategic Directions &amp; Microeconomic Implications</w:t>
      </w:r>
      <w:bookmarkEnd w:id="22"/>
    </w:p>
    <w:p w14:paraId="1C778EBA" w14:textId="36F421E2" w:rsidR="008C70A6" w:rsidRPr="003519EC" w:rsidRDefault="008C70A6" w:rsidP="008C70A6">
      <w:pPr>
        <w:numPr>
          <w:ilvl w:val="0"/>
          <w:numId w:val="24"/>
        </w:numPr>
        <w:spacing w:line="360" w:lineRule="auto"/>
        <w:jc w:val="both"/>
      </w:pPr>
      <w:r w:rsidRPr="003519EC">
        <w:rPr>
          <w:b/>
          <w:bCs/>
        </w:rPr>
        <w:t>Exploiting Opportunities with Current Strengths:</w:t>
      </w:r>
      <w:r w:rsidRPr="003519EC">
        <w:t xml:space="preserve"> SSE can leverage its existing infrastructure to accelerate its transition to renewable energy (Smith &amp; Johnson, 2022). This approach will necessitate significant capital expenditure but can lead to long-term cost savings and increased market share (Garcia &amp; Lee, 2022). At the microeconomic level, it means </w:t>
      </w:r>
      <w:r w:rsidR="007A2173">
        <w:t>prioritising</w:t>
      </w:r>
      <w:r w:rsidRPr="003519EC">
        <w:t xml:space="preserve"> investments that promise higher returns and considering how pricing strategies might shift as the energy mix changes</w:t>
      </w:r>
      <w:r w:rsidR="00653E11" w:rsidRPr="003519EC">
        <w:rPr>
          <w:color w:val="000000"/>
          <w:sz w:val="27"/>
          <w:szCs w:val="27"/>
        </w:rPr>
        <w:t xml:space="preserve"> </w:t>
      </w:r>
      <w:r w:rsidR="00653E11" w:rsidRPr="003519EC">
        <w:t>(Jinyue </w:t>
      </w:r>
      <w:r w:rsidR="00653E11" w:rsidRPr="003519EC">
        <w:rPr>
          <w:i/>
          <w:iCs/>
        </w:rPr>
        <w:t>et al.</w:t>
      </w:r>
      <w:r w:rsidR="00653E11" w:rsidRPr="003519EC">
        <w:t>, 2019).</w:t>
      </w:r>
    </w:p>
    <w:p w14:paraId="31AB4871" w14:textId="522B3674" w:rsidR="008C70A6" w:rsidRPr="003519EC" w:rsidRDefault="008C70A6" w:rsidP="008C70A6">
      <w:pPr>
        <w:numPr>
          <w:ilvl w:val="0"/>
          <w:numId w:val="24"/>
        </w:numPr>
        <w:spacing w:line="360" w:lineRule="auto"/>
        <w:jc w:val="both"/>
      </w:pPr>
      <w:r w:rsidRPr="003519EC">
        <w:rPr>
          <w:b/>
          <w:bCs/>
        </w:rPr>
        <w:t>Overcoming Weaknesses to Nullify Threats:</w:t>
      </w:r>
      <w:r w:rsidRPr="003519EC">
        <w:t xml:space="preserve"> To mitigate the threat from newer entrants, SSE could invest in R&amp;D or form strategic alliances to bring innovation faster to the market </w:t>
      </w:r>
      <w:r w:rsidR="00653E11" w:rsidRPr="003519EC">
        <w:t xml:space="preserve">(Mehta, 2019). </w:t>
      </w:r>
      <w:r w:rsidRPr="003519EC">
        <w:t xml:space="preserve">Addressing its legacy technology will require SSE to phase out older assets, potentially leading to short-term revenue losses </w:t>
      </w:r>
      <w:r w:rsidR="00653E11" w:rsidRPr="003519EC">
        <w:t>(Jinyue </w:t>
      </w:r>
      <w:r w:rsidR="00653E11" w:rsidRPr="003519EC">
        <w:rPr>
          <w:i/>
          <w:iCs/>
        </w:rPr>
        <w:t>et al.</w:t>
      </w:r>
      <w:r w:rsidR="00653E11" w:rsidRPr="003519EC">
        <w:t xml:space="preserve">, 2019). </w:t>
      </w:r>
      <w:r w:rsidRPr="003519EC">
        <w:t>On the microeconomic front, this involves weighing the costs of keeping outdated assets running versus the investment needed for upgrades.</w:t>
      </w:r>
    </w:p>
    <w:p w14:paraId="1306ECD9" w14:textId="2A816609" w:rsidR="008C70A6" w:rsidRPr="003519EC" w:rsidRDefault="008C70A6" w:rsidP="008C70A6">
      <w:pPr>
        <w:numPr>
          <w:ilvl w:val="0"/>
          <w:numId w:val="24"/>
        </w:numPr>
        <w:spacing w:line="360" w:lineRule="auto"/>
        <w:jc w:val="both"/>
      </w:pPr>
      <w:r w:rsidRPr="003519EC">
        <w:rPr>
          <w:b/>
          <w:bCs/>
        </w:rPr>
        <w:t>Leveraging Strengths to Counter Threats:</w:t>
      </w:r>
      <w:r w:rsidRPr="003519EC">
        <w:t xml:space="preserve"> Regulatory changes pose challenges </w:t>
      </w:r>
      <w:r w:rsidR="002315BA" w:rsidRPr="003519EC">
        <w:t>and</w:t>
      </w:r>
      <w:r w:rsidRPr="003519EC">
        <w:t xml:space="preserve"> offer opportunities. With its established reputation, SSE can proactively engage with policymakers to shape future regulations beneficially </w:t>
      </w:r>
      <w:r w:rsidR="00653E11" w:rsidRPr="003519EC">
        <w:t xml:space="preserve">(OFGEM, 2023). </w:t>
      </w:r>
      <w:r w:rsidRPr="003519EC">
        <w:t>Microeconomically, this engagement can lead to more predictable operating environments and better investment decisions.</w:t>
      </w:r>
    </w:p>
    <w:p w14:paraId="6F344793" w14:textId="641F7F74" w:rsidR="008C70A6" w:rsidRPr="003519EC" w:rsidRDefault="008C70A6" w:rsidP="008C70A6">
      <w:pPr>
        <w:numPr>
          <w:ilvl w:val="0"/>
          <w:numId w:val="24"/>
        </w:numPr>
        <w:spacing w:line="360" w:lineRule="auto"/>
        <w:jc w:val="both"/>
      </w:pPr>
      <w:r w:rsidRPr="003519EC">
        <w:rPr>
          <w:b/>
          <w:bCs/>
        </w:rPr>
        <w:lastRenderedPageBreak/>
        <w:t>Strategically Addressing Weaknesses:</w:t>
      </w:r>
      <w:r w:rsidRPr="003519EC">
        <w:t xml:space="preserve"> </w:t>
      </w:r>
      <w:r w:rsidR="002315BA" w:rsidRPr="003519EC">
        <w:t>SSE might look at innovative financing methods or partnerships to</w:t>
      </w:r>
      <w:r w:rsidRPr="003519EC">
        <w:t xml:space="preserve"> tackle the high costs of transitioning to green energy (Garcia &amp; Lee, 2022). Microeconomically, this could involve assessing the balance sheet to determine the best financing methods, considering interest rates, and potential impacts on profitability.</w:t>
      </w:r>
    </w:p>
    <w:p w14:paraId="3F91C01B" w14:textId="67CF1C38" w:rsidR="008C70A6" w:rsidRPr="003519EC" w:rsidRDefault="008C70A6" w:rsidP="00371A2D">
      <w:pPr>
        <w:spacing w:line="360" w:lineRule="auto"/>
        <w:jc w:val="both"/>
      </w:pPr>
      <w:r w:rsidRPr="003519EC">
        <w:t xml:space="preserve">For SSE to remain at the forefront of the energy sector, it </w:t>
      </w:r>
      <w:r w:rsidR="002A2F2B" w:rsidRPr="003519EC">
        <w:t>must</w:t>
      </w:r>
      <w:r w:rsidRPr="003519EC">
        <w:t xml:space="preserve"> strategically address its SWOT findings, </w:t>
      </w:r>
      <w:r w:rsidR="002315BA" w:rsidRPr="003519EC">
        <w:t>considering each decision's microeconomic implications</w:t>
      </w:r>
      <w:r w:rsidRPr="003519EC">
        <w:t xml:space="preserve">. Whether it's choosing where to invest, how to price its services, or when to phase out assets, each decision will ripple through the </w:t>
      </w:r>
      <w:r w:rsidR="007A2173">
        <w:t>organisation</w:t>
      </w:r>
      <w:r w:rsidRPr="003519EC">
        <w:t xml:space="preserve">, impacting its long-term viability and profitability. SSE can navigate its challenges </w:t>
      </w:r>
      <w:r w:rsidR="002315BA" w:rsidRPr="003519EC">
        <w:t>and</w:t>
      </w:r>
      <w:r w:rsidRPr="003519EC">
        <w:t xml:space="preserve"> thrive in the evolving energy landscape</w:t>
      </w:r>
      <w:r w:rsidR="002A2F2B" w:rsidRPr="003519EC">
        <w:t xml:space="preserve"> by being proactive and strategic</w:t>
      </w:r>
      <w:r w:rsidRPr="003519EC">
        <w:t>.</w:t>
      </w:r>
    </w:p>
    <w:p w14:paraId="2260C6A4" w14:textId="2F553408" w:rsidR="008C70A6" w:rsidRPr="003519EC" w:rsidRDefault="00FA4406" w:rsidP="00963C9C">
      <w:pPr>
        <w:pStyle w:val="Heading1"/>
        <w:spacing w:line="360" w:lineRule="auto"/>
        <w:rPr>
          <w:rFonts w:ascii="Times New Roman" w:hAnsi="Times New Roman" w:cs="Times New Roman"/>
          <w:b/>
          <w:bCs/>
          <w:sz w:val="28"/>
          <w:szCs w:val="28"/>
        </w:rPr>
      </w:pPr>
      <w:bookmarkStart w:id="23" w:name="_Toc151511042"/>
      <w:r w:rsidRPr="003519EC">
        <w:rPr>
          <w:rFonts w:ascii="Times New Roman" w:hAnsi="Times New Roman" w:cs="Times New Roman"/>
          <w:b/>
          <w:bCs/>
          <w:sz w:val="28"/>
          <w:szCs w:val="28"/>
        </w:rPr>
        <w:t>7</w:t>
      </w:r>
      <w:r w:rsidR="008C70A6" w:rsidRPr="003519EC">
        <w:rPr>
          <w:rFonts w:ascii="Times New Roman" w:hAnsi="Times New Roman" w:cs="Times New Roman"/>
          <w:b/>
          <w:bCs/>
          <w:sz w:val="28"/>
          <w:szCs w:val="28"/>
        </w:rPr>
        <w:t>.0 Conclusion and Outlook</w:t>
      </w:r>
      <w:bookmarkEnd w:id="23"/>
    </w:p>
    <w:p w14:paraId="6016E3D1" w14:textId="5FF9FC37" w:rsidR="00AC4C4B" w:rsidRPr="003519EC" w:rsidRDefault="00FA4406" w:rsidP="00963C9C">
      <w:pPr>
        <w:pStyle w:val="Heading2"/>
        <w:spacing w:line="360" w:lineRule="auto"/>
        <w:rPr>
          <w:rFonts w:ascii="Times New Roman" w:hAnsi="Times New Roman" w:cs="Times New Roman"/>
          <w:b/>
          <w:bCs/>
        </w:rPr>
      </w:pPr>
      <w:bookmarkStart w:id="24" w:name="_Toc151511043"/>
      <w:r w:rsidRPr="003519EC">
        <w:rPr>
          <w:rFonts w:ascii="Times New Roman" w:hAnsi="Times New Roman" w:cs="Times New Roman"/>
          <w:b/>
          <w:bCs/>
        </w:rPr>
        <w:t>7</w:t>
      </w:r>
      <w:r w:rsidR="008C70A6" w:rsidRPr="003519EC">
        <w:rPr>
          <w:rFonts w:ascii="Times New Roman" w:hAnsi="Times New Roman" w:cs="Times New Roman"/>
          <w:b/>
          <w:bCs/>
        </w:rPr>
        <w:t>.1 Current Position and Strategic Choices</w:t>
      </w:r>
      <w:bookmarkEnd w:id="24"/>
      <w:r w:rsidR="008C70A6" w:rsidRPr="003519EC">
        <w:rPr>
          <w:rFonts w:ascii="Times New Roman" w:hAnsi="Times New Roman" w:cs="Times New Roman"/>
          <w:b/>
          <w:bCs/>
        </w:rPr>
        <w:t xml:space="preserve"> </w:t>
      </w:r>
    </w:p>
    <w:p w14:paraId="75B1416A" w14:textId="409CE8CB" w:rsidR="008C70A6" w:rsidRPr="003519EC" w:rsidRDefault="008C70A6" w:rsidP="00963C9C">
      <w:pPr>
        <w:spacing w:line="360" w:lineRule="auto"/>
        <w:jc w:val="both"/>
      </w:pPr>
      <w:r w:rsidRPr="003519EC">
        <w:t>Southern and Scottish Energy (SSE) finds itself at a pivotal crossroads. As the industry undergoes unprecedented shifts towards sustainability and digital transformation, SSE's position as a potential leader in this transition is reinforced. The company's robust infrastructure and strong consumer base play a significant role in this potential leadership (Smith &amp; Johnson, 2022). Past investments in renewable energy and its commitment to competitive pricing models further position SSE at the forefront of industry evolution, aligning with market trends and societal demands (Smith, 2022).</w:t>
      </w:r>
    </w:p>
    <w:p w14:paraId="4757241E" w14:textId="0820043A" w:rsidR="00AC4C4B" w:rsidRPr="003519EC" w:rsidRDefault="00FA4406" w:rsidP="00FA4406">
      <w:pPr>
        <w:pStyle w:val="Heading2"/>
        <w:spacing w:line="360" w:lineRule="auto"/>
        <w:rPr>
          <w:rFonts w:ascii="Times New Roman" w:hAnsi="Times New Roman" w:cs="Times New Roman"/>
          <w:b/>
          <w:bCs/>
        </w:rPr>
      </w:pPr>
      <w:bookmarkStart w:id="25" w:name="_Toc151511044"/>
      <w:r w:rsidRPr="003519EC">
        <w:rPr>
          <w:rFonts w:ascii="Times New Roman" w:hAnsi="Times New Roman" w:cs="Times New Roman"/>
          <w:b/>
          <w:bCs/>
        </w:rPr>
        <w:t>7</w:t>
      </w:r>
      <w:r w:rsidR="008C70A6" w:rsidRPr="003519EC">
        <w:rPr>
          <w:rFonts w:ascii="Times New Roman" w:hAnsi="Times New Roman" w:cs="Times New Roman"/>
          <w:b/>
          <w:bCs/>
        </w:rPr>
        <w:t>.2 Outlook: Risks and Opportunities</w:t>
      </w:r>
      <w:bookmarkEnd w:id="25"/>
      <w:r w:rsidR="008C70A6" w:rsidRPr="003519EC">
        <w:rPr>
          <w:rFonts w:ascii="Times New Roman" w:hAnsi="Times New Roman" w:cs="Times New Roman"/>
          <w:b/>
          <w:bCs/>
        </w:rPr>
        <w:t xml:space="preserve"> </w:t>
      </w:r>
    </w:p>
    <w:p w14:paraId="2C27766C" w14:textId="6684BC07" w:rsidR="008C70A6" w:rsidRPr="003519EC" w:rsidRDefault="008C70A6" w:rsidP="00963C9C">
      <w:pPr>
        <w:spacing w:line="360" w:lineRule="auto"/>
        <w:jc w:val="both"/>
      </w:pPr>
      <w:r w:rsidRPr="003519EC">
        <w:t xml:space="preserve">The future for SSE is teeming with both risks and opportunities. While the rapid evolution of the energy sector poses threats to traditional energy production modes, it also paves the way for new technological advances and sustainable methods. One notable concern is the rise of </w:t>
      </w:r>
      <w:r w:rsidR="007A2173">
        <w:t>decentralised</w:t>
      </w:r>
      <w:r w:rsidRPr="003519EC">
        <w:t xml:space="preserve"> energy production models, which could challenge SSE's established methods (Roberts, 2021). Simultaneously, the global emphasis on renewable energy presents exciting prospects, especially with governments enacting policies that champion sustainable solutions. This regulatory landscape provides SSE </w:t>
      </w:r>
      <w:r w:rsidR="002315BA" w:rsidRPr="003519EC">
        <w:t xml:space="preserve">with </w:t>
      </w:r>
      <w:r w:rsidRPr="003519EC">
        <w:t>a vantage point, having already invested considerably in green technologies (</w:t>
      </w:r>
      <w:r w:rsidR="001000C6" w:rsidRPr="003519EC">
        <w:t>U.K.</w:t>
      </w:r>
      <w:r w:rsidRPr="003519EC">
        <w:t xml:space="preserve"> Gov, 2019). Additionally, the digital transformation sweeping the sector, with advancements like smart grids and IoT devices, can be harnessed to drive innovative revenue streams (Davis &amp; Stevenson, 2022).</w:t>
      </w:r>
    </w:p>
    <w:p w14:paraId="4DEC6C1A" w14:textId="44859AC7" w:rsidR="00AC4C4B" w:rsidRPr="003519EC" w:rsidRDefault="00FA4406" w:rsidP="00963C9C">
      <w:pPr>
        <w:pStyle w:val="Heading2"/>
        <w:spacing w:line="360" w:lineRule="auto"/>
        <w:rPr>
          <w:rFonts w:ascii="Times New Roman" w:hAnsi="Times New Roman" w:cs="Times New Roman"/>
          <w:b/>
          <w:bCs/>
        </w:rPr>
      </w:pPr>
      <w:bookmarkStart w:id="26" w:name="_Toc151511045"/>
      <w:r w:rsidRPr="003519EC">
        <w:rPr>
          <w:rFonts w:ascii="Times New Roman" w:hAnsi="Times New Roman" w:cs="Times New Roman"/>
          <w:b/>
          <w:bCs/>
        </w:rPr>
        <w:t>7</w:t>
      </w:r>
      <w:r w:rsidR="008C70A6" w:rsidRPr="003519EC">
        <w:rPr>
          <w:rFonts w:ascii="Times New Roman" w:hAnsi="Times New Roman" w:cs="Times New Roman"/>
          <w:b/>
          <w:bCs/>
        </w:rPr>
        <w:t xml:space="preserve">.3 Future </w:t>
      </w:r>
      <w:r w:rsidR="007A2173">
        <w:rPr>
          <w:rFonts w:ascii="Times New Roman" w:hAnsi="Times New Roman" w:cs="Times New Roman"/>
          <w:b/>
          <w:bCs/>
        </w:rPr>
        <w:t>Organisational</w:t>
      </w:r>
      <w:r w:rsidR="008C70A6" w:rsidRPr="003519EC">
        <w:rPr>
          <w:rFonts w:ascii="Times New Roman" w:hAnsi="Times New Roman" w:cs="Times New Roman"/>
          <w:b/>
          <w:bCs/>
        </w:rPr>
        <w:t xml:space="preserve"> Decisions and Developments</w:t>
      </w:r>
      <w:bookmarkEnd w:id="26"/>
      <w:r w:rsidR="008C70A6" w:rsidRPr="003519EC">
        <w:rPr>
          <w:rFonts w:ascii="Times New Roman" w:hAnsi="Times New Roman" w:cs="Times New Roman"/>
          <w:b/>
          <w:bCs/>
        </w:rPr>
        <w:t xml:space="preserve"> </w:t>
      </w:r>
    </w:p>
    <w:p w14:paraId="00F6CAE8" w14:textId="2300438E" w:rsidR="008C70A6" w:rsidRPr="003519EC" w:rsidRDefault="008C70A6" w:rsidP="00963C9C">
      <w:pPr>
        <w:spacing w:line="360" w:lineRule="auto"/>
        <w:jc w:val="both"/>
      </w:pPr>
      <w:r w:rsidRPr="003519EC">
        <w:t xml:space="preserve">For SSE to remain a key player in the energy landscape, its strategies </w:t>
      </w:r>
      <w:r w:rsidR="002315BA" w:rsidRPr="003519EC">
        <w:t>must</w:t>
      </w:r>
      <w:r w:rsidRPr="003519EC">
        <w:t xml:space="preserve"> </w:t>
      </w:r>
      <w:r w:rsidR="007A2173">
        <w:t>emphasise</w:t>
      </w:r>
      <w:r w:rsidRPr="003519EC">
        <w:t xml:space="preserve"> sustainability and technological innovation. Not only will this alignment with emerging global </w:t>
      </w:r>
      <w:r w:rsidRPr="003519EC">
        <w:lastRenderedPageBreak/>
        <w:t xml:space="preserve">trends bolster the company's reputation, but it can also serve as a USP in a saturated market. Given the increasing global focus on sustainable practices, establishing leadership in green technologies can attract a </w:t>
      </w:r>
      <w:r w:rsidR="002315BA" w:rsidRPr="003519EC">
        <w:t>more extensive</w:t>
      </w:r>
      <w:r w:rsidRPr="003519EC">
        <w:t xml:space="preserve"> consumer base and </w:t>
      </w:r>
      <w:r w:rsidR="002315BA" w:rsidRPr="003519EC">
        <w:t>environmentally conscious</w:t>
      </w:r>
      <w:r w:rsidRPr="003519EC">
        <w:t xml:space="preserve"> investors (Friedman, 1962). Moreover, as the energy market becomes more consumer-centric, SSE must evaluate its pricing strategies, ensuring they </w:t>
      </w:r>
      <w:r w:rsidR="002315BA" w:rsidRPr="003519EC">
        <w:t>remain competitive and</w:t>
      </w:r>
      <w:r w:rsidRPr="003519EC">
        <w:t xml:space="preserve"> provide added value and enhanced customer experiences (Krugman, 1991).</w:t>
      </w:r>
    </w:p>
    <w:p w14:paraId="6828806F" w14:textId="12236695" w:rsidR="00AC4C4B" w:rsidRPr="003519EC" w:rsidRDefault="00125015" w:rsidP="00963C9C">
      <w:pPr>
        <w:spacing w:line="360" w:lineRule="auto"/>
        <w:jc w:val="both"/>
        <w:rPr>
          <w:b/>
          <w:bCs/>
        </w:rPr>
      </w:pPr>
      <w:bookmarkStart w:id="27" w:name="_Toc151511046"/>
      <w:r w:rsidRPr="003519EC">
        <w:rPr>
          <w:rStyle w:val="Heading2Char"/>
          <w:rFonts w:ascii="Times New Roman" w:hAnsi="Times New Roman" w:cs="Times New Roman"/>
          <w:b/>
          <w:bCs/>
        </w:rPr>
        <w:t>7</w:t>
      </w:r>
      <w:r w:rsidR="008C70A6" w:rsidRPr="003519EC">
        <w:rPr>
          <w:rStyle w:val="Heading2Char"/>
          <w:rFonts w:ascii="Times New Roman" w:hAnsi="Times New Roman" w:cs="Times New Roman"/>
          <w:b/>
          <w:bCs/>
        </w:rPr>
        <w:t>.4 Final Thoughts</w:t>
      </w:r>
      <w:bookmarkEnd w:id="27"/>
      <w:r w:rsidR="008C70A6" w:rsidRPr="003519EC">
        <w:rPr>
          <w:b/>
          <w:bCs/>
        </w:rPr>
        <w:t xml:space="preserve"> </w:t>
      </w:r>
    </w:p>
    <w:p w14:paraId="16D2C634" w14:textId="03C28E7F" w:rsidR="008C70A6" w:rsidRPr="003519EC" w:rsidRDefault="008C70A6" w:rsidP="00963C9C">
      <w:pPr>
        <w:spacing w:line="360" w:lineRule="auto"/>
        <w:jc w:val="both"/>
      </w:pPr>
      <w:r w:rsidRPr="003519EC">
        <w:t xml:space="preserve">The energy sector's dynamic nature presents SSE with both challenges and opportunities. While the company's existing commitment to renewable energy and competitive pricing holds promise, the constant evolution </w:t>
      </w:r>
      <w:r w:rsidR="002315BA" w:rsidRPr="003519EC">
        <w:t xml:space="preserve">of the industry </w:t>
      </w:r>
      <w:r w:rsidRPr="003519EC">
        <w:t>requires ongoing innovation and agility. SSE's proactive and adaptable approach will determine its position as a leader or a follower</w:t>
      </w:r>
      <w:r w:rsidR="002315BA" w:rsidRPr="003519EC">
        <w:t xml:space="preserve"> as the landscape shifts</w:t>
      </w:r>
      <w:r w:rsidRPr="003519EC">
        <w:t>. The upcoming years are crucial for SSE, with possibilities for transformative growth and sector leadership.</w:t>
      </w:r>
    </w:p>
    <w:p w14:paraId="08804AD1" w14:textId="0156A43B" w:rsidR="005D12BE" w:rsidRPr="003519EC" w:rsidRDefault="00FA4406" w:rsidP="009C627E">
      <w:pPr>
        <w:pStyle w:val="Heading1"/>
        <w:spacing w:line="360" w:lineRule="auto"/>
        <w:jc w:val="both"/>
        <w:rPr>
          <w:rFonts w:ascii="Times New Roman" w:hAnsi="Times New Roman" w:cs="Times New Roman"/>
          <w:b/>
          <w:bCs/>
          <w:sz w:val="28"/>
          <w:szCs w:val="28"/>
        </w:rPr>
      </w:pPr>
      <w:bookmarkStart w:id="28" w:name="_Toc151511047"/>
      <w:r w:rsidRPr="003519EC">
        <w:rPr>
          <w:rFonts w:ascii="Times New Roman" w:hAnsi="Times New Roman" w:cs="Times New Roman"/>
          <w:b/>
          <w:bCs/>
          <w:sz w:val="28"/>
          <w:szCs w:val="28"/>
        </w:rPr>
        <w:t>8</w:t>
      </w:r>
      <w:r w:rsidR="00B200FB" w:rsidRPr="003519EC">
        <w:rPr>
          <w:rFonts w:ascii="Times New Roman" w:hAnsi="Times New Roman" w:cs="Times New Roman"/>
          <w:b/>
          <w:bCs/>
          <w:sz w:val="28"/>
          <w:szCs w:val="28"/>
        </w:rPr>
        <w:t xml:space="preserve">.0 </w:t>
      </w:r>
      <w:r w:rsidR="005D12BE" w:rsidRPr="003519EC">
        <w:rPr>
          <w:rFonts w:ascii="Times New Roman" w:hAnsi="Times New Roman" w:cs="Times New Roman"/>
          <w:b/>
          <w:bCs/>
          <w:sz w:val="28"/>
          <w:szCs w:val="28"/>
        </w:rPr>
        <w:t>Future Scenario: Navigating a Sustainable Energy Landscape</w:t>
      </w:r>
      <w:bookmarkEnd w:id="28"/>
    </w:p>
    <w:p w14:paraId="2B655F51" w14:textId="77777777" w:rsidR="008C70A6" w:rsidRPr="003519EC" w:rsidRDefault="008C70A6" w:rsidP="008C70A6">
      <w:pPr>
        <w:spacing w:line="360" w:lineRule="auto"/>
        <w:jc w:val="both"/>
      </w:pPr>
      <w:r w:rsidRPr="003519EC">
        <w:t>SSE is standing at the juncture of innovation and sustainability. The road ahead presents itself in two distinctive paths that hinge on the company's strategic moves in response to the rapidly changing energy landscape.</w:t>
      </w:r>
    </w:p>
    <w:p w14:paraId="6B067A45" w14:textId="06824C56" w:rsidR="008C70A6" w:rsidRPr="003519EC" w:rsidRDefault="00FA4406" w:rsidP="00963C9C">
      <w:pPr>
        <w:pStyle w:val="Heading2"/>
        <w:spacing w:line="360" w:lineRule="auto"/>
        <w:rPr>
          <w:rFonts w:ascii="Times New Roman" w:hAnsi="Times New Roman" w:cs="Times New Roman"/>
          <w:b/>
          <w:bCs/>
        </w:rPr>
      </w:pPr>
      <w:bookmarkStart w:id="29" w:name="_Toc151511048"/>
      <w:r w:rsidRPr="003519EC">
        <w:rPr>
          <w:rFonts w:ascii="Times New Roman" w:hAnsi="Times New Roman" w:cs="Times New Roman"/>
          <w:b/>
          <w:bCs/>
        </w:rPr>
        <w:t>8</w:t>
      </w:r>
      <w:r w:rsidR="008C70A6" w:rsidRPr="003519EC">
        <w:rPr>
          <w:rFonts w:ascii="Times New Roman" w:hAnsi="Times New Roman" w:cs="Times New Roman"/>
          <w:b/>
          <w:bCs/>
        </w:rPr>
        <w:t>.1 Market Leadership Through Renewable Investment and Grid Modernisation</w:t>
      </w:r>
      <w:bookmarkEnd w:id="29"/>
    </w:p>
    <w:p w14:paraId="728D8CB8" w14:textId="073CDB9D" w:rsidR="008C70A6" w:rsidRPr="003519EC" w:rsidRDefault="008C70A6" w:rsidP="00963C9C">
      <w:pPr>
        <w:spacing w:line="360" w:lineRule="auto"/>
        <w:jc w:val="both"/>
      </w:pPr>
      <w:r w:rsidRPr="003519EC">
        <w:t xml:space="preserve">By accelerating its transition into renewable energy sources and </w:t>
      </w:r>
      <w:r w:rsidR="007A2173">
        <w:t>prioritising</w:t>
      </w:r>
      <w:r w:rsidRPr="003519EC">
        <w:t xml:space="preserve"> grid </w:t>
      </w:r>
      <w:r w:rsidR="007A2173">
        <w:t>modernisation</w:t>
      </w:r>
      <w:r w:rsidRPr="003519EC">
        <w:t xml:space="preserve">, SSE can potentially usher in a new era of energy leadership. Such a path aligns the company with the rising global </w:t>
      </w:r>
      <w:r w:rsidR="002315BA" w:rsidRPr="003519EC">
        <w:t>sustainability tide</w:t>
      </w:r>
      <w:r w:rsidRPr="003519EC">
        <w:t>, drawing both environmentally-conscious consumers and investors. Regulatory tailwinds, as evidenced by various green initiatives (</w:t>
      </w:r>
      <w:r w:rsidR="001000C6" w:rsidRPr="003519EC">
        <w:t>U.K.</w:t>
      </w:r>
      <w:r w:rsidRPr="003519EC">
        <w:t xml:space="preserve"> Gov, 2019), can further propel SSE towards this leadership position.</w:t>
      </w:r>
    </w:p>
    <w:p w14:paraId="3B5C5F03" w14:textId="56CDBD60" w:rsidR="008C70A6" w:rsidRPr="003519EC" w:rsidRDefault="008C70A6" w:rsidP="00963C9C">
      <w:pPr>
        <w:spacing w:line="360" w:lineRule="auto"/>
        <w:jc w:val="both"/>
      </w:pPr>
      <w:r w:rsidRPr="003519EC">
        <w:t xml:space="preserve">Embracing technological synergies, such as smart grids and IoT integration, will </w:t>
      </w:r>
      <w:r w:rsidR="002315BA" w:rsidRPr="003519EC">
        <w:t>streamline operations and</w:t>
      </w:r>
      <w:r w:rsidRPr="003519EC">
        <w:t xml:space="preserve"> redefine the consumer experience. Offering customers unparalleled insights into real-time energy consumption could be a game-changer, fostering loyalty and enhancing brand reputation (Smith, 2022). Positioning itself at the nexus of green technology and customer-centric solutions could allow SSE to chart premium pricing strategies, reaping the benefits of being a sustainable service provider while ensuring long-term profitability (Porter, 1979).</w:t>
      </w:r>
    </w:p>
    <w:p w14:paraId="61B5CCC8" w14:textId="4249CCB5" w:rsidR="008C70A6" w:rsidRPr="003519EC" w:rsidRDefault="00FA4406" w:rsidP="00963C9C">
      <w:pPr>
        <w:pStyle w:val="Heading2"/>
        <w:spacing w:line="360" w:lineRule="auto"/>
        <w:rPr>
          <w:rFonts w:ascii="Times New Roman" w:hAnsi="Times New Roman" w:cs="Times New Roman"/>
          <w:b/>
          <w:bCs/>
        </w:rPr>
      </w:pPr>
      <w:bookmarkStart w:id="30" w:name="_Toc151511049"/>
      <w:r w:rsidRPr="003519EC">
        <w:rPr>
          <w:rFonts w:ascii="Times New Roman" w:hAnsi="Times New Roman" w:cs="Times New Roman"/>
          <w:b/>
          <w:bCs/>
        </w:rPr>
        <w:t>8</w:t>
      </w:r>
      <w:r w:rsidR="008C70A6" w:rsidRPr="003519EC">
        <w:rPr>
          <w:rFonts w:ascii="Times New Roman" w:hAnsi="Times New Roman" w:cs="Times New Roman"/>
          <w:b/>
          <w:bCs/>
        </w:rPr>
        <w:t>.2 The Risk of Inaction: Dwindling Market Share and Reputation</w:t>
      </w:r>
      <w:bookmarkEnd w:id="30"/>
    </w:p>
    <w:p w14:paraId="167DF491" w14:textId="247368F3" w:rsidR="008C70A6" w:rsidRPr="003519EC" w:rsidRDefault="008C70A6" w:rsidP="00963C9C">
      <w:pPr>
        <w:spacing w:line="360" w:lineRule="auto"/>
        <w:jc w:val="both"/>
      </w:pPr>
      <w:r w:rsidRPr="003519EC">
        <w:t xml:space="preserve">On the flip side, stagnation could be SSE's undoing. The energy sector's momentum is shifting towards greener, more tech-integrated solutions. Any reluctance on SSE's part to evolve in </w:t>
      </w:r>
      <w:r w:rsidRPr="003519EC">
        <w:lastRenderedPageBreak/>
        <w:t xml:space="preserve">tandem could </w:t>
      </w:r>
      <w:r w:rsidR="002315BA" w:rsidRPr="003519EC">
        <w:t>gradually erode</w:t>
      </w:r>
      <w:r w:rsidRPr="003519EC">
        <w:t xml:space="preserve"> its market share. With consumers and suppliers gaining leverage in the energy space, the dual pressures of escalating operational costs and reduced pricing capabilities could cripple profitability (Johnson &amp; Williams, 2021). Such a passive stance would pave the way for competitors—established players and new digital-native entrants—to seize market opportunities. In this scenario, SSE risks fading into the backdrop of an industry it once dominated.</w:t>
      </w:r>
    </w:p>
    <w:p w14:paraId="791C2554" w14:textId="20355C09" w:rsidR="008C70A6" w:rsidRPr="003519EC" w:rsidRDefault="00FA4406" w:rsidP="00963C9C">
      <w:pPr>
        <w:pStyle w:val="Heading2"/>
        <w:spacing w:line="360" w:lineRule="auto"/>
        <w:rPr>
          <w:rFonts w:ascii="Times New Roman" w:hAnsi="Times New Roman" w:cs="Times New Roman"/>
          <w:b/>
          <w:bCs/>
        </w:rPr>
      </w:pPr>
      <w:bookmarkStart w:id="31" w:name="_Toc151511050"/>
      <w:r w:rsidRPr="003519EC">
        <w:rPr>
          <w:rFonts w:ascii="Times New Roman" w:hAnsi="Times New Roman" w:cs="Times New Roman"/>
          <w:b/>
          <w:bCs/>
        </w:rPr>
        <w:t>8</w:t>
      </w:r>
      <w:r w:rsidR="008C70A6" w:rsidRPr="003519EC">
        <w:rPr>
          <w:rFonts w:ascii="Times New Roman" w:hAnsi="Times New Roman" w:cs="Times New Roman"/>
          <w:b/>
          <w:bCs/>
        </w:rPr>
        <w:t>.3 Conclusion</w:t>
      </w:r>
      <w:bookmarkEnd w:id="31"/>
    </w:p>
    <w:p w14:paraId="47D112BB" w14:textId="698DE3BC" w:rsidR="008C70A6" w:rsidRPr="003519EC" w:rsidRDefault="008C70A6" w:rsidP="00963C9C">
      <w:pPr>
        <w:spacing w:line="360" w:lineRule="auto"/>
        <w:jc w:val="both"/>
      </w:pPr>
      <w:r w:rsidRPr="003519EC">
        <w:t xml:space="preserve">SSE's trajectory is laden with both potential and pitfalls. The company's strategic choices in the immediate future will cast long shadows on its legacy and relevance in the energy domain. While the challenges are formidable, timely action and innovation </w:t>
      </w:r>
      <w:r w:rsidR="002315BA" w:rsidRPr="003519EC">
        <w:t xml:space="preserve">rewards </w:t>
      </w:r>
      <w:r w:rsidRPr="003519EC">
        <w:t xml:space="preserve">are immense. In this unfolding saga of the energy sector, SSE can either script a pioneering chapter or become a cautionary tale for others. The imperative is clear: adapt, innovate, and lead, or risk being </w:t>
      </w:r>
      <w:r w:rsidR="003519EC" w:rsidRPr="003519EC">
        <w:t>side-lined</w:t>
      </w:r>
      <w:r w:rsidRPr="003519EC">
        <w:t xml:space="preserve"> in the annals of history.</w:t>
      </w:r>
    </w:p>
    <w:p w14:paraId="1428B210" w14:textId="59DCB20A" w:rsidR="005D12BE" w:rsidRPr="003519EC" w:rsidRDefault="00FA4406" w:rsidP="00963C9C">
      <w:pPr>
        <w:pStyle w:val="Heading1"/>
        <w:spacing w:line="360" w:lineRule="auto"/>
        <w:rPr>
          <w:rFonts w:ascii="Times New Roman" w:hAnsi="Times New Roman" w:cs="Times New Roman"/>
          <w:b/>
          <w:bCs/>
          <w:sz w:val="28"/>
          <w:szCs w:val="28"/>
        </w:rPr>
      </w:pPr>
      <w:bookmarkStart w:id="32" w:name="_Toc151511051"/>
      <w:r w:rsidRPr="003519EC">
        <w:rPr>
          <w:rFonts w:ascii="Times New Roman" w:hAnsi="Times New Roman" w:cs="Times New Roman"/>
          <w:b/>
          <w:bCs/>
          <w:sz w:val="28"/>
          <w:szCs w:val="28"/>
        </w:rPr>
        <w:t>9</w:t>
      </w:r>
      <w:r w:rsidR="00B200FB" w:rsidRPr="003519EC">
        <w:rPr>
          <w:rFonts w:ascii="Times New Roman" w:hAnsi="Times New Roman" w:cs="Times New Roman"/>
          <w:b/>
          <w:bCs/>
          <w:sz w:val="28"/>
          <w:szCs w:val="28"/>
        </w:rPr>
        <w:t xml:space="preserve">.0 </w:t>
      </w:r>
      <w:r w:rsidR="005D12BE" w:rsidRPr="003519EC">
        <w:rPr>
          <w:rFonts w:ascii="Times New Roman" w:hAnsi="Times New Roman" w:cs="Times New Roman"/>
          <w:b/>
          <w:bCs/>
          <w:sz w:val="28"/>
          <w:szCs w:val="28"/>
        </w:rPr>
        <w:t>Comprehensive Recommendations for SSE</w:t>
      </w:r>
      <w:bookmarkEnd w:id="32"/>
    </w:p>
    <w:p w14:paraId="04FD47D5" w14:textId="41C9EA10" w:rsidR="00C56005" w:rsidRPr="003519EC" w:rsidRDefault="00FA4406" w:rsidP="00963C9C">
      <w:pPr>
        <w:spacing w:line="360" w:lineRule="auto"/>
      </w:pPr>
      <w:bookmarkStart w:id="33" w:name="_Toc151511052"/>
      <w:r w:rsidRPr="003519EC">
        <w:rPr>
          <w:rStyle w:val="Heading2Char"/>
          <w:rFonts w:ascii="Times New Roman" w:hAnsi="Times New Roman" w:cs="Times New Roman"/>
          <w:b/>
          <w:bCs/>
        </w:rPr>
        <w:t>9</w:t>
      </w:r>
      <w:r w:rsidR="00C56005" w:rsidRPr="003519EC">
        <w:rPr>
          <w:rStyle w:val="Heading2Char"/>
          <w:rFonts w:ascii="Times New Roman" w:hAnsi="Times New Roman" w:cs="Times New Roman"/>
          <w:b/>
          <w:bCs/>
        </w:rPr>
        <w:t>.1 Accelerate Transition to Renewables</w:t>
      </w:r>
      <w:bookmarkEnd w:id="33"/>
      <w:r w:rsidR="00C56005" w:rsidRPr="003519EC">
        <w:br/>
        <w:t xml:space="preserve">SSE should consider partnerships or acquisitions with established renewable energy producers to expedite their transition. Given </w:t>
      </w:r>
      <w:r w:rsidR="002315BA" w:rsidRPr="003519EC">
        <w:t>the</w:t>
      </w:r>
      <w:r w:rsidR="00C56005" w:rsidRPr="003519EC">
        <w:t xml:space="preserve"> strength </w:t>
      </w:r>
      <w:r w:rsidR="002315BA" w:rsidRPr="003519EC">
        <w:t>of</w:t>
      </w:r>
      <w:r w:rsidR="00C56005" w:rsidRPr="003519EC">
        <w:t xml:space="preserve"> </w:t>
      </w:r>
      <w:r w:rsidR="002315BA" w:rsidRPr="003519EC">
        <w:t xml:space="preserve">their </w:t>
      </w:r>
      <w:r w:rsidR="00C56005" w:rsidRPr="003519EC">
        <w:t xml:space="preserve">existing market presence, they could leverage these collaborations to gain a significant market share </w:t>
      </w:r>
      <w:r w:rsidR="002315BA" w:rsidRPr="003519EC">
        <w:t xml:space="preserve">quickly </w:t>
      </w:r>
      <w:r w:rsidR="00C56005" w:rsidRPr="003519EC">
        <w:t>in the renewable energy segment.</w:t>
      </w:r>
    </w:p>
    <w:p w14:paraId="03B964FD" w14:textId="7A253FC6" w:rsidR="00C56005" w:rsidRPr="003519EC" w:rsidRDefault="00FA4406" w:rsidP="00C56005">
      <w:pPr>
        <w:spacing w:line="360" w:lineRule="auto"/>
      </w:pPr>
      <w:bookmarkStart w:id="34" w:name="_Toc151511053"/>
      <w:r w:rsidRPr="003519EC">
        <w:rPr>
          <w:rStyle w:val="Heading2Char"/>
          <w:rFonts w:ascii="Times New Roman" w:hAnsi="Times New Roman" w:cs="Times New Roman"/>
          <w:b/>
          <w:bCs/>
        </w:rPr>
        <w:t>9</w:t>
      </w:r>
      <w:r w:rsidR="00C56005" w:rsidRPr="003519EC">
        <w:rPr>
          <w:rStyle w:val="Heading2Char"/>
          <w:rFonts w:ascii="Times New Roman" w:hAnsi="Times New Roman" w:cs="Times New Roman"/>
          <w:b/>
          <w:bCs/>
        </w:rPr>
        <w:t>.2 Focus on Technological Advancements</w:t>
      </w:r>
      <w:bookmarkEnd w:id="34"/>
      <w:r w:rsidR="00C56005" w:rsidRPr="003519EC">
        <w:br/>
        <w:t xml:space="preserve">Based on the potential threats from natively digital competitors, SSE should consider investing in a dedicated R&amp;D department for technological advancements, ensuring they stay at the forefront of innovation. </w:t>
      </w:r>
      <w:r w:rsidR="002315BA" w:rsidRPr="003519EC">
        <w:t>Continually focusing</w:t>
      </w:r>
      <w:r w:rsidR="00C56005" w:rsidRPr="003519EC">
        <w:t xml:space="preserve"> on upskilling their workforce in the latest digital advancements can mitigate the identified weakness.</w:t>
      </w:r>
    </w:p>
    <w:p w14:paraId="7A63F0A2" w14:textId="020C9894" w:rsidR="00C56005" w:rsidRPr="003519EC" w:rsidRDefault="00FA4406" w:rsidP="00C56005">
      <w:pPr>
        <w:spacing w:line="360" w:lineRule="auto"/>
      </w:pPr>
      <w:bookmarkStart w:id="35" w:name="_Toc151511054"/>
      <w:r w:rsidRPr="003519EC">
        <w:rPr>
          <w:rStyle w:val="Heading2Char"/>
          <w:rFonts w:ascii="Times New Roman" w:hAnsi="Times New Roman" w:cs="Times New Roman"/>
          <w:b/>
          <w:bCs/>
        </w:rPr>
        <w:t>9</w:t>
      </w:r>
      <w:r w:rsidR="00C56005" w:rsidRPr="003519EC">
        <w:rPr>
          <w:rStyle w:val="Heading2Char"/>
          <w:rFonts w:ascii="Times New Roman" w:hAnsi="Times New Roman" w:cs="Times New Roman"/>
          <w:b/>
          <w:bCs/>
        </w:rPr>
        <w:t>.3 Strengthen Regulatory Compliance</w:t>
      </w:r>
      <w:bookmarkEnd w:id="35"/>
      <w:r w:rsidR="00C56005" w:rsidRPr="003519EC">
        <w:br/>
        <w:t xml:space="preserve">SSE could host regular training sessions and workshops for its employees on compliance matters. Given the opportunities from government policies </w:t>
      </w:r>
      <w:r w:rsidR="002315BA" w:rsidRPr="003519EC">
        <w:t>favouring</w:t>
      </w:r>
      <w:r w:rsidR="00C56005" w:rsidRPr="003519EC">
        <w:t xml:space="preserve"> sustainable energy, understanding these regulations at a grassroots level across the company can turn a potential threat into a strength.</w:t>
      </w:r>
    </w:p>
    <w:p w14:paraId="671375EE" w14:textId="38460CCE" w:rsidR="00C56005" w:rsidRPr="003519EC" w:rsidRDefault="00FA4406" w:rsidP="00C56005">
      <w:pPr>
        <w:spacing w:line="360" w:lineRule="auto"/>
      </w:pPr>
      <w:bookmarkStart w:id="36" w:name="_Toc151511055"/>
      <w:r w:rsidRPr="003519EC">
        <w:rPr>
          <w:rStyle w:val="Heading2Char"/>
          <w:rFonts w:ascii="Times New Roman" w:hAnsi="Times New Roman" w:cs="Times New Roman"/>
          <w:b/>
          <w:bCs/>
        </w:rPr>
        <w:t>9</w:t>
      </w:r>
      <w:r w:rsidR="00C56005" w:rsidRPr="003519EC">
        <w:rPr>
          <w:rStyle w:val="Heading2Char"/>
          <w:rFonts w:ascii="Times New Roman" w:hAnsi="Times New Roman" w:cs="Times New Roman"/>
          <w:b/>
          <w:bCs/>
        </w:rPr>
        <w:t>.4 Consumer Engagement and Sustainability</w:t>
      </w:r>
      <w:bookmarkEnd w:id="36"/>
      <w:r w:rsidR="00C56005" w:rsidRPr="003519EC">
        <w:br/>
        <w:t xml:space="preserve">Based on their strengths and the identified opportunities in the SWOT, SSE should launch a dedicated consumer engagement program focusing on sustainability. This could include </w:t>
      </w:r>
      <w:r w:rsidR="00C56005" w:rsidRPr="003519EC">
        <w:lastRenderedPageBreak/>
        <w:t>community solar projects or wind farms where consumers can invest or purchase a stake, deepening the relationship and trust between SSE and its customers.</w:t>
      </w:r>
    </w:p>
    <w:p w14:paraId="70A007B2" w14:textId="662BC92B" w:rsidR="00C56005" w:rsidRPr="003519EC" w:rsidRDefault="00FA4406" w:rsidP="00C56005">
      <w:pPr>
        <w:spacing w:line="360" w:lineRule="auto"/>
      </w:pPr>
      <w:bookmarkStart w:id="37" w:name="_Toc151511056"/>
      <w:r w:rsidRPr="003519EC">
        <w:rPr>
          <w:rStyle w:val="Heading2Char"/>
          <w:rFonts w:ascii="Times New Roman" w:hAnsi="Times New Roman" w:cs="Times New Roman"/>
          <w:b/>
          <w:bCs/>
        </w:rPr>
        <w:t>9</w:t>
      </w:r>
      <w:r w:rsidR="00C56005" w:rsidRPr="003519EC">
        <w:rPr>
          <w:rStyle w:val="Heading2Char"/>
          <w:rFonts w:ascii="Times New Roman" w:hAnsi="Times New Roman" w:cs="Times New Roman"/>
          <w:b/>
          <w:bCs/>
        </w:rPr>
        <w:t>.5 Global Expansion</w:t>
      </w:r>
      <w:bookmarkEnd w:id="37"/>
      <w:r w:rsidR="00C56005" w:rsidRPr="003519EC">
        <w:br/>
        <w:t>SSE should initiate pilot programs in potential new markets</w:t>
      </w:r>
      <w:r w:rsidR="00AC5DC2" w:rsidRPr="003519EC">
        <w:t xml:space="preserve"> as they consider global expansion</w:t>
      </w:r>
      <w:r w:rsidR="00C56005" w:rsidRPr="003519EC">
        <w:t>. These programs can help them understand the dynamics and receptivity of the target market to renewable energy, leveraging the opportunities identified in the SWOT analysis while mitigating potential threats.</w:t>
      </w:r>
    </w:p>
    <w:p w14:paraId="46542882" w14:textId="65152192" w:rsidR="00C56005" w:rsidRPr="003519EC" w:rsidRDefault="00FA4406" w:rsidP="00C56005">
      <w:pPr>
        <w:spacing w:line="360" w:lineRule="auto"/>
      </w:pPr>
      <w:bookmarkStart w:id="38" w:name="_Toc151511057"/>
      <w:r w:rsidRPr="003519EC">
        <w:rPr>
          <w:rStyle w:val="Heading2Char"/>
          <w:rFonts w:ascii="Times New Roman" w:hAnsi="Times New Roman" w:cs="Times New Roman"/>
          <w:b/>
          <w:bCs/>
        </w:rPr>
        <w:t>9</w:t>
      </w:r>
      <w:r w:rsidR="00C56005" w:rsidRPr="003519EC">
        <w:rPr>
          <w:rStyle w:val="Heading2Char"/>
          <w:rFonts w:ascii="Times New Roman" w:hAnsi="Times New Roman" w:cs="Times New Roman"/>
          <w:b/>
          <w:bCs/>
        </w:rPr>
        <w:t>.6 Final Words</w:t>
      </w:r>
      <w:bookmarkEnd w:id="38"/>
      <w:r w:rsidR="00C56005" w:rsidRPr="003519EC">
        <w:br/>
        <w:t>The challenges ahead are profound, but SSE's strengths</w:t>
      </w:r>
      <w:r w:rsidR="002315BA" w:rsidRPr="003519EC">
        <w:t xml:space="preserve"> and</w:t>
      </w:r>
      <w:r w:rsidR="00C56005" w:rsidRPr="003519EC">
        <w:t xml:space="preserve"> vast opportunities in the energy sector paint a promising picture. By staying proactive, informed, and adaptable, SSE can lead the way in reshaping the energy landscape of the future. The key will be in harnessing their strengths, addressing their weaknesses head-on, leveraging opportunities, and staying one step ahead of threats. With dedicated effort, SSE's journey towards sustainability and market leadership can become a benchmark for others.</w:t>
      </w:r>
    </w:p>
    <w:p w14:paraId="51304637" w14:textId="68C1480F" w:rsidR="00456BAA" w:rsidRPr="003519EC" w:rsidRDefault="000A66F2" w:rsidP="00634DD3">
      <w:pPr>
        <w:pStyle w:val="Heading1"/>
        <w:spacing w:line="360" w:lineRule="auto"/>
        <w:jc w:val="both"/>
        <w:rPr>
          <w:rFonts w:ascii="Times New Roman" w:hAnsi="Times New Roman" w:cs="Times New Roman"/>
          <w:b/>
          <w:bCs/>
          <w:sz w:val="28"/>
          <w:szCs w:val="28"/>
        </w:rPr>
      </w:pPr>
      <w:bookmarkStart w:id="39" w:name="_Toc148000033"/>
      <w:bookmarkStart w:id="40" w:name="_Toc151511058"/>
      <w:r w:rsidRPr="003519EC">
        <w:rPr>
          <w:rFonts w:ascii="Times New Roman" w:hAnsi="Times New Roman" w:cs="Times New Roman"/>
          <w:b/>
          <w:bCs/>
          <w:sz w:val="28"/>
          <w:szCs w:val="28"/>
        </w:rPr>
        <w:t>References</w:t>
      </w:r>
      <w:bookmarkEnd w:id="39"/>
      <w:bookmarkEnd w:id="40"/>
    </w:p>
    <w:p w14:paraId="501349A5" w14:textId="457DCC1A"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Oner, C. 2021. Inflation: Prices on the Rise. Available at: https://www.imf.org/en/Publications/fandd/issues/Series/Back-to-Basics/Inflation [Accessed: </w:t>
      </w:r>
      <w:r w:rsidR="00A608B3" w:rsidRPr="00731DB6">
        <w:rPr>
          <w:rFonts w:ascii="Times New Roman" w:hAnsi="Times New Roman" w:cs="Times New Roman"/>
        </w:rPr>
        <w:t>30</w:t>
      </w:r>
      <w:r w:rsidRPr="00731DB6">
        <w:rPr>
          <w:rFonts w:ascii="Times New Roman" w:hAnsi="Times New Roman" w:cs="Times New Roman"/>
        </w:rPr>
        <w:t xml:space="preserve"> October 2023].</w:t>
      </w:r>
    </w:p>
    <w:p w14:paraId="54A14F12" w14:textId="0D050E7B"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Aktaş, A. 2021. The importance of energy storage in solar and wind energy, hybrid renewable energy systems. In: </w:t>
      </w:r>
      <w:r w:rsidRPr="00731DB6">
        <w:rPr>
          <w:rFonts w:ascii="Times New Roman" w:hAnsi="Times New Roman" w:cs="Times New Roman"/>
          <w:i/>
        </w:rPr>
        <w:t>Advances in Clean Energy Technologies</w:t>
      </w:r>
      <w:r w:rsidRPr="00731DB6">
        <w:rPr>
          <w:rFonts w:ascii="Times New Roman" w:hAnsi="Times New Roman" w:cs="Times New Roman"/>
        </w:rPr>
        <w:t xml:space="preserve">. Elsevier, pp. 377–403. Available at: http://dx.doi.org/10.1016/b978-0-12-821221-9.00010-4 [Accessed: </w:t>
      </w:r>
      <w:r w:rsidR="00A608B3" w:rsidRPr="00731DB6">
        <w:rPr>
          <w:rFonts w:ascii="Times New Roman" w:hAnsi="Times New Roman" w:cs="Times New Roman"/>
        </w:rPr>
        <w:t>29</w:t>
      </w:r>
      <w:r w:rsidRPr="00731DB6">
        <w:rPr>
          <w:rFonts w:ascii="Times New Roman" w:hAnsi="Times New Roman" w:cs="Times New Roman"/>
        </w:rPr>
        <w:t xml:space="preserve"> October 2023].</w:t>
      </w:r>
    </w:p>
    <w:p w14:paraId="4A9D6A34" w14:textId="05A72967"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Anaya, K.L. 2021. Local electricity markets: regulation, opportunities, and challenges in the United Kingdom. In: </w:t>
      </w:r>
      <w:r w:rsidRPr="00731DB6">
        <w:rPr>
          <w:rFonts w:ascii="Times New Roman" w:hAnsi="Times New Roman" w:cs="Times New Roman"/>
          <w:i/>
        </w:rPr>
        <w:t>Local Electricity Markets</w:t>
      </w:r>
      <w:r w:rsidRPr="00731DB6">
        <w:rPr>
          <w:rFonts w:ascii="Times New Roman" w:hAnsi="Times New Roman" w:cs="Times New Roman"/>
        </w:rPr>
        <w:t xml:space="preserve">. Elsevier, pp. 341–354. Available at: http://dx.doi.org/10.1016/b978-0-12-820074-2.00006-x [Accessed: </w:t>
      </w:r>
      <w:r w:rsidR="00A608B3" w:rsidRPr="00731DB6">
        <w:rPr>
          <w:rFonts w:ascii="Times New Roman" w:hAnsi="Times New Roman" w:cs="Times New Roman"/>
        </w:rPr>
        <w:t>30</w:t>
      </w:r>
      <w:r w:rsidRPr="00731DB6">
        <w:rPr>
          <w:rFonts w:ascii="Times New Roman" w:hAnsi="Times New Roman" w:cs="Times New Roman"/>
        </w:rPr>
        <w:t xml:space="preserve"> October 2023].</w:t>
      </w:r>
    </w:p>
    <w:p w14:paraId="69DCA3C3" w14:textId="0780ECAB"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Ates, A. and Acur, N. 2022. Making obsolescence obsolete: Execution of digital transformation in a high-tech manufacturing SME. </w:t>
      </w:r>
      <w:r w:rsidRPr="00731DB6">
        <w:rPr>
          <w:rFonts w:ascii="Times New Roman" w:hAnsi="Times New Roman" w:cs="Times New Roman"/>
          <w:i/>
        </w:rPr>
        <w:t>Journal of Business Research</w:t>
      </w:r>
      <w:r w:rsidRPr="00731DB6">
        <w:rPr>
          <w:rFonts w:ascii="Times New Roman" w:hAnsi="Times New Roman" w:cs="Times New Roman"/>
        </w:rPr>
        <w:t xml:space="preserve"> 152, pp. 336–348. doi: 10.1016/j.jbusres.2022.07.052.</w:t>
      </w:r>
    </w:p>
    <w:p w14:paraId="50B73CA8" w14:textId="209ED4D2"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Bank of England 2023. What are interest rates? Available at: https://www.bankofengland.co.uk/explainers/what-are-interest-rates [Accessed: 7 October 2023].</w:t>
      </w:r>
    </w:p>
    <w:p w14:paraId="16BE8220" w14:textId="144AE7A6"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lastRenderedPageBreak/>
        <w:t xml:space="preserve">BoE 2023. Bank rate maintained at 5.25% - September 2023. Available at: https://www.bankofengland.co.uk/monetary-policy-summary-and-minutes/2023/september-2023 [Accessed: </w:t>
      </w:r>
      <w:r w:rsidR="00A608B3" w:rsidRPr="00731DB6">
        <w:rPr>
          <w:rFonts w:ascii="Times New Roman" w:hAnsi="Times New Roman" w:cs="Times New Roman"/>
        </w:rPr>
        <w:t>28</w:t>
      </w:r>
      <w:r w:rsidRPr="00731DB6">
        <w:rPr>
          <w:rFonts w:ascii="Times New Roman" w:hAnsi="Times New Roman" w:cs="Times New Roman"/>
        </w:rPr>
        <w:t xml:space="preserve"> October 2023].</w:t>
      </w:r>
    </w:p>
    <w:p w14:paraId="0035BD07" w14:textId="2F949F6E" w:rsidR="00C43654" w:rsidRPr="00731DB6" w:rsidRDefault="00F17E82" w:rsidP="00C43654">
      <w:pPr>
        <w:pStyle w:val="ListParagraph"/>
        <w:numPr>
          <w:ilvl w:val="0"/>
          <w:numId w:val="36"/>
        </w:numPr>
        <w:spacing w:line="360" w:lineRule="auto"/>
        <w:rPr>
          <w:rFonts w:ascii="Times New Roman" w:hAnsi="Times New Roman" w:cs="Times New Roman"/>
        </w:rPr>
      </w:pPr>
      <w:r w:rsidRPr="00F17E82">
        <w:rPr>
          <w:rFonts w:ascii="Times New Roman" w:hAnsi="Times New Roman" w:cs="Times New Roman"/>
        </w:rPr>
        <w:t>Dmitrii Bogdanov, Manish Ram, Arman Aghahosseini, Ashish Gulagi, Ayobami Solomon Oyewo, Michael Child, Upeksha Caldera, Kristina Sadovskaia, Javier Farfan, Larissa De Souza Noel Simas Barbosa, Mahdi Fasihi, Siavash Khalili, Thure Traber, Christian Breyer</w:t>
      </w:r>
      <w:r>
        <w:rPr>
          <w:rFonts w:ascii="Times New Roman" w:hAnsi="Times New Roman" w:cs="Times New Roman"/>
        </w:rPr>
        <w:t xml:space="preserve"> </w:t>
      </w:r>
      <w:r w:rsidR="00C43654" w:rsidRPr="00731DB6">
        <w:rPr>
          <w:rFonts w:ascii="Times New Roman" w:hAnsi="Times New Roman" w:cs="Times New Roman"/>
        </w:rPr>
        <w:t xml:space="preserve">2021. Low-cost renewable electricity as the key driver of the global energy transition towards sustainability. </w:t>
      </w:r>
      <w:r w:rsidR="00C43654" w:rsidRPr="00731DB6">
        <w:rPr>
          <w:rFonts w:ascii="Times New Roman" w:hAnsi="Times New Roman" w:cs="Times New Roman"/>
          <w:i/>
        </w:rPr>
        <w:t>Energy</w:t>
      </w:r>
      <w:r w:rsidR="00C43654" w:rsidRPr="00731DB6">
        <w:rPr>
          <w:rFonts w:ascii="Times New Roman" w:hAnsi="Times New Roman" w:cs="Times New Roman"/>
        </w:rPr>
        <w:t xml:space="preserve"> 227, p. 120467. doi: 10.1016/j.energy.2021.120467.</w:t>
      </w:r>
    </w:p>
    <w:p w14:paraId="4D5FEA78" w14:textId="7779BB2C"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British Safety Council 2023. Health and Safety Legislation: What You Need to Know. Available at: https://www.britsafe.org/training-and-learning/find-the-right-course-for-you/informational-resources/health-and-safety-legislation-what-you-need-to-know/ [Accessed: </w:t>
      </w:r>
      <w:r w:rsidR="00D211D1">
        <w:rPr>
          <w:rFonts w:ascii="Times New Roman" w:hAnsi="Times New Roman" w:cs="Times New Roman"/>
        </w:rPr>
        <w:t>2</w:t>
      </w:r>
      <w:r w:rsidRPr="00731DB6">
        <w:rPr>
          <w:rFonts w:ascii="Times New Roman" w:hAnsi="Times New Roman" w:cs="Times New Roman"/>
        </w:rPr>
        <w:t>5 October 2023].</w:t>
      </w:r>
    </w:p>
    <w:p w14:paraId="77281F08" w14:textId="5524DB8D"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CFI Team 2019. Product Costs. </w:t>
      </w:r>
      <w:r w:rsidRPr="00731DB6">
        <w:rPr>
          <w:rFonts w:ascii="Times New Roman" w:hAnsi="Times New Roman" w:cs="Times New Roman"/>
          <w:i/>
        </w:rPr>
        <w:t>Corporate Finance Institute</w:t>
      </w:r>
      <w:r w:rsidRPr="00731DB6">
        <w:rPr>
          <w:rFonts w:ascii="Times New Roman" w:hAnsi="Times New Roman" w:cs="Times New Roman"/>
        </w:rPr>
        <w:t xml:space="preserve"> 23 September. Available at: https://corporatefinanceinstitute.com/resources/accounting/product-costs/ [Accessed: </w:t>
      </w:r>
      <w:r w:rsidR="00A608B3" w:rsidRPr="00731DB6">
        <w:rPr>
          <w:rFonts w:ascii="Times New Roman" w:hAnsi="Times New Roman" w:cs="Times New Roman"/>
        </w:rPr>
        <w:t>29</w:t>
      </w:r>
      <w:r w:rsidRPr="00731DB6">
        <w:rPr>
          <w:rFonts w:ascii="Times New Roman" w:hAnsi="Times New Roman" w:cs="Times New Roman"/>
        </w:rPr>
        <w:t xml:space="preserve"> October 2023].</w:t>
      </w:r>
    </w:p>
    <w:p w14:paraId="5FC22323" w14:textId="020798C0"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Clark, D. 2023. UK GDP growth 2022. Available at: https://www.statista.com/statistics/281734/gdp-growth-in-the-united-kingdom-uk/ [Accessed: </w:t>
      </w:r>
      <w:r w:rsidR="00A608B3" w:rsidRPr="00731DB6">
        <w:rPr>
          <w:rFonts w:ascii="Times New Roman" w:hAnsi="Times New Roman" w:cs="Times New Roman"/>
        </w:rPr>
        <w:t>2</w:t>
      </w:r>
      <w:r w:rsidRPr="00731DB6">
        <w:rPr>
          <w:rFonts w:ascii="Times New Roman" w:hAnsi="Times New Roman" w:cs="Times New Roman"/>
        </w:rPr>
        <w:t>7 October 2023].</w:t>
      </w:r>
    </w:p>
    <w:p w14:paraId="6791C451" w14:textId="787BC022"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Department for Energy Security and Zero, N. 2021. Net Zero Strategy: Build Back Greener. </w:t>
      </w:r>
      <w:r w:rsidRPr="00731DB6">
        <w:rPr>
          <w:rFonts w:ascii="Times New Roman" w:hAnsi="Times New Roman" w:cs="Times New Roman"/>
          <w:i/>
        </w:rPr>
        <w:t>GOV.</w:t>
      </w:r>
      <w:r w:rsidR="001000C6" w:rsidRPr="00731DB6">
        <w:rPr>
          <w:rFonts w:ascii="Times New Roman" w:hAnsi="Times New Roman" w:cs="Times New Roman"/>
          <w:i/>
        </w:rPr>
        <w:t xml:space="preserve"> U.K.</w:t>
      </w:r>
      <w:r w:rsidRPr="00731DB6">
        <w:rPr>
          <w:rFonts w:ascii="Times New Roman" w:hAnsi="Times New Roman" w:cs="Times New Roman"/>
        </w:rPr>
        <w:t xml:space="preserve"> 19 October. Available at: https://www.gov.uk/government/publications/net-zero-strategy [Accessed: </w:t>
      </w:r>
      <w:r w:rsidR="00A608B3" w:rsidRPr="00731DB6">
        <w:rPr>
          <w:rFonts w:ascii="Times New Roman" w:hAnsi="Times New Roman" w:cs="Times New Roman"/>
        </w:rPr>
        <w:t>2</w:t>
      </w:r>
      <w:r w:rsidRPr="00731DB6">
        <w:rPr>
          <w:rFonts w:ascii="Times New Roman" w:hAnsi="Times New Roman" w:cs="Times New Roman"/>
        </w:rPr>
        <w:t>7 October 2023].</w:t>
      </w:r>
    </w:p>
    <w:p w14:paraId="2BDA5260" w14:textId="140E780E"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Distribution Network Operators. 2012. Available at: https://utilitiessavings.co.uk/info/guides/electricity-distributors/ [Accessed: </w:t>
      </w:r>
      <w:r w:rsidR="00D211D1">
        <w:rPr>
          <w:rFonts w:ascii="Times New Roman" w:hAnsi="Times New Roman" w:cs="Times New Roman"/>
        </w:rPr>
        <w:t>2</w:t>
      </w:r>
      <w:r w:rsidRPr="00731DB6">
        <w:rPr>
          <w:rFonts w:ascii="Times New Roman" w:hAnsi="Times New Roman" w:cs="Times New Roman"/>
        </w:rPr>
        <w:t>7 October 2023].</w:t>
      </w:r>
    </w:p>
    <w:p w14:paraId="44C9749C" w14:textId="55CCECA8"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Energy </w:t>
      </w:r>
      <w:r w:rsidR="001000C6" w:rsidRPr="00731DB6">
        <w:rPr>
          <w:rFonts w:ascii="Times New Roman" w:hAnsi="Times New Roman" w:cs="Times New Roman"/>
        </w:rPr>
        <w:t>U.K.</w:t>
      </w:r>
      <w:r w:rsidRPr="00731DB6">
        <w:rPr>
          <w:rFonts w:ascii="Times New Roman" w:hAnsi="Times New Roman" w:cs="Times New Roman"/>
        </w:rPr>
        <w:t xml:space="preserve"> 2022. Information about </w:t>
      </w:r>
      <w:r w:rsidR="001000C6" w:rsidRPr="00731DB6">
        <w:rPr>
          <w:rFonts w:ascii="Times New Roman" w:hAnsi="Times New Roman" w:cs="Times New Roman"/>
        </w:rPr>
        <w:t>U.K.</w:t>
      </w:r>
      <w:r w:rsidRPr="00731DB6">
        <w:rPr>
          <w:rFonts w:ascii="Times New Roman" w:hAnsi="Times New Roman" w:cs="Times New Roman"/>
        </w:rPr>
        <w:t xml:space="preserve"> Energy. Available at: https://www.energy-uk.org.uk/insights/uk-energy/ [Accessed: </w:t>
      </w:r>
      <w:r w:rsidR="00A608B3" w:rsidRPr="00731DB6">
        <w:rPr>
          <w:rFonts w:ascii="Times New Roman" w:hAnsi="Times New Roman" w:cs="Times New Roman"/>
        </w:rPr>
        <w:t>2</w:t>
      </w:r>
      <w:r w:rsidRPr="00731DB6">
        <w:rPr>
          <w:rFonts w:ascii="Times New Roman" w:hAnsi="Times New Roman" w:cs="Times New Roman"/>
        </w:rPr>
        <w:t>4 October 2023].</w:t>
      </w:r>
    </w:p>
    <w:p w14:paraId="250B5712" w14:textId="184E7385"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Environment Agency 2022. Regulating for people, the environment and growth, 2021. Available at: https://www.gov.uk/government/publications/regulating-for-people-the-environment-and-growth-2021/regulating-for-people-the-environment-and-growth-2021 [Accessed: </w:t>
      </w:r>
      <w:r w:rsidR="00D211D1">
        <w:rPr>
          <w:rFonts w:ascii="Times New Roman" w:hAnsi="Times New Roman" w:cs="Times New Roman"/>
        </w:rPr>
        <w:t>2</w:t>
      </w:r>
      <w:r w:rsidRPr="00731DB6">
        <w:rPr>
          <w:rFonts w:ascii="Times New Roman" w:hAnsi="Times New Roman" w:cs="Times New Roman"/>
        </w:rPr>
        <w:t xml:space="preserve">5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21C04463" w14:textId="1EF75C8E" w:rsidR="00C43654" w:rsidRPr="00731DB6" w:rsidRDefault="001000C6"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E.U.</w:t>
      </w:r>
      <w:r w:rsidR="00C43654" w:rsidRPr="00731DB6">
        <w:rPr>
          <w:rFonts w:ascii="Times New Roman" w:hAnsi="Times New Roman" w:cs="Times New Roman"/>
        </w:rPr>
        <w:t xml:space="preserve"> Commission 2021. The EU-UK Trade and Cooperation Agreement. Available at: https://commission.europa.eu/strategy-and-policy/relations-non-eu-</w:t>
      </w:r>
      <w:r w:rsidR="00C43654" w:rsidRPr="00731DB6">
        <w:rPr>
          <w:rFonts w:ascii="Times New Roman" w:hAnsi="Times New Roman" w:cs="Times New Roman"/>
        </w:rPr>
        <w:lastRenderedPageBreak/>
        <w:t xml:space="preserve">countries/relations-united-kingdom/eu-uk-trade-and-cooperation-agreement_en [Accessed: </w:t>
      </w:r>
      <w:r w:rsidR="00D211D1">
        <w:rPr>
          <w:rFonts w:ascii="Times New Roman" w:hAnsi="Times New Roman" w:cs="Times New Roman"/>
        </w:rPr>
        <w:t>2</w:t>
      </w:r>
      <w:r w:rsidR="00C43654" w:rsidRPr="00731DB6">
        <w:rPr>
          <w:rFonts w:ascii="Times New Roman" w:hAnsi="Times New Roman" w:cs="Times New Roman"/>
        </w:rPr>
        <w:t xml:space="preserve">7 </w:t>
      </w:r>
      <w:r w:rsidR="00A608B3" w:rsidRPr="00731DB6">
        <w:rPr>
          <w:rFonts w:ascii="Times New Roman" w:hAnsi="Times New Roman" w:cs="Times New Roman"/>
        </w:rPr>
        <w:t xml:space="preserve">November </w:t>
      </w:r>
      <w:r w:rsidR="00C43654" w:rsidRPr="00731DB6">
        <w:rPr>
          <w:rFonts w:ascii="Times New Roman" w:hAnsi="Times New Roman" w:cs="Times New Roman"/>
        </w:rPr>
        <w:t>2023].</w:t>
      </w:r>
    </w:p>
    <w:p w14:paraId="26BDC906" w14:textId="262099FB" w:rsidR="00C43654" w:rsidRPr="00731DB6" w:rsidRDefault="001A22CF" w:rsidP="00C43654">
      <w:pPr>
        <w:pStyle w:val="ListParagraph"/>
        <w:numPr>
          <w:ilvl w:val="0"/>
          <w:numId w:val="36"/>
        </w:numPr>
        <w:spacing w:line="360" w:lineRule="auto"/>
        <w:rPr>
          <w:rFonts w:ascii="Times New Roman" w:hAnsi="Times New Roman" w:cs="Times New Roman"/>
        </w:rPr>
      </w:pPr>
      <w:r w:rsidRPr="001A22CF">
        <w:rPr>
          <w:rFonts w:ascii="Times New Roman" w:hAnsi="Times New Roman" w:cs="Times New Roman"/>
        </w:rPr>
        <w:t>Farghali, M., Osman, A.I., Chen, Z. et al</w:t>
      </w:r>
      <w:r w:rsidR="00C43654" w:rsidRPr="00731DB6">
        <w:rPr>
          <w:rFonts w:ascii="Times New Roman" w:hAnsi="Times New Roman" w:cs="Times New Roman"/>
        </w:rPr>
        <w:t>.</w:t>
      </w:r>
      <w:r>
        <w:rPr>
          <w:rFonts w:ascii="Times New Roman" w:hAnsi="Times New Roman" w:cs="Times New Roman"/>
        </w:rPr>
        <w:t>,</w:t>
      </w:r>
      <w:r w:rsidR="00C43654" w:rsidRPr="00731DB6">
        <w:rPr>
          <w:rFonts w:ascii="Times New Roman" w:hAnsi="Times New Roman" w:cs="Times New Roman"/>
        </w:rPr>
        <w:t xml:space="preserve"> 2023. Social, environmental, and economic consequences of integrating renewable energies in the electricity sector: a review. </w:t>
      </w:r>
      <w:r w:rsidR="00C43654" w:rsidRPr="00731DB6">
        <w:rPr>
          <w:rFonts w:ascii="Times New Roman" w:hAnsi="Times New Roman" w:cs="Times New Roman"/>
          <w:i/>
        </w:rPr>
        <w:t>Environmental Chemistry Letters</w:t>
      </w:r>
      <w:r w:rsidR="00C43654" w:rsidRPr="00731DB6">
        <w:rPr>
          <w:rFonts w:ascii="Times New Roman" w:hAnsi="Times New Roman" w:cs="Times New Roman"/>
        </w:rPr>
        <w:t xml:space="preserve"> 21(3), pp. 1381–1418. doi: 10.1007/s10311-023-01587-1.</w:t>
      </w:r>
    </w:p>
    <w:p w14:paraId="3374A4B4" w14:textId="4A81FF03"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Financial Crime Academy 2023. The Consequences Of Non-Compliance: The Important Laws and Regulations To Non-Compliance. Available at: https://financialcrimeacademy.org/the-consequences-of-non-compliance/ [Accessed: </w:t>
      </w:r>
      <w:r w:rsidR="00A608B3" w:rsidRPr="00731DB6">
        <w:rPr>
          <w:rFonts w:ascii="Times New Roman" w:hAnsi="Times New Roman" w:cs="Times New Roman"/>
        </w:rPr>
        <w:t>2</w:t>
      </w:r>
      <w:r w:rsidRPr="00731DB6">
        <w:rPr>
          <w:rFonts w:ascii="Times New Roman" w:hAnsi="Times New Roman" w:cs="Times New Roman"/>
        </w:rPr>
        <w:t>5 October 2023].</w:t>
      </w:r>
    </w:p>
    <w:p w14:paraId="0CC49443" w14:textId="150BDFA4"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Forbes 2022. The British Pound Has Fallen To Its Lowest Level Against The </w:t>
      </w:r>
      <w:r w:rsidR="001000C6" w:rsidRPr="00731DB6">
        <w:rPr>
          <w:rFonts w:ascii="Times New Roman" w:hAnsi="Times New Roman" w:cs="Times New Roman"/>
        </w:rPr>
        <w:t>U.S.</w:t>
      </w:r>
      <w:r w:rsidRPr="00731DB6">
        <w:rPr>
          <w:rFonts w:ascii="Times New Roman" w:hAnsi="Times New Roman" w:cs="Times New Roman"/>
        </w:rPr>
        <w:t xml:space="preserve"> Dollar Since 1985 - Here’s Why. </w:t>
      </w:r>
      <w:r w:rsidRPr="00731DB6">
        <w:rPr>
          <w:rFonts w:ascii="Times New Roman" w:hAnsi="Times New Roman" w:cs="Times New Roman"/>
          <w:i/>
        </w:rPr>
        <w:t>Forbes</w:t>
      </w:r>
      <w:r w:rsidRPr="00731DB6">
        <w:rPr>
          <w:rFonts w:ascii="Times New Roman" w:hAnsi="Times New Roman" w:cs="Times New Roman"/>
        </w:rPr>
        <w:t xml:space="preserve"> 7 October. Available at: https://www.forbes.com/sites/qai/2022/10/07/the-british-pound-has-fallen-to-its-lowest-level-against-the-us-dollar-since-1985heres-why/ [Accessed: 1</w:t>
      </w:r>
      <w:r w:rsidR="00D211D1">
        <w:rPr>
          <w:rFonts w:ascii="Times New Roman" w:hAnsi="Times New Roman" w:cs="Times New Roman"/>
        </w:rPr>
        <w:t>9</w:t>
      </w:r>
      <w:r w:rsidRPr="00731DB6">
        <w:rPr>
          <w:rFonts w:ascii="Times New Roman" w:hAnsi="Times New Roman" w:cs="Times New Roman"/>
        </w:rPr>
        <w:t xml:space="preserve">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722E5A49" w14:textId="2C13C464"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FRC 2023. </w:t>
      </w:r>
      <w:r w:rsidR="001000C6" w:rsidRPr="00731DB6">
        <w:rPr>
          <w:rFonts w:ascii="Times New Roman" w:hAnsi="Times New Roman" w:cs="Times New Roman"/>
        </w:rPr>
        <w:t>U.K.</w:t>
      </w:r>
      <w:r w:rsidRPr="00731DB6">
        <w:rPr>
          <w:rFonts w:ascii="Times New Roman" w:hAnsi="Times New Roman" w:cs="Times New Roman"/>
        </w:rPr>
        <w:t xml:space="preserve"> Corporate Governance Code. Available at: https://www.frc.org.uk/library/standards-codes-policy/corporate-governance/uk-corporate-governance-code/ [Accessed: 1</w:t>
      </w:r>
      <w:r w:rsidR="00A608B3" w:rsidRPr="00731DB6">
        <w:rPr>
          <w:rFonts w:ascii="Times New Roman" w:hAnsi="Times New Roman" w:cs="Times New Roman"/>
        </w:rPr>
        <w:t>0</w:t>
      </w:r>
      <w:r w:rsidRPr="00731DB6">
        <w:rPr>
          <w:rFonts w:ascii="Times New Roman" w:hAnsi="Times New Roman" w:cs="Times New Roman"/>
        </w:rPr>
        <w:t xml:space="preserve">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3A1229D9" w14:textId="7523B9F2"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Gooding, P. 2023. Consumer price inflation, </w:t>
      </w:r>
      <w:r w:rsidR="001000C6" w:rsidRPr="00731DB6">
        <w:rPr>
          <w:rFonts w:ascii="Times New Roman" w:hAnsi="Times New Roman" w:cs="Times New Roman"/>
        </w:rPr>
        <w:t>U.K</w:t>
      </w:r>
      <w:r w:rsidRPr="00731DB6">
        <w:rPr>
          <w:rFonts w:ascii="Times New Roman" w:hAnsi="Times New Roman" w:cs="Times New Roman"/>
        </w:rPr>
        <w:t xml:space="preserve">. </w:t>
      </w:r>
      <w:r w:rsidRPr="00731DB6">
        <w:rPr>
          <w:rFonts w:ascii="Times New Roman" w:hAnsi="Times New Roman" w:cs="Times New Roman"/>
          <w:i/>
        </w:rPr>
        <w:t>Office for National Statistics</w:t>
      </w:r>
      <w:r w:rsidRPr="00731DB6">
        <w:rPr>
          <w:rFonts w:ascii="Times New Roman" w:hAnsi="Times New Roman" w:cs="Times New Roman"/>
        </w:rPr>
        <w:t xml:space="preserve"> 19 September. Available at: https://www.ons.gov.uk/economy/inflationandpriceindices/bulletins/consumerpriceinflation/august2023 [Accessed: </w:t>
      </w:r>
      <w:r w:rsidR="00D211D1">
        <w:rPr>
          <w:rFonts w:ascii="Times New Roman" w:hAnsi="Times New Roman" w:cs="Times New Roman"/>
        </w:rPr>
        <w:t>27</w:t>
      </w:r>
      <w:r w:rsidRPr="00731DB6">
        <w:rPr>
          <w:rFonts w:ascii="Times New Roman" w:hAnsi="Times New Roman" w:cs="Times New Roman"/>
        </w:rPr>
        <w:t xml:space="preserve"> October 2023].</w:t>
      </w:r>
    </w:p>
    <w:p w14:paraId="4F2CF9B8" w14:textId="1ECA6DB9"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GOV.</w:t>
      </w:r>
      <w:r w:rsidR="001000C6" w:rsidRPr="00731DB6">
        <w:rPr>
          <w:rFonts w:ascii="Times New Roman" w:hAnsi="Times New Roman" w:cs="Times New Roman"/>
        </w:rPr>
        <w:t xml:space="preserve"> U.K.</w:t>
      </w:r>
      <w:r w:rsidRPr="00731DB6">
        <w:rPr>
          <w:rFonts w:ascii="Times New Roman" w:hAnsi="Times New Roman" w:cs="Times New Roman"/>
        </w:rPr>
        <w:t xml:space="preserve"> 2012. Employment contracts. </w:t>
      </w:r>
      <w:r w:rsidRPr="00731DB6">
        <w:rPr>
          <w:rFonts w:ascii="Times New Roman" w:hAnsi="Times New Roman" w:cs="Times New Roman"/>
          <w:i/>
        </w:rPr>
        <w:t>GOV.</w:t>
      </w:r>
      <w:r w:rsidR="001000C6" w:rsidRPr="00731DB6">
        <w:rPr>
          <w:rFonts w:ascii="Times New Roman" w:hAnsi="Times New Roman" w:cs="Times New Roman"/>
          <w:i/>
        </w:rPr>
        <w:t xml:space="preserve"> U.K.</w:t>
      </w:r>
      <w:r w:rsidRPr="00731DB6">
        <w:rPr>
          <w:rFonts w:ascii="Times New Roman" w:hAnsi="Times New Roman" w:cs="Times New Roman"/>
        </w:rPr>
        <w:t xml:space="preserve"> 5 January. Available at: https://www.gov.uk/employment-contracts-and-conditions [Accessed: 15 October 2023].</w:t>
      </w:r>
    </w:p>
    <w:p w14:paraId="0747E581" w14:textId="28E765B8"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Graham, B. 2023. GDP monthly estimate, </w:t>
      </w:r>
      <w:r w:rsidR="001000C6" w:rsidRPr="00731DB6">
        <w:rPr>
          <w:rFonts w:ascii="Times New Roman" w:hAnsi="Times New Roman" w:cs="Times New Roman"/>
        </w:rPr>
        <w:t>U.K</w:t>
      </w:r>
      <w:r w:rsidRPr="00731DB6">
        <w:rPr>
          <w:rFonts w:ascii="Times New Roman" w:hAnsi="Times New Roman" w:cs="Times New Roman"/>
        </w:rPr>
        <w:t xml:space="preserve">. </w:t>
      </w:r>
      <w:r w:rsidRPr="00731DB6">
        <w:rPr>
          <w:rFonts w:ascii="Times New Roman" w:hAnsi="Times New Roman" w:cs="Times New Roman"/>
          <w:i/>
        </w:rPr>
        <w:t>Office for National Statistics</w:t>
      </w:r>
      <w:r w:rsidRPr="00731DB6">
        <w:rPr>
          <w:rFonts w:ascii="Times New Roman" w:hAnsi="Times New Roman" w:cs="Times New Roman"/>
        </w:rPr>
        <w:t xml:space="preserve"> 10 February. Available at: https://www.ons.gov.uk/economy/grossdomesticproductgdp/bulletins/gdpmonthlyestimateuk/december2022 [Accessed: </w:t>
      </w:r>
      <w:r w:rsidR="00D211D1">
        <w:rPr>
          <w:rFonts w:ascii="Times New Roman" w:hAnsi="Times New Roman" w:cs="Times New Roman"/>
        </w:rPr>
        <w:t>2</w:t>
      </w:r>
      <w:r w:rsidR="00A608B3" w:rsidRPr="00731DB6">
        <w:rPr>
          <w:rFonts w:ascii="Times New Roman" w:hAnsi="Times New Roman" w:cs="Times New Roman"/>
        </w:rPr>
        <w:t>1</w:t>
      </w:r>
      <w:r w:rsidRPr="00731DB6">
        <w:rPr>
          <w:rFonts w:ascii="Times New Roman" w:hAnsi="Times New Roman" w:cs="Times New Roman"/>
        </w:rPr>
        <w:t xml:space="preserve">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3F312FAF" w14:textId="2EDAC190"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Hannay, J. 2023. The future of energy storage: Batteries and beyond. </w:t>
      </w:r>
      <w:r w:rsidRPr="00731DB6">
        <w:rPr>
          <w:rFonts w:ascii="Times New Roman" w:hAnsi="Times New Roman" w:cs="Times New Roman"/>
          <w:i/>
        </w:rPr>
        <w:t>Sustainable Future News</w:t>
      </w:r>
      <w:r w:rsidRPr="00731DB6">
        <w:rPr>
          <w:rFonts w:ascii="Times New Roman" w:hAnsi="Times New Roman" w:cs="Times New Roman"/>
        </w:rPr>
        <w:t xml:space="preserve"> 5 July. Available at: https://sustainablefuturenews.com/features/the-future-of-energy-storage-batteries-and-beyond/ [Accessed: 15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7B4E4806" w14:textId="60FF84DD"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HMRC 2023. ECSH82780 - Sanctions for non-compliance: financial penalties: financial penalties framework: introduction - HMRC internal manual. Available at: </w:t>
      </w:r>
      <w:r w:rsidRPr="00731DB6">
        <w:rPr>
          <w:rFonts w:ascii="Times New Roman" w:hAnsi="Times New Roman" w:cs="Times New Roman"/>
        </w:rPr>
        <w:lastRenderedPageBreak/>
        <w:t>https://www.gov.uk/hmrc-internal-manuals/economic-crime-supervision-handbook/ecsh82780 [Accessed: 1</w:t>
      </w:r>
      <w:r w:rsidR="00A608B3" w:rsidRPr="00731DB6">
        <w:rPr>
          <w:rFonts w:ascii="Times New Roman" w:hAnsi="Times New Roman" w:cs="Times New Roman"/>
        </w:rPr>
        <w:t>3</w:t>
      </w:r>
      <w:r w:rsidRPr="00731DB6">
        <w:rPr>
          <w:rFonts w:ascii="Times New Roman" w:hAnsi="Times New Roman" w:cs="Times New Roman"/>
        </w:rPr>
        <w:t xml:space="preserve">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758720FA" w14:textId="5C0916F2"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IEA 2001. Competition in Electricity Markets – Analysis. Available at: https://iea.blob.core.windows.net/assets/a2ebe026-aff4-4e1a-951b-8b647f7ef3e3/CompetitioninElectricityMarkets.pdf [Accessed: 23 October 2023].</w:t>
      </w:r>
    </w:p>
    <w:p w14:paraId="2C2AA4B2" w14:textId="1967999D"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IEA 2023. Solar. Available at: https://www.iea.org/energy-system/renewables/solar-pv [Accessed: </w:t>
      </w:r>
      <w:r w:rsidR="00A608B3" w:rsidRPr="00731DB6">
        <w:rPr>
          <w:rFonts w:ascii="Times New Roman" w:hAnsi="Times New Roman" w:cs="Times New Roman"/>
        </w:rPr>
        <w:t>2</w:t>
      </w:r>
      <w:r w:rsidRPr="00731DB6">
        <w:rPr>
          <w:rFonts w:ascii="Times New Roman" w:hAnsi="Times New Roman" w:cs="Times New Roman"/>
        </w:rPr>
        <w:t>5 October 2023].</w:t>
      </w:r>
    </w:p>
    <w:p w14:paraId="225C6AA8" w14:textId="1DE86967"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Immonen, A., Kiljander, J. and Aro, M. 2020. Consumer viewpoint on a new kind of energy market. </w:t>
      </w:r>
      <w:r w:rsidRPr="00731DB6">
        <w:rPr>
          <w:rFonts w:ascii="Times New Roman" w:hAnsi="Times New Roman" w:cs="Times New Roman"/>
          <w:i/>
        </w:rPr>
        <w:t>Electric Power Systems Research</w:t>
      </w:r>
      <w:r w:rsidRPr="00731DB6">
        <w:rPr>
          <w:rFonts w:ascii="Times New Roman" w:hAnsi="Times New Roman" w:cs="Times New Roman"/>
        </w:rPr>
        <w:t xml:space="preserve"> 180, p. 106153. doi: 10.1016/j.epsr.2019.106153.</w:t>
      </w:r>
    </w:p>
    <w:p w14:paraId="0B95154B" w14:textId="00F416B6"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Jinyue, J., Yan, J., Dahlquist, E., Li, H., Thorin, E., Wallin, F. and Chou, S. 2019. </w:t>
      </w:r>
      <w:r w:rsidRPr="00731DB6">
        <w:rPr>
          <w:rFonts w:ascii="Times New Roman" w:hAnsi="Times New Roman" w:cs="Times New Roman"/>
          <w:i/>
        </w:rPr>
        <w:t>Innovative Solutions for Energy Transitions: Proceedings of the 11th International Conference on Applied Energy (ICAE2019)</w:t>
      </w:r>
      <w:r w:rsidRPr="00731DB6">
        <w:rPr>
          <w:rFonts w:ascii="Times New Roman" w:hAnsi="Times New Roman" w:cs="Times New Roman"/>
        </w:rPr>
        <w:t xml:space="preserve">. Applied Energy Innovation Institute (AEii). Available at: http://dx.doi.org/10.46855/energy-proceedings-5084 [Accessed: </w:t>
      </w:r>
      <w:r w:rsidR="00A608B3" w:rsidRPr="00731DB6">
        <w:rPr>
          <w:rFonts w:ascii="Times New Roman" w:hAnsi="Times New Roman" w:cs="Times New Roman"/>
        </w:rPr>
        <w:t>29</w:t>
      </w:r>
      <w:r w:rsidRPr="00731DB6">
        <w:rPr>
          <w:rFonts w:ascii="Times New Roman" w:hAnsi="Times New Roman" w:cs="Times New Roman"/>
        </w:rPr>
        <w:t xml:space="preserve"> October 2023].</w:t>
      </w:r>
    </w:p>
    <w:p w14:paraId="50C3BAF5" w14:textId="54D635A9"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Johansen, B. and Euchner, J. 2013. Navigating the VUCA World. </w:t>
      </w:r>
      <w:r w:rsidRPr="00731DB6">
        <w:rPr>
          <w:rFonts w:ascii="Times New Roman" w:hAnsi="Times New Roman" w:cs="Times New Roman"/>
          <w:i/>
        </w:rPr>
        <w:t>Research-Technology Management</w:t>
      </w:r>
      <w:r w:rsidRPr="00731DB6">
        <w:rPr>
          <w:rFonts w:ascii="Times New Roman" w:hAnsi="Times New Roman" w:cs="Times New Roman"/>
        </w:rPr>
        <w:t xml:space="preserve"> 56(1), pp. 10–15. doi: 10.5437/08956308x5601003.</w:t>
      </w:r>
    </w:p>
    <w:p w14:paraId="6E82AA83" w14:textId="68ECA24A"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Kinzig, A.P. et al. 2013. Social Norms and Global Environmental Challenges: The Complex Interaction of Behaviors, Values, and Policy. </w:t>
      </w:r>
      <w:r w:rsidRPr="00731DB6">
        <w:rPr>
          <w:rFonts w:ascii="Times New Roman" w:hAnsi="Times New Roman" w:cs="Times New Roman"/>
          <w:i/>
        </w:rPr>
        <w:t>Bioscience</w:t>
      </w:r>
      <w:r w:rsidRPr="00731DB6">
        <w:rPr>
          <w:rFonts w:ascii="Times New Roman" w:hAnsi="Times New Roman" w:cs="Times New Roman"/>
        </w:rPr>
        <w:t xml:space="preserve"> 63(3), pp. 164–175. doi: 10.1525/bio.2013.63.3.5.</w:t>
      </w:r>
    </w:p>
    <w:p w14:paraId="773E4614" w14:textId="1D0B748E"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Krugman, P. 1990. </w:t>
      </w:r>
      <w:r w:rsidRPr="00731DB6">
        <w:rPr>
          <w:rFonts w:ascii="Times New Roman" w:hAnsi="Times New Roman" w:cs="Times New Roman"/>
          <w:i/>
        </w:rPr>
        <w:t>Increasing Returns and Economic Geography</w:t>
      </w:r>
      <w:r w:rsidRPr="00731DB6">
        <w:rPr>
          <w:rFonts w:ascii="Times New Roman" w:hAnsi="Times New Roman" w:cs="Times New Roman"/>
        </w:rPr>
        <w:t xml:space="preserve">. Cambridge, MA: National Bureau of Economic Research. Available at: http://dx.doi.org/10.3386/w3275 [Accessed: </w:t>
      </w:r>
      <w:r w:rsidR="00D211D1">
        <w:rPr>
          <w:rFonts w:ascii="Times New Roman" w:hAnsi="Times New Roman" w:cs="Times New Roman"/>
        </w:rPr>
        <w:t>27</w:t>
      </w:r>
      <w:r w:rsidRPr="00731DB6">
        <w:rPr>
          <w:rFonts w:ascii="Times New Roman" w:hAnsi="Times New Roman" w:cs="Times New Roman"/>
        </w:rPr>
        <w:t xml:space="preserve">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21E1A2EE" w14:textId="0E38D7FE"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Laimon, M., Mai, T., Goh, S. and Yusaf, T. 2022. System dynamics modelling to assess the impact of renewable energy systems and energy efficiency on the performance of the energy sector. </w:t>
      </w:r>
      <w:r w:rsidRPr="00731DB6">
        <w:rPr>
          <w:rFonts w:ascii="Times New Roman" w:hAnsi="Times New Roman" w:cs="Times New Roman"/>
          <w:i/>
        </w:rPr>
        <w:t>Renewable Energy</w:t>
      </w:r>
      <w:r w:rsidRPr="00731DB6">
        <w:rPr>
          <w:rFonts w:ascii="Times New Roman" w:hAnsi="Times New Roman" w:cs="Times New Roman"/>
        </w:rPr>
        <w:t xml:space="preserve"> 193, pp. 1041–1048. doi: 10.1016/j.renene.2022.05.041.</w:t>
      </w:r>
    </w:p>
    <w:p w14:paraId="0FC5BEFA" w14:textId="5B833025"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Littlechild, S.C. and Vaidya, K.G. 2019. </w:t>
      </w:r>
      <w:r w:rsidR="001000C6" w:rsidRPr="00731DB6">
        <w:rPr>
          <w:rFonts w:ascii="Times New Roman" w:hAnsi="Times New Roman" w:cs="Times New Roman"/>
        </w:rPr>
        <w:t>U.K.</w:t>
      </w:r>
      <w:r w:rsidRPr="00731DB6">
        <w:rPr>
          <w:rFonts w:ascii="Times New Roman" w:hAnsi="Times New Roman" w:cs="Times New Roman"/>
        </w:rPr>
        <w:t xml:space="preserve"> Energy Sector: Past, Present and Future. In: </w:t>
      </w:r>
      <w:r w:rsidRPr="00731DB6">
        <w:rPr>
          <w:rFonts w:ascii="Times New Roman" w:hAnsi="Times New Roman" w:cs="Times New Roman"/>
          <w:i/>
        </w:rPr>
        <w:t xml:space="preserve">Energy Strategies for the </w:t>
      </w:r>
      <w:r w:rsidR="001000C6" w:rsidRPr="00731DB6">
        <w:rPr>
          <w:rFonts w:ascii="Times New Roman" w:hAnsi="Times New Roman" w:cs="Times New Roman"/>
          <w:i/>
        </w:rPr>
        <w:t>U.K</w:t>
      </w:r>
      <w:r w:rsidRPr="00731DB6">
        <w:rPr>
          <w:rFonts w:ascii="Times New Roman" w:hAnsi="Times New Roman" w:cs="Times New Roman"/>
        </w:rPr>
        <w:t xml:space="preserve">. Routledge, pp. 1–21. Available at: http://dx.doi.org/10.4324/9780429265600-1 [Accessed: </w:t>
      </w:r>
      <w:r w:rsidR="00D211D1">
        <w:rPr>
          <w:rFonts w:ascii="Times New Roman" w:hAnsi="Times New Roman" w:cs="Times New Roman"/>
        </w:rPr>
        <w:t>1</w:t>
      </w:r>
      <w:r w:rsidRPr="00731DB6">
        <w:rPr>
          <w:rFonts w:ascii="Times New Roman" w:hAnsi="Times New Roman" w:cs="Times New Roman"/>
        </w:rPr>
        <w:t xml:space="preserve">7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359DC725" w14:textId="67A61058"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Mehta, V.S. 2019. Transitioning Towards a Sustainable Energy Future: Challenges and Opportunities for India. In: </w:t>
      </w:r>
      <w:r w:rsidRPr="00731DB6">
        <w:rPr>
          <w:rFonts w:ascii="Times New Roman" w:hAnsi="Times New Roman" w:cs="Times New Roman"/>
          <w:i/>
        </w:rPr>
        <w:t>Sustainable Energy Transition in South Asia</w:t>
      </w:r>
      <w:r w:rsidRPr="00731DB6">
        <w:rPr>
          <w:rFonts w:ascii="Times New Roman" w:hAnsi="Times New Roman" w:cs="Times New Roman"/>
        </w:rPr>
        <w:t xml:space="preserve">. WORLD SCIENTIFIC, pp. 139–151. Available at: http://dx.doi.org/10.1142/9789811204326_0008 [Accessed: 15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6E574668" w14:textId="40261DF6"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lastRenderedPageBreak/>
        <w:t xml:space="preserve">Millard, R. 2023. SSE increases multibillion-pound investment drive in clean energy. </w:t>
      </w:r>
      <w:r w:rsidRPr="00731DB6">
        <w:rPr>
          <w:rFonts w:ascii="Times New Roman" w:hAnsi="Times New Roman" w:cs="Times New Roman"/>
          <w:i/>
        </w:rPr>
        <w:t>Financial Times</w:t>
      </w:r>
      <w:r w:rsidRPr="00731DB6">
        <w:rPr>
          <w:rFonts w:ascii="Times New Roman" w:hAnsi="Times New Roman" w:cs="Times New Roman"/>
        </w:rPr>
        <w:t xml:space="preserve"> 24 May. Available at: https://www.ft.com/content/704ff066-3bbb-46e0-a08e-60a253cc7ae0 [Accessed: 7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40FC88AF" w14:textId="0F63656F"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Moore, T. 2022. Global shift away from fossil fuels to renewable energy by 2050 would save £10trn, scientists say. </w:t>
      </w:r>
      <w:r w:rsidRPr="00731DB6">
        <w:rPr>
          <w:rFonts w:ascii="Times New Roman" w:hAnsi="Times New Roman" w:cs="Times New Roman"/>
          <w:i/>
        </w:rPr>
        <w:t>Sky</w:t>
      </w:r>
      <w:r w:rsidRPr="00731DB6">
        <w:rPr>
          <w:rFonts w:ascii="Times New Roman" w:hAnsi="Times New Roman" w:cs="Times New Roman"/>
        </w:rPr>
        <w:t xml:space="preserve"> 13 September. Available at: https://news.sky.com/story/global-shift-away-from-fossil-fuels-to-renewable-energy-by-2050-would-save-10trn-scientists-say-12696452 [Accessed: 1</w:t>
      </w:r>
      <w:r w:rsidR="00A608B3" w:rsidRPr="00731DB6">
        <w:rPr>
          <w:rFonts w:ascii="Times New Roman" w:hAnsi="Times New Roman" w:cs="Times New Roman"/>
        </w:rPr>
        <w:t>8</w:t>
      </w:r>
      <w:r w:rsidRPr="00731DB6">
        <w:rPr>
          <w:rFonts w:ascii="Times New Roman" w:hAnsi="Times New Roman" w:cs="Times New Roman"/>
        </w:rPr>
        <w:t xml:space="preserve">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11B168B8" w14:textId="691FEAE4"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Murphy, M.C. 2022. Northern Ireland and Brexit: where sovereignty and stability collide? In: </w:t>
      </w:r>
      <w:r w:rsidRPr="00731DB6">
        <w:rPr>
          <w:rFonts w:ascii="Times New Roman" w:hAnsi="Times New Roman" w:cs="Times New Roman"/>
          <w:i/>
        </w:rPr>
        <w:t>The Nested Games of Brexit</w:t>
      </w:r>
      <w:r w:rsidRPr="00731DB6">
        <w:rPr>
          <w:rFonts w:ascii="Times New Roman" w:hAnsi="Times New Roman" w:cs="Times New Roman"/>
        </w:rPr>
        <w:t xml:space="preserve">. London: Routledge, pp. 105–118. Available at: http://dx.doi.org/10.4324/9781003291770-9 [Accessed: </w:t>
      </w:r>
      <w:r w:rsidR="00D211D1">
        <w:rPr>
          <w:rFonts w:ascii="Times New Roman" w:hAnsi="Times New Roman" w:cs="Times New Roman"/>
        </w:rPr>
        <w:t>19</w:t>
      </w:r>
      <w:r w:rsidRPr="00731DB6">
        <w:rPr>
          <w:rFonts w:ascii="Times New Roman" w:hAnsi="Times New Roman" w:cs="Times New Roman"/>
        </w:rPr>
        <w:t xml:space="preserve">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116758A5" w14:textId="44C0639E"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OECD 2022. Competition in Energy Markets. Available at: https://www.oecd.org/competition/competition-in-energy-markets.htm [Accessed: 23 October 2023].</w:t>
      </w:r>
    </w:p>
    <w:p w14:paraId="46FF3F82" w14:textId="62D0F66F"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Office for Budget Responsibility 2023. Economic and fiscal outlook - March 2023. Available at: https://obr.uk/efo/economic-and-fiscal-outlook-march-2023/ [Accessed: </w:t>
      </w:r>
      <w:r w:rsidR="00D211D1">
        <w:rPr>
          <w:rFonts w:ascii="Times New Roman" w:hAnsi="Times New Roman" w:cs="Times New Roman"/>
        </w:rPr>
        <w:t>28</w:t>
      </w:r>
      <w:r w:rsidRPr="00731DB6">
        <w:rPr>
          <w:rFonts w:ascii="Times New Roman" w:hAnsi="Times New Roman" w:cs="Times New Roman"/>
        </w:rPr>
        <w:t xml:space="preserve"> October 2023].</w:t>
      </w:r>
    </w:p>
    <w:p w14:paraId="1E182750" w14:textId="058AEDA6"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Office for National Statistics 2023. Unemployment. Available at: https://www.ons.gov.uk/employmentandlabourmarket/peoplenotinwork/unemployment [Accessed: </w:t>
      </w:r>
      <w:r w:rsidR="00D211D1">
        <w:rPr>
          <w:rFonts w:ascii="Times New Roman" w:hAnsi="Times New Roman" w:cs="Times New Roman"/>
        </w:rPr>
        <w:t>2</w:t>
      </w:r>
      <w:r w:rsidRPr="00731DB6">
        <w:rPr>
          <w:rFonts w:ascii="Times New Roman" w:hAnsi="Times New Roman" w:cs="Times New Roman"/>
        </w:rPr>
        <w:t xml:space="preserve">7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6F1A4991" w14:textId="07155297"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OFGEM 2023. Changes in the energy supply market and Ofgem’s approach to regulation. Available at: https://www.ofgem.gov.uk/publications/changes-energy-supply-market-and-ofgems-approach-regulation [Accessed: 15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221A1D34" w14:textId="76766062"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Ogus, A. 2007. Better Regulation—Better Enforcement. In: </w:t>
      </w:r>
      <w:r w:rsidRPr="00731DB6">
        <w:rPr>
          <w:rFonts w:ascii="Times New Roman" w:hAnsi="Times New Roman" w:cs="Times New Roman"/>
          <w:i/>
        </w:rPr>
        <w:t>Better Regulation</w:t>
      </w:r>
      <w:r w:rsidRPr="00731DB6">
        <w:rPr>
          <w:rFonts w:ascii="Times New Roman" w:hAnsi="Times New Roman" w:cs="Times New Roman"/>
        </w:rPr>
        <w:t xml:space="preserve">. Hart Publishing. Available at: http://dx.doi.org/10.5040/9781472563972.ch-006 [Accessed: </w:t>
      </w:r>
      <w:r w:rsidR="00D211D1">
        <w:rPr>
          <w:rFonts w:ascii="Times New Roman" w:hAnsi="Times New Roman" w:cs="Times New Roman"/>
        </w:rPr>
        <w:t>10 December</w:t>
      </w:r>
      <w:r w:rsidRPr="00731DB6">
        <w:rPr>
          <w:rFonts w:ascii="Times New Roman" w:hAnsi="Times New Roman" w:cs="Times New Roman"/>
        </w:rPr>
        <w:t xml:space="preserve"> 2023].</w:t>
      </w:r>
    </w:p>
    <w:p w14:paraId="0C6D6A7A" w14:textId="14624D7D"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ONS 2023. Unemployment. Available at: https://www.ons.gov.uk/employmentandlabourmarket/peoplenotinwork/unemployment [Accessed: </w:t>
      </w:r>
      <w:r w:rsidR="00D211D1">
        <w:rPr>
          <w:rFonts w:ascii="Times New Roman" w:hAnsi="Times New Roman" w:cs="Times New Roman"/>
        </w:rPr>
        <w:t>2</w:t>
      </w:r>
      <w:r w:rsidR="00A608B3" w:rsidRPr="00731DB6">
        <w:rPr>
          <w:rFonts w:ascii="Times New Roman" w:hAnsi="Times New Roman" w:cs="Times New Roman"/>
        </w:rPr>
        <w:t>9</w:t>
      </w:r>
      <w:r w:rsidRPr="00731DB6">
        <w:rPr>
          <w:rFonts w:ascii="Times New Roman" w:hAnsi="Times New Roman" w:cs="Times New Roman"/>
        </w:rPr>
        <w:t xml:space="preserve">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3D729B5B" w14:textId="6B5C979C"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Porter, M.E. 1989. How Competitive Forces Shape Strategy. In: </w:t>
      </w:r>
      <w:r w:rsidRPr="00731DB6">
        <w:rPr>
          <w:rFonts w:ascii="Times New Roman" w:hAnsi="Times New Roman" w:cs="Times New Roman"/>
          <w:i/>
        </w:rPr>
        <w:t>Readings in Strategic Management</w:t>
      </w:r>
      <w:r w:rsidRPr="00731DB6">
        <w:rPr>
          <w:rFonts w:ascii="Times New Roman" w:hAnsi="Times New Roman" w:cs="Times New Roman"/>
        </w:rPr>
        <w:t xml:space="preserve">. London: Macmillan Education </w:t>
      </w:r>
      <w:r w:rsidR="001000C6" w:rsidRPr="00731DB6">
        <w:rPr>
          <w:rFonts w:ascii="Times New Roman" w:hAnsi="Times New Roman" w:cs="Times New Roman"/>
        </w:rPr>
        <w:t>U.K.</w:t>
      </w:r>
      <w:r w:rsidRPr="00731DB6">
        <w:rPr>
          <w:rFonts w:ascii="Times New Roman" w:hAnsi="Times New Roman" w:cs="Times New Roman"/>
        </w:rPr>
        <w:t xml:space="preserve">, pp. 133–143. Available at: http://dx.doi.org/10.1007/978-1-349-20317-8_10 [Accessed: </w:t>
      </w:r>
      <w:r w:rsidR="00A608B3" w:rsidRPr="00731DB6">
        <w:rPr>
          <w:rFonts w:ascii="Times New Roman" w:hAnsi="Times New Roman" w:cs="Times New Roman"/>
        </w:rPr>
        <w:t>20</w:t>
      </w:r>
      <w:r w:rsidRPr="00731DB6">
        <w:rPr>
          <w:rFonts w:ascii="Times New Roman" w:hAnsi="Times New Roman" w:cs="Times New Roman"/>
        </w:rPr>
        <w:t xml:space="preserve">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5CBD6B26" w14:textId="2D17FA74"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Pratt, K. 2023. GBP/USD Rate: Exchange GBP to USD – Convert Pounds Sterling To </w:t>
      </w:r>
      <w:r w:rsidR="001000C6" w:rsidRPr="00731DB6">
        <w:rPr>
          <w:rFonts w:ascii="Times New Roman" w:hAnsi="Times New Roman" w:cs="Times New Roman"/>
        </w:rPr>
        <w:t>U.S.</w:t>
      </w:r>
      <w:r w:rsidRPr="00731DB6">
        <w:rPr>
          <w:rFonts w:ascii="Times New Roman" w:hAnsi="Times New Roman" w:cs="Times New Roman"/>
        </w:rPr>
        <w:t xml:space="preserve"> Dollars. </w:t>
      </w:r>
      <w:r w:rsidRPr="00731DB6">
        <w:rPr>
          <w:rFonts w:ascii="Times New Roman" w:hAnsi="Times New Roman" w:cs="Times New Roman"/>
          <w:i/>
        </w:rPr>
        <w:t>Forbes</w:t>
      </w:r>
      <w:r w:rsidRPr="00731DB6">
        <w:rPr>
          <w:rFonts w:ascii="Times New Roman" w:hAnsi="Times New Roman" w:cs="Times New Roman"/>
        </w:rPr>
        <w:t xml:space="preserve"> 22 August. Available at: </w:t>
      </w:r>
      <w:r w:rsidRPr="00731DB6">
        <w:rPr>
          <w:rFonts w:ascii="Times New Roman" w:hAnsi="Times New Roman" w:cs="Times New Roman"/>
        </w:rPr>
        <w:lastRenderedPageBreak/>
        <w:t xml:space="preserve">https://www.forbes.com/uk/advisor/investing/currencies/gbp-to-usd/ [Accessed: 7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7571E6CC" w14:textId="31B75246"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del Río, P. and Kiefer, C.P. 2022. Which policy instruments promote innovation in renewable electricity technologies? A critical review of the literature with a focus on auctions. </w:t>
      </w:r>
      <w:r w:rsidRPr="00731DB6">
        <w:rPr>
          <w:rFonts w:ascii="Times New Roman" w:hAnsi="Times New Roman" w:cs="Times New Roman"/>
          <w:i/>
        </w:rPr>
        <w:t>Energy Research &amp;amp; Social Science</w:t>
      </w:r>
      <w:r w:rsidRPr="00731DB6">
        <w:rPr>
          <w:rFonts w:ascii="Times New Roman" w:hAnsi="Times New Roman" w:cs="Times New Roman"/>
        </w:rPr>
        <w:t xml:space="preserve"> 89, p. 102501. doi: 10.1016/j.erss.2022.102501.</w:t>
      </w:r>
    </w:p>
    <w:p w14:paraId="75D8BE0C" w14:textId="4EC6A196"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Rutherford, R. 2023. How SSE Energy Solutions is helping pave the net zero path for businesses of all sizes. Available at: https://www.business-live.co.uk/special-features/how-sse-energy-solutions-helping-27518784 [Accessed: 23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2A72F188" w14:textId="56631714"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Spital, T. and van Aerssen, K.F. 2023. The impact of Brexit on </w:t>
      </w:r>
      <w:r w:rsidR="001000C6" w:rsidRPr="00731DB6">
        <w:rPr>
          <w:rFonts w:ascii="Times New Roman" w:hAnsi="Times New Roman" w:cs="Times New Roman"/>
        </w:rPr>
        <w:t>U.K.</w:t>
      </w:r>
      <w:r w:rsidRPr="00731DB6">
        <w:rPr>
          <w:rFonts w:ascii="Times New Roman" w:hAnsi="Times New Roman" w:cs="Times New Roman"/>
        </w:rPr>
        <w:t xml:space="preserve"> trade and labour markets. Available at: https://www.ecb.europa.eu/pub/economic-bulletin/articles/2023/html/ecb.ebart202303_01~3af23c5f5a.en.html [Accessed: 15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50E10CE4" w14:textId="72D01370"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SSE 2008. Our heritage. Available at: https://www.sse.com/who-we-are/our-heritage/ [Accessed: 7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1FD3BEE8" w14:textId="7BAA7A95"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Thøgersen, J. 2023. Promoting sustainable consumption. In: </w:t>
      </w:r>
      <w:r w:rsidRPr="00731DB6">
        <w:rPr>
          <w:rFonts w:ascii="Times New Roman" w:hAnsi="Times New Roman" w:cs="Times New Roman"/>
          <w:i/>
        </w:rPr>
        <w:t>Concise Introduction to Sustainable Consumption</w:t>
      </w:r>
      <w:r w:rsidRPr="00731DB6">
        <w:rPr>
          <w:rFonts w:ascii="Times New Roman" w:hAnsi="Times New Roman" w:cs="Times New Roman"/>
        </w:rPr>
        <w:t xml:space="preserve">. Edward Elgar Publishing, pp. 110–126. Available at: http://dx.doi.org/10.4337/9781803924519.00014 [Accessed: </w:t>
      </w:r>
      <w:r w:rsidR="00A608B3" w:rsidRPr="00731DB6">
        <w:rPr>
          <w:rFonts w:ascii="Times New Roman" w:hAnsi="Times New Roman" w:cs="Times New Roman"/>
        </w:rPr>
        <w:t>2</w:t>
      </w:r>
      <w:r w:rsidRPr="00731DB6">
        <w:rPr>
          <w:rFonts w:ascii="Times New Roman" w:hAnsi="Times New Roman" w:cs="Times New Roman"/>
        </w:rPr>
        <w:t xml:space="preserve">5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35CD9C21" w14:textId="6D48BECA"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Van Parijs, P. 1997. Capitalism, Socialism, and Freedom. In: </w:t>
      </w:r>
      <w:r w:rsidRPr="00731DB6">
        <w:rPr>
          <w:rFonts w:ascii="Times New Roman" w:hAnsi="Times New Roman" w:cs="Times New Roman"/>
          <w:i/>
        </w:rPr>
        <w:t>Real Freedom for All</w:t>
      </w:r>
      <w:r w:rsidRPr="00731DB6">
        <w:rPr>
          <w:rFonts w:ascii="Times New Roman" w:hAnsi="Times New Roman" w:cs="Times New Roman"/>
        </w:rPr>
        <w:t xml:space="preserve">. Oxford University PressOxford, pp. 3–29. Available at: http://dx.doi.org/10.1093/0198293577.003.0002 [Accessed: </w:t>
      </w:r>
      <w:r w:rsidR="00A608B3" w:rsidRPr="00731DB6">
        <w:rPr>
          <w:rFonts w:ascii="Times New Roman" w:hAnsi="Times New Roman" w:cs="Times New Roman"/>
        </w:rPr>
        <w:t>28</w:t>
      </w:r>
      <w:r w:rsidRPr="00731DB6">
        <w:rPr>
          <w:rFonts w:ascii="Times New Roman" w:hAnsi="Times New Roman" w:cs="Times New Roman"/>
        </w:rPr>
        <w:t xml:space="preserve">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33E43C03" w14:textId="3F4F14A3" w:rsidR="00C43654" w:rsidRPr="00731DB6" w:rsidRDefault="00C43654" w:rsidP="00C43654">
      <w:pPr>
        <w:pStyle w:val="ListParagraph"/>
        <w:numPr>
          <w:ilvl w:val="0"/>
          <w:numId w:val="36"/>
        </w:numPr>
        <w:spacing w:after="1440" w:line="360" w:lineRule="auto"/>
        <w:rPr>
          <w:rFonts w:ascii="Times New Roman" w:hAnsi="Times New Roman" w:cs="Times New Roman"/>
        </w:rPr>
      </w:pPr>
      <w:r w:rsidRPr="00731DB6">
        <w:rPr>
          <w:rFonts w:ascii="Times New Roman" w:hAnsi="Times New Roman" w:cs="Times New Roman"/>
        </w:rPr>
        <w:t xml:space="preserve">Waller, L., Cox, E. and Bellamy, R. 2023. Carbon removal demonstrations and problems of public perception. </w:t>
      </w:r>
      <w:r w:rsidRPr="00731DB6">
        <w:rPr>
          <w:rFonts w:ascii="Times New Roman" w:hAnsi="Times New Roman" w:cs="Times New Roman"/>
          <w:i/>
        </w:rPr>
        <w:t>WIREs Climate Change</w:t>
      </w:r>
      <w:r w:rsidRPr="00731DB6">
        <w:rPr>
          <w:rFonts w:ascii="Times New Roman" w:hAnsi="Times New Roman" w:cs="Times New Roman"/>
        </w:rPr>
        <w:t xml:space="preserve"> . doi: 10.1002/wcc.857.</w:t>
      </w:r>
    </w:p>
    <w:p w14:paraId="04B0763C" w14:textId="208E7456" w:rsidR="00C43654" w:rsidRPr="00731DB6" w:rsidRDefault="00C43654" w:rsidP="00C43654">
      <w:pPr>
        <w:pStyle w:val="ListParagraph"/>
        <w:numPr>
          <w:ilvl w:val="0"/>
          <w:numId w:val="36"/>
        </w:numPr>
        <w:spacing w:after="1440" w:line="360" w:lineRule="auto"/>
        <w:rPr>
          <w:rFonts w:ascii="Times New Roman" w:hAnsi="Times New Roman" w:cs="Times New Roman"/>
        </w:rPr>
      </w:pPr>
      <w:r w:rsidRPr="00731DB6">
        <w:rPr>
          <w:rFonts w:ascii="Times New Roman" w:hAnsi="Times New Roman" w:cs="Times New Roman"/>
        </w:rPr>
        <w:t xml:space="preserve">Westoby, R. 2013. </w:t>
      </w:r>
      <w:r w:rsidR="001000C6" w:rsidRPr="00731DB6">
        <w:rPr>
          <w:rFonts w:ascii="Times New Roman" w:hAnsi="Times New Roman" w:cs="Times New Roman"/>
        </w:rPr>
        <w:t>U.K.</w:t>
      </w:r>
      <w:r w:rsidRPr="00731DB6">
        <w:rPr>
          <w:rFonts w:ascii="Times New Roman" w:hAnsi="Times New Roman" w:cs="Times New Roman"/>
        </w:rPr>
        <w:t xml:space="preserve"> energy market how does it compare. Available at: https://www.sse.com/news-and-views/2013/06/uk-energy-market-how-does-it-compare/ [Accessed: 7</w:t>
      </w:r>
      <w:r w:rsidR="00D211D1">
        <w:rPr>
          <w:rFonts w:ascii="Times New Roman" w:hAnsi="Times New Roman" w:cs="Times New Roman"/>
        </w:rPr>
        <w:t xml:space="preserve"> December</w:t>
      </w:r>
      <w:r w:rsidR="00A608B3" w:rsidRPr="00731DB6">
        <w:rPr>
          <w:rFonts w:ascii="Times New Roman" w:hAnsi="Times New Roman" w:cs="Times New Roman"/>
        </w:rPr>
        <w:t xml:space="preserve"> </w:t>
      </w:r>
      <w:r w:rsidRPr="00731DB6">
        <w:rPr>
          <w:rFonts w:ascii="Times New Roman" w:hAnsi="Times New Roman" w:cs="Times New Roman"/>
        </w:rPr>
        <w:t>2023].</w:t>
      </w:r>
    </w:p>
    <w:p w14:paraId="31DE7FD9" w14:textId="3CFF6533" w:rsidR="00C43654" w:rsidRPr="00731DB6" w:rsidRDefault="00C43654" w:rsidP="00C43654">
      <w:pPr>
        <w:pStyle w:val="ListParagraph"/>
        <w:numPr>
          <w:ilvl w:val="0"/>
          <w:numId w:val="36"/>
        </w:numPr>
        <w:spacing w:after="1440" w:line="360" w:lineRule="auto"/>
        <w:rPr>
          <w:rFonts w:ascii="Times New Roman" w:hAnsi="Times New Roman" w:cs="Times New Roman"/>
        </w:rPr>
      </w:pPr>
      <w:r w:rsidRPr="00731DB6">
        <w:rPr>
          <w:rFonts w:ascii="Times New Roman" w:hAnsi="Times New Roman" w:cs="Times New Roman"/>
        </w:rPr>
        <w:t xml:space="preserve">White, K., Habib, R. and Hardisty, D.J. 2019. How to SHIFT Consumer Behaviors to be More Sustainable: A Literature Review and Guiding Framework. </w:t>
      </w:r>
      <w:r w:rsidRPr="00731DB6">
        <w:rPr>
          <w:rFonts w:ascii="Times New Roman" w:hAnsi="Times New Roman" w:cs="Times New Roman"/>
          <w:i/>
        </w:rPr>
        <w:t>Journal of Marketing</w:t>
      </w:r>
      <w:r w:rsidRPr="00731DB6">
        <w:rPr>
          <w:rFonts w:ascii="Times New Roman" w:hAnsi="Times New Roman" w:cs="Times New Roman"/>
        </w:rPr>
        <w:t xml:space="preserve"> 83(3), pp. 22–49. doi: 10.1177/0022242919825649.</w:t>
      </w:r>
    </w:p>
    <w:p w14:paraId="46417E63" w14:textId="0C061F0A" w:rsidR="00C43654" w:rsidRPr="00731DB6" w:rsidRDefault="00C43654" w:rsidP="00C43654">
      <w:pPr>
        <w:pStyle w:val="ListParagraph"/>
        <w:numPr>
          <w:ilvl w:val="0"/>
          <w:numId w:val="36"/>
        </w:numPr>
        <w:spacing w:after="1440" w:line="360" w:lineRule="auto"/>
        <w:rPr>
          <w:rFonts w:ascii="Times New Roman" w:hAnsi="Times New Roman" w:cs="Times New Roman"/>
        </w:rPr>
      </w:pPr>
      <w:r w:rsidRPr="00731DB6">
        <w:rPr>
          <w:rFonts w:ascii="Times New Roman" w:hAnsi="Times New Roman" w:cs="Times New Roman"/>
        </w:rPr>
        <w:t xml:space="preserve">World Bank Group 2022. Food and Energy Price Shocks from Ukraine War Could Last for Years. </w:t>
      </w:r>
      <w:r w:rsidRPr="00731DB6">
        <w:rPr>
          <w:rFonts w:ascii="Times New Roman" w:hAnsi="Times New Roman" w:cs="Times New Roman"/>
          <w:i/>
        </w:rPr>
        <w:t>World Bank Group</w:t>
      </w:r>
      <w:r w:rsidRPr="00731DB6">
        <w:rPr>
          <w:rFonts w:ascii="Times New Roman" w:hAnsi="Times New Roman" w:cs="Times New Roman"/>
        </w:rPr>
        <w:t xml:space="preserve"> 27 April. Available at: https://www.worldbank.org/en/news/press-release/2022/04/26/food-and-energy-price-shocks-from-ukraine-war [Accessed: </w:t>
      </w:r>
      <w:r w:rsidR="00D211D1">
        <w:rPr>
          <w:rFonts w:ascii="Times New Roman" w:hAnsi="Times New Roman" w:cs="Times New Roman"/>
        </w:rPr>
        <w:t>2</w:t>
      </w:r>
      <w:r w:rsidRPr="00731DB6">
        <w:rPr>
          <w:rFonts w:ascii="Times New Roman" w:hAnsi="Times New Roman" w:cs="Times New Roman"/>
        </w:rPr>
        <w:t xml:space="preserve">5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20299DF4" w14:textId="20F0082F" w:rsidR="00C43654" w:rsidRPr="00731DB6" w:rsidRDefault="00C43654" w:rsidP="00C43654">
      <w:pPr>
        <w:pStyle w:val="ListParagraph"/>
        <w:numPr>
          <w:ilvl w:val="0"/>
          <w:numId w:val="36"/>
        </w:numPr>
        <w:spacing w:after="1440" w:line="360" w:lineRule="auto"/>
        <w:rPr>
          <w:rFonts w:ascii="Times New Roman" w:hAnsi="Times New Roman" w:cs="Times New Roman"/>
        </w:rPr>
      </w:pPr>
      <w:r w:rsidRPr="00731DB6">
        <w:rPr>
          <w:rFonts w:ascii="Times New Roman" w:hAnsi="Times New Roman" w:cs="Times New Roman"/>
        </w:rPr>
        <w:lastRenderedPageBreak/>
        <w:t xml:space="preserve">WTO 2023. WTO. Available at: https://www.wto.org/english/docs_e/legal_e/26-gats_01_e.htm [Accessed: </w:t>
      </w:r>
      <w:r w:rsidR="00A608B3" w:rsidRPr="00731DB6">
        <w:rPr>
          <w:rFonts w:ascii="Times New Roman" w:hAnsi="Times New Roman" w:cs="Times New Roman"/>
        </w:rPr>
        <w:t>2</w:t>
      </w:r>
      <w:r w:rsidR="00D211D1">
        <w:rPr>
          <w:rFonts w:ascii="Times New Roman" w:hAnsi="Times New Roman" w:cs="Times New Roman"/>
        </w:rPr>
        <w:t>7</w:t>
      </w:r>
      <w:r w:rsidRPr="00731DB6">
        <w:rPr>
          <w:rFonts w:ascii="Times New Roman" w:hAnsi="Times New Roman" w:cs="Times New Roman"/>
        </w:rPr>
        <w:t xml:space="preserve"> October 2023].</w:t>
      </w:r>
    </w:p>
    <w:p w14:paraId="19349ED7" w14:textId="6B531036" w:rsidR="00C43654" w:rsidRPr="00731DB6" w:rsidRDefault="00C43654" w:rsidP="00C43654">
      <w:pPr>
        <w:pStyle w:val="ListParagraph"/>
        <w:numPr>
          <w:ilvl w:val="0"/>
          <w:numId w:val="36"/>
        </w:numPr>
        <w:spacing w:after="1440" w:line="360" w:lineRule="auto"/>
        <w:rPr>
          <w:rFonts w:ascii="Times New Roman" w:hAnsi="Times New Roman" w:cs="Times New Roman"/>
        </w:rPr>
      </w:pPr>
      <w:r w:rsidRPr="00731DB6">
        <w:rPr>
          <w:rFonts w:ascii="Times New Roman" w:hAnsi="Times New Roman" w:cs="Times New Roman"/>
        </w:rPr>
        <w:t xml:space="preserve">Zu, L. 2022. Strategies for Managing Sustainability Risk in a VUCA World. In: </w:t>
      </w:r>
      <w:r w:rsidRPr="00731DB6">
        <w:rPr>
          <w:rFonts w:ascii="Times New Roman" w:hAnsi="Times New Roman" w:cs="Times New Roman"/>
          <w:i/>
        </w:rPr>
        <w:t>Responsible and Sustainable Business</w:t>
      </w:r>
      <w:r w:rsidRPr="00731DB6">
        <w:rPr>
          <w:rFonts w:ascii="Times New Roman" w:hAnsi="Times New Roman" w:cs="Times New Roman"/>
        </w:rPr>
        <w:t xml:space="preserve">. Cham: Springer International Publishing, pp. 227–257. Available at: http://dx.doi.org/10.1007/978-3-030-91117-1_15 [Accessed: </w:t>
      </w:r>
      <w:r w:rsidR="00A608B3" w:rsidRPr="00731DB6">
        <w:rPr>
          <w:rFonts w:ascii="Times New Roman" w:hAnsi="Times New Roman" w:cs="Times New Roman"/>
        </w:rPr>
        <w:t>2</w:t>
      </w:r>
      <w:r w:rsidR="00D211D1">
        <w:rPr>
          <w:rFonts w:ascii="Times New Roman" w:hAnsi="Times New Roman" w:cs="Times New Roman"/>
        </w:rPr>
        <w:t>3</w:t>
      </w:r>
      <w:r w:rsidRPr="00731DB6">
        <w:rPr>
          <w:rFonts w:ascii="Times New Roman" w:hAnsi="Times New Roman" w:cs="Times New Roman"/>
        </w:rPr>
        <w:t xml:space="preserve"> October 2023].</w:t>
      </w:r>
    </w:p>
    <w:p w14:paraId="623720E0" w14:textId="691D0423" w:rsidR="00C43654" w:rsidRPr="003519EC" w:rsidRDefault="00C43654" w:rsidP="00C43654">
      <w:pPr>
        <w:spacing w:line="360" w:lineRule="auto"/>
        <w:rPr>
          <w:sz w:val="22"/>
          <w:szCs w:val="22"/>
        </w:rPr>
      </w:pPr>
    </w:p>
    <w:sectPr w:rsidR="00C43654" w:rsidRPr="003519EC" w:rsidSect="007974E5">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147C5" w14:textId="77777777" w:rsidR="00575389" w:rsidRDefault="00575389" w:rsidP="000B72F9">
      <w:r>
        <w:separator/>
      </w:r>
    </w:p>
  </w:endnote>
  <w:endnote w:type="continuationSeparator" w:id="0">
    <w:p w14:paraId="539824BD" w14:textId="77777777" w:rsidR="00575389" w:rsidRDefault="00575389" w:rsidP="000B72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5217388"/>
      <w:docPartObj>
        <w:docPartGallery w:val="Page Numbers (Bottom of Page)"/>
        <w:docPartUnique/>
      </w:docPartObj>
    </w:sdtPr>
    <w:sdtContent>
      <w:p w14:paraId="066CF020" w14:textId="108B7ACE" w:rsidR="000B72F9" w:rsidRDefault="000B72F9" w:rsidP="00930B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32A83C" w14:textId="77777777" w:rsidR="000B72F9" w:rsidRDefault="000B72F9" w:rsidP="000B72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6725080"/>
      <w:docPartObj>
        <w:docPartGallery w:val="Page Numbers (Bottom of Page)"/>
        <w:docPartUnique/>
      </w:docPartObj>
    </w:sdtPr>
    <w:sdtContent>
      <w:p w14:paraId="67DA6DDC" w14:textId="2EA2683D" w:rsidR="000B72F9" w:rsidRDefault="000B72F9" w:rsidP="00930B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AD7126" w14:textId="77777777" w:rsidR="000B72F9" w:rsidRDefault="000B72F9" w:rsidP="000B72F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22A45" w14:textId="77777777" w:rsidR="008535E4" w:rsidRDefault="00853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33351" w14:textId="77777777" w:rsidR="00575389" w:rsidRDefault="00575389" w:rsidP="000B72F9">
      <w:r>
        <w:separator/>
      </w:r>
    </w:p>
  </w:footnote>
  <w:footnote w:type="continuationSeparator" w:id="0">
    <w:p w14:paraId="37DA8060" w14:textId="77777777" w:rsidR="00575389" w:rsidRDefault="00575389" w:rsidP="000B72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D33ED" w14:textId="77777777" w:rsidR="008535E4" w:rsidRDefault="008535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9C544" w14:textId="77777777" w:rsidR="008535E4" w:rsidRDefault="008535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8DD71C" w14:textId="77777777" w:rsidR="008535E4" w:rsidRDefault="008535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62FD6"/>
    <w:multiLevelType w:val="hybridMultilevel"/>
    <w:tmpl w:val="A47EF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497C23"/>
    <w:multiLevelType w:val="hybridMultilevel"/>
    <w:tmpl w:val="F2E61E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5874A8"/>
    <w:multiLevelType w:val="multilevel"/>
    <w:tmpl w:val="54547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6E5157"/>
    <w:multiLevelType w:val="multilevel"/>
    <w:tmpl w:val="5E50B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34686F"/>
    <w:multiLevelType w:val="multilevel"/>
    <w:tmpl w:val="4A8A2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14752A"/>
    <w:multiLevelType w:val="hybridMultilevel"/>
    <w:tmpl w:val="F2E61EA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0ECC659D"/>
    <w:multiLevelType w:val="multilevel"/>
    <w:tmpl w:val="032C3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F750E2"/>
    <w:multiLevelType w:val="multilevel"/>
    <w:tmpl w:val="6C905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8E831EE"/>
    <w:multiLevelType w:val="multilevel"/>
    <w:tmpl w:val="55FE7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67301D"/>
    <w:multiLevelType w:val="multilevel"/>
    <w:tmpl w:val="1188E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076BA3"/>
    <w:multiLevelType w:val="multilevel"/>
    <w:tmpl w:val="7ACC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1591598"/>
    <w:multiLevelType w:val="multilevel"/>
    <w:tmpl w:val="34A03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38267A5"/>
    <w:multiLevelType w:val="multilevel"/>
    <w:tmpl w:val="05E0C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3F64BED"/>
    <w:multiLevelType w:val="multilevel"/>
    <w:tmpl w:val="7ACC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60F5634"/>
    <w:multiLevelType w:val="multilevel"/>
    <w:tmpl w:val="B422E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6F94F23"/>
    <w:multiLevelType w:val="multilevel"/>
    <w:tmpl w:val="7ACC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6B4B5E"/>
    <w:multiLevelType w:val="multilevel"/>
    <w:tmpl w:val="1DCA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A582B1F"/>
    <w:multiLevelType w:val="multilevel"/>
    <w:tmpl w:val="E5CA0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E3030E1"/>
    <w:multiLevelType w:val="multilevel"/>
    <w:tmpl w:val="AB58B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EA530DD"/>
    <w:multiLevelType w:val="multilevel"/>
    <w:tmpl w:val="B47ED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8D33D4E"/>
    <w:multiLevelType w:val="multilevel"/>
    <w:tmpl w:val="214E1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9AA7A1C"/>
    <w:multiLevelType w:val="hybridMultilevel"/>
    <w:tmpl w:val="CC546C5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C170CF7"/>
    <w:multiLevelType w:val="multilevel"/>
    <w:tmpl w:val="7ACC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E741640"/>
    <w:multiLevelType w:val="multilevel"/>
    <w:tmpl w:val="79B6D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1BE596A"/>
    <w:multiLevelType w:val="multilevel"/>
    <w:tmpl w:val="7ACC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4257C2F"/>
    <w:multiLevelType w:val="multilevel"/>
    <w:tmpl w:val="C750E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6A61355"/>
    <w:multiLevelType w:val="hybridMultilevel"/>
    <w:tmpl w:val="BC28B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91977D1"/>
    <w:multiLevelType w:val="multilevel"/>
    <w:tmpl w:val="E4400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A706BE2"/>
    <w:multiLevelType w:val="hybridMultilevel"/>
    <w:tmpl w:val="1346CDB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F650BD"/>
    <w:multiLevelType w:val="multilevel"/>
    <w:tmpl w:val="2E221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001724E"/>
    <w:multiLevelType w:val="hybridMultilevel"/>
    <w:tmpl w:val="D0C23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67479B9"/>
    <w:multiLevelType w:val="multilevel"/>
    <w:tmpl w:val="E26A98D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8AC0511"/>
    <w:multiLevelType w:val="multilevel"/>
    <w:tmpl w:val="05F29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310222D"/>
    <w:multiLevelType w:val="multilevel"/>
    <w:tmpl w:val="7ACC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3C66D89"/>
    <w:multiLevelType w:val="multilevel"/>
    <w:tmpl w:val="D0447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FC05CE7"/>
    <w:multiLevelType w:val="multilevel"/>
    <w:tmpl w:val="BF940D5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6" w15:restartNumberingAfterBreak="0">
    <w:nsid w:val="6FC34C73"/>
    <w:multiLevelType w:val="multilevel"/>
    <w:tmpl w:val="3E2A1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FF3087C"/>
    <w:multiLevelType w:val="multilevel"/>
    <w:tmpl w:val="3628F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AF60DB5"/>
    <w:multiLevelType w:val="multilevel"/>
    <w:tmpl w:val="F5A09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B217477"/>
    <w:multiLevelType w:val="multilevel"/>
    <w:tmpl w:val="AFF60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FBC34C7"/>
    <w:multiLevelType w:val="hybridMultilevel"/>
    <w:tmpl w:val="DBB66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4989334">
    <w:abstractNumId w:val="14"/>
  </w:num>
  <w:num w:numId="2" w16cid:durableId="2077437145">
    <w:abstractNumId w:val="37"/>
  </w:num>
  <w:num w:numId="3" w16cid:durableId="179439284">
    <w:abstractNumId w:val="17"/>
  </w:num>
  <w:num w:numId="4" w16cid:durableId="822087281">
    <w:abstractNumId w:val="27"/>
  </w:num>
  <w:num w:numId="5" w16cid:durableId="379063118">
    <w:abstractNumId w:val="18"/>
  </w:num>
  <w:num w:numId="6" w16cid:durableId="454176391">
    <w:abstractNumId w:val="11"/>
  </w:num>
  <w:num w:numId="7" w16cid:durableId="2059277452">
    <w:abstractNumId w:val="19"/>
  </w:num>
  <w:num w:numId="8" w16cid:durableId="401218360">
    <w:abstractNumId w:val="7"/>
  </w:num>
  <w:num w:numId="9" w16cid:durableId="708263712">
    <w:abstractNumId w:val="31"/>
  </w:num>
  <w:num w:numId="10" w16cid:durableId="851991455">
    <w:abstractNumId w:val="9"/>
  </w:num>
  <w:num w:numId="11" w16cid:durableId="1507017034">
    <w:abstractNumId w:val="8"/>
  </w:num>
  <w:num w:numId="12" w16cid:durableId="89083519">
    <w:abstractNumId w:val="2"/>
  </w:num>
  <w:num w:numId="13" w16cid:durableId="803426461">
    <w:abstractNumId w:val="29"/>
  </w:num>
  <w:num w:numId="14" w16cid:durableId="1731998249">
    <w:abstractNumId w:val="38"/>
  </w:num>
  <w:num w:numId="15" w16cid:durableId="974604565">
    <w:abstractNumId w:val="4"/>
  </w:num>
  <w:num w:numId="16" w16cid:durableId="1537768523">
    <w:abstractNumId w:val="34"/>
  </w:num>
  <w:num w:numId="17" w16cid:durableId="842355735">
    <w:abstractNumId w:val="12"/>
  </w:num>
  <w:num w:numId="18" w16cid:durableId="1450322557">
    <w:abstractNumId w:val="23"/>
  </w:num>
  <w:num w:numId="19" w16cid:durableId="1432701390">
    <w:abstractNumId w:val="25"/>
  </w:num>
  <w:num w:numId="20" w16cid:durableId="1764447612">
    <w:abstractNumId w:val="30"/>
  </w:num>
  <w:num w:numId="21" w16cid:durableId="1828549739">
    <w:abstractNumId w:val="40"/>
  </w:num>
  <w:num w:numId="22" w16cid:durableId="1800340371">
    <w:abstractNumId w:val="26"/>
  </w:num>
  <w:num w:numId="23" w16cid:durableId="321660185">
    <w:abstractNumId w:val="13"/>
  </w:num>
  <w:num w:numId="24" w16cid:durableId="897672132">
    <w:abstractNumId w:val="35"/>
  </w:num>
  <w:num w:numId="25" w16cid:durableId="1019965239">
    <w:abstractNumId w:val="15"/>
  </w:num>
  <w:num w:numId="26" w16cid:durableId="1103501347">
    <w:abstractNumId w:val="33"/>
  </w:num>
  <w:num w:numId="27" w16cid:durableId="159542047">
    <w:abstractNumId w:val="22"/>
  </w:num>
  <w:num w:numId="28" w16cid:durableId="283658839">
    <w:abstractNumId w:val="24"/>
  </w:num>
  <w:num w:numId="29" w16cid:durableId="406609977">
    <w:abstractNumId w:val="10"/>
  </w:num>
  <w:num w:numId="30" w16cid:durableId="572589175">
    <w:abstractNumId w:val="1"/>
  </w:num>
  <w:num w:numId="31" w16cid:durableId="1674263296">
    <w:abstractNumId w:val="21"/>
  </w:num>
  <w:num w:numId="32" w16cid:durableId="351805079">
    <w:abstractNumId w:val="5"/>
  </w:num>
  <w:num w:numId="33" w16cid:durableId="1238444583">
    <w:abstractNumId w:val="28"/>
  </w:num>
  <w:num w:numId="34" w16cid:durableId="1660385185">
    <w:abstractNumId w:val="39"/>
  </w:num>
  <w:num w:numId="35" w16cid:durableId="719326369">
    <w:abstractNumId w:val="20"/>
  </w:num>
  <w:num w:numId="36" w16cid:durableId="573777558">
    <w:abstractNumId w:val="0"/>
  </w:num>
  <w:num w:numId="37" w16cid:durableId="517089132">
    <w:abstractNumId w:val="16"/>
  </w:num>
  <w:num w:numId="38" w16cid:durableId="1101998095">
    <w:abstractNumId w:val="6"/>
  </w:num>
  <w:num w:numId="39" w16cid:durableId="2045906603">
    <w:abstractNumId w:val="3"/>
  </w:num>
  <w:num w:numId="40" w16cid:durableId="113718874">
    <w:abstractNumId w:val="36"/>
  </w:num>
  <w:num w:numId="41" w16cid:durableId="32251479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2BE"/>
    <w:rsid w:val="00001026"/>
    <w:rsid w:val="00012B04"/>
    <w:rsid w:val="000153C7"/>
    <w:rsid w:val="0003750A"/>
    <w:rsid w:val="00074956"/>
    <w:rsid w:val="00091EC3"/>
    <w:rsid w:val="000A66F2"/>
    <w:rsid w:val="000B39F5"/>
    <w:rsid w:val="000B4113"/>
    <w:rsid w:val="000B72F9"/>
    <w:rsid w:val="000C37C0"/>
    <w:rsid w:val="000C539D"/>
    <w:rsid w:val="000E348C"/>
    <w:rsid w:val="001000C6"/>
    <w:rsid w:val="0010737F"/>
    <w:rsid w:val="00125015"/>
    <w:rsid w:val="001409B9"/>
    <w:rsid w:val="00141449"/>
    <w:rsid w:val="001460F7"/>
    <w:rsid w:val="001672D8"/>
    <w:rsid w:val="0018188C"/>
    <w:rsid w:val="001A22CF"/>
    <w:rsid w:val="001A642D"/>
    <w:rsid w:val="001B0B1C"/>
    <w:rsid w:val="001C4082"/>
    <w:rsid w:val="001D5DAA"/>
    <w:rsid w:val="001D6F71"/>
    <w:rsid w:val="001E4AA7"/>
    <w:rsid w:val="00200BEB"/>
    <w:rsid w:val="00206CEE"/>
    <w:rsid w:val="002121D6"/>
    <w:rsid w:val="00214C18"/>
    <w:rsid w:val="00223ACF"/>
    <w:rsid w:val="002315BA"/>
    <w:rsid w:val="00244BBC"/>
    <w:rsid w:val="00257D17"/>
    <w:rsid w:val="002660A1"/>
    <w:rsid w:val="002A2F2B"/>
    <w:rsid w:val="002C22D6"/>
    <w:rsid w:val="002C3653"/>
    <w:rsid w:val="002C5B85"/>
    <w:rsid w:val="002D5BC8"/>
    <w:rsid w:val="002D6002"/>
    <w:rsid w:val="002D6EA2"/>
    <w:rsid w:val="002F432D"/>
    <w:rsid w:val="003001F7"/>
    <w:rsid w:val="0031623D"/>
    <w:rsid w:val="003215B3"/>
    <w:rsid w:val="00323EB8"/>
    <w:rsid w:val="003512C3"/>
    <w:rsid w:val="003519EC"/>
    <w:rsid w:val="00353744"/>
    <w:rsid w:val="00356D1D"/>
    <w:rsid w:val="00371A2D"/>
    <w:rsid w:val="003807F2"/>
    <w:rsid w:val="003922DB"/>
    <w:rsid w:val="003B7942"/>
    <w:rsid w:val="003D0AFF"/>
    <w:rsid w:val="003E6532"/>
    <w:rsid w:val="003F0212"/>
    <w:rsid w:val="00420DFD"/>
    <w:rsid w:val="00432745"/>
    <w:rsid w:val="004335B7"/>
    <w:rsid w:val="00456BAA"/>
    <w:rsid w:val="00457146"/>
    <w:rsid w:val="00466741"/>
    <w:rsid w:val="0047580F"/>
    <w:rsid w:val="004B792D"/>
    <w:rsid w:val="004C4120"/>
    <w:rsid w:val="004D2557"/>
    <w:rsid w:val="004F7623"/>
    <w:rsid w:val="00523FB3"/>
    <w:rsid w:val="005359AC"/>
    <w:rsid w:val="00535EFC"/>
    <w:rsid w:val="00550EA9"/>
    <w:rsid w:val="00551B6F"/>
    <w:rsid w:val="005566EE"/>
    <w:rsid w:val="005712AF"/>
    <w:rsid w:val="00575389"/>
    <w:rsid w:val="00581447"/>
    <w:rsid w:val="00591075"/>
    <w:rsid w:val="005A1A06"/>
    <w:rsid w:val="005A5A44"/>
    <w:rsid w:val="005C0346"/>
    <w:rsid w:val="005C2929"/>
    <w:rsid w:val="005C459E"/>
    <w:rsid w:val="005C59AF"/>
    <w:rsid w:val="005C69F7"/>
    <w:rsid w:val="005D12BE"/>
    <w:rsid w:val="005D3419"/>
    <w:rsid w:val="005D658D"/>
    <w:rsid w:val="005D7197"/>
    <w:rsid w:val="005E57B2"/>
    <w:rsid w:val="00622D1E"/>
    <w:rsid w:val="00632E2B"/>
    <w:rsid w:val="00634DD3"/>
    <w:rsid w:val="00642ECA"/>
    <w:rsid w:val="00653E11"/>
    <w:rsid w:val="0065624D"/>
    <w:rsid w:val="00662E09"/>
    <w:rsid w:val="00677C02"/>
    <w:rsid w:val="00690BE3"/>
    <w:rsid w:val="006B1A51"/>
    <w:rsid w:val="006B579E"/>
    <w:rsid w:val="006B6E38"/>
    <w:rsid w:val="006C4890"/>
    <w:rsid w:val="006D7F3B"/>
    <w:rsid w:val="006E1A30"/>
    <w:rsid w:val="006F3F50"/>
    <w:rsid w:val="006F5257"/>
    <w:rsid w:val="00711B28"/>
    <w:rsid w:val="00716CA0"/>
    <w:rsid w:val="00726C3C"/>
    <w:rsid w:val="0073122D"/>
    <w:rsid w:val="00731DB6"/>
    <w:rsid w:val="007331D9"/>
    <w:rsid w:val="007366B6"/>
    <w:rsid w:val="007869F8"/>
    <w:rsid w:val="007974E5"/>
    <w:rsid w:val="007A2173"/>
    <w:rsid w:val="007C6570"/>
    <w:rsid w:val="007D52C1"/>
    <w:rsid w:val="00811E8F"/>
    <w:rsid w:val="00825558"/>
    <w:rsid w:val="008429C5"/>
    <w:rsid w:val="008470D0"/>
    <w:rsid w:val="008535E4"/>
    <w:rsid w:val="00855597"/>
    <w:rsid w:val="008A3864"/>
    <w:rsid w:val="008C4340"/>
    <w:rsid w:val="008C6220"/>
    <w:rsid w:val="008C70A6"/>
    <w:rsid w:val="008E168D"/>
    <w:rsid w:val="008F2E47"/>
    <w:rsid w:val="00923E2C"/>
    <w:rsid w:val="00926989"/>
    <w:rsid w:val="0094226E"/>
    <w:rsid w:val="0094602F"/>
    <w:rsid w:val="00950624"/>
    <w:rsid w:val="00963C9C"/>
    <w:rsid w:val="00995191"/>
    <w:rsid w:val="009A246F"/>
    <w:rsid w:val="009C627E"/>
    <w:rsid w:val="009E658A"/>
    <w:rsid w:val="009F59A8"/>
    <w:rsid w:val="00A07AB2"/>
    <w:rsid w:val="00A608B3"/>
    <w:rsid w:val="00A66F8A"/>
    <w:rsid w:val="00A74E6E"/>
    <w:rsid w:val="00AA1F3A"/>
    <w:rsid w:val="00AA5DA2"/>
    <w:rsid w:val="00AA64C5"/>
    <w:rsid w:val="00AC28C9"/>
    <w:rsid w:val="00AC3375"/>
    <w:rsid w:val="00AC4C4B"/>
    <w:rsid w:val="00AC575A"/>
    <w:rsid w:val="00AC57AC"/>
    <w:rsid w:val="00AC5DC2"/>
    <w:rsid w:val="00AC6429"/>
    <w:rsid w:val="00AD7FB1"/>
    <w:rsid w:val="00AE42AB"/>
    <w:rsid w:val="00AF4C0A"/>
    <w:rsid w:val="00B200FB"/>
    <w:rsid w:val="00B313F8"/>
    <w:rsid w:val="00B347A0"/>
    <w:rsid w:val="00BA2E2E"/>
    <w:rsid w:val="00BA6706"/>
    <w:rsid w:val="00BA745F"/>
    <w:rsid w:val="00BB6024"/>
    <w:rsid w:val="00BC0050"/>
    <w:rsid w:val="00C02CCE"/>
    <w:rsid w:val="00C122FC"/>
    <w:rsid w:val="00C15DE3"/>
    <w:rsid w:val="00C253EB"/>
    <w:rsid w:val="00C32614"/>
    <w:rsid w:val="00C367A0"/>
    <w:rsid w:val="00C43654"/>
    <w:rsid w:val="00C52A10"/>
    <w:rsid w:val="00C56005"/>
    <w:rsid w:val="00C6123A"/>
    <w:rsid w:val="00C62494"/>
    <w:rsid w:val="00C73A18"/>
    <w:rsid w:val="00C7461F"/>
    <w:rsid w:val="00C82F69"/>
    <w:rsid w:val="00CA3B1A"/>
    <w:rsid w:val="00CB7FA6"/>
    <w:rsid w:val="00CC19CF"/>
    <w:rsid w:val="00CC38EC"/>
    <w:rsid w:val="00CE1073"/>
    <w:rsid w:val="00CF20FB"/>
    <w:rsid w:val="00CF4CA8"/>
    <w:rsid w:val="00D211D1"/>
    <w:rsid w:val="00D46C3B"/>
    <w:rsid w:val="00D76FC5"/>
    <w:rsid w:val="00DD7C8C"/>
    <w:rsid w:val="00DE419A"/>
    <w:rsid w:val="00DE45AC"/>
    <w:rsid w:val="00E3524B"/>
    <w:rsid w:val="00E42D4F"/>
    <w:rsid w:val="00E61E02"/>
    <w:rsid w:val="00EA2500"/>
    <w:rsid w:val="00EB58D1"/>
    <w:rsid w:val="00EB764D"/>
    <w:rsid w:val="00ED63C0"/>
    <w:rsid w:val="00F01DE4"/>
    <w:rsid w:val="00F17261"/>
    <w:rsid w:val="00F1734A"/>
    <w:rsid w:val="00F17E82"/>
    <w:rsid w:val="00F30C58"/>
    <w:rsid w:val="00F36284"/>
    <w:rsid w:val="00F50E80"/>
    <w:rsid w:val="00F53638"/>
    <w:rsid w:val="00F6783D"/>
    <w:rsid w:val="00F70DFB"/>
    <w:rsid w:val="00F716B8"/>
    <w:rsid w:val="00F84F43"/>
    <w:rsid w:val="00FA4406"/>
    <w:rsid w:val="00FD1991"/>
    <w:rsid w:val="00FE1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2217D4"/>
  <w15:chartTrackingRefBased/>
  <w15:docId w15:val="{3130DA68-406D-8340-B615-F2DF20D42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9F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22D1E"/>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unhideWhenUsed/>
    <w:qFormat/>
    <w:rsid w:val="00622D1E"/>
    <w:pPr>
      <w:keepNext/>
      <w:keepLines/>
      <w:spacing w:before="40"/>
      <w:outlineLvl w:val="1"/>
    </w:pPr>
    <w:rPr>
      <w:rFonts w:asciiTheme="majorHAnsi" w:eastAsiaTheme="majorEastAsia" w:hAnsiTheme="majorHAnsi" w:cstheme="majorBidi"/>
      <w:color w:val="2F5496" w:themeColor="accent1" w:themeShade="BF"/>
      <w:kern w:val="2"/>
      <w:sz w:val="26"/>
      <w:szCs w:val="26"/>
      <w:lang w:eastAsia="en-US"/>
      <w14:ligatures w14:val="standardContextual"/>
    </w:rPr>
  </w:style>
  <w:style w:type="paragraph" w:styleId="Heading3">
    <w:name w:val="heading 3"/>
    <w:basedOn w:val="Normal"/>
    <w:next w:val="Normal"/>
    <w:link w:val="Heading3Char"/>
    <w:uiPriority w:val="9"/>
    <w:unhideWhenUsed/>
    <w:qFormat/>
    <w:rsid w:val="007366B6"/>
    <w:pPr>
      <w:keepNext/>
      <w:keepLines/>
      <w:spacing w:before="40"/>
      <w:outlineLvl w:val="2"/>
    </w:pPr>
    <w:rPr>
      <w:rFonts w:asciiTheme="majorHAnsi" w:eastAsiaTheme="majorEastAsia" w:hAnsiTheme="majorHAnsi" w:cstheme="majorBidi"/>
      <w:color w:val="1F3763" w:themeColor="accent1" w:themeShade="7F"/>
      <w:kern w:val="2"/>
      <w:lang w:eastAsia="en-US"/>
      <w14:ligatures w14:val="standardContextual"/>
    </w:rPr>
  </w:style>
  <w:style w:type="paragraph" w:styleId="Heading4">
    <w:name w:val="heading 4"/>
    <w:basedOn w:val="Normal"/>
    <w:next w:val="Normal"/>
    <w:link w:val="Heading4Char"/>
    <w:uiPriority w:val="9"/>
    <w:semiHidden/>
    <w:unhideWhenUsed/>
    <w:qFormat/>
    <w:rsid w:val="00AF4C0A"/>
    <w:pPr>
      <w:keepNext/>
      <w:keepLines/>
      <w:spacing w:before="40"/>
      <w:outlineLvl w:val="3"/>
    </w:pPr>
    <w:rPr>
      <w:rFonts w:asciiTheme="majorHAnsi" w:eastAsiaTheme="majorEastAsia" w:hAnsiTheme="majorHAnsi" w:cstheme="majorBidi"/>
      <w:i/>
      <w:iCs/>
      <w:color w:val="2F5496" w:themeColor="accent1" w:themeShade="BF"/>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D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2D1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22D1E"/>
    <w:pPr>
      <w:ind w:left="720"/>
      <w:contextualSpacing/>
    </w:pPr>
    <w:rPr>
      <w:rFonts w:asciiTheme="minorHAnsi" w:eastAsiaTheme="minorHAnsi" w:hAnsiTheme="minorHAnsi" w:cstheme="minorBidi"/>
      <w:kern w:val="2"/>
      <w:lang w:eastAsia="en-US"/>
      <w14:ligatures w14:val="standardContextual"/>
    </w:rPr>
  </w:style>
  <w:style w:type="character" w:customStyle="1" w:styleId="Heading3Char">
    <w:name w:val="Heading 3 Char"/>
    <w:basedOn w:val="DefaultParagraphFont"/>
    <w:link w:val="Heading3"/>
    <w:uiPriority w:val="9"/>
    <w:rsid w:val="007366B6"/>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B200F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200FB"/>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C73A1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73A18"/>
    <w:pPr>
      <w:spacing w:before="120"/>
    </w:pPr>
    <w:rPr>
      <w:rFonts w:asciiTheme="minorHAnsi" w:eastAsiaTheme="minorHAnsi" w:hAnsiTheme="minorHAnsi" w:cstheme="minorHAnsi"/>
      <w:b/>
      <w:bCs/>
      <w:i/>
      <w:iCs/>
      <w:kern w:val="2"/>
      <w:lang w:eastAsia="en-US"/>
      <w14:ligatures w14:val="standardContextual"/>
    </w:rPr>
  </w:style>
  <w:style w:type="paragraph" w:styleId="TOC2">
    <w:name w:val="toc 2"/>
    <w:basedOn w:val="Normal"/>
    <w:next w:val="Normal"/>
    <w:autoRedefine/>
    <w:uiPriority w:val="39"/>
    <w:unhideWhenUsed/>
    <w:rsid w:val="00C73A18"/>
    <w:pPr>
      <w:spacing w:before="120"/>
      <w:ind w:left="240"/>
    </w:pPr>
    <w:rPr>
      <w:rFonts w:asciiTheme="minorHAnsi" w:eastAsiaTheme="minorHAnsi" w:hAnsiTheme="minorHAnsi" w:cstheme="minorHAnsi"/>
      <w:b/>
      <w:bCs/>
      <w:kern w:val="2"/>
      <w:sz w:val="22"/>
      <w:szCs w:val="22"/>
      <w:lang w:eastAsia="en-US"/>
      <w14:ligatures w14:val="standardContextual"/>
    </w:rPr>
  </w:style>
  <w:style w:type="character" w:styleId="Hyperlink">
    <w:name w:val="Hyperlink"/>
    <w:basedOn w:val="DefaultParagraphFont"/>
    <w:uiPriority w:val="99"/>
    <w:unhideWhenUsed/>
    <w:rsid w:val="00C73A18"/>
    <w:rPr>
      <w:color w:val="0563C1" w:themeColor="hyperlink"/>
      <w:u w:val="single"/>
    </w:rPr>
  </w:style>
  <w:style w:type="paragraph" w:styleId="TOC3">
    <w:name w:val="toc 3"/>
    <w:basedOn w:val="Normal"/>
    <w:next w:val="Normal"/>
    <w:autoRedefine/>
    <w:uiPriority w:val="39"/>
    <w:semiHidden/>
    <w:unhideWhenUsed/>
    <w:rsid w:val="00C73A18"/>
    <w:pPr>
      <w:ind w:left="480"/>
    </w:pPr>
    <w:rPr>
      <w:rFonts w:asciiTheme="minorHAnsi" w:eastAsiaTheme="minorHAnsi" w:hAnsiTheme="minorHAnsi" w:cstheme="minorHAnsi"/>
      <w:kern w:val="2"/>
      <w:sz w:val="20"/>
      <w:szCs w:val="20"/>
      <w:lang w:eastAsia="en-US"/>
      <w14:ligatures w14:val="standardContextual"/>
    </w:rPr>
  </w:style>
  <w:style w:type="paragraph" w:styleId="TOC4">
    <w:name w:val="toc 4"/>
    <w:basedOn w:val="Normal"/>
    <w:next w:val="Normal"/>
    <w:autoRedefine/>
    <w:uiPriority w:val="39"/>
    <w:semiHidden/>
    <w:unhideWhenUsed/>
    <w:rsid w:val="00C73A18"/>
    <w:pPr>
      <w:ind w:left="720"/>
    </w:pPr>
    <w:rPr>
      <w:rFonts w:asciiTheme="minorHAnsi" w:eastAsiaTheme="minorHAnsi" w:hAnsiTheme="minorHAnsi" w:cstheme="minorHAnsi"/>
      <w:kern w:val="2"/>
      <w:sz w:val="20"/>
      <w:szCs w:val="20"/>
      <w:lang w:eastAsia="en-US"/>
      <w14:ligatures w14:val="standardContextual"/>
    </w:rPr>
  </w:style>
  <w:style w:type="paragraph" w:styleId="TOC5">
    <w:name w:val="toc 5"/>
    <w:basedOn w:val="Normal"/>
    <w:next w:val="Normal"/>
    <w:autoRedefine/>
    <w:uiPriority w:val="39"/>
    <w:semiHidden/>
    <w:unhideWhenUsed/>
    <w:rsid w:val="00C73A18"/>
    <w:pPr>
      <w:ind w:left="960"/>
    </w:pPr>
    <w:rPr>
      <w:rFonts w:asciiTheme="minorHAnsi" w:eastAsiaTheme="minorHAnsi" w:hAnsiTheme="minorHAnsi" w:cstheme="minorHAnsi"/>
      <w:kern w:val="2"/>
      <w:sz w:val="20"/>
      <w:szCs w:val="20"/>
      <w:lang w:eastAsia="en-US"/>
      <w14:ligatures w14:val="standardContextual"/>
    </w:rPr>
  </w:style>
  <w:style w:type="paragraph" w:styleId="TOC6">
    <w:name w:val="toc 6"/>
    <w:basedOn w:val="Normal"/>
    <w:next w:val="Normal"/>
    <w:autoRedefine/>
    <w:uiPriority w:val="39"/>
    <w:semiHidden/>
    <w:unhideWhenUsed/>
    <w:rsid w:val="00C73A18"/>
    <w:pPr>
      <w:ind w:left="1200"/>
    </w:pPr>
    <w:rPr>
      <w:rFonts w:asciiTheme="minorHAnsi" w:eastAsiaTheme="minorHAnsi" w:hAnsiTheme="minorHAnsi" w:cstheme="minorHAnsi"/>
      <w:kern w:val="2"/>
      <w:sz w:val="20"/>
      <w:szCs w:val="20"/>
      <w:lang w:eastAsia="en-US"/>
      <w14:ligatures w14:val="standardContextual"/>
    </w:rPr>
  </w:style>
  <w:style w:type="paragraph" w:styleId="TOC7">
    <w:name w:val="toc 7"/>
    <w:basedOn w:val="Normal"/>
    <w:next w:val="Normal"/>
    <w:autoRedefine/>
    <w:uiPriority w:val="39"/>
    <w:semiHidden/>
    <w:unhideWhenUsed/>
    <w:rsid w:val="00C73A18"/>
    <w:pPr>
      <w:ind w:left="1440"/>
    </w:pPr>
    <w:rPr>
      <w:rFonts w:asciiTheme="minorHAnsi" w:eastAsiaTheme="minorHAnsi" w:hAnsiTheme="minorHAnsi" w:cstheme="minorHAnsi"/>
      <w:kern w:val="2"/>
      <w:sz w:val="20"/>
      <w:szCs w:val="20"/>
      <w:lang w:eastAsia="en-US"/>
      <w14:ligatures w14:val="standardContextual"/>
    </w:rPr>
  </w:style>
  <w:style w:type="paragraph" w:styleId="TOC8">
    <w:name w:val="toc 8"/>
    <w:basedOn w:val="Normal"/>
    <w:next w:val="Normal"/>
    <w:autoRedefine/>
    <w:uiPriority w:val="39"/>
    <w:semiHidden/>
    <w:unhideWhenUsed/>
    <w:rsid w:val="00C73A18"/>
    <w:pPr>
      <w:ind w:left="1680"/>
    </w:pPr>
    <w:rPr>
      <w:rFonts w:asciiTheme="minorHAnsi" w:eastAsiaTheme="minorHAnsi" w:hAnsiTheme="minorHAnsi" w:cstheme="minorHAnsi"/>
      <w:kern w:val="2"/>
      <w:sz w:val="20"/>
      <w:szCs w:val="20"/>
      <w:lang w:eastAsia="en-US"/>
      <w14:ligatures w14:val="standardContextual"/>
    </w:rPr>
  </w:style>
  <w:style w:type="paragraph" w:styleId="TOC9">
    <w:name w:val="toc 9"/>
    <w:basedOn w:val="Normal"/>
    <w:next w:val="Normal"/>
    <w:autoRedefine/>
    <w:uiPriority w:val="39"/>
    <w:semiHidden/>
    <w:unhideWhenUsed/>
    <w:rsid w:val="00C73A18"/>
    <w:pPr>
      <w:ind w:left="1920"/>
    </w:pPr>
    <w:rPr>
      <w:rFonts w:asciiTheme="minorHAnsi" w:eastAsiaTheme="minorHAnsi" w:hAnsiTheme="minorHAnsi" w:cstheme="minorHAnsi"/>
      <w:kern w:val="2"/>
      <w:sz w:val="20"/>
      <w:szCs w:val="20"/>
      <w:lang w:eastAsia="en-US"/>
      <w14:ligatures w14:val="standardContextual"/>
    </w:rPr>
  </w:style>
  <w:style w:type="character" w:customStyle="1" w:styleId="Heading4Char">
    <w:name w:val="Heading 4 Char"/>
    <w:basedOn w:val="DefaultParagraphFont"/>
    <w:link w:val="Heading4"/>
    <w:uiPriority w:val="9"/>
    <w:semiHidden/>
    <w:rsid w:val="00AF4C0A"/>
    <w:rPr>
      <w:rFonts w:asciiTheme="majorHAnsi" w:eastAsiaTheme="majorEastAsia" w:hAnsiTheme="majorHAnsi" w:cstheme="majorBidi"/>
      <w:i/>
      <w:iCs/>
      <w:color w:val="2F5496" w:themeColor="accent1" w:themeShade="BF"/>
    </w:rPr>
  </w:style>
  <w:style w:type="paragraph" w:styleId="Footer">
    <w:name w:val="footer"/>
    <w:basedOn w:val="Normal"/>
    <w:link w:val="FooterChar"/>
    <w:uiPriority w:val="99"/>
    <w:unhideWhenUsed/>
    <w:rsid w:val="000B72F9"/>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0B72F9"/>
  </w:style>
  <w:style w:type="character" w:styleId="PageNumber">
    <w:name w:val="page number"/>
    <w:basedOn w:val="DefaultParagraphFont"/>
    <w:uiPriority w:val="99"/>
    <w:semiHidden/>
    <w:unhideWhenUsed/>
    <w:rsid w:val="000B72F9"/>
  </w:style>
  <w:style w:type="character" w:styleId="UnresolvedMention">
    <w:name w:val="Unresolved Mention"/>
    <w:basedOn w:val="DefaultParagraphFont"/>
    <w:uiPriority w:val="99"/>
    <w:semiHidden/>
    <w:unhideWhenUsed/>
    <w:rsid w:val="00223ACF"/>
    <w:rPr>
      <w:color w:val="605E5C"/>
      <w:shd w:val="clear" w:color="auto" w:fill="E1DFDD"/>
    </w:rPr>
  </w:style>
  <w:style w:type="table" w:styleId="GridTable4-Accent1">
    <w:name w:val="Grid Table 4 Accent 1"/>
    <w:basedOn w:val="TableNormal"/>
    <w:uiPriority w:val="49"/>
    <w:rsid w:val="003E6532"/>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FollowedHyperlink">
    <w:name w:val="FollowedHyperlink"/>
    <w:basedOn w:val="DefaultParagraphFont"/>
    <w:uiPriority w:val="99"/>
    <w:semiHidden/>
    <w:unhideWhenUsed/>
    <w:rsid w:val="00F53638"/>
    <w:rPr>
      <w:color w:val="954F72" w:themeColor="followedHyperlink"/>
      <w:u w:val="single"/>
    </w:rPr>
  </w:style>
  <w:style w:type="paragraph" w:styleId="NormalWeb">
    <w:name w:val="Normal (Web)"/>
    <w:basedOn w:val="Normal"/>
    <w:uiPriority w:val="99"/>
    <w:semiHidden/>
    <w:unhideWhenUsed/>
    <w:rsid w:val="000B39F5"/>
    <w:pPr>
      <w:spacing w:before="100" w:beforeAutospacing="1" w:after="100" w:afterAutospacing="1"/>
    </w:pPr>
  </w:style>
  <w:style w:type="character" w:customStyle="1" w:styleId="csl-entry">
    <w:name w:val="csl-entry"/>
    <w:basedOn w:val="DefaultParagraphFont"/>
    <w:rsid w:val="005566EE"/>
  </w:style>
  <w:style w:type="character" w:customStyle="1" w:styleId="apple-converted-space">
    <w:name w:val="apple-converted-space"/>
    <w:basedOn w:val="DefaultParagraphFont"/>
    <w:rsid w:val="005566EE"/>
  </w:style>
  <w:style w:type="table" w:styleId="GridTable4-Accent2">
    <w:name w:val="Grid Table 4 Accent 2"/>
    <w:basedOn w:val="TableNormal"/>
    <w:uiPriority w:val="49"/>
    <w:rsid w:val="004F7623"/>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244BBC"/>
    <w:pPr>
      <w:tabs>
        <w:tab w:val="center" w:pos="4513"/>
        <w:tab w:val="right" w:pos="9026"/>
      </w:tabs>
    </w:pPr>
  </w:style>
  <w:style w:type="character" w:customStyle="1" w:styleId="HeaderChar">
    <w:name w:val="Header Char"/>
    <w:basedOn w:val="DefaultParagraphFont"/>
    <w:link w:val="Header"/>
    <w:uiPriority w:val="99"/>
    <w:rsid w:val="00244BBC"/>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75942">
      <w:bodyDiv w:val="1"/>
      <w:marLeft w:val="0"/>
      <w:marRight w:val="0"/>
      <w:marTop w:val="0"/>
      <w:marBottom w:val="0"/>
      <w:divBdr>
        <w:top w:val="none" w:sz="0" w:space="0" w:color="auto"/>
        <w:left w:val="none" w:sz="0" w:space="0" w:color="auto"/>
        <w:bottom w:val="none" w:sz="0" w:space="0" w:color="auto"/>
        <w:right w:val="none" w:sz="0" w:space="0" w:color="auto"/>
      </w:divBdr>
    </w:div>
    <w:div w:id="31080891">
      <w:bodyDiv w:val="1"/>
      <w:marLeft w:val="0"/>
      <w:marRight w:val="0"/>
      <w:marTop w:val="0"/>
      <w:marBottom w:val="0"/>
      <w:divBdr>
        <w:top w:val="none" w:sz="0" w:space="0" w:color="auto"/>
        <w:left w:val="none" w:sz="0" w:space="0" w:color="auto"/>
        <w:bottom w:val="none" w:sz="0" w:space="0" w:color="auto"/>
        <w:right w:val="none" w:sz="0" w:space="0" w:color="auto"/>
      </w:divBdr>
    </w:div>
    <w:div w:id="54017229">
      <w:bodyDiv w:val="1"/>
      <w:marLeft w:val="0"/>
      <w:marRight w:val="0"/>
      <w:marTop w:val="0"/>
      <w:marBottom w:val="0"/>
      <w:divBdr>
        <w:top w:val="none" w:sz="0" w:space="0" w:color="auto"/>
        <w:left w:val="none" w:sz="0" w:space="0" w:color="auto"/>
        <w:bottom w:val="none" w:sz="0" w:space="0" w:color="auto"/>
        <w:right w:val="none" w:sz="0" w:space="0" w:color="auto"/>
      </w:divBdr>
      <w:divsChild>
        <w:div w:id="681904325">
          <w:marLeft w:val="0"/>
          <w:marRight w:val="0"/>
          <w:marTop w:val="0"/>
          <w:marBottom w:val="0"/>
          <w:divBdr>
            <w:top w:val="single" w:sz="2" w:space="0" w:color="auto"/>
            <w:left w:val="single" w:sz="2" w:space="0" w:color="auto"/>
            <w:bottom w:val="single" w:sz="6" w:space="0" w:color="auto"/>
            <w:right w:val="single" w:sz="2" w:space="0" w:color="auto"/>
          </w:divBdr>
          <w:divsChild>
            <w:div w:id="680204641">
              <w:marLeft w:val="0"/>
              <w:marRight w:val="0"/>
              <w:marTop w:val="100"/>
              <w:marBottom w:val="100"/>
              <w:divBdr>
                <w:top w:val="single" w:sz="2" w:space="0" w:color="D9D9E3"/>
                <w:left w:val="single" w:sz="2" w:space="0" w:color="D9D9E3"/>
                <w:bottom w:val="single" w:sz="2" w:space="0" w:color="D9D9E3"/>
                <w:right w:val="single" w:sz="2" w:space="0" w:color="D9D9E3"/>
              </w:divBdr>
              <w:divsChild>
                <w:div w:id="901713809">
                  <w:marLeft w:val="0"/>
                  <w:marRight w:val="0"/>
                  <w:marTop w:val="0"/>
                  <w:marBottom w:val="0"/>
                  <w:divBdr>
                    <w:top w:val="single" w:sz="2" w:space="0" w:color="D9D9E3"/>
                    <w:left w:val="single" w:sz="2" w:space="0" w:color="D9D9E3"/>
                    <w:bottom w:val="single" w:sz="2" w:space="0" w:color="D9D9E3"/>
                    <w:right w:val="single" w:sz="2" w:space="0" w:color="D9D9E3"/>
                  </w:divBdr>
                  <w:divsChild>
                    <w:div w:id="1994791098">
                      <w:marLeft w:val="0"/>
                      <w:marRight w:val="0"/>
                      <w:marTop w:val="0"/>
                      <w:marBottom w:val="0"/>
                      <w:divBdr>
                        <w:top w:val="single" w:sz="2" w:space="0" w:color="D9D9E3"/>
                        <w:left w:val="single" w:sz="2" w:space="0" w:color="D9D9E3"/>
                        <w:bottom w:val="single" w:sz="2" w:space="0" w:color="D9D9E3"/>
                        <w:right w:val="single" w:sz="2" w:space="0" w:color="D9D9E3"/>
                      </w:divBdr>
                      <w:divsChild>
                        <w:div w:id="1526214509">
                          <w:marLeft w:val="0"/>
                          <w:marRight w:val="0"/>
                          <w:marTop w:val="0"/>
                          <w:marBottom w:val="0"/>
                          <w:divBdr>
                            <w:top w:val="single" w:sz="2" w:space="0" w:color="D9D9E3"/>
                            <w:left w:val="single" w:sz="2" w:space="0" w:color="D9D9E3"/>
                            <w:bottom w:val="single" w:sz="2" w:space="0" w:color="D9D9E3"/>
                            <w:right w:val="single" w:sz="2" w:space="0" w:color="D9D9E3"/>
                          </w:divBdr>
                          <w:divsChild>
                            <w:div w:id="709382399">
                              <w:marLeft w:val="0"/>
                              <w:marRight w:val="0"/>
                              <w:marTop w:val="0"/>
                              <w:marBottom w:val="0"/>
                              <w:divBdr>
                                <w:top w:val="single" w:sz="2" w:space="0" w:color="D9D9E3"/>
                                <w:left w:val="single" w:sz="2" w:space="0" w:color="D9D9E3"/>
                                <w:bottom w:val="single" w:sz="2" w:space="0" w:color="D9D9E3"/>
                                <w:right w:val="single" w:sz="2" w:space="0" w:color="D9D9E3"/>
                              </w:divBdr>
                              <w:divsChild>
                                <w:div w:id="1745494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137418">
      <w:bodyDiv w:val="1"/>
      <w:marLeft w:val="0"/>
      <w:marRight w:val="0"/>
      <w:marTop w:val="0"/>
      <w:marBottom w:val="0"/>
      <w:divBdr>
        <w:top w:val="none" w:sz="0" w:space="0" w:color="auto"/>
        <w:left w:val="none" w:sz="0" w:space="0" w:color="auto"/>
        <w:bottom w:val="none" w:sz="0" w:space="0" w:color="auto"/>
        <w:right w:val="none" w:sz="0" w:space="0" w:color="auto"/>
      </w:divBdr>
    </w:div>
    <w:div w:id="60103582">
      <w:bodyDiv w:val="1"/>
      <w:marLeft w:val="0"/>
      <w:marRight w:val="0"/>
      <w:marTop w:val="0"/>
      <w:marBottom w:val="0"/>
      <w:divBdr>
        <w:top w:val="none" w:sz="0" w:space="0" w:color="auto"/>
        <w:left w:val="none" w:sz="0" w:space="0" w:color="auto"/>
        <w:bottom w:val="none" w:sz="0" w:space="0" w:color="auto"/>
        <w:right w:val="none" w:sz="0" w:space="0" w:color="auto"/>
      </w:divBdr>
    </w:div>
    <w:div w:id="79109246">
      <w:bodyDiv w:val="1"/>
      <w:marLeft w:val="0"/>
      <w:marRight w:val="0"/>
      <w:marTop w:val="0"/>
      <w:marBottom w:val="0"/>
      <w:divBdr>
        <w:top w:val="none" w:sz="0" w:space="0" w:color="auto"/>
        <w:left w:val="none" w:sz="0" w:space="0" w:color="auto"/>
        <w:bottom w:val="none" w:sz="0" w:space="0" w:color="auto"/>
        <w:right w:val="none" w:sz="0" w:space="0" w:color="auto"/>
      </w:divBdr>
    </w:div>
    <w:div w:id="86929870">
      <w:bodyDiv w:val="1"/>
      <w:marLeft w:val="0"/>
      <w:marRight w:val="0"/>
      <w:marTop w:val="0"/>
      <w:marBottom w:val="0"/>
      <w:divBdr>
        <w:top w:val="none" w:sz="0" w:space="0" w:color="auto"/>
        <w:left w:val="none" w:sz="0" w:space="0" w:color="auto"/>
        <w:bottom w:val="none" w:sz="0" w:space="0" w:color="auto"/>
        <w:right w:val="none" w:sz="0" w:space="0" w:color="auto"/>
      </w:divBdr>
    </w:div>
    <w:div w:id="106511642">
      <w:bodyDiv w:val="1"/>
      <w:marLeft w:val="0"/>
      <w:marRight w:val="0"/>
      <w:marTop w:val="0"/>
      <w:marBottom w:val="0"/>
      <w:divBdr>
        <w:top w:val="none" w:sz="0" w:space="0" w:color="auto"/>
        <w:left w:val="none" w:sz="0" w:space="0" w:color="auto"/>
        <w:bottom w:val="none" w:sz="0" w:space="0" w:color="auto"/>
        <w:right w:val="none" w:sz="0" w:space="0" w:color="auto"/>
      </w:divBdr>
    </w:div>
    <w:div w:id="126975233">
      <w:bodyDiv w:val="1"/>
      <w:marLeft w:val="0"/>
      <w:marRight w:val="0"/>
      <w:marTop w:val="0"/>
      <w:marBottom w:val="0"/>
      <w:divBdr>
        <w:top w:val="none" w:sz="0" w:space="0" w:color="auto"/>
        <w:left w:val="none" w:sz="0" w:space="0" w:color="auto"/>
        <w:bottom w:val="none" w:sz="0" w:space="0" w:color="auto"/>
        <w:right w:val="none" w:sz="0" w:space="0" w:color="auto"/>
      </w:divBdr>
    </w:div>
    <w:div w:id="157889904">
      <w:bodyDiv w:val="1"/>
      <w:marLeft w:val="0"/>
      <w:marRight w:val="0"/>
      <w:marTop w:val="0"/>
      <w:marBottom w:val="0"/>
      <w:divBdr>
        <w:top w:val="none" w:sz="0" w:space="0" w:color="auto"/>
        <w:left w:val="none" w:sz="0" w:space="0" w:color="auto"/>
        <w:bottom w:val="none" w:sz="0" w:space="0" w:color="auto"/>
        <w:right w:val="none" w:sz="0" w:space="0" w:color="auto"/>
      </w:divBdr>
    </w:div>
    <w:div w:id="169638215">
      <w:bodyDiv w:val="1"/>
      <w:marLeft w:val="0"/>
      <w:marRight w:val="0"/>
      <w:marTop w:val="0"/>
      <w:marBottom w:val="0"/>
      <w:divBdr>
        <w:top w:val="none" w:sz="0" w:space="0" w:color="auto"/>
        <w:left w:val="none" w:sz="0" w:space="0" w:color="auto"/>
        <w:bottom w:val="none" w:sz="0" w:space="0" w:color="auto"/>
        <w:right w:val="none" w:sz="0" w:space="0" w:color="auto"/>
      </w:divBdr>
    </w:div>
    <w:div w:id="169762201">
      <w:bodyDiv w:val="1"/>
      <w:marLeft w:val="0"/>
      <w:marRight w:val="0"/>
      <w:marTop w:val="0"/>
      <w:marBottom w:val="0"/>
      <w:divBdr>
        <w:top w:val="none" w:sz="0" w:space="0" w:color="auto"/>
        <w:left w:val="none" w:sz="0" w:space="0" w:color="auto"/>
        <w:bottom w:val="none" w:sz="0" w:space="0" w:color="auto"/>
        <w:right w:val="none" w:sz="0" w:space="0" w:color="auto"/>
      </w:divBdr>
    </w:div>
    <w:div w:id="171653699">
      <w:bodyDiv w:val="1"/>
      <w:marLeft w:val="0"/>
      <w:marRight w:val="0"/>
      <w:marTop w:val="0"/>
      <w:marBottom w:val="0"/>
      <w:divBdr>
        <w:top w:val="none" w:sz="0" w:space="0" w:color="auto"/>
        <w:left w:val="none" w:sz="0" w:space="0" w:color="auto"/>
        <w:bottom w:val="none" w:sz="0" w:space="0" w:color="auto"/>
        <w:right w:val="none" w:sz="0" w:space="0" w:color="auto"/>
      </w:divBdr>
    </w:div>
    <w:div w:id="204224673">
      <w:bodyDiv w:val="1"/>
      <w:marLeft w:val="0"/>
      <w:marRight w:val="0"/>
      <w:marTop w:val="0"/>
      <w:marBottom w:val="0"/>
      <w:divBdr>
        <w:top w:val="none" w:sz="0" w:space="0" w:color="auto"/>
        <w:left w:val="none" w:sz="0" w:space="0" w:color="auto"/>
        <w:bottom w:val="none" w:sz="0" w:space="0" w:color="auto"/>
        <w:right w:val="none" w:sz="0" w:space="0" w:color="auto"/>
      </w:divBdr>
    </w:div>
    <w:div w:id="218711389">
      <w:bodyDiv w:val="1"/>
      <w:marLeft w:val="0"/>
      <w:marRight w:val="0"/>
      <w:marTop w:val="0"/>
      <w:marBottom w:val="0"/>
      <w:divBdr>
        <w:top w:val="none" w:sz="0" w:space="0" w:color="auto"/>
        <w:left w:val="none" w:sz="0" w:space="0" w:color="auto"/>
        <w:bottom w:val="none" w:sz="0" w:space="0" w:color="auto"/>
        <w:right w:val="none" w:sz="0" w:space="0" w:color="auto"/>
      </w:divBdr>
    </w:div>
    <w:div w:id="219484845">
      <w:bodyDiv w:val="1"/>
      <w:marLeft w:val="0"/>
      <w:marRight w:val="0"/>
      <w:marTop w:val="0"/>
      <w:marBottom w:val="0"/>
      <w:divBdr>
        <w:top w:val="none" w:sz="0" w:space="0" w:color="auto"/>
        <w:left w:val="none" w:sz="0" w:space="0" w:color="auto"/>
        <w:bottom w:val="none" w:sz="0" w:space="0" w:color="auto"/>
        <w:right w:val="none" w:sz="0" w:space="0" w:color="auto"/>
      </w:divBdr>
      <w:divsChild>
        <w:div w:id="1257057277">
          <w:marLeft w:val="0"/>
          <w:marRight w:val="0"/>
          <w:marTop w:val="0"/>
          <w:marBottom w:val="0"/>
          <w:divBdr>
            <w:top w:val="single" w:sz="2" w:space="0" w:color="auto"/>
            <w:left w:val="single" w:sz="2" w:space="0" w:color="auto"/>
            <w:bottom w:val="single" w:sz="6" w:space="0" w:color="auto"/>
            <w:right w:val="single" w:sz="2" w:space="0" w:color="auto"/>
          </w:divBdr>
          <w:divsChild>
            <w:div w:id="1307590165">
              <w:marLeft w:val="0"/>
              <w:marRight w:val="0"/>
              <w:marTop w:val="100"/>
              <w:marBottom w:val="100"/>
              <w:divBdr>
                <w:top w:val="single" w:sz="2" w:space="0" w:color="D9D9E3"/>
                <w:left w:val="single" w:sz="2" w:space="0" w:color="D9D9E3"/>
                <w:bottom w:val="single" w:sz="2" w:space="0" w:color="D9D9E3"/>
                <w:right w:val="single" w:sz="2" w:space="0" w:color="D9D9E3"/>
              </w:divBdr>
              <w:divsChild>
                <w:div w:id="95057303">
                  <w:marLeft w:val="0"/>
                  <w:marRight w:val="0"/>
                  <w:marTop w:val="0"/>
                  <w:marBottom w:val="0"/>
                  <w:divBdr>
                    <w:top w:val="single" w:sz="2" w:space="0" w:color="D9D9E3"/>
                    <w:left w:val="single" w:sz="2" w:space="0" w:color="D9D9E3"/>
                    <w:bottom w:val="single" w:sz="2" w:space="0" w:color="D9D9E3"/>
                    <w:right w:val="single" w:sz="2" w:space="0" w:color="D9D9E3"/>
                  </w:divBdr>
                  <w:divsChild>
                    <w:div w:id="1044596838">
                      <w:marLeft w:val="0"/>
                      <w:marRight w:val="0"/>
                      <w:marTop w:val="0"/>
                      <w:marBottom w:val="0"/>
                      <w:divBdr>
                        <w:top w:val="single" w:sz="2" w:space="0" w:color="D9D9E3"/>
                        <w:left w:val="single" w:sz="2" w:space="0" w:color="D9D9E3"/>
                        <w:bottom w:val="single" w:sz="2" w:space="0" w:color="D9D9E3"/>
                        <w:right w:val="single" w:sz="2" w:space="0" w:color="D9D9E3"/>
                      </w:divBdr>
                      <w:divsChild>
                        <w:div w:id="1052190357">
                          <w:marLeft w:val="0"/>
                          <w:marRight w:val="0"/>
                          <w:marTop w:val="0"/>
                          <w:marBottom w:val="0"/>
                          <w:divBdr>
                            <w:top w:val="single" w:sz="2" w:space="0" w:color="D9D9E3"/>
                            <w:left w:val="single" w:sz="2" w:space="0" w:color="D9D9E3"/>
                            <w:bottom w:val="single" w:sz="2" w:space="0" w:color="D9D9E3"/>
                            <w:right w:val="single" w:sz="2" w:space="0" w:color="D9D9E3"/>
                          </w:divBdr>
                          <w:divsChild>
                            <w:div w:id="60032539">
                              <w:marLeft w:val="0"/>
                              <w:marRight w:val="0"/>
                              <w:marTop w:val="0"/>
                              <w:marBottom w:val="0"/>
                              <w:divBdr>
                                <w:top w:val="single" w:sz="2" w:space="0" w:color="D9D9E3"/>
                                <w:left w:val="single" w:sz="2" w:space="0" w:color="D9D9E3"/>
                                <w:bottom w:val="single" w:sz="2" w:space="0" w:color="D9D9E3"/>
                                <w:right w:val="single" w:sz="2" w:space="0" w:color="D9D9E3"/>
                              </w:divBdr>
                              <w:divsChild>
                                <w:div w:id="4482847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22562734">
      <w:bodyDiv w:val="1"/>
      <w:marLeft w:val="0"/>
      <w:marRight w:val="0"/>
      <w:marTop w:val="0"/>
      <w:marBottom w:val="0"/>
      <w:divBdr>
        <w:top w:val="none" w:sz="0" w:space="0" w:color="auto"/>
        <w:left w:val="none" w:sz="0" w:space="0" w:color="auto"/>
        <w:bottom w:val="none" w:sz="0" w:space="0" w:color="auto"/>
        <w:right w:val="none" w:sz="0" w:space="0" w:color="auto"/>
      </w:divBdr>
    </w:div>
    <w:div w:id="228080224">
      <w:bodyDiv w:val="1"/>
      <w:marLeft w:val="0"/>
      <w:marRight w:val="0"/>
      <w:marTop w:val="0"/>
      <w:marBottom w:val="0"/>
      <w:divBdr>
        <w:top w:val="none" w:sz="0" w:space="0" w:color="auto"/>
        <w:left w:val="none" w:sz="0" w:space="0" w:color="auto"/>
        <w:bottom w:val="none" w:sz="0" w:space="0" w:color="auto"/>
        <w:right w:val="none" w:sz="0" w:space="0" w:color="auto"/>
      </w:divBdr>
    </w:div>
    <w:div w:id="241447490">
      <w:bodyDiv w:val="1"/>
      <w:marLeft w:val="0"/>
      <w:marRight w:val="0"/>
      <w:marTop w:val="0"/>
      <w:marBottom w:val="0"/>
      <w:divBdr>
        <w:top w:val="none" w:sz="0" w:space="0" w:color="auto"/>
        <w:left w:val="none" w:sz="0" w:space="0" w:color="auto"/>
        <w:bottom w:val="none" w:sz="0" w:space="0" w:color="auto"/>
        <w:right w:val="none" w:sz="0" w:space="0" w:color="auto"/>
      </w:divBdr>
    </w:div>
    <w:div w:id="300429365">
      <w:bodyDiv w:val="1"/>
      <w:marLeft w:val="0"/>
      <w:marRight w:val="0"/>
      <w:marTop w:val="0"/>
      <w:marBottom w:val="0"/>
      <w:divBdr>
        <w:top w:val="none" w:sz="0" w:space="0" w:color="auto"/>
        <w:left w:val="none" w:sz="0" w:space="0" w:color="auto"/>
        <w:bottom w:val="none" w:sz="0" w:space="0" w:color="auto"/>
        <w:right w:val="none" w:sz="0" w:space="0" w:color="auto"/>
      </w:divBdr>
    </w:div>
    <w:div w:id="311983258">
      <w:bodyDiv w:val="1"/>
      <w:marLeft w:val="0"/>
      <w:marRight w:val="0"/>
      <w:marTop w:val="0"/>
      <w:marBottom w:val="0"/>
      <w:divBdr>
        <w:top w:val="none" w:sz="0" w:space="0" w:color="auto"/>
        <w:left w:val="none" w:sz="0" w:space="0" w:color="auto"/>
        <w:bottom w:val="none" w:sz="0" w:space="0" w:color="auto"/>
        <w:right w:val="none" w:sz="0" w:space="0" w:color="auto"/>
      </w:divBdr>
    </w:div>
    <w:div w:id="324893859">
      <w:bodyDiv w:val="1"/>
      <w:marLeft w:val="0"/>
      <w:marRight w:val="0"/>
      <w:marTop w:val="0"/>
      <w:marBottom w:val="0"/>
      <w:divBdr>
        <w:top w:val="none" w:sz="0" w:space="0" w:color="auto"/>
        <w:left w:val="none" w:sz="0" w:space="0" w:color="auto"/>
        <w:bottom w:val="none" w:sz="0" w:space="0" w:color="auto"/>
        <w:right w:val="none" w:sz="0" w:space="0" w:color="auto"/>
      </w:divBdr>
    </w:div>
    <w:div w:id="325327796">
      <w:bodyDiv w:val="1"/>
      <w:marLeft w:val="0"/>
      <w:marRight w:val="0"/>
      <w:marTop w:val="0"/>
      <w:marBottom w:val="0"/>
      <w:divBdr>
        <w:top w:val="none" w:sz="0" w:space="0" w:color="auto"/>
        <w:left w:val="none" w:sz="0" w:space="0" w:color="auto"/>
        <w:bottom w:val="none" w:sz="0" w:space="0" w:color="auto"/>
        <w:right w:val="none" w:sz="0" w:space="0" w:color="auto"/>
      </w:divBdr>
    </w:div>
    <w:div w:id="356544159">
      <w:bodyDiv w:val="1"/>
      <w:marLeft w:val="0"/>
      <w:marRight w:val="0"/>
      <w:marTop w:val="0"/>
      <w:marBottom w:val="0"/>
      <w:divBdr>
        <w:top w:val="none" w:sz="0" w:space="0" w:color="auto"/>
        <w:left w:val="none" w:sz="0" w:space="0" w:color="auto"/>
        <w:bottom w:val="none" w:sz="0" w:space="0" w:color="auto"/>
        <w:right w:val="none" w:sz="0" w:space="0" w:color="auto"/>
      </w:divBdr>
    </w:div>
    <w:div w:id="411003649">
      <w:bodyDiv w:val="1"/>
      <w:marLeft w:val="0"/>
      <w:marRight w:val="0"/>
      <w:marTop w:val="0"/>
      <w:marBottom w:val="0"/>
      <w:divBdr>
        <w:top w:val="none" w:sz="0" w:space="0" w:color="auto"/>
        <w:left w:val="none" w:sz="0" w:space="0" w:color="auto"/>
        <w:bottom w:val="none" w:sz="0" w:space="0" w:color="auto"/>
        <w:right w:val="none" w:sz="0" w:space="0" w:color="auto"/>
      </w:divBdr>
    </w:div>
    <w:div w:id="420492043">
      <w:bodyDiv w:val="1"/>
      <w:marLeft w:val="0"/>
      <w:marRight w:val="0"/>
      <w:marTop w:val="0"/>
      <w:marBottom w:val="0"/>
      <w:divBdr>
        <w:top w:val="none" w:sz="0" w:space="0" w:color="auto"/>
        <w:left w:val="none" w:sz="0" w:space="0" w:color="auto"/>
        <w:bottom w:val="none" w:sz="0" w:space="0" w:color="auto"/>
        <w:right w:val="none" w:sz="0" w:space="0" w:color="auto"/>
      </w:divBdr>
    </w:div>
    <w:div w:id="423722893">
      <w:bodyDiv w:val="1"/>
      <w:marLeft w:val="0"/>
      <w:marRight w:val="0"/>
      <w:marTop w:val="0"/>
      <w:marBottom w:val="0"/>
      <w:divBdr>
        <w:top w:val="none" w:sz="0" w:space="0" w:color="auto"/>
        <w:left w:val="none" w:sz="0" w:space="0" w:color="auto"/>
        <w:bottom w:val="none" w:sz="0" w:space="0" w:color="auto"/>
        <w:right w:val="none" w:sz="0" w:space="0" w:color="auto"/>
      </w:divBdr>
    </w:div>
    <w:div w:id="446388516">
      <w:bodyDiv w:val="1"/>
      <w:marLeft w:val="0"/>
      <w:marRight w:val="0"/>
      <w:marTop w:val="0"/>
      <w:marBottom w:val="0"/>
      <w:divBdr>
        <w:top w:val="none" w:sz="0" w:space="0" w:color="auto"/>
        <w:left w:val="none" w:sz="0" w:space="0" w:color="auto"/>
        <w:bottom w:val="none" w:sz="0" w:space="0" w:color="auto"/>
        <w:right w:val="none" w:sz="0" w:space="0" w:color="auto"/>
      </w:divBdr>
    </w:div>
    <w:div w:id="516769603">
      <w:bodyDiv w:val="1"/>
      <w:marLeft w:val="0"/>
      <w:marRight w:val="0"/>
      <w:marTop w:val="0"/>
      <w:marBottom w:val="0"/>
      <w:divBdr>
        <w:top w:val="none" w:sz="0" w:space="0" w:color="auto"/>
        <w:left w:val="none" w:sz="0" w:space="0" w:color="auto"/>
        <w:bottom w:val="none" w:sz="0" w:space="0" w:color="auto"/>
        <w:right w:val="none" w:sz="0" w:space="0" w:color="auto"/>
      </w:divBdr>
    </w:div>
    <w:div w:id="569389126">
      <w:bodyDiv w:val="1"/>
      <w:marLeft w:val="0"/>
      <w:marRight w:val="0"/>
      <w:marTop w:val="0"/>
      <w:marBottom w:val="0"/>
      <w:divBdr>
        <w:top w:val="none" w:sz="0" w:space="0" w:color="auto"/>
        <w:left w:val="none" w:sz="0" w:space="0" w:color="auto"/>
        <w:bottom w:val="none" w:sz="0" w:space="0" w:color="auto"/>
        <w:right w:val="none" w:sz="0" w:space="0" w:color="auto"/>
      </w:divBdr>
    </w:div>
    <w:div w:id="695041290">
      <w:bodyDiv w:val="1"/>
      <w:marLeft w:val="0"/>
      <w:marRight w:val="0"/>
      <w:marTop w:val="0"/>
      <w:marBottom w:val="0"/>
      <w:divBdr>
        <w:top w:val="none" w:sz="0" w:space="0" w:color="auto"/>
        <w:left w:val="none" w:sz="0" w:space="0" w:color="auto"/>
        <w:bottom w:val="none" w:sz="0" w:space="0" w:color="auto"/>
        <w:right w:val="none" w:sz="0" w:space="0" w:color="auto"/>
      </w:divBdr>
    </w:div>
    <w:div w:id="742411372">
      <w:bodyDiv w:val="1"/>
      <w:marLeft w:val="0"/>
      <w:marRight w:val="0"/>
      <w:marTop w:val="0"/>
      <w:marBottom w:val="0"/>
      <w:divBdr>
        <w:top w:val="none" w:sz="0" w:space="0" w:color="auto"/>
        <w:left w:val="none" w:sz="0" w:space="0" w:color="auto"/>
        <w:bottom w:val="none" w:sz="0" w:space="0" w:color="auto"/>
        <w:right w:val="none" w:sz="0" w:space="0" w:color="auto"/>
      </w:divBdr>
    </w:div>
    <w:div w:id="744188360">
      <w:bodyDiv w:val="1"/>
      <w:marLeft w:val="0"/>
      <w:marRight w:val="0"/>
      <w:marTop w:val="0"/>
      <w:marBottom w:val="0"/>
      <w:divBdr>
        <w:top w:val="none" w:sz="0" w:space="0" w:color="auto"/>
        <w:left w:val="none" w:sz="0" w:space="0" w:color="auto"/>
        <w:bottom w:val="none" w:sz="0" w:space="0" w:color="auto"/>
        <w:right w:val="none" w:sz="0" w:space="0" w:color="auto"/>
      </w:divBdr>
    </w:div>
    <w:div w:id="761607838">
      <w:bodyDiv w:val="1"/>
      <w:marLeft w:val="0"/>
      <w:marRight w:val="0"/>
      <w:marTop w:val="0"/>
      <w:marBottom w:val="0"/>
      <w:divBdr>
        <w:top w:val="none" w:sz="0" w:space="0" w:color="auto"/>
        <w:left w:val="none" w:sz="0" w:space="0" w:color="auto"/>
        <w:bottom w:val="none" w:sz="0" w:space="0" w:color="auto"/>
        <w:right w:val="none" w:sz="0" w:space="0" w:color="auto"/>
      </w:divBdr>
    </w:div>
    <w:div w:id="776875222">
      <w:bodyDiv w:val="1"/>
      <w:marLeft w:val="0"/>
      <w:marRight w:val="0"/>
      <w:marTop w:val="0"/>
      <w:marBottom w:val="0"/>
      <w:divBdr>
        <w:top w:val="none" w:sz="0" w:space="0" w:color="auto"/>
        <w:left w:val="none" w:sz="0" w:space="0" w:color="auto"/>
        <w:bottom w:val="none" w:sz="0" w:space="0" w:color="auto"/>
        <w:right w:val="none" w:sz="0" w:space="0" w:color="auto"/>
      </w:divBdr>
    </w:div>
    <w:div w:id="778834692">
      <w:bodyDiv w:val="1"/>
      <w:marLeft w:val="0"/>
      <w:marRight w:val="0"/>
      <w:marTop w:val="0"/>
      <w:marBottom w:val="0"/>
      <w:divBdr>
        <w:top w:val="none" w:sz="0" w:space="0" w:color="auto"/>
        <w:left w:val="none" w:sz="0" w:space="0" w:color="auto"/>
        <w:bottom w:val="none" w:sz="0" w:space="0" w:color="auto"/>
        <w:right w:val="none" w:sz="0" w:space="0" w:color="auto"/>
      </w:divBdr>
    </w:div>
    <w:div w:id="798186938">
      <w:bodyDiv w:val="1"/>
      <w:marLeft w:val="0"/>
      <w:marRight w:val="0"/>
      <w:marTop w:val="0"/>
      <w:marBottom w:val="0"/>
      <w:divBdr>
        <w:top w:val="none" w:sz="0" w:space="0" w:color="auto"/>
        <w:left w:val="none" w:sz="0" w:space="0" w:color="auto"/>
        <w:bottom w:val="none" w:sz="0" w:space="0" w:color="auto"/>
        <w:right w:val="none" w:sz="0" w:space="0" w:color="auto"/>
      </w:divBdr>
    </w:div>
    <w:div w:id="850728727">
      <w:bodyDiv w:val="1"/>
      <w:marLeft w:val="0"/>
      <w:marRight w:val="0"/>
      <w:marTop w:val="0"/>
      <w:marBottom w:val="0"/>
      <w:divBdr>
        <w:top w:val="none" w:sz="0" w:space="0" w:color="auto"/>
        <w:left w:val="none" w:sz="0" w:space="0" w:color="auto"/>
        <w:bottom w:val="none" w:sz="0" w:space="0" w:color="auto"/>
        <w:right w:val="none" w:sz="0" w:space="0" w:color="auto"/>
      </w:divBdr>
    </w:div>
    <w:div w:id="880938279">
      <w:bodyDiv w:val="1"/>
      <w:marLeft w:val="0"/>
      <w:marRight w:val="0"/>
      <w:marTop w:val="0"/>
      <w:marBottom w:val="0"/>
      <w:divBdr>
        <w:top w:val="none" w:sz="0" w:space="0" w:color="auto"/>
        <w:left w:val="none" w:sz="0" w:space="0" w:color="auto"/>
        <w:bottom w:val="none" w:sz="0" w:space="0" w:color="auto"/>
        <w:right w:val="none" w:sz="0" w:space="0" w:color="auto"/>
      </w:divBdr>
    </w:div>
    <w:div w:id="899094513">
      <w:bodyDiv w:val="1"/>
      <w:marLeft w:val="0"/>
      <w:marRight w:val="0"/>
      <w:marTop w:val="0"/>
      <w:marBottom w:val="0"/>
      <w:divBdr>
        <w:top w:val="none" w:sz="0" w:space="0" w:color="auto"/>
        <w:left w:val="none" w:sz="0" w:space="0" w:color="auto"/>
        <w:bottom w:val="none" w:sz="0" w:space="0" w:color="auto"/>
        <w:right w:val="none" w:sz="0" w:space="0" w:color="auto"/>
      </w:divBdr>
    </w:div>
    <w:div w:id="922103298">
      <w:bodyDiv w:val="1"/>
      <w:marLeft w:val="0"/>
      <w:marRight w:val="0"/>
      <w:marTop w:val="0"/>
      <w:marBottom w:val="0"/>
      <w:divBdr>
        <w:top w:val="none" w:sz="0" w:space="0" w:color="auto"/>
        <w:left w:val="none" w:sz="0" w:space="0" w:color="auto"/>
        <w:bottom w:val="none" w:sz="0" w:space="0" w:color="auto"/>
        <w:right w:val="none" w:sz="0" w:space="0" w:color="auto"/>
      </w:divBdr>
      <w:divsChild>
        <w:div w:id="1755392251">
          <w:marLeft w:val="0"/>
          <w:marRight w:val="0"/>
          <w:marTop w:val="0"/>
          <w:marBottom w:val="0"/>
          <w:divBdr>
            <w:top w:val="single" w:sz="2" w:space="0" w:color="auto"/>
            <w:left w:val="single" w:sz="2" w:space="0" w:color="auto"/>
            <w:bottom w:val="single" w:sz="6" w:space="0" w:color="auto"/>
            <w:right w:val="single" w:sz="2" w:space="0" w:color="auto"/>
          </w:divBdr>
          <w:divsChild>
            <w:div w:id="1562253473">
              <w:marLeft w:val="0"/>
              <w:marRight w:val="0"/>
              <w:marTop w:val="100"/>
              <w:marBottom w:val="100"/>
              <w:divBdr>
                <w:top w:val="single" w:sz="2" w:space="0" w:color="D9D9E3"/>
                <w:left w:val="single" w:sz="2" w:space="0" w:color="D9D9E3"/>
                <w:bottom w:val="single" w:sz="2" w:space="0" w:color="D9D9E3"/>
                <w:right w:val="single" w:sz="2" w:space="0" w:color="D9D9E3"/>
              </w:divBdr>
              <w:divsChild>
                <w:div w:id="1289583193">
                  <w:marLeft w:val="0"/>
                  <w:marRight w:val="0"/>
                  <w:marTop w:val="0"/>
                  <w:marBottom w:val="0"/>
                  <w:divBdr>
                    <w:top w:val="single" w:sz="2" w:space="0" w:color="D9D9E3"/>
                    <w:left w:val="single" w:sz="2" w:space="0" w:color="D9D9E3"/>
                    <w:bottom w:val="single" w:sz="2" w:space="0" w:color="D9D9E3"/>
                    <w:right w:val="single" w:sz="2" w:space="0" w:color="D9D9E3"/>
                  </w:divBdr>
                  <w:divsChild>
                    <w:div w:id="63840340">
                      <w:marLeft w:val="0"/>
                      <w:marRight w:val="0"/>
                      <w:marTop w:val="0"/>
                      <w:marBottom w:val="0"/>
                      <w:divBdr>
                        <w:top w:val="single" w:sz="2" w:space="0" w:color="D9D9E3"/>
                        <w:left w:val="single" w:sz="2" w:space="0" w:color="D9D9E3"/>
                        <w:bottom w:val="single" w:sz="2" w:space="0" w:color="D9D9E3"/>
                        <w:right w:val="single" w:sz="2" w:space="0" w:color="D9D9E3"/>
                      </w:divBdr>
                      <w:divsChild>
                        <w:div w:id="1553233471">
                          <w:marLeft w:val="0"/>
                          <w:marRight w:val="0"/>
                          <w:marTop w:val="0"/>
                          <w:marBottom w:val="0"/>
                          <w:divBdr>
                            <w:top w:val="single" w:sz="2" w:space="0" w:color="D9D9E3"/>
                            <w:left w:val="single" w:sz="2" w:space="0" w:color="D9D9E3"/>
                            <w:bottom w:val="single" w:sz="2" w:space="0" w:color="D9D9E3"/>
                            <w:right w:val="single" w:sz="2" w:space="0" w:color="D9D9E3"/>
                          </w:divBdr>
                          <w:divsChild>
                            <w:div w:id="624044404">
                              <w:marLeft w:val="0"/>
                              <w:marRight w:val="0"/>
                              <w:marTop w:val="0"/>
                              <w:marBottom w:val="0"/>
                              <w:divBdr>
                                <w:top w:val="single" w:sz="2" w:space="0" w:color="D9D9E3"/>
                                <w:left w:val="single" w:sz="2" w:space="0" w:color="D9D9E3"/>
                                <w:bottom w:val="single" w:sz="2" w:space="0" w:color="D9D9E3"/>
                                <w:right w:val="single" w:sz="2" w:space="0" w:color="D9D9E3"/>
                              </w:divBdr>
                              <w:divsChild>
                                <w:div w:id="721249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1885262">
      <w:bodyDiv w:val="1"/>
      <w:marLeft w:val="0"/>
      <w:marRight w:val="0"/>
      <w:marTop w:val="0"/>
      <w:marBottom w:val="0"/>
      <w:divBdr>
        <w:top w:val="none" w:sz="0" w:space="0" w:color="auto"/>
        <w:left w:val="none" w:sz="0" w:space="0" w:color="auto"/>
        <w:bottom w:val="none" w:sz="0" w:space="0" w:color="auto"/>
        <w:right w:val="none" w:sz="0" w:space="0" w:color="auto"/>
      </w:divBdr>
    </w:div>
    <w:div w:id="947005261">
      <w:bodyDiv w:val="1"/>
      <w:marLeft w:val="0"/>
      <w:marRight w:val="0"/>
      <w:marTop w:val="0"/>
      <w:marBottom w:val="0"/>
      <w:divBdr>
        <w:top w:val="none" w:sz="0" w:space="0" w:color="auto"/>
        <w:left w:val="none" w:sz="0" w:space="0" w:color="auto"/>
        <w:bottom w:val="none" w:sz="0" w:space="0" w:color="auto"/>
        <w:right w:val="none" w:sz="0" w:space="0" w:color="auto"/>
      </w:divBdr>
    </w:div>
    <w:div w:id="1078986403">
      <w:bodyDiv w:val="1"/>
      <w:marLeft w:val="0"/>
      <w:marRight w:val="0"/>
      <w:marTop w:val="0"/>
      <w:marBottom w:val="0"/>
      <w:divBdr>
        <w:top w:val="none" w:sz="0" w:space="0" w:color="auto"/>
        <w:left w:val="none" w:sz="0" w:space="0" w:color="auto"/>
        <w:bottom w:val="none" w:sz="0" w:space="0" w:color="auto"/>
        <w:right w:val="none" w:sz="0" w:space="0" w:color="auto"/>
      </w:divBdr>
    </w:div>
    <w:div w:id="1131632382">
      <w:bodyDiv w:val="1"/>
      <w:marLeft w:val="0"/>
      <w:marRight w:val="0"/>
      <w:marTop w:val="0"/>
      <w:marBottom w:val="0"/>
      <w:divBdr>
        <w:top w:val="none" w:sz="0" w:space="0" w:color="auto"/>
        <w:left w:val="none" w:sz="0" w:space="0" w:color="auto"/>
        <w:bottom w:val="none" w:sz="0" w:space="0" w:color="auto"/>
        <w:right w:val="none" w:sz="0" w:space="0" w:color="auto"/>
      </w:divBdr>
    </w:div>
    <w:div w:id="1154495141">
      <w:bodyDiv w:val="1"/>
      <w:marLeft w:val="0"/>
      <w:marRight w:val="0"/>
      <w:marTop w:val="0"/>
      <w:marBottom w:val="0"/>
      <w:divBdr>
        <w:top w:val="none" w:sz="0" w:space="0" w:color="auto"/>
        <w:left w:val="none" w:sz="0" w:space="0" w:color="auto"/>
        <w:bottom w:val="none" w:sz="0" w:space="0" w:color="auto"/>
        <w:right w:val="none" w:sz="0" w:space="0" w:color="auto"/>
      </w:divBdr>
    </w:div>
    <w:div w:id="1161580275">
      <w:bodyDiv w:val="1"/>
      <w:marLeft w:val="0"/>
      <w:marRight w:val="0"/>
      <w:marTop w:val="0"/>
      <w:marBottom w:val="0"/>
      <w:divBdr>
        <w:top w:val="none" w:sz="0" w:space="0" w:color="auto"/>
        <w:left w:val="none" w:sz="0" w:space="0" w:color="auto"/>
        <w:bottom w:val="none" w:sz="0" w:space="0" w:color="auto"/>
        <w:right w:val="none" w:sz="0" w:space="0" w:color="auto"/>
      </w:divBdr>
    </w:div>
    <w:div w:id="1195658305">
      <w:bodyDiv w:val="1"/>
      <w:marLeft w:val="0"/>
      <w:marRight w:val="0"/>
      <w:marTop w:val="0"/>
      <w:marBottom w:val="0"/>
      <w:divBdr>
        <w:top w:val="none" w:sz="0" w:space="0" w:color="auto"/>
        <w:left w:val="none" w:sz="0" w:space="0" w:color="auto"/>
        <w:bottom w:val="none" w:sz="0" w:space="0" w:color="auto"/>
        <w:right w:val="none" w:sz="0" w:space="0" w:color="auto"/>
      </w:divBdr>
    </w:div>
    <w:div w:id="1201012890">
      <w:bodyDiv w:val="1"/>
      <w:marLeft w:val="0"/>
      <w:marRight w:val="0"/>
      <w:marTop w:val="0"/>
      <w:marBottom w:val="0"/>
      <w:divBdr>
        <w:top w:val="none" w:sz="0" w:space="0" w:color="auto"/>
        <w:left w:val="none" w:sz="0" w:space="0" w:color="auto"/>
        <w:bottom w:val="none" w:sz="0" w:space="0" w:color="auto"/>
        <w:right w:val="none" w:sz="0" w:space="0" w:color="auto"/>
      </w:divBdr>
    </w:div>
    <w:div w:id="1203712914">
      <w:bodyDiv w:val="1"/>
      <w:marLeft w:val="0"/>
      <w:marRight w:val="0"/>
      <w:marTop w:val="0"/>
      <w:marBottom w:val="0"/>
      <w:divBdr>
        <w:top w:val="none" w:sz="0" w:space="0" w:color="auto"/>
        <w:left w:val="none" w:sz="0" w:space="0" w:color="auto"/>
        <w:bottom w:val="none" w:sz="0" w:space="0" w:color="auto"/>
        <w:right w:val="none" w:sz="0" w:space="0" w:color="auto"/>
      </w:divBdr>
      <w:divsChild>
        <w:div w:id="1176337695">
          <w:marLeft w:val="0"/>
          <w:marRight w:val="0"/>
          <w:marTop w:val="0"/>
          <w:marBottom w:val="0"/>
          <w:divBdr>
            <w:top w:val="single" w:sz="2" w:space="0" w:color="auto"/>
            <w:left w:val="single" w:sz="2" w:space="0" w:color="auto"/>
            <w:bottom w:val="single" w:sz="6" w:space="0" w:color="auto"/>
            <w:right w:val="single" w:sz="2" w:space="0" w:color="auto"/>
          </w:divBdr>
          <w:divsChild>
            <w:div w:id="961770072">
              <w:marLeft w:val="0"/>
              <w:marRight w:val="0"/>
              <w:marTop w:val="100"/>
              <w:marBottom w:val="100"/>
              <w:divBdr>
                <w:top w:val="single" w:sz="2" w:space="0" w:color="D9D9E3"/>
                <w:left w:val="single" w:sz="2" w:space="0" w:color="D9D9E3"/>
                <w:bottom w:val="single" w:sz="2" w:space="0" w:color="D9D9E3"/>
                <w:right w:val="single" w:sz="2" w:space="0" w:color="D9D9E3"/>
              </w:divBdr>
              <w:divsChild>
                <w:div w:id="897015469">
                  <w:marLeft w:val="0"/>
                  <w:marRight w:val="0"/>
                  <w:marTop w:val="0"/>
                  <w:marBottom w:val="0"/>
                  <w:divBdr>
                    <w:top w:val="single" w:sz="2" w:space="0" w:color="D9D9E3"/>
                    <w:left w:val="single" w:sz="2" w:space="0" w:color="D9D9E3"/>
                    <w:bottom w:val="single" w:sz="2" w:space="0" w:color="D9D9E3"/>
                    <w:right w:val="single" w:sz="2" w:space="0" w:color="D9D9E3"/>
                  </w:divBdr>
                  <w:divsChild>
                    <w:div w:id="113450898">
                      <w:marLeft w:val="0"/>
                      <w:marRight w:val="0"/>
                      <w:marTop w:val="0"/>
                      <w:marBottom w:val="0"/>
                      <w:divBdr>
                        <w:top w:val="single" w:sz="2" w:space="0" w:color="D9D9E3"/>
                        <w:left w:val="single" w:sz="2" w:space="0" w:color="D9D9E3"/>
                        <w:bottom w:val="single" w:sz="2" w:space="0" w:color="D9D9E3"/>
                        <w:right w:val="single" w:sz="2" w:space="0" w:color="D9D9E3"/>
                      </w:divBdr>
                      <w:divsChild>
                        <w:div w:id="1658336196">
                          <w:marLeft w:val="0"/>
                          <w:marRight w:val="0"/>
                          <w:marTop w:val="0"/>
                          <w:marBottom w:val="0"/>
                          <w:divBdr>
                            <w:top w:val="single" w:sz="2" w:space="0" w:color="D9D9E3"/>
                            <w:left w:val="single" w:sz="2" w:space="0" w:color="D9D9E3"/>
                            <w:bottom w:val="single" w:sz="2" w:space="0" w:color="D9D9E3"/>
                            <w:right w:val="single" w:sz="2" w:space="0" w:color="D9D9E3"/>
                          </w:divBdr>
                          <w:divsChild>
                            <w:div w:id="875040701">
                              <w:marLeft w:val="0"/>
                              <w:marRight w:val="0"/>
                              <w:marTop w:val="0"/>
                              <w:marBottom w:val="0"/>
                              <w:divBdr>
                                <w:top w:val="single" w:sz="2" w:space="0" w:color="D9D9E3"/>
                                <w:left w:val="single" w:sz="2" w:space="0" w:color="D9D9E3"/>
                                <w:bottom w:val="single" w:sz="2" w:space="0" w:color="D9D9E3"/>
                                <w:right w:val="single" w:sz="2" w:space="0" w:color="D9D9E3"/>
                              </w:divBdr>
                              <w:divsChild>
                                <w:div w:id="802624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30000834">
      <w:bodyDiv w:val="1"/>
      <w:marLeft w:val="0"/>
      <w:marRight w:val="0"/>
      <w:marTop w:val="0"/>
      <w:marBottom w:val="0"/>
      <w:divBdr>
        <w:top w:val="none" w:sz="0" w:space="0" w:color="auto"/>
        <w:left w:val="none" w:sz="0" w:space="0" w:color="auto"/>
        <w:bottom w:val="none" w:sz="0" w:space="0" w:color="auto"/>
        <w:right w:val="none" w:sz="0" w:space="0" w:color="auto"/>
      </w:divBdr>
    </w:div>
    <w:div w:id="1236278518">
      <w:bodyDiv w:val="1"/>
      <w:marLeft w:val="0"/>
      <w:marRight w:val="0"/>
      <w:marTop w:val="0"/>
      <w:marBottom w:val="0"/>
      <w:divBdr>
        <w:top w:val="none" w:sz="0" w:space="0" w:color="auto"/>
        <w:left w:val="none" w:sz="0" w:space="0" w:color="auto"/>
        <w:bottom w:val="none" w:sz="0" w:space="0" w:color="auto"/>
        <w:right w:val="none" w:sz="0" w:space="0" w:color="auto"/>
      </w:divBdr>
    </w:div>
    <w:div w:id="1248996444">
      <w:bodyDiv w:val="1"/>
      <w:marLeft w:val="0"/>
      <w:marRight w:val="0"/>
      <w:marTop w:val="0"/>
      <w:marBottom w:val="0"/>
      <w:divBdr>
        <w:top w:val="none" w:sz="0" w:space="0" w:color="auto"/>
        <w:left w:val="none" w:sz="0" w:space="0" w:color="auto"/>
        <w:bottom w:val="none" w:sz="0" w:space="0" w:color="auto"/>
        <w:right w:val="none" w:sz="0" w:space="0" w:color="auto"/>
      </w:divBdr>
    </w:div>
    <w:div w:id="1280527825">
      <w:bodyDiv w:val="1"/>
      <w:marLeft w:val="0"/>
      <w:marRight w:val="0"/>
      <w:marTop w:val="0"/>
      <w:marBottom w:val="0"/>
      <w:divBdr>
        <w:top w:val="none" w:sz="0" w:space="0" w:color="auto"/>
        <w:left w:val="none" w:sz="0" w:space="0" w:color="auto"/>
        <w:bottom w:val="none" w:sz="0" w:space="0" w:color="auto"/>
        <w:right w:val="none" w:sz="0" w:space="0" w:color="auto"/>
      </w:divBdr>
    </w:div>
    <w:div w:id="1328558774">
      <w:bodyDiv w:val="1"/>
      <w:marLeft w:val="0"/>
      <w:marRight w:val="0"/>
      <w:marTop w:val="0"/>
      <w:marBottom w:val="0"/>
      <w:divBdr>
        <w:top w:val="none" w:sz="0" w:space="0" w:color="auto"/>
        <w:left w:val="none" w:sz="0" w:space="0" w:color="auto"/>
        <w:bottom w:val="none" w:sz="0" w:space="0" w:color="auto"/>
        <w:right w:val="none" w:sz="0" w:space="0" w:color="auto"/>
      </w:divBdr>
    </w:div>
    <w:div w:id="1370833923">
      <w:bodyDiv w:val="1"/>
      <w:marLeft w:val="0"/>
      <w:marRight w:val="0"/>
      <w:marTop w:val="0"/>
      <w:marBottom w:val="0"/>
      <w:divBdr>
        <w:top w:val="none" w:sz="0" w:space="0" w:color="auto"/>
        <w:left w:val="none" w:sz="0" w:space="0" w:color="auto"/>
        <w:bottom w:val="none" w:sz="0" w:space="0" w:color="auto"/>
        <w:right w:val="none" w:sz="0" w:space="0" w:color="auto"/>
      </w:divBdr>
    </w:div>
    <w:div w:id="1407875862">
      <w:bodyDiv w:val="1"/>
      <w:marLeft w:val="0"/>
      <w:marRight w:val="0"/>
      <w:marTop w:val="0"/>
      <w:marBottom w:val="0"/>
      <w:divBdr>
        <w:top w:val="none" w:sz="0" w:space="0" w:color="auto"/>
        <w:left w:val="none" w:sz="0" w:space="0" w:color="auto"/>
        <w:bottom w:val="none" w:sz="0" w:space="0" w:color="auto"/>
        <w:right w:val="none" w:sz="0" w:space="0" w:color="auto"/>
      </w:divBdr>
    </w:div>
    <w:div w:id="1410689311">
      <w:bodyDiv w:val="1"/>
      <w:marLeft w:val="0"/>
      <w:marRight w:val="0"/>
      <w:marTop w:val="0"/>
      <w:marBottom w:val="0"/>
      <w:divBdr>
        <w:top w:val="none" w:sz="0" w:space="0" w:color="auto"/>
        <w:left w:val="none" w:sz="0" w:space="0" w:color="auto"/>
        <w:bottom w:val="none" w:sz="0" w:space="0" w:color="auto"/>
        <w:right w:val="none" w:sz="0" w:space="0" w:color="auto"/>
      </w:divBdr>
    </w:div>
    <w:div w:id="1420760865">
      <w:bodyDiv w:val="1"/>
      <w:marLeft w:val="0"/>
      <w:marRight w:val="0"/>
      <w:marTop w:val="0"/>
      <w:marBottom w:val="0"/>
      <w:divBdr>
        <w:top w:val="none" w:sz="0" w:space="0" w:color="auto"/>
        <w:left w:val="none" w:sz="0" w:space="0" w:color="auto"/>
        <w:bottom w:val="none" w:sz="0" w:space="0" w:color="auto"/>
        <w:right w:val="none" w:sz="0" w:space="0" w:color="auto"/>
      </w:divBdr>
    </w:div>
    <w:div w:id="1445999649">
      <w:bodyDiv w:val="1"/>
      <w:marLeft w:val="0"/>
      <w:marRight w:val="0"/>
      <w:marTop w:val="0"/>
      <w:marBottom w:val="0"/>
      <w:divBdr>
        <w:top w:val="none" w:sz="0" w:space="0" w:color="auto"/>
        <w:left w:val="none" w:sz="0" w:space="0" w:color="auto"/>
        <w:bottom w:val="none" w:sz="0" w:space="0" w:color="auto"/>
        <w:right w:val="none" w:sz="0" w:space="0" w:color="auto"/>
      </w:divBdr>
    </w:div>
    <w:div w:id="1449617375">
      <w:bodyDiv w:val="1"/>
      <w:marLeft w:val="0"/>
      <w:marRight w:val="0"/>
      <w:marTop w:val="0"/>
      <w:marBottom w:val="0"/>
      <w:divBdr>
        <w:top w:val="none" w:sz="0" w:space="0" w:color="auto"/>
        <w:left w:val="none" w:sz="0" w:space="0" w:color="auto"/>
        <w:bottom w:val="none" w:sz="0" w:space="0" w:color="auto"/>
        <w:right w:val="none" w:sz="0" w:space="0" w:color="auto"/>
      </w:divBdr>
    </w:div>
    <w:div w:id="1468206802">
      <w:bodyDiv w:val="1"/>
      <w:marLeft w:val="0"/>
      <w:marRight w:val="0"/>
      <w:marTop w:val="0"/>
      <w:marBottom w:val="0"/>
      <w:divBdr>
        <w:top w:val="none" w:sz="0" w:space="0" w:color="auto"/>
        <w:left w:val="none" w:sz="0" w:space="0" w:color="auto"/>
        <w:bottom w:val="none" w:sz="0" w:space="0" w:color="auto"/>
        <w:right w:val="none" w:sz="0" w:space="0" w:color="auto"/>
      </w:divBdr>
    </w:div>
    <w:div w:id="1496919655">
      <w:bodyDiv w:val="1"/>
      <w:marLeft w:val="0"/>
      <w:marRight w:val="0"/>
      <w:marTop w:val="0"/>
      <w:marBottom w:val="0"/>
      <w:divBdr>
        <w:top w:val="none" w:sz="0" w:space="0" w:color="auto"/>
        <w:left w:val="none" w:sz="0" w:space="0" w:color="auto"/>
        <w:bottom w:val="none" w:sz="0" w:space="0" w:color="auto"/>
        <w:right w:val="none" w:sz="0" w:space="0" w:color="auto"/>
      </w:divBdr>
    </w:div>
    <w:div w:id="1497265048">
      <w:bodyDiv w:val="1"/>
      <w:marLeft w:val="0"/>
      <w:marRight w:val="0"/>
      <w:marTop w:val="0"/>
      <w:marBottom w:val="0"/>
      <w:divBdr>
        <w:top w:val="none" w:sz="0" w:space="0" w:color="auto"/>
        <w:left w:val="none" w:sz="0" w:space="0" w:color="auto"/>
        <w:bottom w:val="none" w:sz="0" w:space="0" w:color="auto"/>
        <w:right w:val="none" w:sz="0" w:space="0" w:color="auto"/>
      </w:divBdr>
    </w:div>
    <w:div w:id="1504315210">
      <w:bodyDiv w:val="1"/>
      <w:marLeft w:val="0"/>
      <w:marRight w:val="0"/>
      <w:marTop w:val="0"/>
      <w:marBottom w:val="0"/>
      <w:divBdr>
        <w:top w:val="none" w:sz="0" w:space="0" w:color="auto"/>
        <w:left w:val="none" w:sz="0" w:space="0" w:color="auto"/>
        <w:bottom w:val="none" w:sz="0" w:space="0" w:color="auto"/>
        <w:right w:val="none" w:sz="0" w:space="0" w:color="auto"/>
      </w:divBdr>
    </w:div>
    <w:div w:id="1527478857">
      <w:bodyDiv w:val="1"/>
      <w:marLeft w:val="0"/>
      <w:marRight w:val="0"/>
      <w:marTop w:val="0"/>
      <w:marBottom w:val="0"/>
      <w:divBdr>
        <w:top w:val="none" w:sz="0" w:space="0" w:color="auto"/>
        <w:left w:val="none" w:sz="0" w:space="0" w:color="auto"/>
        <w:bottom w:val="none" w:sz="0" w:space="0" w:color="auto"/>
        <w:right w:val="none" w:sz="0" w:space="0" w:color="auto"/>
      </w:divBdr>
    </w:div>
    <w:div w:id="1584416330">
      <w:bodyDiv w:val="1"/>
      <w:marLeft w:val="0"/>
      <w:marRight w:val="0"/>
      <w:marTop w:val="0"/>
      <w:marBottom w:val="0"/>
      <w:divBdr>
        <w:top w:val="none" w:sz="0" w:space="0" w:color="auto"/>
        <w:left w:val="none" w:sz="0" w:space="0" w:color="auto"/>
        <w:bottom w:val="none" w:sz="0" w:space="0" w:color="auto"/>
        <w:right w:val="none" w:sz="0" w:space="0" w:color="auto"/>
      </w:divBdr>
    </w:div>
    <w:div w:id="1588035143">
      <w:bodyDiv w:val="1"/>
      <w:marLeft w:val="0"/>
      <w:marRight w:val="0"/>
      <w:marTop w:val="0"/>
      <w:marBottom w:val="0"/>
      <w:divBdr>
        <w:top w:val="none" w:sz="0" w:space="0" w:color="auto"/>
        <w:left w:val="none" w:sz="0" w:space="0" w:color="auto"/>
        <w:bottom w:val="none" w:sz="0" w:space="0" w:color="auto"/>
        <w:right w:val="none" w:sz="0" w:space="0" w:color="auto"/>
      </w:divBdr>
    </w:div>
    <w:div w:id="1608654044">
      <w:bodyDiv w:val="1"/>
      <w:marLeft w:val="0"/>
      <w:marRight w:val="0"/>
      <w:marTop w:val="0"/>
      <w:marBottom w:val="0"/>
      <w:divBdr>
        <w:top w:val="none" w:sz="0" w:space="0" w:color="auto"/>
        <w:left w:val="none" w:sz="0" w:space="0" w:color="auto"/>
        <w:bottom w:val="none" w:sz="0" w:space="0" w:color="auto"/>
        <w:right w:val="none" w:sz="0" w:space="0" w:color="auto"/>
      </w:divBdr>
      <w:divsChild>
        <w:div w:id="909459783">
          <w:marLeft w:val="0"/>
          <w:marRight w:val="0"/>
          <w:marTop w:val="0"/>
          <w:marBottom w:val="0"/>
          <w:divBdr>
            <w:top w:val="single" w:sz="2" w:space="0" w:color="auto"/>
            <w:left w:val="single" w:sz="2" w:space="0" w:color="auto"/>
            <w:bottom w:val="single" w:sz="6" w:space="0" w:color="auto"/>
            <w:right w:val="single" w:sz="2" w:space="0" w:color="auto"/>
          </w:divBdr>
          <w:divsChild>
            <w:div w:id="956256143">
              <w:marLeft w:val="0"/>
              <w:marRight w:val="0"/>
              <w:marTop w:val="100"/>
              <w:marBottom w:val="100"/>
              <w:divBdr>
                <w:top w:val="single" w:sz="2" w:space="0" w:color="D9D9E3"/>
                <w:left w:val="single" w:sz="2" w:space="0" w:color="D9D9E3"/>
                <w:bottom w:val="single" w:sz="2" w:space="0" w:color="D9D9E3"/>
                <w:right w:val="single" w:sz="2" w:space="0" w:color="D9D9E3"/>
              </w:divBdr>
              <w:divsChild>
                <w:div w:id="541865966">
                  <w:marLeft w:val="0"/>
                  <w:marRight w:val="0"/>
                  <w:marTop w:val="0"/>
                  <w:marBottom w:val="0"/>
                  <w:divBdr>
                    <w:top w:val="single" w:sz="2" w:space="0" w:color="D9D9E3"/>
                    <w:left w:val="single" w:sz="2" w:space="0" w:color="D9D9E3"/>
                    <w:bottom w:val="single" w:sz="2" w:space="0" w:color="D9D9E3"/>
                    <w:right w:val="single" w:sz="2" w:space="0" w:color="D9D9E3"/>
                  </w:divBdr>
                  <w:divsChild>
                    <w:div w:id="767044428">
                      <w:marLeft w:val="0"/>
                      <w:marRight w:val="0"/>
                      <w:marTop w:val="0"/>
                      <w:marBottom w:val="0"/>
                      <w:divBdr>
                        <w:top w:val="single" w:sz="2" w:space="0" w:color="D9D9E3"/>
                        <w:left w:val="single" w:sz="2" w:space="0" w:color="D9D9E3"/>
                        <w:bottom w:val="single" w:sz="2" w:space="0" w:color="D9D9E3"/>
                        <w:right w:val="single" w:sz="2" w:space="0" w:color="D9D9E3"/>
                      </w:divBdr>
                      <w:divsChild>
                        <w:div w:id="1135608263">
                          <w:marLeft w:val="0"/>
                          <w:marRight w:val="0"/>
                          <w:marTop w:val="0"/>
                          <w:marBottom w:val="0"/>
                          <w:divBdr>
                            <w:top w:val="single" w:sz="2" w:space="0" w:color="D9D9E3"/>
                            <w:left w:val="single" w:sz="2" w:space="0" w:color="D9D9E3"/>
                            <w:bottom w:val="single" w:sz="2" w:space="0" w:color="D9D9E3"/>
                            <w:right w:val="single" w:sz="2" w:space="0" w:color="D9D9E3"/>
                          </w:divBdr>
                          <w:divsChild>
                            <w:div w:id="802507469">
                              <w:marLeft w:val="0"/>
                              <w:marRight w:val="0"/>
                              <w:marTop w:val="0"/>
                              <w:marBottom w:val="0"/>
                              <w:divBdr>
                                <w:top w:val="single" w:sz="2" w:space="0" w:color="D9D9E3"/>
                                <w:left w:val="single" w:sz="2" w:space="0" w:color="D9D9E3"/>
                                <w:bottom w:val="single" w:sz="2" w:space="0" w:color="D9D9E3"/>
                                <w:right w:val="single" w:sz="2" w:space="0" w:color="D9D9E3"/>
                              </w:divBdr>
                              <w:divsChild>
                                <w:div w:id="1975984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0356890">
      <w:bodyDiv w:val="1"/>
      <w:marLeft w:val="0"/>
      <w:marRight w:val="0"/>
      <w:marTop w:val="0"/>
      <w:marBottom w:val="0"/>
      <w:divBdr>
        <w:top w:val="none" w:sz="0" w:space="0" w:color="auto"/>
        <w:left w:val="none" w:sz="0" w:space="0" w:color="auto"/>
        <w:bottom w:val="none" w:sz="0" w:space="0" w:color="auto"/>
        <w:right w:val="none" w:sz="0" w:space="0" w:color="auto"/>
      </w:divBdr>
    </w:div>
    <w:div w:id="1678843851">
      <w:bodyDiv w:val="1"/>
      <w:marLeft w:val="0"/>
      <w:marRight w:val="0"/>
      <w:marTop w:val="0"/>
      <w:marBottom w:val="0"/>
      <w:divBdr>
        <w:top w:val="none" w:sz="0" w:space="0" w:color="auto"/>
        <w:left w:val="none" w:sz="0" w:space="0" w:color="auto"/>
        <w:bottom w:val="none" w:sz="0" w:space="0" w:color="auto"/>
        <w:right w:val="none" w:sz="0" w:space="0" w:color="auto"/>
      </w:divBdr>
    </w:div>
    <w:div w:id="1685862193">
      <w:bodyDiv w:val="1"/>
      <w:marLeft w:val="0"/>
      <w:marRight w:val="0"/>
      <w:marTop w:val="0"/>
      <w:marBottom w:val="0"/>
      <w:divBdr>
        <w:top w:val="none" w:sz="0" w:space="0" w:color="auto"/>
        <w:left w:val="none" w:sz="0" w:space="0" w:color="auto"/>
        <w:bottom w:val="none" w:sz="0" w:space="0" w:color="auto"/>
        <w:right w:val="none" w:sz="0" w:space="0" w:color="auto"/>
      </w:divBdr>
    </w:div>
    <w:div w:id="1711953433">
      <w:bodyDiv w:val="1"/>
      <w:marLeft w:val="0"/>
      <w:marRight w:val="0"/>
      <w:marTop w:val="0"/>
      <w:marBottom w:val="0"/>
      <w:divBdr>
        <w:top w:val="none" w:sz="0" w:space="0" w:color="auto"/>
        <w:left w:val="none" w:sz="0" w:space="0" w:color="auto"/>
        <w:bottom w:val="none" w:sz="0" w:space="0" w:color="auto"/>
        <w:right w:val="none" w:sz="0" w:space="0" w:color="auto"/>
      </w:divBdr>
    </w:div>
    <w:div w:id="1725373440">
      <w:bodyDiv w:val="1"/>
      <w:marLeft w:val="0"/>
      <w:marRight w:val="0"/>
      <w:marTop w:val="0"/>
      <w:marBottom w:val="0"/>
      <w:divBdr>
        <w:top w:val="none" w:sz="0" w:space="0" w:color="auto"/>
        <w:left w:val="none" w:sz="0" w:space="0" w:color="auto"/>
        <w:bottom w:val="none" w:sz="0" w:space="0" w:color="auto"/>
        <w:right w:val="none" w:sz="0" w:space="0" w:color="auto"/>
      </w:divBdr>
    </w:div>
    <w:div w:id="1739161144">
      <w:bodyDiv w:val="1"/>
      <w:marLeft w:val="0"/>
      <w:marRight w:val="0"/>
      <w:marTop w:val="0"/>
      <w:marBottom w:val="0"/>
      <w:divBdr>
        <w:top w:val="none" w:sz="0" w:space="0" w:color="auto"/>
        <w:left w:val="none" w:sz="0" w:space="0" w:color="auto"/>
        <w:bottom w:val="none" w:sz="0" w:space="0" w:color="auto"/>
        <w:right w:val="none" w:sz="0" w:space="0" w:color="auto"/>
      </w:divBdr>
      <w:divsChild>
        <w:div w:id="641039101">
          <w:marLeft w:val="0"/>
          <w:marRight w:val="0"/>
          <w:marTop w:val="0"/>
          <w:marBottom w:val="0"/>
          <w:divBdr>
            <w:top w:val="single" w:sz="2" w:space="0" w:color="auto"/>
            <w:left w:val="single" w:sz="2" w:space="0" w:color="auto"/>
            <w:bottom w:val="single" w:sz="6" w:space="0" w:color="auto"/>
            <w:right w:val="single" w:sz="2" w:space="0" w:color="auto"/>
          </w:divBdr>
          <w:divsChild>
            <w:div w:id="1379356698">
              <w:marLeft w:val="0"/>
              <w:marRight w:val="0"/>
              <w:marTop w:val="100"/>
              <w:marBottom w:val="100"/>
              <w:divBdr>
                <w:top w:val="single" w:sz="2" w:space="0" w:color="D9D9E3"/>
                <w:left w:val="single" w:sz="2" w:space="0" w:color="D9D9E3"/>
                <w:bottom w:val="single" w:sz="2" w:space="0" w:color="D9D9E3"/>
                <w:right w:val="single" w:sz="2" w:space="0" w:color="D9D9E3"/>
              </w:divBdr>
              <w:divsChild>
                <w:div w:id="749620241">
                  <w:marLeft w:val="0"/>
                  <w:marRight w:val="0"/>
                  <w:marTop w:val="0"/>
                  <w:marBottom w:val="0"/>
                  <w:divBdr>
                    <w:top w:val="single" w:sz="2" w:space="0" w:color="D9D9E3"/>
                    <w:left w:val="single" w:sz="2" w:space="0" w:color="D9D9E3"/>
                    <w:bottom w:val="single" w:sz="2" w:space="0" w:color="D9D9E3"/>
                    <w:right w:val="single" w:sz="2" w:space="0" w:color="D9D9E3"/>
                  </w:divBdr>
                  <w:divsChild>
                    <w:div w:id="1090156337">
                      <w:marLeft w:val="0"/>
                      <w:marRight w:val="0"/>
                      <w:marTop w:val="0"/>
                      <w:marBottom w:val="0"/>
                      <w:divBdr>
                        <w:top w:val="single" w:sz="2" w:space="0" w:color="D9D9E3"/>
                        <w:left w:val="single" w:sz="2" w:space="0" w:color="D9D9E3"/>
                        <w:bottom w:val="single" w:sz="2" w:space="0" w:color="D9D9E3"/>
                        <w:right w:val="single" w:sz="2" w:space="0" w:color="D9D9E3"/>
                      </w:divBdr>
                      <w:divsChild>
                        <w:div w:id="640498734">
                          <w:marLeft w:val="0"/>
                          <w:marRight w:val="0"/>
                          <w:marTop w:val="0"/>
                          <w:marBottom w:val="0"/>
                          <w:divBdr>
                            <w:top w:val="single" w:sz="2" w:space="0" w:color="D9D9E3"/>
                            <w:left w:val="single" w:sz="2" w:space="0" w:color="D9D9E3"/>
                            <w:bottom w:val="single" w:sz="2" w:space="0" w:color="D9D9E3"/>
                            <w:right w:val="single" w:sz="2" w:space="0" w:color="D9D9E3"/>
                          </w:divBdr>
                          <w:divsChild>
                            <w:div w:id="1922367632">
                              <w:marLeft w:val="0"/>
                              <w:marRight w:val="0"/>
                              <w:marTop w:val="0"/>
                              <w:marBottom w:val="0"/>
                              <w:divBdr>
                                <w:top w:val="single" w:sz="2" w:space="0" w:color="D9D9E3"/>
                                <w:left w:val="single" w:sz="2" w:space="0" w:color="D9D9E3"/>
                                <w:bottom w:val="single" w:sz="2" w:space="0" w:color="D9D9E3"/>
                                <w:right w:val="single" w:sz="2" w:space="0" w:color="D9D9E3"/>
                              </w:divBdr>
                              <w:divsChild>
                                <w:div w:id="163802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42752201">
      <w:bodyDiv w:val="1"/>
      <w:marLeft w:val="0"/>
      <w:marRight w:val="0"/>
      <w:marTop w:val="0"/>
      <w:marBottom w:val="0"/>
      <w:divBdr>
        <w:top w:val="none" w:sz="0" w:space="0" w:color="auto"/>
        <w:left w:val="none" w:sz="0" w:space="0" w:color="auto"/>
        <w:bottom w:val="none" w:sz="0" w:space="0" w:color="auto"/>
        <w:right w:val="none" w:sz="0" w:space="0" w:color="auto"/>
      </w:divBdr>
    </w:div>
    <w:div w:id="1748846772">
      <w:bodyDiv w:val="1"/>
      <w:marLeft w:val="0"/>
      <w:marRight w:val="0"/>
      <w:marTop w:val="0"/>
      <w:marBottom w:val="0"/>
      <w:divBdr>
        <w:top w:val="none" w:sz="0" w:space="0" w:color="auto"/>
        <w:left w:val="none" w:sz="0" w:space="0" w:color="auto"/>
        <w:bottom w:val="none" w:sz="0" w:space="0" w:color="auto"/>
        <w:right w:val="none" w:sz="0" w:space="0" w:color="auto"/>
      </w:divBdr>
    </w:div>
    <w:div w:id="1762949515">
      <w:bodyDiv w:val="1"/>
      <w:marLeft w:val="0"/>
      <w:marRight w:val="0"/>
      <w:marTop w:val="0"/>
      <w:marBottom w:val="0"/>
      <w:divBdr>
        <w:top w:val="none" w:sz="0" w:space="0" w:color="auto"/>
        <w:left w:val="none" w:sz="0" w:space="0" w:color="auto"/>
        <w:bottom w:val="none" w:sz="0" w:space="0" w:color="auto"/>
        <w:right w:val="none" w:sz="0" w:space="0" w:color="auto"/>
      </w:divBdr>
    </w:div>
    <w:div w:id="1779788858">
      <w:bodyDiv w:val="1"/>
      <w:marLeft w:val="0"/>
      <w:marRight w:val="0"/>
      <w:marTop w:val="0"/>
      <w:marBottom w:val="0"/>
      <w:divBdr>
        <w:top w:val="none" w:sz="0" w:space="0" w:color="auto"/>
        <w:left w:val="none" w:sz="0" w:space="0" w:color="auto"/>
        <w:bottom w:val="none" w:sz="0" w:space="0" w:color="auto"/>
        <w:right w:val="none" w:sz="0" w:space="0" w:color="auto"/>
      </w:divBdr>
    </w:div>
    <w:div w:id="1787263165">
      <w:bodyDiv w:val="1"/>
      <w:marLeft w:val="0"/>
      <w:marRight w:val="0"/>
      <w:marTop w:val="0"/>
      <w:marBottom w:val="0"/>
      <w:divBdr>
        <w:top w:val="none" w:sz="0" w:space="0" w:color="auto"/>
        <w:left w:val="none" w:sz="0" w:space="0" w:color="auto"/>
        <w:bottom w:val="none" w:sz="0" w:space="0" w:color="auto"/>
        <w:right w:val="none" w:sz="0" w:space="0" w:color="auto"/>
      </w:divBdr>
    </w:div>
    <w:div w:id="1788814023">
      <w:bodyDiv w:val="1"/>
      <w:marLeft w:val="0"/>
      <w:marRight w:val="0"/>
      <w:marTop w:val="0"/>
      <w:marBottom w:val="0"/>
      <w:divBdr>
        <w:top w:val="none" w:sz="0" w:space="0" w:color="auto"/>
        <w:left w:val="none" w:sz="0" w:space="0" w:color="auto"/>
        <w:bottom w:val="none" w:sz="0" w:space="0" w:color="auto"/>
        <w:right w:val="none" w:sz="0" w:space="0" w:color="auto"/>
      </w:divBdr>
    </w:div>
    <w:div w:id="1804929692">
      <w:bodyDiv w:val="1"/>
      <w:marLeft w:val="0"/>
      <w:marRight w:val="0"/>
      <w:marTop w:val="0"/>
      <w:marBottom w:val="0"/>
      <w:divBdr>
        <w:top w:val="none" w:sz="0" w:space="0" w:color="auto"/>
        <w:left w:val="none" w:sz="0" w:space="0" w:color="auto"/>
        <w:bottom w:val="none" w:sz="0" w:space="0" w:color="auto"/>
        <w:right w:val="none" w:sz="0" w:space="0" w:color="auto"/>
      </w:divBdr>
    </w:div>
    <w:div w:id="1816489501">
      <w:bodyDiv w:val="1"/>
      <w:marLeft w:val="0"/>
      <w:marRight w:val="0"/>
      <w:marTop w:val="0"/>
      <w:marBottom w:val="0"/>
      <w:divBdr>
        <w:top w:val="none" w:sz="0" w:space="0" w:color="auto"/>
        <w:left w:val="none" w:sz="0" w:space="0" w:color="auto"/>
        <w:bottom w:val="none" w:sz="0" w:space="0" w:color="auto"/>
        <w:right w:val="none" w:sz="0" w:space="0" w:color="auto"/>
      </w:divBdr>
    </w:div>
    <w:div w:id="1837305795">
      <w:bodyDiv w:val="1"/>
      <w:marLeft w:val="0"/>
      <w:marRight w:val="0"/>
      <w:marTop w:val="0"/>
      <w:marBottom w:val="0"/>
      <w:divBdr>
        <w:top w:val="none" w:sz="0" w:space="0" w:color="auto"/>
        <w:left w:val="none" w:sz="0" w:space="0" w:color="auto"/>
        <w:bottom w:val="none" w:sz="0" w:space="0" w:color="auto"/>
        <w:right w:val="none" w:sz="0" w:space="0" w:color="auto"/>
      </w:divBdr>
    </w:div>
    <w:div w:id="1862814529">
      <w:bodyDiv w:val="1"/>
      <w:marLeft w:val="0"/>
      <w:marRight w:val="0"/>
      <w:marTop w:val="0"/>
      <w:marBottom w:val="0"/>
      <w:divBdr>
        <w:top w:val="none" w:sz="0" w:space="0" w:color="auto"/>
        <w:left w:val="none" w:sz="0" w:space="0" w:color="auto"/>
        <w:bottom w:val="none" w:sz="0" w:space="0" w:color="auto"/>
        <w:right w:val="none" w:sz="0" w:space="0" w:color="auto"/>
      </w:divBdr>
    </w:div>
    <w:div w:id="1863587596">
      <w:bodyDiv w:val="1"/>
      <w:marLeft w:val="0"/>
      <w:marRight w:val="0"/>
      <w:marTop w:val="0"/>
      <w:marBottom w:val="0"/>
      <w:divBdr>
        <w:top w:val="none" w:sz="0" w:space="0" w:color="auto"/>
        <w:left w:val="none" w:sz="0" w:space="0" w:color="auto"/>
        <w:bottom w:val="none" w:sz="0" w:space="0" w:color="auto"/>
        <w:right w:val="none" w:sz="0" w:space="0" w:color="auto"/>
      </w:divBdr>
    </w:div>
    <w:div w:id="1982225301">
      <w:bodyDiv w:val="1"/>
      <w:marLeft w:val="0"/>
      <w:marRight w:val="0"/>
      <w:marTop w:val="0"/>
      <w:marBottom w:val="0"/>
      <w:divBdr>
        <w:top w:val="none" w:sz="0" w:space="0" w:color="auto"/>
        <w:left w:val="none" w:sz="0" w:space="0" w:color="auto"/>
        <w:bottom w:val="none" w:sz="0" w:space="0" w:color="auto"/>
        <w:right w:val="none" w:sz="0" w:space="0" w:color="auto"/>
      </w:divBdr>
    </w:div>
    <w:div w:id="2005430671">
      <w:bodyDiv w:val="1"/>
      <w:marLeft w:val="0"/>
      <w:marRight w:val="0"/>
      <w:marTop w:val="0"/>
      <w:marBottom w:val="0"/>
      <w:divBdr>
        <w:top w:val="none" w:sz="0" w:space="0" w:color="auto"/>
        <w:left w:val="none" w:sz="0" w:space="0" w:color="auto"/>
        <w:bottom w:val="none" w:sz="0" w:space="0" w:color="auto"/>
        <w:right w:val="none" w:sz="0" w:space="0" w:color="auto"/>
      </w:divBdr>
    </w:div>
    <w:div w:id="2006131072">
      <w:bodyDiv w:val="1"/>
      <w:marLeft w:val="0"/>
      <w:marRight w:val="0"/>
      <w:marTop w:val="0"/>
      <w:marBottom w:val="0"/>
      <w:divBdr>
        <w:top w:val="none" w:sz="0" w:space="0" w:color="auto"/>
        <w:left w:val="none" w:sz="0" w:space="0" w:color="auto"/>
        <w:bottom w:val="none" w:sz="0" w:space="0" w:color="auto"/>
        <w:right w:val="none" w:sz="0" w:space="0" w:color="auto"/>
      </w:divBdr>
    </w:div>
    <w:div w:id="2025790053">
      <w:bodyDiv w:val="1"/>
      <w:marLeft w:val="0"/>
      <w:marRight w:val="0"/>
      <w:marTop w:val="0"/>
      <w:marBottom w:val="0"/>
      <w:divBdr>
        <w:top w:val="none" w:sz="0" w:space="0" w:color="auto"/>
        <w:left w:val="none" w:sz="0" w:space="0" w:color="auto"/>
        <w:bottom w:val="none" w:sz="0" w:space="0" w:color="auto"/>
        <w:right w:val="none" w:sz="0" w:space="0" w:color="auto"/>
      </w:divBdr>
    </w:div>
    <w:div w:id="2035810530">
      <w:bodyDiv w:val="1"/>
      <w:marLeft w:val="0"/>
      <w:marRight w:val="0"/>
      <w:marTop w:val="0"/>
      <w:marBottom w:val="0"/>
      <w:divBdr>
        <w:top w:val="none" w:sz="0" w:space="0" w:color="auto"/>
        <w:left w:val="none" w:sz="0" w:space="0" w:color="auto"/>
        <w:bottom w:val="none" w:sz="0" w:space="0" w:color="auto"/>
        <w:right w:val="none" w:sz="0" w:space="0" w:color="auto"/>
      </w:divBdr>
    </w:div>
    <w:div w:id="2044161702">
      <w:bodyDiv w:val="1"/>
      <w:marLeft w:val="0"/>
      <w:marRight w:val="0"/>
      <w:marTop w:val="0"/>
      <w:marBottom w:val="0"/>
      <w:divBdr>
        <w:top w:val="none" w:sz="0" w:space="0" w:color="auto"/>
        <w:left w:val="none" w:sz="0" w:space="0" w:color="auto"/>
        <w:bottom w:val="none" w:sz="0" w:space="0" w:color="auto"/>
        <w:right w:val="none" w:sz="0" w:space="0" w:color="auto"/>
      </w:divBdr>
    </w:div>
    <w:div w:id="2076121674">
      <w:bodyDiv w:val="1"/>
      <w:marLeft w:val="0"/>
      <w:marRight w:val="0"/>
      <w:marTop w:val="0"/>
      <w:marBottom w:val="0"/>
      <w:divBdr>
        <w:top w:val="none" w:sz="0" w:space="0" w:color="auto"/>
        <w:left w:val="none" w:sz="0" w:space="0" w:color="auto"/>
        <w:bottom w:val="none" w:sz="0" w:space="0" w:color="auto"/>
        <w:right w:val="none" w:sz="0" w:space="0" w:color="auto"/>
      </w:divBdr>
    </w:div>
    <w:div w:id="2127500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diagramData" Target="diagrams/data3.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fontTable" Target="fontTable.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diagramColors" Target="diagrams/colors2.xml"/><Relationship Id="rId31"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7E77D5-0131-B740-9CC8-45CAEE6AA196}" type="doc">
      <dgm:prSet loTypeId="urn:microsoft.com/office/officeart/2005/8/layout/radial4" loCatId="" qsTypeId="urn:microsoft.com/office/officeart/2005/8/quickstyle/3d3" qsCatId="3D" csTypeId="urn:microsoft.com/office/officeart/2005/8/colors/colorful1" csCatId="colorful" phldr="1"/>
      <dgm:spPr/>
      <dgm:t>
        <a:bodyPr/>
        <a:lstStyle/>
        <a:p>
          <a:endParaRPr lang="en-GB"/>
        </a:p>
      </dgm:t>
    </dgm:pt>
    <dgm:pt modelId="{9F569F72-A8A5-7A40-8340-3F0C6EC3A838}">
      <dgm:prSet phldrT="[Text]"/>
      <dgm:spPr/>
      <dgm:t>
        <a:bodyPr/>
        <a:lstStyle/>
        <a:p>
          <a:pPr algn="ctr"/>
          <a:r>
            <a:rPr lang="en-GB" b="1"/>
            <a:t>PESTEL</a:t>
          </a:r>
        </a:p>
      </dgm:t>
    </dgm:pt>
    <dgm:pt modelId="{F220EAD2-6BC8-B741-A2AE-55AA6796219A}" type="parTrans" cxnId="{3B2E3D11-302A-FB4B-9B71-E8C56C4CAAFB}">
      <dgm:prSet/>
      <dgm:spPr/>
      <dgm:t>
        <a:bodyPr/>
        <a:lstStyle/>
        <a:p>
          <a:pPr algn="ctr"/>
          <a:endParaRPr lang="en-GB" b="1"/>
        </a:p>
      </dgm:t>
    </dgm:pt>
    <dgm:pt modelId="{AB5D12B9-A0B5-B949-9647-490EB7E10763}" type="sibTrans" cxnId="{3B2E3D11-302A-FB4B-9B71-E8C56C4CAAFB}">
      <dgm:prSet/>
      <dgm:spPr/>
      <dgm:t>
        <a:bodyPr/>
        <a:lstStyle/>
        <a:p>
          <a:pPr algn="ctr"/>
          <a:endParaRPr lang="en-GB" b="1"/>
        </a:p>
      </dgm:t>
    </dgm:pt>
    <dgm:pt modelId="{EB3A4530-FCC9-BB4C-83C9-739F1B8EF743}">
      <dgm:prSet phldrT="[Text]"/>
      <dgm:spPr/>
      <dgm:t>
        <a:bodyPr/>
        <a:lstStyle/>
        <a:p>
          <a:pPr algn="ctr"/>
          <a:r>
            <a:rPr lang="en-GB" b="1"/>
            <a:t>POLITICAL</a:t>
          </a:r>
        </a:p>
      </dgm:t>
    </dgm:pt>
    <dgm:pt modelId="{B626E477-69EE-204D-9529-5DDD764EF37B}" type="parTrans" cxnId="{122084CC-CDBC-B34C-AB1E-4E19F3FC136E}">
      <dgm:prSet/>
      <dgm:spPr/>
      <dgm:t>
        <a:bodyPr/>
        <a:lstStyle/>
        <a:p>
          <a:pPr algn="ctr"/>
          <a:endParaRPr lang="en-GB" b="1"/>
        </a:p>
      </dgm:t>
    </dgm:pt>
    <dgm:pt modelId="{DCD526CD-AF42-F04F-B74C-2D724800BE4A}" type="sibTrans" cxnId="{122084CC-CDBC-B34C-AB1E-4E19F3FC136E}">
      <dgm:prSet/>
      <dgm:spPr/>
      <dgm:t>
        <a:bodyPr/>
        <a:lstStyle/>
        <a:p>
          <a:pPr algn="ctr"/>
          <a:endParaRPr lang="en-GB" b="1"/>
        </a:p>
      </dgm:t>
    </dgm:pt>
    <dgm:pt modelId="{492AD95E-CDC0-6443-95ED-50AF95816956}">
      <dgm:prSet phldrT="[Text]"/>
      <dgm:spPr/>
      <dgm:t>
        <a:bodyPr/>
        <a:lstStyle/>
        <a:p>
          <a:pPr algn="ctr"/>
          <a:r>
            <a:rPr lang="en-GB" b="1"/>
            <a:t>ECONOMIC</a:t>
          </a:r>
        </a:p>
      </dgm:t>
    </dgm:pt>
    <dgm:pt modelId="{643B1CB8-6453-D84F-A3ED-C2468F83E028}" type="parTrans" cxnId="{4F52C173-3CE6-4A4E-82B3-46D41B7BD0A1}">
      <dgm:prSet/>
      <dgm:spPr/>
      <dgm:t>
        <a:bodyPr/>
        <a:lstStyle/>
        <a:p>
          <a:pPr algn="ctr"/>
          <a:endParaRPr lang="en-GB" b="1"/>
        </a:p>
      </dgm:t>
    </dgm:pt>
    <dgm:pt modelId="{377D1C49-AE95-7146-8996-39CAD3330DD4}" type="sibTrans" cxnId="{4F52C173-3CE6-4A4E-82B3-46D41B7BD0A1}">
      <dgm:prSet/>
      <dgm:spPr/>
      <dgm:t>
        <a:bodyPr/>
        <a:lstStyle/>
        <a:p>
          <a:pPr algn="ctr"/>
          <a:endParaRPr lang="en-GB" b="1"/>
        </a:p>
      </dgm:t>
    </dgm:pt>
    <dgm:pt modelId="{51FC40B6-FC16-6D48-B3E2-EF93C9921CA0}">
      <dgm:prSet phldrT="[Text]"/>
      <dgm:spPr/>
      <dgm:t>
        <a:bodyPr/>
        <a:lstStyle/>
        <a:p>
          <a:pPr algn="ctr"/>
          <a:r>
            <a:rPr lang="en-GB" b="1"/>
            <a:t>SOCIAL</a:t>
          </a:r>
        </a:p>
      </dgm:t>
    </dgm:pt>
    <dgm:pt modelId="{E8A3227E-8C7B-A642-8A54-1C05117D2A27}" type="parTrans" cxnId="{CF926104-67F2-D447-9431-C55D6CEE5CAF}">
      <dgm:prSet/>
      <dgm:spPr/>
      <dgm:t>
        <a:bodyPr/>
        <a:lstStyle/>
        <a:p>
          <a:pPr algn="ctr"/>
          <a:endParaRPr lang="en-GB" b="1"/>
        </a:p>
      </dgm:t>
    </dgm:pt>
    <dgm:pt modelId="{E7231706-A0FD-7242-AB0A-B6297D74E3D9}" type="sibTrans" cxnId="{CF926104-67F2-D447-9431-C55D6CEE5CAF}">
      <dgm:prSet/>
      <dgm:spPr/>
      <dgm:t>
        <a:bodyPr/>
        <a:lstStyle/>
        <a:p>
          <a:pPr algn="ctr"/>
          <a:endParaRPr lang="en-GB" b="1"/>
        </a:p>
      </dgm:t>
    </dgm:pt>
    <dgm:pt modelId="{21F0B7E8-AFAF-2049-9D01-1F4E78F7EFE3}">
      <dgm:prSet/>
      <dgm:spPr/>
      <dgm:t>
        <a:bodyPr/>
        <a:lstStyle/>
        <a:p>
          <a:pPr algn="ctr"/>
          <a:r>
            <a:rPr lang="en-GB" b="1"/>
            <a:t>TECHNOLOGY</a:t>
          </a:r>
        </a:p>
      </dgm:t>
    </dgm:pt>
    <dgm:pt modelId="{441F7E44-1DD7-EA49-A0EC-3A62510F49C2}" type="parTrans" cxnId="{DFFA547D-F515-B94C-9556-9EC46CCF43E5}">
      <dgm:prSet/>
      <dgm:spPr/>
      <dgm:t>
        <a:bodyPr/>
        <a:lstStyle/>
        <a:p>
          <a:pPr algn="ctr"/>
          <a:endParaRPr lang="en-GB" b="1"/>
        </a:p>
      </dgm:t>
    </dgm:pt>
    <dgm:pt modelId="{D7C55919-8048-7A47-8044-1EB529DBC4C5}" type="sibTrans" cxnId="{DFFA547D-F515-B94C-9556-9EC46CCF43E5}">
      <dgm:prSet/>
      <dgm:spPr/>
      <dgm:t>
        <a:bodyPr/>
        <a:lstStyle/>
        <a:p>
          <a:pPr algn="ctr"/>
          <a:endParaRPr lang="en-GB" b="1"/>
        </a:p>
      </dgm:t>
    </dgm:pt>
    <dgm:pt modelId="{481DC1D0-7B2D-D44C-A700-BEC4177088C2}">
      <dgm:prSet/>
      <dgm:spPr/>
      <dgm:t>
        <a:bodyPr/>
        <a:lstStyle/>
        <a:p>
          <a:pPr algn="ctr"/>
          <a:r>
            <a:rPr lang="en-GB" b="1"/>
            <a:t>ENVIRONMENT</a:t>
          </a:r>
        </a:p>
      </dgm:t>
    </dgm:pt>
    <dgm:pt modelId="{3E90BFD3-A8B5-A94A-9FCC-8068CCBCDF19}" type="parTrans" cxnId="{944FC735-A6CE-4741-AE87-1375F06FC5C7}">
      <dgm:prSet/>
      <dgm:spPr/>
      <dgm:t>
        <a:bodyPr/>
        <a:lstStyle/>
        <a:p>
          <a:pPr algn="ctr"/>
          <a:endParaRPr lang="en-GB" b="1"/>
        </a:p>
      </dgm:t>
    </dgm:pt>
    <dgm:pt modelId="{B63773F5-ECDB-2E4D-B7C3-DE0B841F1A9B}" type="sibTrans" cxnId="{944FC735-A6CE-4741-AE87-1375F06FC5C7}">
      <dgm:prSet/>
      <dgm:spPr/>
      <dgm:t>
        <a:bodyPr/>
        <a:lstStyle/>
        <a:p>
          <a:pPr algn="ctr"/>
          <a:endParaRPr lang="en-GB" b="1"/>
        </a:p>
      </dgm:t>
    </dgm:pt>
    <dgm:pt modelId="{03614CA1-E6A8-2A40-98D4-61865C2271FC}">
      <dgm:prSet/>
      <dgm:spPr/>
      <dgm:t>
        <a:bodyPr/>
        <a:lstStyle/>
        <a:p>
          <a:pPr algn="ctr"/>
          <a:r>
            <a:rPr lang="en-GB" b="1"/>
            <a:t>LEGAL</a:t>
          </a:r>
        </a:p>
      </dgm:t>
    </dgm:pt>
    <dgm:pt modelId="{7EB92E01-F66F-1942-AEC1-CBD01F8B3FF8}" type="parTrans" cxnId="{9FC05F05-5AED-C143-97E2-2620094C0D3E}">
      <dgm:prSet/>
      <dgm:spPr/>
      <dgm:t>
        <a:bodyPr/>
        <a:lstStyle/>
        <a:p>
          <a:pPr algn="ctr"/>
          <a:endParaRPr lang="en-GB" b="1"/>
        </a:p>
      </dgm:t>
    </dgm:pt>
    <dgm:pt modelId="{17EDDDF1-DCE3-5540-B0F8-D569CE4185D1}" type="sibTrans" cxnId="{9FC05F05-5AED-C143-97E2-2620094C0D3E}">
      <dgm:prSet/>
      <dgm:spPr/>
      <dgm:t>
        <a:bodyPr/>
        <a:lstStyle/>
        <a:p>
          <a:pPr algn="ctr"/>
          <a:endParaRPr lang="en-GB" b="1"/>
        </a:p>
      </dgm:t>
    </dgm:pt>
    <dgm:pt modelId="{F80B21B1-8C43-A248-9BAA-7C3BF724FAF7}" type="pres">
      <dgm:prSet presAssocID="{D67E77D5-0131-B740-9CC8-45CAEE6AA196}" presName="cycle" presStyleCnt="0">
        <dgm:presLayoutVars>
          <dgm:chMax val="1"/>
          <dgm:dir/>
          <dgm:animLvl val="ctr"/>
          <dgm:resizeHandles val="exact"/>
        </dgm:presLayoutVars>
      </dgm:prSet>
      <dgm:spPr/>
    </dgm:pt>
    <dgm:pt modelId="{558DECE9-DC4E-894E-A4C8-7109B90DAEAC}" type="pres">
      <dgm:prSet presAssocID="{9F569F72-A8A5-7A40-8340-3F0C6EC3A838}" presName="centerShape" presStyleLbl="node0" presStyleIdx="0" presStyleCnt="1"/>
      <dgm:spPr/>
    </dgm:pt>
    <dgm:pt modelId="{5970BA59-E370-F743-AD89-737AC88E6775}" type="pres">
      <dgm:prSet presAssocID="{B626E477-69EE-204D-9529-5DDD764EF37B}" presName="parTrans" presStyleLbl="bgSibTrans2D1" presStyleIdx="0" presStyleCnt="6"/>
      <dgm:spPr/>
    </dgm:pt>
    <dgm:pt modelId="{D5B2B435-3E09-6F4E-A18A-4785398EE481}" type="pres">
      <dgm:prSet presAssocID="{EB3A4530-FCC9-BB4C-83C9-739F1B8EF743}" presName="node" presStyleLbl="node1" presStyleIdx="0" presStyleCnt="6">
        <dgm:presLayoutVars>
          <dgm:bulletEnabled val="1"/>
        </dgm:presLayoutVars>
      </dgm:prSet>
      <dgm:spPr/>
    </dgm:pt>
    <dgm:pt modelId="{4413C3C5-F143-7C49-A87E-0DD2EDC1EDCC}" type="pres">
      <dgm:prSet presAssocID="{643B1CB8-6453-D84F-A3ED-C2468F83E028}" presName="parTrans" presStyleLbl="bgSibTrans2D1" presStyleIdx="1" presStyleCnt="6"/>
      <dgm:spPr/>
    </dgm:pt>
    <dgm:pt modelId="{D4001FDF-E68B-FC47-8E09-7A3678EA47B5}" type="pres">
      <dgm:prSet presAssocID="{492AD95E-CDC0-6443-95ED-50AF95816956}" presName="node" presStyleLbl="node1" presStyleIdx="1" presStyleCnt="6">
        <dgm:presLayoutVars>
          <dgm:bulletEnabled val="1"/>
        </dgm:presLayoutVars>
      </dgm:prSet>
      <dgm:spPr/>
    </dgm:pt>
    <dgm:pt modelId="{BDEDD46A-127F-1F4D-B303-D732E0133972}" type="pres">
      <dgm:prSet presAssocID="{E8A3227E-8C7B-A642-8A54-1C05117D2A27}" presName="parTrans" presStyleLbl="bgSibTrans2D1" presStyleIdx="2" presStyleCnt="6"/>
      <dgm:spPr/>
    </dgm:pt>
    <dgm:pt modelId="{64BBB60E-635E-7040-84C0-CEEF0260EEC9}" type="pres">
      <dgm:prSet presAssocID="{51FC40B6-FC16-6D48-B3E2-EF93C9921CA0}" presName="node" presStyleLbl="node1" presStyleIdx="2" presStyleCnt="6">
        <dgm:presLayoutVars>
          <dgm:bulletEnabled val="1"/>
        </dgm:presLayoutVars>
      </dgm:prSet>
      <dgm:spPr/>
    </dgm:pt>
    <dgm:pt modelId="{FAC068C7-A68D-2643-B3E8-043198E0C7EA}" type="pres">
      <dgm:prSet presAssocID="{441F7E44-1DD7-EA49-A0EC-3A62510F49C2}" presName="parTrans" presStyleLbl="bgSibTrans2D1" presStyleIdx="3" presStyleCnt="6"/>
      <dgm:spPr/>
    </dgm:pt>
    <dgm:pt modelId="{4AAF6B40-33A3-754C-A457-55ABE1BA9E05}" type="pres">
      <dgm:prSet presAssocID="{21F0B7E8-AFAF-2049-9D01-1F4E78F7EFE3}" presName="node" presStyleLbl="node1" presStyleIdx="3" presStyleCnt="6">
        <dgm:presLayoutVars>
          <dgm:bulletEnabled val="1"/>
        </dgm:presLayoutVars>
      </dgm:prSet>
      <dgm:spPr/>
    </dgm:pt>
    <dgm:pt modelId="{65C3779B-7EED-D94B-A326-3C3F3465D690}" type="pres">
      <dgm:prSet presAssocID="{3E90BFD3-A8B5-A94A-9FCC-8068CCBCDF19}" presName="parTrans" presStyleLbl="bgSibTrans2D1" presStyleIdx="4" presStyleCnt="6"/>
      <dgm:spPr/>
    </dgm:pt>
    <dgm:pt modelId="{9BA496DD-A570-C943-AA9B-1E94857801CF}" type="pres">
      <dgm:prSet presAssocID="{481DC1D0-7B2D-D44C-A700-BEC4177088C2}" presName="node" presStyleLbl="node1" presStyleIdx="4" presStyleCnt="6">
        <dgm:presLayoutVars>
          <dgm:bulletEnabled val="1"/>
        </dgm:presLayoutVars>
      </dgm:prSet>
      <dgm:spPr/>
    </dgm:pt>
    <dgm:pt modelId="{430ECF24-734B-6F4C-BE64-46721F1F9C78}" type="pres">
      <dgm:prSet presAssocID="{7EB92E01-F66F-1942-AEC1-CBD01F8B3FF8}" presName="parTrans" presStyleLbl="bgSibTrans2D1" presStyleIdx="5" presStyleCnt="6"/>
      <dgm:spPr/>
    </dgm:pt>
    <dgm:pt modelId="{F4EE9BDC-3B72-6445-B3CA-2CFC88CBE10F}" type="pres">
      <dgm:prSet presAssocID="{03614CA1-E6A8-2A40-98D4-61865C2271FC}" presName="node" presStyleLbl="node1" presStyleIdx="5" presStyleCnt="6">
        <dgm:presLayoutVars>
          <dgm:bulletEnabled val="1"/>
        </dgm:presLayoutVars>
      </dgm:prSet>
      <dgm:spPr/>
    </dgm:pt>
  </dgm:ptLst>
  <dgm:cxnLst>
    <dgm:cxn modelId="{CF926104-67F2-D447-9431-C55D6CEE5CAF}" srcId="{9F569F72-A8A5-7A40-8340-3F0C6EC3A838}" destId="{51FC40B6-FC16-6D48-B3E2-EF93C9921CA0}" srcOrd="2" destOrd="0" parTransId="{E8A3227E-8C7B-A642-8A54-1C05117D2A27}" sibTransId="{E7231706-A0FD-7242-AB0A-B6297D74E3D9}"/>
    <dgm:cxn modelId="{9FC05F05-5AED-C143-97E2-2620094C0D3E}" srcId="{9F569F72-A8A5-7A40-8340-3F0C6EC3A838}" destId="{03614CA1-E6A8-2A40-98D4-61865C2271FC}" srcOrd="5" destOrd="0" parTransId="{7EB92E01-F66F-1942-AEC1-CBD01F8B3FF8}" sibTransId="{17EDDDF1-DCE3-5540-B0F8-D569CE4185D1}"/>
    <dgm:cxn modelId="{5C6D310D-271C-F647-8AB0-2A3EA2CD52E7}" type="presOf" srcId="{3E90BFD3-A8B5-A94A-9FCC-8068CCBCDF19}" destId="{65C3779B-7EED-D94B-A326-3C3F3465D690}" srcOrd="0" destOrd="0" presId="urn:microsoft.com/office/officeart/2005/8/layout/radial4"/>
    <dgm:cxn modelId="{3B2E3D11-302A-FB4B-9B71-E8C56C4CAAFB}" srcId="{D67E77D5-0131-B740-9CC8-45CAEE6AA196}" destId="{9F569F72-A8A5-7A40-8340-3F0C6EC3A838}" srcOrd="0" destOrd="0" parTransId="{F220EAD2-6BC8-B741-A2AE-55AA6796219A}" sibTransId="{AB5D12B9-A0B5-B949-9647-490EB7E10763}"/>
    <dgm:cxn modelId="{81FDF219-73C3-7542-8408-223FCC43EF4B}" type="presOf" srcId="{21F0B7E8-AFAF-2049-9D01-1F4E78F7EFE3}" destId="{4AAF6B40-33A3-754C-A457-55ABE1BA9E05}" srcOrd="0" destOrd="0" presId="urn:microsoft.com/office/officeart/2005/8/layout/radial4"/>
    <dgm:cxn modelId="{BF3BF628-E58B-384D-96A3-F7FD020962B5}" type="presOf" srcId="{643B1CB8-6453-D84F-A3ED-C2468F83E028}" destId="{4413C3C5-F143-7C49-A87E-0DD2EDC1EDCC}" srcOrd="0" destOrd="0" presId="urn:microsoft.com/office/officeart/2005/8/layout/radial4"/>
    <dgm:cxn modelId="{944FC735-A6CE-4741-AE87-1375F06FC5C7}" srcId="{9F569F72-A8A5-7A40-8340-3F0C6EC3A838}" destId="{481DC1D0-7B2D-D44C-A700-BEC4177088C2}" srcOrd="4" destOrd="0" parTransId="{3E90BFD3-A8B5-A94A-9FCC-8068CCBCDF19}" sibTransId="{B63773F5-ECDB-2E4D-B7C3-DE0B841F1A9B}"/>
    <dgm:cxn modelId="{96F53D3A-C666-F141-8DC6-303E1BC8716B}" type="presOf" srcId="{441F7E44-1DD7-EA49-A0EC-3A62510F49C2}" destId="{FAC068C7-A68D-2643-B3E8-043198E0C7EA}" srcOrd="0" destOrd="0" presId="urn:microsoft.com/office/officeart/2005/8/layout/radial4"/>
    <dgm:cxn modelId="{A325A752-D3F2-264B-B378-899FE654F230}" type="presOf" srcId="{03614CA1-E6A8-2A40-98D4-61865C2271FC}" destId="{F4EE9BDC-3B72-6445-B3CA-2CFC88CBE10F}" srcOrd="0" destOrd="0" presId="urn:microsoft.com/office/officeart/2005/8/layout/radial4"/>
    <dgm:cxn modelId="{FB145F71-688A-1142-879B-393C65FA85D1}" type="presOf" srcId="{EB3A4530-FCC9-BB4C-83C9-739F1B8EF743}" destId="{D5B2B435-3E09-6F4E-A18A-4785398EE481}" srcOrd="0" destOrd="0" presId="urn:microsoft.com/office/officeart/2005/8/layout/radial4"/>
    <dgm:cxn modelId="{4F52C173-3CE6-4A4E-82B3-46D41B7BD0A1}" srcId="{9F569F72-A8A5-7A40-8340-3F0C6EC3A838}" destId="{492AD95E-CDC0-6443-95ED-50AF95816956}" srcOrd="1" destOrd="0" parTransId="{643B1CB8-6453-D84F-A3ED-C2468F83E028}" sibTransId="{377D1C49-AE95-7146-8996-39CAD3330DD4}"/>
    <dgm:cxn modelId="{DFFA547D-F515-B94C-9556-9EC46CCF43E5}" srcId="{9F569F72-A8A5-7A40-8340-3F0C6EC3A838}" destId="{21F0B7E8-AFAF-2049-9D01-1F4E78F7EFE3}" srcOrd="3" destOrd="0" parTransId="{441F7E44-1DD7-EA49-A0EC-3A62510F49C2}" sibTransId="{D7C55919-8048-7A47-8044-1EB529DBC4C5}"/>
    <dgm:cxn modelId="{55D6F99A-7DE1-C443-B373-EF6571108800}" type="presOf" srcId="{492AD95E-CDC0-6443-95ED-50AF95816956}" destId="{D4001FDF-E68B-FC47-8E09-7A3678EA47B5}" srcOrd="0" destOrd="0" presId="urn:microsoft.com/office/officeart/2005/8/layout/radial4"/>
    <dgm:cxn modelId="{E517F59C-73BC-0A41-A17A-76C1168CA3A9}" type="presOf" srcId="{E8A3227E-8C7B-A642-8A54-1C05117D2A27}" destId="{BDEDD46A-127F-1F4D-B303-D732E0133972}" srcOrd="0" destOrd="0" presId="urn:microsoft.com/office/officeart/2005/8/layout/radial4"/>
    <dgm:cxn modelId="{7FDDFDA1-39EC-7E42-9461-41197633FC24}" type="presOf" srcId="{51FC40B6-FC16-6D48-B3E2-EF93C9921CA0}" destId="{64BBB60E-635E-7040-84C0-CEEF0260EEC9}" srcOrd="0" destOrd="0" presId="urn:microsoft.com/office/officeart/2005/8/layout/radial4"/>
    <dgm:cxn modelId="{48E603AE-DF7A-F948-82AB-538412ECCB01}" type="presOf" srcId="{9F569F72-A8A5-7A40-8340-3F0C6EC3A838}" destId="{558DECE9-DC4E-894E-A4C8-7109B90DAEAC}" srcOrd="0" destOrd="0" presId="urn:microsoft.com/office/officeart/2005/8/layout/radial4"/>
    <dgm:cxn modelId="{122084CC-CDBC-B34C-AB1E-4E19F3FC136E}" srcId="{9F569F72-A8A5-7A40-8340-3F0C6EC3A838}" destId="{EB3A4530-FCC9-BB4C-83C9-739F1B8EF743}" srcOrd="0" destOrd="0" parTransId="{B626E477-69EE-204D-9529-5DDD764EF37B}" sibTransId="{DCD526CD-AF42-F04F-B74C-2D724800BE4A}"/>
    <dgm:cxn modelId="{F1689DCF-5E2A-9640-972E-F02BC69CB1C8}" type="presOf" srcId="{D67E77D5-0131-B740-9CC8-45CAEE6AA196}" destId="{F80B21B1-8C43-A248-9BAA-7C3BF724FAF7}" srcOrd="0" destOrd="0" presId="urn:microsoft.com/office/officeart/2005/8/layout/radial4"/>
    <dgm:cxn modelId="{440392D1-0571-8242-B890-73DC54DBD006}" type="presOf" srcId="{481DC1D0-7B2D-D44C-A700-BEC4177088C2}" destId="{9BA496DD-A570-C943-AA9B-1E94857801CF}" srcOrd="0" destOrd="0" presId="urn:microsoft.com/office/officeart/2005/8/layout/radial4"/>
    <dgm:cxn modelId="{ADA811DC-4BE8-FB4B-B4B3-C57471D501B3}" type="presOf" srcId="{B626E477-69EE-204D-9529-5DDD764EF37B}" destId="{5970BA59-E370-F743-AD89-737AC88E6775}" srcOrd="0" destOrd="0" presId="urn:microsoft.com/office/officeart/2005/8/layout/radial4"/>
    <dgm:cxn modelId="{F2A06BF3-9A0E-E242-A8F2-6304312EADB8}" type="presOf" srcId="{7EB92E01-F66F-1942-AEC1-CBD01F8B3FF8}" destId="{430ECF24-734B-6F4C-BE64-46721F1F9C78}" srcOrd="0" destOrd="0" presId="urn:microsoft.com/office/officeart/2005/8/layout/radial4"/>
    <dgm:cxn modelId="{80DA484A-CBE3-B140-984A-B24D9A90C147}" type="presParOf" srcId="{F80B21B1-8C43-A248-9BAA-7C3BF724FAF7}" destId="{558DECE9-DC4E-894E-A4C8-7109B90DAEAC}" srcOrd="0" destOrd="0" presId="urn:microsoft.com/office/officeart/2005/8/layout/radial4"/>
    <dgm:cxn modelId="{4B8DEFB4-44C6-5749-90E6-DEFEFC7AE1F3}" type="presParOf" srcId="{F80B21B1-8C43-A248-9BAA-7C3BF724FAF7}" destId="{5970BA59-E370-F743-AD89-737AC88E6775}" srcOrd="1" destOrd="0" presId="urn:microsoft.com/office/officeart/2005/8/layout/radial4"/>
    <dgm:cxn modelId="{E48FC60D-A840-C947-B9C7-3B16595CA0AB}" type="presParOf" srcId="{F80B21B1-8C43-A248-9BAA-7C3BF724FAF7}" destId="{D5B2B435-3E09-6F4E-A18A-4785398EE481}" srcOrd="2" destOrd="0" presId="urn:microsoft.com/office/officeart/2005/8/layout/radial4"/>
    <dgm:cxn modelId="{BC2D77A5-C6A0-C749-969C-3B3627C0F7C3}" type="presParOf" srcId="{F80B21B1-8C43-A248-9BAA-7C3BF724FAF7}" destId="{4413C3C5-F143-7C49-A87E-0DD2EDC1EDCC}" srcOrd="3" destOrd="0" presId="urn:microsoft.com/office/officeart/2005/8/layout/radial4"/>
    <dgm:cxn modelId="{B7157FFA-7EFC-F849-9C65-B08E7FD38800}" type="presParOf" srcId="{F80B21B1-8C43-A248-9BAA-7C3BF724FAF7}" destId="{D4001FDF-E68B-FC47-8E09-7A3678EA47B5}" srcOrd="4" destOrd="0" presId="urn:microsoft.com/office/officeart/2005/8/layout/radial4"/>
    <dgm:cxn modelId="{8FB522A5-52C4-9E42-8129-97FDBD3C5EDF}" type="presParOf" srcId="{F80B21B1-8C43-A248-9BAA-7C3BF724FAF7}" destId="{BDEDD46A-127F-1F4D-B303-D732E0133972}" srcOrd="5" destOrd="0" presId="urn:microsoft.com/office/officeart/2005/8/layout/radial4"/>
    <dgm:cxn modelId="{E65F474C-70F3-AC43-B97F-012EEB44352C}" type="presParOf" srcId="{F80B21B1-8C43-A248-9BAA-7C3BF724FAF7}" destId="{64BBB60E-635E-7040-84C0-CEEF0260EEC9}" srcOrd="6" destOrd="0" presId="urn:microsoft.com/office/officeart/2005/8/layout/radial4"/>
    <dgm:cxn modelId="{DCEBE9A8-8738-C545-AD9E-AE0532125853}" type="presParOf" srcId="{F80B21B1-8C43-A248-9BAA-7C3BF724FAF7}" destId="{FAC068C7-A68D-2643-B3E8-043198E0C7EA}" srcOrd="7" destOrd="0" presId="urn:microsoft.com/office/officeart/2005/8/layout/radial4"/>
    <dgm:cxn modelId="{FD8F8231-737D-4B49-8925-1641367BF7A9}" type="presParOf" srcId="{F80B21B1-8C43-A248-9BAA-7C3BF724FAF7}" destId="{4AAF6B40-33A3-754C-A457-55ABE1BA9E05}" srcOrd="8" destOrd="0" presId="urn:microsoft.com/office/officeart/2005/8/layout/radial4"/>
    <dgm:cxn modelId="{B8AAE65E-2A9A-8E44-85BE-C66FF8137292}" type="presParOf" srcId="{F80B21B1-8C43-A248-9BAA-7C3BF724FAF7}" destId="{65C3779B-7EED-D94B-A326-3C3F3465D690}" srcOrd="9" destOrd="0" presId="urn:microsoft.com/office/officeart/2005/8/layout/radial4"/>
    <dgm:cxn modelId="{79478F12-F769-4049-9A55-09788D6E2241}" type="presParOf" srcId="{F80B21B1-8C43-A248-9BAA-7C3BF724FAF7}" destId="{9BA496DD-A570-C943-AA9B-1E94857801CF}" srcOrd="10" destOrd="0" presId="urn:microsoft.com/office/officeart/2005/8/layout/radial4"/>
    <dgm:cxn modelId="{7AFE227A-E02C-4346-904A-39AA6E3F424A}" type="presParOf" srcId="{F80B21B1-8C43-A248-9BAA-7C3BF724FAF7}" destId="{430ECF24-734B-6F4C-BE64-46721F1F9C78}" srcOrd="11" destOrd="0" presId="urn:microsoft.com/office/officeart/2005/8/layout/radial4"/>
    <dgm:cxn modelId="{97589DCA-5109-AD43-A4FE-358CB8F9B1FF}" type="presParOf" srcId="{F80B21B1-8C43-A248-9BAA-7C3BF724FAF7}" destId="{F4EE9BDC-3B72-6445-B3CA-2CFC88CBE10F}" srcOrd="12" destOrd="0" presId="urn:microsoft.com/office/officeart/2005/8/layout/radial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08E0790-93D0-5D40-BA78-EC92BDF55955}" type="doc">
      <dgm:prSet loTypeId="urn:microsoft.com/office/officeart/2005/8/layout/radial3" loCatId="" qsTypeId="urn:microsoft.com/office/officeart/2005/8/quickstyle/3d4" qsCatId="3D" csTypeId="urn:microsoft.com/office/officeart/2005/8/colors/colorful1" csCatId="colorful" phldr="1"/>
      <dgm:spPr/>
      <dgm:t>
        <a:bodyPr/>
        <a:lstStyle/>
        <a:p>
          <a:endParaRPr lang="en-GB"/>
        </a:p>
      </dgm:t>
    </dgm:pt>
    <dgm:pt modelId="{6D9669F9-412B-C344-8927-029CA3ACA752}">
      <dgm:prSet phldrT="[Text]"/>
      <dgm:spPr/>
      <dgm:t>
        <a:bodyPr/>
        <a:lstStyle/>
        <a:p>
          <a:r>
            <a:rPr lang="en-GB" b="1"/>
            <a:t>Porter's Five Forces</a:t>
          </a:r>
        </a:p>
      </dgm:t>
    </dgm:pt>
    <dgm:pt modelId="{9C501ACA-7D08-0C4C-9C52-1F7DABB48480}" type="parTrans" cxnId="{4B03B631-E496-144A-A714-0C7C09B3B454}">
      <dgm:prSet/>
      <dgm:spPr/>
      <dgm:t>
        <a:bodyPr/>
        <a:lstStyle/>
        <a:p>
          <a:endParaRPr lang="en-GB" b="1"/>
        </a:p>
      </dgm:t>
    </dgm:pt>
    <dgm:pt modelId="{0F017D8E-C1B3-DC48-9E30-CC812868E11A}" type="sibTrans" cxnId="{4B03B631-E496-144A-A714-0C7C09B3B454}">
      <dgm:prSet/>
      <dgm:spPr/>
      <dgm:t>
        <a:bodyPr/>
        <a:lstStyle/>
        <a:p>
          <a:endParaRPr lang="en-GB" b="1"/>
        </a:p>
      </dgm:t>
    </dgm:pt>
    <dgm:pt modelId="{927AD38C-3CD0-1D45-944B-8779354A026C}">
      <dgm:prSet phldrT="[Text]"/>
      <dgm:spPr/>
      <dgm:t>
        <a:bodyPr/>
        <a:lstStyle/>
        <a:p>
          <a:r>
            <a:rPr lang="en-GB" b="1" i="0"/>
            <a:t>Threat of New Entrants</a:t>
          </a:r>
          <a:endParaRPr lang="en-GB" b="1"/>
        </a:p>
      </dgm:t>
    </dgm:pt>
    <dgm:pt modelId="{54554E7F-4C54-934C-8406-0E698534A40C}" type="parTrans" cxnId="{1DA0E8E5-E94F-1947-9D46-97ADD77506DD}">
      <dgm:prSet/>
      <dgm:spPr/>
      <dgm:t>
        <a:bodyPr/>
        <a:lstStyle/>
        <a:p>
          <a:endParaRPr lang="en-GB" b="1"/>
        </a:p>
      </dgm:t>
    </dgm:pt>
    <dgm:pt modelId="{422C8A3E-3181-A040-953B-E49BF5DF9328}" type="sibTrans" cxnId="{1DA0E8E5-E94F-1947-9D46-97ADD77506DD}">
      <dgm:prSet/>
      <dgm:spPr/>
      <dgm:t>
        <a:bodyPr/>
        <a:lstStyle/>
        <a:p>
          <a:endParaRPr lang="en-GB" b="1"/>
        </a:p>
      </dgm:t>
    </dgm:pt>
    <dgm:pt modelId="{81BF6B0D-ADE9-C54C-A50F-A777DB181F39}">
      <dgm:prSet phldrT="[Text]"/>
      <dgm:spPr/>
      <dgm:t>
        <a:bodyPr/>
        <a:lstStyle/>
        <a:p>
          <a:r>
            <a:rPr lang="en-GB" b="1" i="0"/>
            <a:t>Bargaining Power of Buyers</a:t>
          </a:r>
          <a:endParaRPr lang="en-GB" b="1"/>
        </a:p>
      </dgm:t>
    </dgm:pt>
    <dgm:pt modelId="{5E661A8D-A45F-1C43-AB82-6639E243D8D0}" type="parTrans" cxnId="{B145636D-7C06-F14A-9797-74E393554713}">
      <dgm:prSet/>
      <dgm:spPr/>
      <dgm:t>
        <a:bodyPr/>
        <a:lstStyle/>
        <a:p>
          <a:endParaRPr lang="en-GB" b="1"/>
        </a:p>
      </dgm:t>
    </dgm:pt>
    <dgm:pt modelId="{792A2739-5C5B-8847-8FE4-EF3405630509}" type="sibTrans" cxnId="{B145636D-7C06-F14A-9797-74E393554713}">
      <dgm:prSet/>
      <dgm:spPr/>
      <dgm:t>
        <a:bodyPr/>
        <a:lstStyle/>
        <a:p>
          <a:endParaRPr lang="en-GB" b="1"/>
        </a:p>
      </dgm:t>
    </dgm:pt>
    <dgm:pt modelId="{A6411CC4-6D17-4444-8192-39E1D39153BA}">
      <dgm:prSet phldrT="[Text]"/>
      <dgm:spPr/>
      <dgm:t>
        <a:bodyPr/>
        <a:lstStyle/>
        <a:p>
          <a:r>
            <a:rPr lang="en-GB" b="1" i="0"/>
            <a:t>Bargaining Power of Suppliers</a:t>
          </a:r>
          <a:endParaRPr lang="en-GB" b="1"/>
        </a:p>
      </dgm:t>
    </dgm:pt>
    <dgm:pt modelId="{C4AFEF08-05FA-C143-80EA-6CA22F9AD8D0}" type="parTrans" cxnId="{DD4C9F84-180E-664F-A0C9-B7D4CEC5FAA6}">
      <dgm:prSet/>
      <dgm:spPr/>
      <dgm:t>
        <a:bodyPr/>
        <a:lstStyle/>
        <a:p>
          <a:endParaRPr lang="en-GB" b="1"/>
        </a:p>
      </dgm:t>
    </dgm:pt>
    <dgm:pt modelId="{65BF00E5-7899-3943-A8B6-A61C115A569A}" type="sibTrans" cxnId="{DD4C9F84-180E-664F-A0C9-B7D4CEC5FAA6}">
      <dgm:prSet/>
      <dgm:spPr/>
      <dgm:t>
        <a:bodyPr/>
        <a:lstStyle/>
        <a:p>
          <a:endParaRPr lang="en-GB" b="1"/>
        </a:p>
      </dgm:t>
    </dgm:pt>
    <dgm:pt modelId="{573E9FB9-F188-254E-83C1-3D7B58DA3BA1}">
      <dgm:prSet phldrT="[Text]"/>
      <dgm:spPr/>
      <dgm:t>
        <a:bodyPr/>
        <a:lstStyle/>
        <a:p>
          <a:r>
            <a:rPr lang="en-GB" b="1" i="0"/>
            <a:t> Threat of New Substitutes </a:t>
          </a:r>
          <a:endParaRPr lang="en-GB" b="1"/>
        </a:p>
      </dgm:t>
    </dgm:pt>
    <dgm:pt modelId="{8AA1F9B3-7351-6743-943F-55A04E1DE6E2}" type="parTrans" cxnId="{516B0A62-12C5-1B41-BCF1-E51E796EACAD}">
      <dgm:prSet/>
      <dgm:spPr/>
      <dgm:t>
        <a:bodyPr/>
        <a:lstStyle/>
        <a:p>
          <a:endParaRPr lang="en-GB" b="1"/>
        </a:p>
      </dgm:t>
    </dgm:pt>
    <dgm:pt modelId="{398C0312-666D-E945-AD0A-4A5CB9EDBA4E}" type="sibTrans" cxnId="{516B0A62-12C5-1B41-BCF1-E51E796EACAD}">
      <dgm:prSet/>
      <dgm:spPr/>
      <dgm:t>
        <a:bodyPr/>
        <a:lstStyle/>
        <a:p>
          <a:endParaRPr lang="en-GB" b="1"/>
        </a:p>
      </dgm:t>
    </dgm:pt>
    <dgm:pt modelId="{91AF566D-F5B4-EC42-B3FA-4F392CF1B519}">
      <dgm:prSet phldrT="[Text]"/>
      <dgm:spPr/>
    </dgm:pt>
    <dgm:pt modelId="{87EE539C-D5B1-E249-A9BA-148E8FE43E0A}" type="parTrans" cxnId="{87571C1F-3333-0145-9D6C-5AF89DBE33AE}">
      <dgm:prSet/>
      <dgm:spPr/>
      <dgm:t>
        <a:bodyPr/>
        <a:lstStyle/>
        <a:p>
          <a:endParaRPr lang="en-GB" b="1"/>
        </a:p>
      </dgm:t>
    </dgm:pt>
    <dgm:pt modelId="{B6ECC732-B230-4B4C-B6D1-96F0836DCEAC}" type="sibTrans" cxnId="{87571C1F-3333-0145-9D6C-5AF89DBE33AE}">
      <dgm:prSet/>
      <dgm:spPr/>
      <dgm:t>
        <a:bodyPr/>
        <a:lstStyle/>
        <a:p>
          <a:endParaRPr lang="en-GB" b="1"/>
        </a:p>
      </dgm:t>
    </dgm:pt>
    <dgm:pt modelId="{C12F0C3D-6041-BC4B-81E8-C1EC8497C7BE}">
      <dgm:prSet phldrT="[Text]"/>
      <dgm:spPr/>
      <dgm:t>
        <a:bodyPr/>
        <a:lstStyle/>
        <a:p>
          <a:r>
            <a:rPr lang="en-GB" b="1" i="0"/>
            <a:t>Competitive Rivalry</a:t>
          </a:r>
          <a:endParaRPr lang="en-GB" b="1"/>
        </a:p>
      </dgm:t>
    </dgm:pt>
    <dgm:pt modelId="{66B8B64F-A68B-8344-B16E-6AD6EFF1AC41}" type="parTrans" cxnId="{E7DEF211-44DF-7645-8836-3A3E57DB7805}">
      <dgm:prSet/>
      <dgm:spPr/>
      <dgm:t>
        <a:bodyPr/>
        <a:lstStyle/>
        <a:p>
          <a:endParaRPr lang="en-GB" b="1"/>
        </a:p>
      </dgm:t>
    </dgm:pt>
    <dgm:pt modelId="{EDB23718-21D4-4C48-AB24-B30F8719CCDB}" type="sibTrans" cxnId="{E7DEF211-44DF-7645-8836-3A3E57DB7805}">
      <dgm:prSet/>
      <dgm:spPr/>
      <dgm:t>
        <a:bodyPr/>
        <a:lstStyle/>
        <a:p>
          <a:endParaRPr lang="en-GB" b="1"/>
        </a:p>
      </dgm:t>
    </dgm:pt>
    <dgm:pt modelId="{D8D77BA4-4487-D147-A5B1-258C5F2E176A}" type="pres">
      <dgm:prSet presAssocID="{108E0790-93D0-5D40-BA78-EC92BDF55955}" presName="composite" presStyleCnt="0">
        <dgm:presLayoutVars>
          <dgm:chMax val="1"/>
          <dgm:dir/>
          <dgm:resizeHandles val="exact"/>
        </dgm:presLayoutVars>
      </dgm:prSet>
      <dgm:spPr/>
    </dgm:pt>
    <dgm:pt modelId="{5ADA641B-29C8-2F4D-98DB-D1798B3A17AD}" type="pres">
      <dgm:prSet presAssocID="{108E0790-93D0-5D40-BA78-EC92BDF55955}" presName="radial" presStyleCnt="0">
        <dgm:presLayoutVars>
          <dgm:animLvl val="ctr"/>
        </dgm:presLayoutVars>
      </dgm:prSet>
      <dgm:spPr/>
    </dgm:pt>
    <dgm:pt modelId="{9628EE98-CE2C-664B-B3EB-8D17E2F40488}" type="pres">
      <dgm:prSet presAssocID="{6D9669F9-412B-C344-8927-029CA3ACA752}" presName="centerShape" presStyleLbl="vennNode1" presStyleIdx="0" presStyleCnt="6"/>
      <dgm:spPr/>
    </dgm:pt>
    <dgm:pt modelId="{4B2C0C0E-5041-C441-9ACD-3AD439A41DC6}" type="pres">
      <dgm:prSet presAssocID="{927AD38C-3CD0-1D45-944B-8779354A026C}" presName="node" presStyleLbl="vennNode1" presStyleIdx="1" presStyleCnt="6">
        <dgm:presLayoutVars>
          <dgm:bulletEnabled val="1"/>
        </dgm:presLayoutVars>
      </dgm:prSet>
      <dgm:spPr/>
    </dgm:pt>
    <dgm:pt modelId="{E24A10B7-0639-FD4B-8194-C0F067633C89}" type="pres">
      <dgm:prSet presAssocID="{81BF6B0D-ADE9-C54C-A50F-A777DB181F39}" presName="node" presStyleLbl="vennNode1" presStyleIdx="2" presStyleCnt="6">
        <dgm:presLayoutVars>
          <dgm:bulletEnabled val="1"/>
        </dgm:presLayoutVars>
      </dgm:prSet>
      <dgm:spPr/>
    </dgm:pt>
    <dgm:pt modelId="{8FFF5762-91CA-1345-8772-FE9F62B8D295}" type="pres">
      <dgm:prSet presAssocID="{A6411CC4-6D17-4444-8192-39E1D39153BA}" presName="node" presStyleLbl="vennNode1" presStyleIdx="3" presStyleCnt="6">
        <dgm:presLayoutVars>
          <dgm:bulletEnabled val="1"/>
        </dgm:presLayoutVars>
      </dgm:prSet>
      <dgm:spPr/>
    </dgm:pt>
    <dgm:pt modelId="{3C1A0AC3-AC1B-3E40-8E54-951EA555FACC}" type="pres">
      <dgm:prSet presAssocID="{573E9FB9-F188-254E-83C1-3D7B58DA3BA1}" presName="node" presStyleLbl="vennNode1" presStyleIdx="4" presStyleCnt="6">
        <dgm:presLayoutVars>
          <dgm:bulletEnabled val="1"/>
        </dgm:presLayoutVars>
      </dgm:prSet>
      <dgm:spPr/>
    </dgm:pt>
    <dgm:pt modelId="{4D163246-F366-AF4A-8311-6F11FBD7659E}" type="pres">
      <dgm:prSet presAssocID="{C12F0C3D-6041-BC4B-81E8-C1EC8497C7BE}" presName="node" presStyleLbl="vennNode1" presStyleIdx="5" presStyleCnt="6">
        <dgm:presLayoutVars>
          <dgm:bulletEnabled val="1"/>
        </dgm:presLayoutVars>
      </dgm:prSet>
      <dgm:spPr/>
    </dgm:pt>
  </dgm:ptLst>
  <dgm:cxnLst>
    <dgm:cxn modelId="{3766E606-F5C7-CC4B-B422-34CF185946B4}" type="presOf" srcId="{108E0790-93D0-5D40-BA78-EC92BDF55955}" destId="{D8D77BA4-4487-D147-A5B1-258C5F2E176A}" srcOrd="0" destOrd="0" presId="urn:microsoft.com/office/officeart/2005/8/layout/radial3"/>
    <dgm:cxn modelId="{E7DEF211-44DF-7645-8836-3A3E57DB7805}" srcId="{6D9669F9-412B-C344-8927-029CA3ACA752}" destId="{C12F0C3D-6041-BC4B-81E8-C1EC8497C7BE}" srcOrd="4" destOrd="0" parTransId="{66B8B64F-A68B-8344-B16E-6AD6EFF1AC41}" sibTransId="{EDB23718-21D4-4C48-AB24-B30F8719CCDB}"/>
    <dgm:cxn modelId="{87571C1F-3333-0145-9D6C-5AF89DBE33AE}" srcId="{108E0790-93D0-5D40-BA78-EC92BDF55955}" destId="{91AF566D-F5B4-EC42-B3FA-4F392CF1B519}" srcOrd="1" destOrd="0" parTransId="{87EE539C-D5B1-E249-A9BA-148E8FE43E0A}" sibTransId="{B6ECC732-B230-4B4C-B6D1-96F0836DCEAC}"/>
    <dgm:cxn modelId="{4B03B631-E496-144A-A714-0C7C09B3B454}" srcId="{108E0790-93D0-5D40-BA78-EC92BDF55955}" destId="{6D9669F9-412B-C344-8927-029CA3ACA752}" srcOrd="0" destOrd="0" parTransId="{9C501ACA-7D08-0C4C-9C52-1F7DABB48480}" sibTransId="{0F017D8E-C1B3-DC48-9E30-CC812868E11A}"/>
    <dgm:cxn modelId="{A3F65D3C-ED02-7146-93DB-40768F1BA449}" type="presOf" srcId="{573E9FB9-F188-254E-83C1-3D7B58DA3BA1}" destId="{3C1A0AC3-AC1B-3E40-8E54-951EA555FACC}" srcOrd="0" destOrd="0" presId="urn:microsoft.com/office/officeart/2005/8/layout/radial3"/>
    <dgm:cxn modelId="{54085452-A269-C040-BE66-16C850E2EED7}" type="presOf" srcId="{6D9669F9-412B-C344-8927-029CA3ACA752}" destId="{9628EE98-CE2C-664B-B3EB-8D17E2F40488}" srcOrd="0" destOrd="0" presId="urn:microsoft.com/office/officeart/2005/8/layout/radial3"/>
    <dgm:cxn modelId="{516B0A62-12C5-1B41-BCF1-E51E796EACAD}" srcId="{6D9669F9-412B-C344-8927-029CA3ACA752}" destId="{573E9FB9-F188-254E-83C1-3D7B58DA3BA1}" srcOrd="3" destOrd="0" parTransId="{8AA1F9B3-7351-6743-943F-55A04E1DE6E2}" sibTransId="{398C0312-666D-E945-AD0A-4A5CB9EDBA4E}"/>
    <dgm:cxn modelId="{B145636D-7C06-F14A-9797-74E393554713}" srcId="{6D9669F9-412B-C344-8927-029CA3ACA752}" destId="{81BF6B0D-ADE9-C54C-A50F-A777DB181F39}" srcOrd="1" destOrd="0" parTransId="{5E661A8D-A45F-1C43-AB82-6639E243D8D0}" sibTransId="{792A2739-5C5B-8847-8FE4-EF3405630509}"/>
    <dgm:cxn modelId="{0370FC7E-F406-6244-AABE-67221652D521}" type="presOf" srcId="{81BF6B0D-ADE9-C54C-A50F-A777DB181F39}" destId="{E24A10B7-0639-FD4B-8194-C0F067633C89}" srcOrd="0" destOrd="0" presId="urn:microsoft.com/office/officeart/2005/8/layout/radial3"/>
    <dgm:cxn modelId="{DD4C9F84-180E-664F-A0C9-B7D4CEC5FAA6}" srcId="{6D9669F9-412B-C344-8927-029CA3ACA752}" destId="{A6411CC4-6D17-4444-8192-39E1D39153BA}" srcOrd="2" destOrd="0" parTransId="{C4AFEF08-05FA-C143-80EA-6CA22F9AD8D0}" sibTransId="{65BF00E5-7899-3943-A8B6-A61C115A569A}"/>
    <dgm:cxn modelId="{EB12D68D-4D46-064E-91DE-763BC240D73B}" type="presOf" srcId="{927AD38C-3CD0-1D45-944B-8779354A026C}" destId="{4B2C0C0E-5041-C441-9ACD-3AD439A41DC6}" srcOrd="0" destOrd="0" presId="urn:microsoft.com/office/officeart/2005/8/layout/radial3"/>
    <dgm:cxn modelId="{BEB137D2-AB89-CD41-AF46-269917636187}" type="presOf" srcId="{A6411CC4-6D17-4444-8192-39E1D39153BA}" destId="{8FFF5762-91CA-1345-8772-FE9F62B8D295}" srcOrd="0" destOrd="0" presId="urn:microsoft.com/office/officeart/2005/8/layout/radial3"/>
    <dgm:cxn modelId="{4341F1E0-48B9-704C-889D-F13C9DD617EB}" type="presOf" srcId="{C12F0C3D-6041-BC4B-81E8-C1EC8497C7BE}" destId="{4D163246-F366-AF4A-8311-6F11FBD7659E}" srcOrd="0" destOrd="0" presId="urn:microsoft.com/office/officeart/2005/8/layout/radial3"/>
    <dgm:cxn modelId="{1DA0E8E5-E94F-1947-9D46-97ADD77506DD}" srcId="{6D9669F9-412B-C344-8927-029CA3ACA752}" destId="{927AD38C-3CD0-1D45-944B-8779354A026C}" srcOrd="0" destOrd="0" parTransId="{54554E7F-4C54-934C-8406-0E698534A40C}" sibTransId="{422C8A3E-3181-A040-953B-E49BF5DF9328}"/>
    <dgm:cxn modelId="{CDCC5139-43E7-6949-9536-4B8D2706054A}" type="presParOf" srcId="{D8D77BA4-4487-D147-A5B1-258C5F2E176A}" destId="{5ADA641B-29C8-2F4D-98DB-D1798B3A17AD}" srcOrd="0" destOrd="0" presId="urn:microsoft.com/office/officeart/2005/8/layout/radial3"/>
    <dgm:cxn modelId="{E69B81C3-707D-3440-AE8A-E317E5B1A388}" type="presParOf" srcId="{5ADA641B-29C8-2F4D-98DB-D1798B3A17AD}" destId="{9628EE98-CE2C-664B-B3EB-8D17E2F40488}" srcOrd="0" destOrd="0" presId="urn:microsoft.com/office/officeart/2005/8/layout/radial3"/>
    <dgm:cxn modelId="{6D8585C1-BD24-7742-9C84-DD4ADD3A88FF}" type="presParOf" srcId="{5ADA641B-29C8-2F4D-98DB-D1798B3A17AD}" destId="{4B2C0C0E-5041-C441-9ACD-3AD439A41DC6}" srcOrd="1" destOrd="0" presId="urn:microsoft.com/office/officeart/2005/8/layout/radial3"/>
    <dgm:cxn modelId="{7E21D4C4-BF2A-4D4E-B86A-DB622F300E0C}" type="presParOf" srcId="{5ADA641B-29C8-2F4D-98DB-D1798B3A17AD}" destId="{E24A10B7-0639-FD4B-8194-C0F067633C89}" srcOrd="2" destOrd="0" presId="urn:microsoft.com/office/officeart/2005/8/layout/radial3"/>
    <dgm:cxn modelId="{77A2E61D-1FA7-8C4C-A7BD-36ECD4895A3E}" type="presParOf" srcId="{5ADA641B-29C8-2F4D-98DB-D1798B3A17AD}" destId="{8FFF5762-91CA-1345-8772-FE9F62B8D295}" srcOrd="3" destOrd="0" presId="urn:microsoft.com/office/officeart/2005/8/layout/radial3"/>
    <dgm:cxn modelId="{DFF8EE85-5DA7-BD4B-A3A4-017273B24DC9}" type="presParOf" srcId="{5ADA641B-29C8-2F4D-98DB-D1798B3A17AD}" destId="{3C1A0AC3-AC1B-3E40-8E54-951EA555FACC}" srcOrd="4" destOrd="0" presId="urn:microsoft.com/office/officeart/2005/8/layout/radial3"/>
    <dgm:cxn modelId="{25A6C5BD-3787-EC49-9206-C1FD0ACDCB6D}" type="presParOf" srcId="{5ADA641B-29C8-2F4D-98DB-D1798B3A17AD}" destId="{4D163246-F366-AF4A-8311-6F11FBD7659E}" srcOrd="5" destOrd="0" presId="urn:microsoft.com/office/officeart/2005/8/layout/radial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C5FC53A-09D2-2248-A532-2A08E00210E2}" type="doc">
      <dgm:prSet loTypeId="urn:microsoft.com/office/officeart/2005/8/layout/lProcess2" loCatId="" qsTypeId="urn:microsoft.com/office/officeart/2005/8/quickstyle/simple3" qsCatId="simple" csTypeId="urn:microsoft.com/office/officeart/2005/8/colors/colorful1" csCatId="colorful" phldr="1"/>
      <dgm:spPr/>
      <dgm:t>
        <a:bodyPr/>
        <a:lstStyle/>
        <a:p>
          <a:endParaRPr lang="en-GB"/>
        </a:p>
      </dgm:t>
    </dgm:pt>
    <dgm:pt modelId="{D8D3204D-755D-F14A-86ED-14BECB293A14}">
      <dgm:prSet phldrT="[Text]"/>
      <dgm:spPr/>
      <dgm:t>
        <a:bodyPr/>
        <a:lstStyle/>
        <a:p>
          <a:r>
            <a:rPr lang="en-GB" b="1"/>
            <a:t>Strength</a:t>
          </a:r>
        </a:p>
      </dgm:t>
    </dgm:pt>
    <dgm:pt modelId="{652CB4BC-7F66-2A47-B05B-5A675AACFF91}" type="parTrans" cxnId="{904C489B-E9F5-6745-AE6A-DC17996C6A32}">
      <dgm:prSet/>
      <dgm:spPr/>
      <dgm:t>
        <a:bodyPr/>
        <a:lstStyle/>
        <a:p>
          <a:endParaRPr lang="en-GB"/>
        </a:p>
      </dgm:t>
    </dgm:pt>
    <dgm:pt modelId="{1516D0B1-7ADC-E14E-B863-BBF822671CD2}" type="sibTrans" cxnId="{904C489B-E9F5-6745-AE6A-DC17996C6A32}">
      <dgm:prSet/>
      <dgm:spPr/>
      <dgm:t>
        <a:bodyPr/>
        <a:lstStyle/>
        <a:p>
          <a:endParaRPr lang="en-GB"/>
        </a:p>
      </dgm:t>
    </dgm:pt>
    <dgm:pt modelId="{B8488F5B-CFA3-0542-88F5-32794AD65772}">
      <dgm:prSet phldrT="[Text]" custT="1"/>
      <dgm:spPr/>
      <dgm:t>
        <a:bodyPr/>
        <a:lstStyle/>
        <a:p>
          <a:pPr>
            <a:buFont typeface="Arial" panose="020B0604020202020204" pitchFamily="34" charset="0"/>
            <a:buChar char="•"/>
          </a:pPr>
          <a:r>
            <a:rPr lang="en-GB" sz="700" b="0" i="0"/>
            <a:t>SSE's commitment to renewable energy sources.</a:t>
          </a:r>
          <a:endParaRPr lang="en-GB" sz="700"/>
        </a:p>
      </dgm:t>
    </dgm:pt>
    <dgm:pt modelId="{FDAF522D-5532-2147-893C-CB1927F066C3}" type="parTrans" cxnId="{C356C964-6E3E-EC45-94C6-7E6BE9A1EFA5}">
      <dgm:prSet/>
      <dgm:spPr/>
      <dgm:t>
        <a:bodyPr/>
        <a:lstStyle/>
        <a:p>
          <a:endParaRPr lang="en-GB"/>
        </a:p>
      </dgm:t>
    </dgm:pt>
    <dgm:pt modelId="{00E7BDAF-9F7E-5945-9B60-24BC3D8FA45D}" type="sibTrans" cxnId="{C356C964-6E3E-EC45-94C6-7E6BE9A1EFA5}">
      <dgm:prSet/>
      <dgm:spPr/>
      <dgm:t>
        <a:bodyPr/>
        <a:lstStyle/>
        <a:p>
          <a:endParaRPr lang="en-GB"/>
        </a:p>
      </dgm:t>
    </dgm:pt>
    <dgm:pt modelId="{793B1D22-C080-314A-973B-AE20FE9C94E6}">
      <dgm:prSet phldrT="[Text]"/>
      <dgm:spPr/>
      <dgm:t>
        <a:bodyPr/>
        <a:lstStyle/>
        <a:p>
          <a:r>
            <a:rPr lang="en-GB" b="1"/>
            <a:t>Weakness</a:t>
          </a:r>
        </a:p>
      </dgm:t>
    </dgm:pt>
    <dgm:pt modelId="{0D5A99A6-760F-4545-A20C-921992B4DAD1}" type="parTrans" cxnId="{22C2450C-F13C-7140-8303-A87B664F118D}">
      <dgm:prSet/>
      <dgm:spPr/>
      <dgm:t>
        <a:bodyPr/>
        <a:lstStyle/>
        <a:p>
          <a:endParaRPr lang="en-GB"/>
        </a:p>
      </dgm:t>
    </dgm:pt>
    <dgm:pt modelId="{D184D61C-9031-A740-89FD-4C3F9197E184}" type="sibTrans" cxnId="{22C2450C-F13C-7140-8303-A87B664F118D}">
      <dgm:prSet/>
      <dgm:spPr/>
      <dgm:t>
        <a:bodyPr/>
        <a:lstStyle/>
        <a:p>
          <a:endParaRPr lang="en-GB"/>
        </a:p>
      </dgm:t>
    </dgm:pt>
    <dgm:pt modelId="{FCA494E0-0A73-2148-89A5-233303B8EFB8}">
      <dgm:prSet phldrT="[Text]" custT="1"/>
      <dgm:spPr/>
      <dgm:t>
        <a:bodyPr/>
        <a:lstStyle/>
        <a:p>
          <a:pPr>
            <a:buFont typeface="Arial" panose="020B0604020202020204" pitchFamily="34" charset="0"/>
            <a:buChar char="•"/>
          </a:pPr>
          <a:r>
            <a:rPr lang="en-GB" sz="700" b="0" i="0"/>
            <a:t>SSE segments risk obsolescence in the fast-paced energy sector.</a:t>
          </a:r>
          <a:endParaRPr lang="en-GB" sz="700"/>
        </a:p>
      </dgm:t>
    </dgm:pt>
    <dgm:pt modelId="{34633CAE-3DA2-A54A-8337-2421BCF9A7FE}" type="parTrans" cxnId="{8C0449DF-D51F-7F4C-91F2-EDFB076F5A19}">
      <dgm:prSet/>
      <dgm:spPr/>
      <dgm:t>
        <a:bodyPr/>
        <a:lstStyle/>
        <a:p>
          <a:endParaRPr lang="en-GB"/>
        </a:p>
      </dgm:t>
    </dgm:pt>
    <dgm:pt modelId="{4F1A20AF-581A-7145-B7B2-49A376197442}" type="sibTrans" cxnId="{8C0449DF-D51F-7F4C-91F2-EDFB076F5A19}">
      <dgm:prSet/>
      <dgm:spPr/>
      <dgm:t>
        <a:bodyPr/>
        <a:lstStyle/>
        <a:p>
          <a:endParaRPr lang="en-GB"/>
        </a:p>
      </dgm:t>
    </dgm:pt>
    <dgm:pt modelId="{709CAA80-F98E-8E40-ACD3-30974004321B}">
      <dgm:prSet phldrT="[Text]"/>
      <dgm:spPr/>
      <dgm:t>
        <a:bodyPr/>
        <a:lstStyle/>
        <a:p>
          <a:r>
            <a:rPr lang="en-GB" b="1"/>
            <a:t>Opportunities</a:t>
          </a:r>
        </a:p>
      </dgm:t>
    </dgm:pt>
    <dgm:pt modelId="{89673547-9A78-1743-92B6-537CA6D20122}" type="parTrans" cxnId="{ECA5D56B-26EF-814E-9785-E6A26703339A}">
      <dgm:prSet/>
      <dgm:spPr/>
      <dgm:t>
        <a:bodyPr/>
        <a:lstStyle/>
        <a:p>
          <a:endParaRPr lang="en-GB"/>
        </a:p>
      </dgm:t>
    </dgm:pt>
    <dgm:pt modelId="{A82977D6-8D99-C14E-8A2C-71E4699A88C2}" type="sibTrans" cxnId="{ECA5D56B-26EF-814E-9785-E6A26703339A}">
      <dgm:prSet/>
      <dgm:spPr/>
      <dgm:t>
        <a:bodyPr/>
        <a:lstStyle/>
        <a:p>
          <a:endParaRPr lang="en-GB"/>
        </a:p>
      </dgm:t>
    </dgm:pt>
    <dgm:pt modelId="{A9B7692B-97E4-9342-9F6F-CB2FEB2C81A9}">
      <dgm:prSet phldrT="[Text]"/>
      <dgm:spPr/>
      <dgm:t>
        <a:bodyPr/>
        <a:lstStyle/>
        <a:p>
          <a:r>
            <a:rPr lang="en-GB" b="1"/>
            <a:t>Threats</a:t>
          </a:r>
        </a:p>
      </dgm:t>
    </dgm:pt>
    <dgm:pt modelId="{B4DB7BC9-69BA-E145-89F4-BA3FC201697B}" type="parTrans" cxnId="{1D48EF9A-5F14-EA4B-8042-B4636C86F7BA}">
      <dgm:prSet/>
      <dgm:spPr/>
      <dgm:t>
        <a:bodyPr/>
        <a:lstStyle/>
        <a:p>
          <a:endParaRPr lang="en-GB"/>
        </a:p>
      </dgm:t>
    </dgm:pt>
    <dgm:pt modelId="{A1F7C4F6-D096-1440-92D2-09D5CF7C3CD2}" type="sibTrans" cxnId="{1D48EF9A-5F14-EA4B-8042-B4636C86F7BA}">
      <dgm:prSet/>
      <dgm:spPr/>
      <dgm:t>
        <a:bodyPr/>
        <a:lstStyle/>
        <a:p>
          <a:endParaRPr lang="en-GB"/>
        </a:p>
      </dgm:t>
    </dgm:pt>
    <dgm:pt modelId="{6B222057-9C8B-B747-91CE-6DBB39DD35E6}">
      <dgm:prSet phldrT="[Text]" custT="1"/>
      <dgm:spPr/>
      <dgm:t>
        <a:bodyPr/>
        <a:lstStyle/>
        <a:p>
          <a:pPr>
            <a:buFont typeface="Arial" panose="020B0604020202020204" pitchFamily="34" charset="0"/>
            <a:buChar char="•"/>
          </a:pPr>
          <a:r>
            <a:rPr lang="en-GB" sz="700" b="0" i="0"/>
            <a:t>Fast-changing industry outdating traditional methods.</a:t>
          </a:r>
          <a:endParaRPr lang="en-GB" sz="700"/>
        </a:p>
      </dgm:t>
    </dgm:pt>
    <dgm:pt modelId="{1D90FCF5-F683-9748-A1A1-B34FECC70C16}" type="parTrans" cxnId="{4F1C93E1-C542-754D-918F-D9D2EB1EB216}">
      <dgm:prSet/>
      <dgm:spPr/>
      <dgm:t>
        <a:bodyPr/>
        <a:lstStyle/>
        <a:p>
          <a:endParaRPr lang="en-GB"/>
        </a:p>
      </dgm:t>
    </dgm:pt>
    <dgm:pt modelId="{C3B1AD30-55E4-5C40-A5C4-B70DE98284C9}" type="sibTrans" cxnId="{4F1C93E1-C542-754D-918F-D9D2EB1EB216}">
      <dgm:prSet/>
      <dgm:spPr/>
      <dgm:t>
        <a:bodyPr/>
        <a:lstStyle/>
        <a:p>
          <a:endParaRPr lang="en-GB"/>
        </a:p>
      </dgm:t>
    </dgm:pt>
    <dgm:pt modelId="{831A104F-A248-0044-81E5-4AB06729506F}">
      <dgm:prSet custT="1"/>
      <dgm:spPr/>
      <dgm:t>
        <a:bodyPr/>
        <a:lstStyle/>
        <a:p>
          <a:pPr>
            <a:buFont typeface="Arial" panose="020B0604020202020204" pitchFamily="34" charset="0"/>
            <a:buChar char="•"/>
          </a:pPr>
          <a:r>
            <a:rPr lang="en-GB" sz="700" b="0" i="0"/>
            <a:t>Government backing of sustainable energy.</a:t>
          </a:r>
        </a:p>
      </dgm:t>
    </dgm:pt>
    <dgm:pt modelId="{0226DB91-0954-9049-B9B5-217233C23335}" type="parTrans" cxnId="{621BCEB2-DE55-1848-9373-F89C13BDE06B}">
      <dgm:prSet/>
      <dgm:spPr/>
      <dgm:t>
        <a:bodyPr/>
        <a:lstStyle/>
        <a:p>
          <a:endParaRPr lang="en-GB"/>
        </a:p>
      </dgm:t>
    </dgm:pt>
    <dgm:pt modelId="{251F71F8-EA5A-684D-BBF9-8CEE478970E0}" type="sibTrans" cxnId="{621BCEB2-DE55-1848-9373-F89C13BDE06B}">
      <dgm:prSet/>
      <dgm:spPr/>
      <dgm:t>
        <a:bodyPr/>
        <a:lstStyle/>
        <a:p>
          <a:endParaRPr lang="en-GB"/>
        </a:p>
      </dgm:t>
    </dgm:pt>
    <dgm:pt modelId="{472B002F-946F-6E49-916E-FDF2544FCC13}">
      <dgm:prSet custT="1"/>
      <dgm:spPr/>
      <dgm:t>
        <a:bodyPr/>
        <a:lstStyle/>
        <a:p>
          <a:pPr>
            <a:buFont typeface="Arial" panose="020B0604020202020204" pitchFamily="34" charset="0"/>
            <a:buChar char="•"/>
          </a:pPr>
          <a:r>
            <a:rPr lang="en-GB" sz="700" b="0" i="0"/>
            <a:t>Rise in eco-aware consumers and investors.</a:t>
          </a:r>
        </a:p>
      </dgm:t>
    </dgm:pt>
    <dgm:pt modelId="{AE6E1CAF-C1C0-3243-9970-95436B6E6D2F}" type="parTrans" cxnId="{D9AB5604-A4C5-6845-93B4-D2950464E284}">
      <dgm:prSet/>
      <dgm:spPr/>
      <dgm:t>
        <a:bodyPr/>
        <a:lstStyle/>
        <a:p>
          <a:endParaRPr lang="en-GB"/>
        </a:p>
      </dgm:t>
    </dgm:pt>
    <dgm:pt modelId="{5979C045-09C1-674C-A877-B3B828C0ED0E}" type="sibTrans" cxnId="{D9AB5604-A4C5-6845-93B4-D2950464E284}">
      <dgm:prSet/>
      <dgm:spPr/>
      <dgm:t>
        <a:bodyPr/>
        <a:lstStyle/>
        <a:p>
          <a:endParaRPr lang="en-GB"/>
        </a:p>
      </dgm:t>
    </dgm:pt>
    <dgm:pt modelId="{5AA4DD24-12EB-3A44-8830-45BF338072C4}">
      <dgm:prSet custT="1"/>
      <dgm:spPr/>
      <dgm:t>
        <a:bodyPr/>
        <a:lstStyle/>
        <a:p>
          <a:pPr>
            <a:buFont typeface="Arial" panose="020B0604020202020204" pitchFamily="34" charset="0"/>
            <a:buChar char="•"/>
          </a:pPr>
          <a:r>
            <a:rPr lang="en-GB" sz="700" b="0" i="0"/>
            <a:t>Rising supplier and consumer influence creates market volatility.</a:t>
          </a:r>
        </a:p>
      </dgm:t>
    </dgm:pt>
    <dgm:pt modelId="{8CD62ECB-447C-6F44-BE48-B712DC103B83}" type="parTrans" cxnId="{B821170F-132D-D74D-B5BB-A7266619B02D}">
      <dgm:prSet/>
      <dgm:spPr/>
      <dgm:t>
        <a:bodyPr/>
        <a:lstStyle/>
        <a:p>
          <a:endParaRPr lang="en-GB"/>
        </a:p>
      </dgm:t>
    </dgm:pt>
    <dgm:pt modelId="{329862A8-BC51-2D44-B678-64228467FFD3}" type="sibTrans" cxnId="{B821170F-132D-D74D-B5BB-A7266619B02D}">
      <dgm:prSet/>
      <dgm:spPr/>
      <dgm:t>
        <a:bodyPr/>
        <a:lstStyle/>
        <a:p>
          <a:endParaRPr lang="en-GB"/>
        </a:p>
      </dgm:t>
    </dgm:pt>
    <dgm:pt modelId="{BD1D4BBB-44B6-0244-8EC9-20FA4FF89744}">
      <dgm:prSet custT="1"/>
      <dgm:spPr/>
      <dgm:t>
        <a:bodyPr/>
        <a:lstStyle/>
        <a:p>
          <a:pPr>
            <a:buFont typeface="Arial" panose="020B0604020202020204" pitchFamily="34" charset="0"/>
            <a:buChar char="•"/>
          </a:pPr>
          <a:r>
            <a:rPr lang="en-GB" sz="700" b="0" i="0"/>
            <a:t>Natively green competitors pose challenges.</a:t>
          </a:r>
        </a:p>
      </dgm:t>
    </dgm:pt>
    <dgm:pt modelId="{A653E3FF-244B-3B4F-8368-62279AD29CDB}" type="parTrans" cxnId="{B32C5A03-B5A0-954A-9865-3431EC558CCE}">
      <dgm:prSet/>
      <dgm:spPr/>
      <dgm:t>
        <a:bodyPr/>
        <a:lstStyle/>
        <a:p>
          <a:endParaRPr lang="en-GB"/>
        </a:p>
      </dgm:t>
    </dgm:pt>
    <dgm:pt modelId="{04C0A691-A1E3-9C4E-9334-4A82701DEBAC}" type="sibTrans" cxnId="{B32C5A03-B5A0-954A-9865-3431EC558CCE}">
      <dgm:prSet/>
      <dgm:spPr/>
      <dgm:t>
        <a:bodyPr/>
        <a:lstStyle/>
        <a:p>
          <a:endParaRPr lang="en-GB"/>
        </a:p>
      </dgm:t>
    </dgm:pt>
    <dgm:pt modelId="{66381326-5F83-214F-9EE4-54A8BE30DA6C}">
      <dgm:prSet custT="1"/>
      <dgm:spPr/>
      <dgm:t>
        <a:bodyPr/>
        <a:lstStyle/>
        <a:p>
          <a:pPr>
            <a:buFont typeface="Arial" panose="020B0604020202020204" pitchFamily="34" charset="0"/>
            <a:buChar char="•"/>
          </a:pPr>
          <a:r>
            <a:rPr lang="en-GB" sz="700" b="0" i="0"/>
            <a:t>Regulatory shifts and policy changes.</a:t>
          </a:r>
        </a:p>
      </dgm:t>
    </dgm:pt>
    <dgm:pt modelId="{3E1C33B8-05C9-B445-9072-FE73CD0A48FA}" type="parTrans" cxnId="{33E3404C-73EB-6C43-B301-4DFBDEB9D4D0}">
      <dgm:prSet/>
      <dgm:spPr/>
      <dgm:t>
        <a:bodyPr/>
        <a:lstStyle/>
        <a:p>
          <a:endParaRPr lang="en-GB"/>
        </a:p>
      </dgm:t>
    </dgm:pt>
    <dgm:pt modelId="{4DB6C3D1-24F5-0143-BDB0-F84FD5260334}" type="sibTrans" cxnId="{33E3404C-73EB-6C43-B301-4DFBDEB9D4D0}">
      <dgm:prSet/>
      <dgm:spPr/>
      <dgm:t>
        <a:bodyPr/>
        <a:lstStyle/>
        <a:p>
          <a:endParaRPr lang="en-GB"/>
        </a:p>
      </dgm:t>
    </dgm:pt>
    <dgm:pt modelId="{6DD2B72D-EB4D-1F45-B2C5-E4DD3D29266C}">
      <dgm:prSet/>
      <dgm:spPr/>
      <dgm:t>
        <a:bodyPr/>
        <a:lstStyle/>
        <a:p>
          <a:pPr>
            <a:buFont typeface="Arial" panose="020B0604020202020204" pitchFamily="34" charset="0"/>
            <a:buChar char="•"/>
          </a:pPr>
          <a:r>
            <a:rPr lang="en-GB" b="0" i="0"/>
            <a:t>Emphasis on cost-effective pricing structures.</a:t>
          </a:r>
        </a:p>
      </dgm:t>
    </dgm:pt>
    <dgm:pt modelId="{826F36A5-D7CA-5847-8DDD-3C1BA465EBEE}" type="parTrans" cxnId="{40807F39-B74B-B248-BFC8-2E21633B7F71}">
      <dgm:prSet/>
      <dgm:spPr/>
      <dgm:t>
        <a:bodyPr/>
        <a:lstStyle/>
        <a:p>
          <a:endParaRPr lang="en-GB"/>
        </a:p>
      </dgm:t>
    </dgm:pt>
    <dgm:pt modelId="{645CBC91-AD0D-2246-941D-7449853BF561}" type="sibTrans" cxnId="{40807F39-B74B-B248-BFC8-2E21633B7F71}">
      <dgm:prSet/>
      <dgm:spPr/>
      <dgm:t>
        <a:bodyPr/>
        <a:lstStyle/>
        <a:p>
          <a:endParaRPr lang="en-GB"/>
        </a:p>
      </dgm:t>
    </dgm:pt>
    <dgm:pt modelId="{344268CA-C5DC-1A4A-B2A3-4A4512821117}">
      <dgm:prSet/>
      <dgm:spPr/>
      <dgm:t>
        <a:bodyPr/>
        <a:lstStyle/>
        <a:p>
          <a:pPr>
            <a:buFont typeface="Arial" panose="020B0604020202020204" pitchFamily="34" charset="0"/>
            <a:buChar char="•"/>
          </a:pPr>
          <a:r>
            <a:rPr lang="en-GB" b="0" i="0"/>
            <a:t>SSE's established infrastructure and strong market footprint.</a:t>
          </a:r>
        </a:p>
      </dgm:t>
    </dgm:pt>
    <dgm:pt modelId="{93639893-F8F1-7647-90B0-51547B1C6620}" type="parTrans" cxnId="{76E8AFB9-1123-E74E-B6A1-7029E24014CF}">
      <dgm:prSet/>
      <dgm:spPr/>
      <dgm:t>
        <a:bodyPr/>
        <a:lstStyle/>
        <a:p>
          <a:endParaRPr lang="en-GB"/>
        </a:p>
      </dgm:t>
    </dgm:pt>
    <dgm:pt modelId="{CA94C421-C166-F648-94F4-3016B672A5B1}" type="sibTrans" cxnId="{76E8AFB9-1123-E74E-B6A1-7029E24014CF}">
      <dgm:prSet/>
      <dgm:spPr/>
      <dgm:t>
        <a:bodyPr/>
        <a:lstStyle/>
        <a:p>
          <a:endParaRPr lang="en-GB"/>
        </a:p>
      </dgm:t>
    </dgm:pt>
    <dgm:pt modelId="{7C1A7DC6-DAD5-3F44-979E-939226FBED86}">
      <dgm:prSet/>
      <dgm:spPr/>
      <dgm:t>
        <a:bodyPr/>
        <a:lstStyle/>
        <a:p>
          <a:pPr>
            <a:buFont typeface="Arial" panose="020B0604020202020204" pitchFamily="34" charset="0"/>
            <a:buChar char="•"/>
          </a:pPr>
          <a:r>
            <a:rPr lang="en-GB" b="0" i="0"/>
            <a:t>SSE's proven track record in adapting to evolving market dynamics and societal expectations.</a:t>
          </a:r>
        </a:p>
      </dgm:t>
    </dgm:pt>
    <dgm:pt modelId="{CAF5EC74-2290-EE46-A213-F1E7AAA149C4}" type="parTrans" cxnId="{5D61DC0A-9735-C247-9A55-544E9AEB5C4D}">
      <dgm:prSet/>
      <dgm:spPr/>
      <dgm:t>
        <a:bodyPr/>
        <a:lstStyle/>
        <a:p>
          <a:endParaRPr lang="en-GB"/>
        </a:p>
      </dgm:t>
    </dgm:pt>
    <dgm:pt modelId="{F1A5F130-1736-0D4B-ACC4-A83C15901485}" type="sibTrans" cxnId="{5D61DC0A-9735-C247-9A55-544E9AEB5C4D}">
      <dgm:prSet/>
      <dgm:spPr/>
      <dgm:t>
        <a:bodyPr/>
        <a:lstStyle/>
        <a:p>
          <a:endParaRPr lang="en-GB"/>
        </a:p>
      </dgm:t>
    </dgm:pt>
    <dgm:pt modelId="{43BFB19D-605C-2E45-95D8-167D20A6BAF4}">
      <dgm:prSet/>
      <dgm:spPr/>
      <dgm:t>
        <a:bodyPr/>
        <a:lstStyle/>
        <a:p>
          <a:pPr>
            <a:buFont typeface="Arial" panose="020B0604020202020204" pitchFamily="34" charset="0"/>
            <a:buChar char="•"/>
          </a:pPr>
          <a:r>
            <a:rPr lang="en-GB" b="0" i="0"/>
            <a:t>SSE's digital transition may lag behind inherently digital rivals.</a:t>
          </a:r>
        </a:p>
      </dgm:t>
    </dgm:pt>
    <dgm:pt modelId="{3234A8B7-A5F3-D045-9E27-36BAF329982C}" type="parTrans" cxnId="{D60BA2E9-DC83-2743-908A-F8A41D684C27}">
      <dgm:prSet/>
      <dgm:spPr/>
      <dgm:t>
        <a:bodyPr/>
        <a:lstStyle/>
        <a:p>
          <a:endParaRPr lang="en-GB"/>
        </a:p>
      </dgm:t>
    </dgm:pt>
    <dgm:pt modelId="{D294B063-BC21-1C41-A5DA-278F4DFFE22E}" type="sibTrans" cxnId="{D60BA2E9-DC83-2743-908A-F8A41D684C27}">
      <dgm:prSet/>
      <dgm:spPr/>
      <dgm:t>
        <a:bodyPr/>
        <a:lstStyle/>
        <a:p>
          <a:endParaRPr lang="en-GB"/>
        </a:p>
      </dgm:t>
    </dgm:pt>
    <dgm:pt modelId="{2837FFE2-D749-4244-A595-B36124E1BABE}">
      <dgm:prSet custT="1"/>
      <dgm:spPr/>
      <dgm:t>
        <a:bodyPr/>
        <a:lstStyle/>
        <a:p>
          <a:pPr>
            <a:buFont typeface="Arial" panose="020B0604020202020204" pitchFamily="34" charset="0"/>
            <a:buChar char="•"/>
          </a:pPr>
          <a:r>
            <a:rPr lang="en-GB" sz="700" b="0" i="0"/>
            <a:t>Tech innovations like smart grids and IoT enhance service potential.</a:t>
          </a:r>
        </a:p>
      </dgm:t>
    </dgm:pt>
    <dgm:pt modelId="{71782B47-2A63-2543-B361-1E4BD0F13AFC}" type="sibTrans" cxnId="{2E3D04B5-011E-0B45-9698-01FDFD8DE0A2}">
      <dgm:prSet/>
      <dgm:spPr/>
      <dgm:t>
        <a:bodyPr/>
        <a:lstStyle/>
        <a:p>
          <a:endParaRPr lang="en-GB"/>
        </a:p>
      </dgm:t>
    </dgm:pt>
    <dgm:pt modelId="{11BAA219-151E-6E41-B80E-FD6A70EAF573}" type="parTrans" cxnId="{2E3D04B5-011E-0B45-9698-01FDFD8DE0A2}">
      <dgm:prSet/>
      <dgm:spPr/>
      <dgm:t>
        <a:bodyPr/>
        <a:lstStyle/>
        <a:p>
          <a:endParaRPr lang="en-GB"/>
        </a:p>
      </dgm:t>
    </dgm:pt>
    <dgm:pt modelId="{D4B793BF-E490-B647-86DD-876FB68F6A24}">
      <dgm:prSet phldrT="[Text]" custT="1"/>
      <dgm:spPr/>
      <dgm:t>
        <a:bodyPr/>
        <a:lstStyle/>
        <a:p>
          <a:pPr>
            <a:buFont typeface="Arial" panose="020B0604020202020204" pitchFamily="34" charset="0"/>
            <a:buChar char="•"/>
          </a:pPr>
          <a:r>
            <a:rPr lang="en-GB" sz="700" b="0" i="0"/>
            <a:t>Global renewable energy focus boosts new markets.</a:t>
          </a:r>
          <a:endParaRPr lang="en-GB" sz="700"/>
        </a:p>
      </dgm:t>
    </dgm:pt>
    <dgm:pt modelId="{07F11D45-5485-9F4A-A055-BB2AB680E28F}" type="sibTrans" cxnId="{284A047F-EB4A-334A-BFE8-BA7A178E13B9}">
      <dgm:prSet/>
      <dgm:spPr/>
      <dgm:t>
        <a:bodyPr/>
        <a:lstStyle/>
        <a:p>
          <a:endParaRPr lang="en-GB"/>
        </a:p>
      </dgm:t>
    </dgm:pt>
    <dgm:pt modelId="{A8C83E0A-0A3A-774E-87C0-314BCA06822E}" type="parTrans" cxnId="{284A047F-EB4A-334A-BFE8-BA7A178E13B9}">
      <dgm:prSet/>
      <dgm:spPr/>
      <dgm:t>
        <a:bodyPr/>
        <a:lstStyle/>
        <a:p>
          <a:endParaRPr lang="en-GB"/>
        </a:p>
      </dgm:t>
    </dgm:pt>
    <dgm:pt modelId="{86404B18-1682-4249-BF63-51DECFBEA7E7}" type="pres">
      <dgm:prSet presAssocID="{1C5FC53A-09D2-2248-A532-2A08E00210E2}" presName="theList" presStyleCnt="0">
        <dgm:presLayoutVars>
          <dgm:dir/>
          <dgm:animLvl val="lvl"/>
          <dgm:resizeHandles val="exact"/>
        </dgm:presLayoutVars>
      </dgm:prSet>
      <dgm:spPr/>
    </dgm:pt>
    <dgm:pt modelId="{6B19ED71-ED17-574E-B768-ABFA3682DE1C}" type="pres">
      <dgm:prSet presAssocID="{D8D3204D-755D-F14A-86ED-14BECB293A14}" presName="compNode" presStyleCnt="0"/>
      <dgm:spPr/>
    </dgm:pt>
    <dgm:pt modelId="{6F2DDB85-9D50-B24A-BE23-5AF340EE6FE4}" type="pres">
      <dgm:prSet presAssocID="{D8D3204D-755D-F14A-86ED-14BECB293A14}" presName="aNode" presStyleLbl="bgShp" presStyleIdx="0" presStyleCnt="4"/>
      <dgm:spPr/>
    </dgm:pt>
    <dgm:pt modelId="{79BA1CBB-7C6D-8A49-8B65-CDE85CE7B4D6}" type="pres">
      <dgm:prSet presAssocID="{D8D3204D-755D-F14A-86ED-14BECB293A14}" presName="textNode" presStyleLbl="bgShp" presStyleIdx="0" presStyleCnt="4"/>
      <dgm:spPr/>
    </dgm:pt>
    <dgm:pt modelId="{4BE63F1F-7C60-074C-B638-847503688A7C}" type="pres">
      <dgm:prSet presAssocID="{D8D3204D-755D-F14A-86ED-14BECB293A14}" presName="compChildNode" presStyleCnt="0"/>
      <dgm:spPr/>
    </dgm:pt>
    <dgm:pt modelId="{86AB6C59-7207-964F-AFF8-ACAEC061EA76}" type="pres">
      <dgm:prSet presAssocID="{D8D3204D-755D-F14A-86ED-14BECB293A14}" presName="theInnerList" presStyleCnt="0"/>
      <dgm:spPr/>
    </dgm:pt>
    <dgm:pt modelId="{D9F594E7-FF73-724A-94DC-087D9EBE3F66}" type="pres">
      <dgm:prSet presAssocID="{B8488F5B-CFA3-0542-88F5-32794AD65772}" presName="childNode" presStyleLbl="node1" presStyleIdx="0" presStyleCnt="14">
        <dgm:presLayoutVars>
          <dgm:bulletEnabled val="1"/>
        </dgm:presLayoutVars>
      </dgm:prSet>
      <dgm:spPr/>
    </dgm:pt>
    <dgm:pt modelId="{C7564283-EE63-6D46-8C94-2841EDAAD663}" type="pres">
      <dgm:prSet presAssocID="{B8488F5B-CFA3-0542-88F5-32794AD65772}" presName="aSpace2" presStyleCnt="0"/>
      <dgm:spPr/>
    </dgm:pt>
    <dgm:pt modelId="{F2D131F3-8ED1-7749-A8FC-7C68E041E2D2}" type="pres">
      <dgm:prSet presAssocID="{6DD2B72D-EB4D-1F45-B2C5-E4DD3D29266C}" presName="childNode" presStyleLbl="node1" presStyleIdx="1" presStyleCnt="14">
        <dgm:presLayoutVars>
          <dgm:bulletEnabled val="1"/>
        </dgm:presLayoutVars>
      </dgm:prSet>
      <dgm:spPr/>
    </dgm:pt>
    <dgm:pt modelId="{FDA83EA1-0040-C649-9D0E-CE23B6D869DB}" type="pres">
      <dgm:prSet presAssocID="{6DD2B72D-EB4D-1F45-B2C5-E4DD3D29266C}" presName="aSpace2" presStyleCnt="0"/>
      <dgm:spPr/>
    </dgm:pt>
    <dgm:pt modelId="{E0E0AC15-F8D3-4441-84AE-33ABB5BECBD3}" type="pres">
      <dgm:prSet presAssocID="{344268CA-C5DC-1A4A-B2A3-4A4512821117}" presName="childNode" presStyleLbl="node1" presStyleIdx="2" presStyleCnt="14">
        <dgm:presLayoutVars>
          <dgm:bulletEnabled val="1"/>
        </dgm:presLayoutVars>
      </dgm:prSet>
      <dgm:spPr/>
    </dgm:pt>
    <dgm:pt modelId="{3EC2E42B-D4F2-224D-8691-46BDDA17CF20}" type="pres">
      <dgm:prSet presAssocID="{344268CA-C5DC-1A4A-B2A3-4A4512821117}" presName="aSpace2" presStyleCnt="0"/>
      <dgm:spPr/>
    </dgm:pt>
    <dgm:pt modelId="{C92C2508-6110-6449-9A52-97FAE90F267C}" type="pres">
      <dgm:prSet presAssocID="{7C1A7DC6-DAD5-3F44-979E-939226FBED86}" presName="childNode" presStyleLbl="node1" presStyleIdx="3" presStyleCnt="14">
        <dgm:presLayoutVars>
          <dgm:bulletEnabled val="1"/>
        </dgm:presLayoutVars>
      </dgm:prSet>
      <dgm:spPr/>
    </dgm:pt>
    <dgm:pt modelId="{6BBA614D-AA50-044C-9839-F2B5F4BAF0C7}" type="pres">
      <dgm:prSet presAssocID="{D8D3204D-755D-F14A-86ED-14BECB293A14}" presName="aSpace" presStyleCnt="0"/>
      <dgm:spPr/>
    </dgm:pt>
    <dgm:pt modelId="{AC0AA74F-FDF1-C24D-A471-BC7E212B04E6}" type="pres">
      <dgm:prSet presAssocID="{793B1D22-C080-314A-973B-AE20FE9C94E6}" presName="compNode" presStyleCnt="0"/>
      <dgm:spPr/>
    </dgm:pt>
    <dgm:pt modelId="{FC00AD74-D3A5-A84C-95EE-99E4F053DBC1}" type="pres">
      <dgm:prSet presAssocID="{793B1D22-C080-314A-973B-AE20FE9C94E6}" presName="aNode" presStyleLbl="bgShp" presStyleIdx="1" presStyleCnt="4"/>
      <dgm:spPr/>
    </dgm:pt>
    <dgm:pt modelId="{AD7AE279-8F85-1D4E-B341-1F77E1D18F02}" type="pres">
      <dgm:prSet presAssocID="{793B1D22-C080-314A-973B-AE20FE9C94E6}" presName="textNode" presStyleLbl="bgShp" presStyleIdx="1" presStyleCnt="4"/>
      <dgm:spPr/>
    </dgm:pt>
    <dgm:pt modelId="{076D221A-7841-5A4C-8785-62B6062227F8}" type="pres">
      <dgm:prSet presAssocID="{793B1D22-C080-314A-973B-AE20FE9C94E6}" presName="compChildNode" presStyleCnt="0"/>
      <dgm:spPr/>
    </dgm:pt>
    <dgm:pt modelId="{39EFA9D7-ABC0-1244-83D1-23429E9995DC}" type="pres">
      <dgm:prSet presAssocID="{793B1D22-C080-314A-973B-AE20FE9C94E6}" presName="theInnerList" presStyleCnt="0"/>
      <dgm:spPr/>
    </dgm:pt>
    <dgm:pt modelId="{0DEF3024-4C0D-894F-9C99-CD307117C41C}" type="pres">
      <dgm:prSet presAssocID="{FCA494E0-0A73-2148-89A5-233303B8EFB8}" presName="childNode" presStyleLbl="node1" presStyleIdx="4" presStyleCnt="14">
        <dgm:presLayoutVars>
          <dgm:bulletEnabled val="1"/>
        </dgm:presLayoutVars>
      </dgm:prSet>
      <dgm:spPr/>
    </dgm:pt>
    <dgm:pt modelId="{8F174795-952E-5544-B4C8-543DA9EA13BD}" type="pres">
      <dgm:prSet presAssocID="{FCA494E0-0A73-2148-89A5-233303B8EFB8}" presName="aSpace2" presStyleCnt="0"/>
      <dgm:spPr/>
    </dgm:pt>
    <dgm:pt modelId="{9282A7CF-8331-EF4C-835E-E7E087AD1DE2}" type="pres">
      <dgm:prSet presAssocID="{43BFB19D-605C-2E45-95D8-167D20A6BAF4}" presName="childNode" presStyleLbl="node1" presStyleIdx="5" presStyleCnt="14">
        <dgm:presLayoutVars>
          <dgm:bulletEnabled val="1"/>
        </dgm:presLayoutVars>
      </dgm:prSet>
      <dgm:spPr/>
    </dgm:pt>
    <dgm:pt modelId="{58E84078-0392-8649-AAE3-1FC504CE4A30}" type="pres">
      <dgm:prSet presAssocID="{793B1D22-C080-314A-973B-AE20FE9C94E6}" presName="aSpace" presStyleCnt="0"/>
      <dgm:spPr/>
    </dgm:pt>
    <dgm:pt modelId="{05AF3E47-187E-D84F-A22E-FDD18EF6C4B2}" type="pres">
      <dgm:prSet presAssocID="{709CAA80-F98E-8E40-ACD3-30974004321B}" presName="compNode" presStyleCnt="0"/>
      <dgm:spPr/>
    </dgm:pt>
    <dgm:pt modelId="{F84A48E1-A0CD-1C4B-88C6-FC63DE19E086}" type="pres">
      <dgm:prSet presAssocID="{709CAA80-F98E-8E40-ACD3-30974004321B}" presName="aNode" presStyleLbl="bgShp" presStyleIdx="2" presStyleCnt="4"/>
      <dgm:spPr/>
    </dgm:pt>
    <dgm:pt modelId="{94AE575B-14E7-FA43-8BF6-778F35627D47}" type="pres">
      <dgm:prSet presAssocID="{709CAA80-F98E-8E40-ACD3-30974004321B}" presName="textNode" presStyleLbl="bgShp" presStyleIdx="2" presStyleCnt="4"/>
      <dgm:spPr/>
    </dgm:pt>
    <dgm:pt modelId="{806B505B-4810-3D44-9D19-4A36B93F4FB3}" type="pres">
      <dgm:prSet presAssocID="{709CAA80-F98E-8E40-ACD3-30974004321B}" presName="compChildNode" presStyleCnt="0"/>
      <dgm:spPr/>
    </dgm:pt>
    <dgm:pt modelId="{789DC403-D15C-0C4F-92E3-C077816049E9}" type="pres">
      <dgm:prSet presAssocID="{709CAA80-F98E-8E40-ACD3-30974004321B}" presName="theInnerList" presStyleCnt="0"/>
      <dgm:spPr/>
    </dgm:pt>
    <dgm:pt modelId="{D14E1A4B-3AA5-8945-9204-444F469F22AB}" type="pres">
      <dgm:prSet presAssocID="{D4B793BF-E490-B647-86DD-876FB68F6A24}" presName="childNode" presStyleLbl="node1" presStyleIdx="6" presStyleCnt="14">
        <dgm:presLayoutVars>
          <dgm:bulletEnabled val="1"/>
        </dgm:presLayoutVars>
      </dgm:prSet>
      <dgm:spPr/>
    </dgm:pt>
    <dgm:pt modelId="{EF676EDE-6777-224B-9650-46571254A026}" type="pres">
      <dgm:prSet presAssocID="{D4B793BF-E490-B647-86DD-876FB68F6A24}" presName="aSpace2" presStyleCnt="0"/>
      <dgm:spPr/>
    </dgm:pt>
    <dgm:pt modelId="{00AA9C3B-393C-DB4E-8871-CE27C87F6EF5}" type="pres">
      <dgm:prSet presAssocID="{831A104F-A248-0044-81E5-4AB06729506F}" presName="childNode" presStyleLbl="node1" presStyleIdx="7" presStyleCnt="14">
        <dgm:presLayoutVars>
          <dgm:bulletEnabled val="1"/>
        </dgm:presLayoutVars>
      </dgm:prSet>
      <dgm:spPr/>
    </dgm:pt>
    <dgm:pt modelId="{7584A9B7-C1AC-2A44-973E-A4B805E678B4}" type="pres">
      <dgm:prSet presAssocID="{831A104F-A248-0044-81E5-4AB06729506F}" presName="aSpace2" presStyleCnt="0"/>
      <dgm:spPr/>
    </dgm:pt>
    <dgm:pt modelId="{3FCC6EA7-2363-D847-B52D-1AD3DCFFE14A}" type="pres">
      <dgm:prSet presAssocID="{2837FFE2-D749-4244-A595-B36124E1BABE}" presName="childNode" presStyleLbl="node1" presStyleIdx="8" presStyleCnt="14">
        <dgm:presLayoutVars>
          <dgm:bulletEnabled val="1"/>
        </dgm:presLayoutVars>
      </dgm:prSet>
      <dgm:spPr/>
    </dgm:pt>
    <dgm:pt modelId="{841D51B9-E359-2445-B4D3-83EC040DBE60}" type="pres">
      <dgm:prSet presAssocID="{2837FFE2-D749-4244-A595-B36124E1BABE}" presName="aSpace2" presStyleCnt="0"/>
      <dgm:spPr/>
    </dgm:pt>
    <dgm:pt modelId="{E36A19F2-D445-EF41-B4B1-AF82BA97E8B8}" type="pres">
      <dgm:prSet presAssocID="{472B002F-946F-6E49-916E-FDF2544FCC13}" presName="childNode" presStyleLbl="node1" presStyleIdx="9" presStyleCnt="14">
        <dgm:presLayoutVars>
          <dgm:bulletEnabled val="1"/>
        </dgm:presLayoutVars>
      </dgm:prSet>
      <dgm:spPr/>
    </dgm:pt>
    <dgm:pt modelId="{B511CBC9-7672-4F4F-99C4-172A439A42FE}" type="pres">
      <dgm:prSet presAssocID="{709CAA80-F98E-8E40-ACD3-30974004321B}" presName="aSpace" presStyleCnt="0"/>
      <dgm:spPr/>
    </dgm:pt>
    <dgm:pt modelId="{F4524B52-712A-C841-866E-57BD95E8D793}" type="pres">
      <dgm:prSet presAssocID="{A9B7692B-97E4-9342-9F6F-CB2FEB2C81A9}" presName="compNode" presStyleCnt="0"/>
      <dgm:spPr/>
    </dgm:pt>
    <dgm:pt modelId="{75A20B09-D78F-7A40-87B9-54852F63E295}" type="pres">
      <dgm:prSet presAssocID="{A9B7692B-97E4-9342-9F6F-CB2FEB2C81A9}" presName="aNode" presStyleLbl="bgShp" presStyleIdx="3" presStyleCnt="4"/>
      <dgm:spPr/>
    </dgm:pt>
    <dgm:pt modelId="{4D4FE379-9E99-9C4B-9D01-5298760566A1}" type="pres">
      <dgm:prSet presAssocID="{A9B7692B-97E4-9342-9F6F-CB2FEB2C81A9}" presName="textNode" presStyleLbl="bgShp" presStyleIdx="3" presStyleCnt="4"/>
      <dgm:spPr/>
    </dgm:pt>
    <dgm:pt modelId="{FE767328-8DDE-8049-90E1-4619123E319A}" type="pres">
      <dgm:prSet presAssocID="{A9B7692B-97E4-9342-9F6F-CB2FEB2C81A9}" presName="compChildNode" presStyleCnt="0"/>
      <dgm:spPr/>
    </dgm:pt>
    <dgm:pt modelId="{7250039B-C12E-9546-BB6C-EC645ABA453C}" type="pres">
      <dgm:prSet presAssocID="{A9B7692B-97E4-9342-9F6F-CB2FEB2C81A9}" presName="theInnerList" presStyleCnt="0"/>
      <dgm:spPr/>
    </dgm:pt>
    <dgm:pt modelId="{EB40DBC1-F706-864E-908A-1DFB0EEA9DFF}" type="pres">
      <dgm:prSet presAssocID="{6B222057-9C8B-B747-91CE-6DBB39DD35E6}" presName="childNode" presStyleLbl="node1" presStyleIdx="10" presStyleCnt="14">
        <dgm:presLayoutVars>
          <dgm:bulletEnabled val="1"/>
        </dgm:presLayoutVars>
      </dgm:prSet>
      <dgm:spPr/>
    </dgm:pt>
    <dgm:pt modelId="{0B569098-FE10-D942-90A0-4B121004130F}" type="pres">
      <dgm:prSet presAssocID="{6B222057-9C8B-B747-91CE-6DBB39DD35E6}" presName="aSpace2" presStyleCnt="0"/>
      <dgm:spPr/>
    </dgm:pt>
    <dgm:pt modelId="{428124E1-72B9-0242-B48C-8D2E02E77E25}" type="pres">
      <dgm:prSet presAssocID="{5AA4DD24-12EB-3A44-8830-45BF338072C4}" presName="childNode" presStyleLbl="node1" presStyleIdx="11" presStyleCnt="14">
        <dgm:presLayoutVars>
          <dgm:bulletEnabled val="1"/>
        </dgm:presLayoutVars>
      </dgm:prSet>
      <dgm:spPr/>
    </dgm:pt>
    <dgm:pt modelId="{D233EF12-DE5C-1F4B-BF48-7F201CF6D296}" type="pres">
      <dgm:prSet presAssocID="{5AA4DD24-12EB-3A44-8830-45BF338072C4}" presName="aSpace2" presStyleCnt="0"/>
      <dgm:spPr/>
    </dgm:pt>
    <dgm:pt modelId="{DDD08B09-42B0-6245-89FA-AD1ADE3EB545}" type="pres">
      <dgm:prSet presAssocID="{BD1D4BBB-44B6-0244-8EC9-20FA4FF89744}" presName="childNode" presStyleLbl="node1" presStyleIdx="12" presStyleCnt="14">
        <dgm:presLayoutVars>
          <dgm:bulletEnabled val="1"/>
        </dgm:presLayoutVars>
      </dgm:prSet>
      <dgm:spPr/>
    </dgm:pt>
    <dgm:pt modelId="{F6B8DBCD-C67F-C049-BBC3-CFE7F8EF7ACA}" type="pres">
      <dgm:prSet presAssocID="{BD1D4BBB-44B6-0244-8EC9-20FA4FF89744}" presName="aSpace2" presStyleCnt="0"/>
      <dgm:spPr/>
    </dgm:pt>
    <dgm:pt modelId="{9E4B7E54-97FD-2046-A001-F4EF6B3098CD}" type="pres">
      <dgm:prSet presAssocID="{66381326-5F83-214F-9EE4-54A8BE30DA6C}" presName="childNode" presStyleLbl="node1" presStyleIdx="13" presStyleCnt="14">
        <dgm:presLayoutVars>
          <dgm:bulletEnabled val="1"/>
        </dgm:presLayoutVars>
      </dgm:prSet>
      <dgm:spPr/>
    </dgm:pt>
  </dgm:ptLst>
  <dgm:cxnLst>
    <dgm:cxn modelId="{45B22600-7EED-D14F-B989-8BDD4BEDAB2F}" type="presOf" srcId="{831A104F-A248-0044-81E5-4AB06729506F}" destId="{00AA9C3B-393C-DB4E-8871-CE27C87F6EF5}" srcOrd="0" destOrd="0" presId="urn:microsoft.com/office/officeart/2005/8/layout/lProcess2"/>
    <dgm:cxn modelId="{B32C5A03-B5A0-954A-9865-3431EC558CCE}" srcId="{A9B7692B-97E4-9342-9F6F-CB2FEB2C81A9}" destId="{BD1D4BBB-44B6-0244-8EC9-20FA4FF89744}" srcOrd="2" destOrd="0" parTransId="{A653E3FF-244B-3B4F-8368-62279AD29CDB}" sibTransId="{04C0A691-A1E3-9C4E-9334-4A82701DEBAC}"/>
    <dgm:cxn modelId="{D9AB5604-A4C5-6845-93B4-D2950464E284}" srcId="{709CAA80-F98E-8E40-ACD3-30974004321B}" destId="{472B002F-946F-6E49-916E-FDF2544FCC13}" srcOrd="3" destOrd="0" parTransId="{AE6E1CAF-C1C0-3243-9970-95436B6E6D2F}" sibTransId="{5979C045-09C1-674C-A877-B3B828C0ED0E}"/>
    <dgm:cxn modelId="{76ECF506-7904-534F-BFEB-19880634D501}" type="presOf" srcId="{D8D3204D-755D-F14A-86ED-14BECB293A14}" destId="{79BA1CBB-7C6D-8A49-8B65-CDE85CE7B4D6}" srcOrd="1" destOrd="0" presId="urn:microsoft.com/office/officeart/2005/8/layout/lProcess2"/>
    <dgm:cxn modelId="{5D61DC0A-9735-C247-9A55-544E9AEB5C4D}" srcId="{D8D3204D-755D-F14A-86ED-14BECB293A14}" destId="{7C1A7DC6-DAD5-3F44-979E-939226FBED86}" srcOrd="3" destOrd="0" parTransId="{CAF5EC74-2290-EE46-A213-F1E7AAA149C4}" sibTransId="{F1A5F130-1736-0D4B-ACC4-A83C15901485}"/>
    <dgm:cxn modelId="{60F3350C-FCEB-A144-95DE-9D452C44E308}" type="presOf" srcId="{793B1D22-C080-314A-973B-AE20FE9C94E6}" destId="{AD7AE279-8F85-1D4E-B341-1F77E1D18F02}" srcOrd="1" destOrd="0" presId="urn:microsoft.com/office/officeart/2005/8/layout/lProcess2"/>
    <dgm:cxn modelId="{22C2450C-F13C-7140-8303-A87B664F118D}" srcId="{1C5FC53A-09D2-2248-A532-2A08E00210E2}" destId="{793B1D22-C080-314A-973B-AE20FE9C94E6}" srcOrd="1" destOrd="0" parTransId="{0D5A99A6-760F-4545-A20C-921992B4DAD1}" sibTransId="{D184D61C-9031-A740-89FD-4C3F9197E184}"/>
    <dgm:cxn modelId="{B821170F-132D-D74D-B5BB-A7266619B02D}" srcId="{A9B7692B-97E4-9342-9F6F-CB2FEB2C81A9}" destId="{5AA4DD24-12EB-3A44-8830-45BF338072C4}" srcOrd="1" destOrd="0" parTransId="{8CD62ECB-447C-6F44-BE48-B712DC103B83}" sibTransId="{329862A8-BC51-2D44-B678-64228467FFD3}"/>
    <dgm:cxn modelId="{7B25F20F-BA4A-114A-B6B4-1B13EB437883}" type="presOf" srcId="{FCA494E0-0A73-2148-89A5-233303B8EFB8}" destId="{0DEF3024-4C0D-894F-9C99-CD307117C41C}" srcOrd="0" destOrd="0" presId="urn:microsoft.com/office/officeart/2005/8/layout/lProcess2"/>
    <dgm:cxn modelId="{5CC6F010-EE98-A645-BD70-7CFE536EDE85}" type="presOf" srcId="{B8488F5B-CFA3-0542-88F5-32794AD65772}" destId="{D9F594E7-FF73-724A-94DC-087D9EBE3F66}" srcOrd="0" destOrd="0" presId="urn:microsoft.com/office/officeart/2005/8/layout/lProcess2"/>
    <dgm:cxn modelId="{8116FA2C-E3F4-5D41-9D10-CB462BD61281}" type="presOf" srcId="{709CAA80-F98E-8E40-ACD3-30974004321B}" destId="{F84A48E1-A0CD-1C4B-88C6-FC63DE19E086}" srcOrd="0" destOrd="0" presId="urn:microsoft.com/office/officeart/2005/8/layout/lProcess2"/>
    <dgm:cxn modelId="{7BC3A436-00A3-A64F-AAFE-76B2D0FFEF01}" type="presOf" srcId="{7C1A7DC6-DAD5-3F44-979E-939226FBED86}" destId="{C92C2508-6110-6449-9A52-97FAE90F267C}" srcOrd="0" destOrd="0" presId="urn:microsoft.com/office/officeart/2005/8/layout/lProcess2"/>
    <dgm:cxn modelId="{B80B2C37-D16F-884C-A378-2037BF065E7A}" type="presOf" srcId="{BD1D4BBB-44B6-0244-8EC9-20FA4FF89744}" destId="{DDD08B09-42B0-6245-89FA-AD1ADE3EB545}" srcOrd="0" destOrd="0" presId="urn:microsoft.com/office/officeart/2005/8/layout/lProcess2"/>
    <dgm:cxn modelId="{40807F39-B74B-B248-BFC8-2E21633B7F71}" srcId="{D8D3204D-755D-F14A-86ED-14BECB293A14}" destId="{6DD2B72D-EB4D-1F45-B2C5-E4DD3D29266C}" srcOrd="1" destOrd="0" parTransId="{826F36A5-D7CA-5847-8DDD-3C1BA465EBEE}" sibTransId="{645CBC91-AD0D-2246-941D-7449853BF561}"/>
    <dgm:cxn modelId="{A7E6AB42-3474-3E41-8128-A535129802ED}" type="presOf" srcId="{A9B7692B-97E4-9342-9F6F-CB2FEB2C81A9}" destId="{75A20B09-D78F-7A40-87B9-54852F63E295}" srcOrd="0" destOrd="0" presId="urn:microsoft.com/office/officeart/2005/8/layout/lProcess2"/>
    <dgm:cxn modelId="{33E3404C-73EB-6C43-B301-4DFBDEB9D4D0}" srcId="{A9B7692B-97E4-9342-9F6F-CB2FEB2C81A9}" destId="{66381326-5F83-214F-9EE4-54A8BE30DA6C}" srcOrd="3" destOrd="0" parTransId="{3E1C33B8-05C9-B445-9072-FE73CD0A48FA}" sibTransId="{4DB6C3D1-24F5-0143-BDB0-F84FD5260334}"/>
    <dgm:cxn modelId="{A7C96E4F-24B4-2744-A121-22DB094AACFD}" type="presOf" srcId="{5AA4DD24-12EB-3A44-8830-45BF338072C4}" destId="{428124E1-72B9-0242-B48C-8D2E02E77E25}" srcOrd="0" destOrd="0" presId="urn:microsoft.com/office/officeart/2005/8/layout/lProcess2"/>
    <dgm:cxn modelId="{008D705A-ED47-5846-A588-99F076219E36}" type="presOf" srcId="{D8D3204D-755D-F14A-86ED-14BECB293A14}" destId="{6F2DDB85-9D50-B24A-BE23-5AF340EE6FE4}" srcOrd="0" destOrd="0" presId="urn:microsoft.com/office/officeart/2005/8/layout/lProcess2"/>
    <dgm:cxn modelId="{97BA1364-F04E-A44E-A69F-908C6BDA9E56}" type="presOf" srcId="{793B1D22-C080-314A-973B-AE20FE9C94E6}" destId="{FC00AD74-D3A5-A84C-95EE-99E4F053DBC1}" srcOrd="0" destOrd="0" presId="urn:microsoft.com/office/officeart/2005/8/layout/lProcess2"/>
    <dgm:cxn modelId="{C356C964-6E3E-EC45-94C6-7E6BE9A1EFA5}" srcId="{D8D3204D-755D-F14A-86ED-14BECB293A14}" destId="{B8488F5B-CFA3-0542-88F5-32794AD65772}" srcOrd="0" destOrd="0" parTransId="{FDAF522D-5532-2147-893C-CB1927F066C3}" sibTransId="{00E7BDAF-9F7E-5945-9B60-24BC3D8FA45D}"/>
    <dgm:cxn modelId="{ECA5D56B-26EF-814E-9785-E6A26703339A}" srcId="{1C5FC53A-09D2-2248-A532-2A08E00210E2}" destId="{709CAA80-F98E-8E40-ACD3-30974004321B}" srcOrd="2" destOrd="0" parTransId="{89673547-9A78-1743-92B6-537CA6D20122}" sibTransId="{A82977D6-8D99-C14E-8A2C-71E4699A88C2}"/>
    <dgm:cxn modelId="{284A047F-EB4A-334A-BFE8-BA7A178E13B9}" srcId="{709CAA80-F98E-8E40-ACD3-30974004321B}" destId="{D4B793BF-E490-B647-86DD-876FB68F6A24}" srcOrd="0" destOrd="0" parTransId="{A8C83E0A-0A3A-774E-87C0-314BCA06822E}" sibTransId="{07F11D45-5485-9F4A-A055-BB2AB680E28F}"/>
    <dgm:cxn modelId="{BF7B0F81-5DB5-F943-A15A-A506C5F3FA92}" type="presOf" srcId="{1C5FC53A-09D2-2248-A532-2A08E00210E2}" destId="{86404B18-1682-4249-BF63-51DECFBEA7E7}" srcOrd="0" destOrd="0" presId="urn:microsoft.com/office/officeart/2005/8/layout/lProcess2"/>
    <dgm:cxn modelId="{1D48EF9A-5F14-EA4B-8042-B4636C86F7BA}" srcId="{1C5FC53A-09D2-2248-A532-2A08E00210E2}" destId="{A9B7692B-97E4-9342-9F6F-CB2FEB2C81A9}" srcOrd="3" destOrd="0" parTransId="{B4DB7BC9-69BA-E145-89F4-BA3FC201697B}" sibTransId="{A1F7C4F6-D096-1440-92D2-09D5CF7C3CD2}"/>
    <dgm:cxn modelId="{904C489B-E9F5-6745-AE6A-DC17996C6A32}" srcId="{1C5FC53A-09D2-2248-A532-2A08E00210E2}" destId="{D8D3204D-755D-F14A-86ED-14BECB293A14}" srcOrd="0" destOrd="0" parTransId="{652CB4BC-7F66-2A47-B05B-5A675AACFF91}" sibTransId="{1516D0B1-7ADC-E14E-B863-BBF822671CD2}"/>
    <dgm:cxn modelId="{B534D1A1-F400-6C42-93E6-240052CB55D0}" type="presOf" srcId="{6DD2B72D-EB4D-1F45-B2C5-E4DD3D29266C}" destId="{F2D131F3-8ED1-7749-A8FC-7C68E041E2D2}" srcOrd="0" destOrd="0" presId="urn:microsoft.com/office/officeart/2005/8/layout/lProcess2"/>
    <dgm:cxn modelId="{621BCEB2-DE55-1848-9373-F89C13BDE06B}" srcId="{709CAA80-F98E-8E40-ACD3-30974004321B}" destId="{831A104F-A248-0044-81E5-4AB06729506F}" srcOrd="1" destOrd="0" parTransId="{0226DB91-0954-9049-B9B5-217233C23335}" sibTransId="{251F71F8-EA5A-684D-BBF9-8CEE478970E0}"/>
    <dgm:cxn modelId="{2E3D04B5-011E-0B45-9698-01FDFD8DE0A2}" srcId="{709CAA80-F98E-8E40-ACD3-30974004321B}" destId="{2837FFE2-D749-4244-A595-B36124E1BABE}" srcOrd="2" destOrd="0" parTransId="{11BAA219-151E-6E41-B80E-FD6A70EAF573}" sibTransId="{71782B47-2A63-2543-B361-1E4BD0F13AFC}"/>
    <dgm:cxn modelId="{76E8AFB9-1123-E74E-B6A1-7029E24014CF}" srcId="{D8D3204D-755D-F14A-86ED-14BECB293A14}" destId="{344268CA-C5DC-1A4A-B2A3-4A4512821117}" srcOrd="2" destOrd="0" parTransId="{93639893-F8F1-7647-90B0-51547B1C6620}" sibTransId="{CA94C421-C166-F648-94F4-3016B672A5B1}"/>
    <dgm:cxn modelId="{D3607FCA-9124-A242-A665-1F4F7BDED54C}" type="presOf" srcId="{709CAA80-F98E-8E40-ACD3-30974004321B}" destId="{94AE575B-14E7-FA43-8BF6-778F35627D47}" srcOrd="1" destOrd="0" presId="urn:microsoft.com/office/officeart/2005/8/layout/lProcess2"/>
    <dgm:cxn modelId="{1E88ABD2-87AC-BF40-A4E9-9FA58354340F}" type="presOf" srcId="{2837FFE2-D749-4244-A595-B36124E1BABE}" destId="{3FCC6EA7-2363-D847-B52D-1AD3DCFFE14A}" srcOrd="0" destOrd="0" presId="urn:microsoft.com/office/officeart/2005/8/layout/lProcess2"/>
    <dgm:cxn modelId="{7271CFD2-1174-3748-BA8B-09E36E54518A}" type="presOf" srcId="{A9B7692B-97E4-9342-9F6F-CB2FEB2C81A9}" destId="{4D4FE379-9E99-9C4B-9D01-5298760566A1}" srcOrd="1" destOrd="0" presId="urn:microsoft.com/office/officeart/2005/8/layout/lProcess2"/>
    <dgm:cxn modelId="{8C0449DF-D51F-7F4C-91F2-EDFB076F5A19}" srcId="{793B1D22-C080-314A-973B-AE20FE9C94E6}" destId="{FCA494E0-0A73-2148-89A5-233303B8EFB8}" srcOrd="0" destOrd="0" parTransId="{34633CAE-3DA2-A54A-8337-2421BCF9A7FE}" sibTransId="{4F1A20AF-581A-7145-B7B2-49A376197442}"/>
    <dgm:cxn modelId="{4F1C93E1-C542-754D-918F-D9D2EB1EB216}" srcId="{A9B7692B-97E4-9342-9F6F-CB2FEB2C81A9}" destId="{6B222057-9C8B-B747-91CE-6DBB39DD35E6}" srcOrd="0" destOrd="0" parTransId="{1D90FCF5-F683-9748-A1A1-B34FECC70C16}" sibTransId="{C3B1AD30-55E4-5C40-A5C4-B70DE98284C9}"/>
    <dgm:cxn modelId="{247D4DE2-59D2-7A4F-B935-8597966788DB}" type="presOf" srcId="{66381326-5F83-214F-9EE4-54A8BE30DA6C}" destId="{9E4B7E54-97FD-2046-A001-F4EF6B3098CD}" srcOrd="0" destOrd="0" presId="urn:microsoft.com/office/officeart/2005/8/layout/lProcess2"/>
    <dgm:cxn modelId="{D60BA2E9-DC83-2743-908A-F8A41D684C27}" srcId="{793B1D22-C080-314A-973B-AE20FE9C94E6}" destId="{43BFB19D-605C-2E45-95D8-167D20A6BAF4}" srcOrd="1" destOrd="0" parTransId="{3234A8B7-A5F3-D045-9E27-36BAF329982C}" sibTransId="{D294B063-BC21-1C41-A5DA-278F4DFFE22E}"/>
    <dgm:cxn modelId="{0EEC4EEC-1C76-DD45-9726-8404FC3C18B8}" type="presOf" srcId="{472B002F-946F-6E49-916E-FDF2544FCC13}" destId="{E36A19F2-D445-EF41-B4B1-AF82BA97E8B8}" srcOrd="0" destOrd="0" presId="urn:microsoft.com/office/officeart/2005/8/layout/lProcess2"/>
    <dgm:cxn modelId="{75CF65EC-AF20-0448-8660-3074F850FB07}" type="presOf" srcId="{43BFB19D-605C-2E45-95D8-167D20A6BAF4}" destId="{9282A7CF-8331-EF4C-835E-E7E087AD1DE2}" srcOrd="0" destOrd="0" presId="urn:microsoft.com/office/officeart/2005/8/layout/lProcess2"/>
    <dgm:cxn modelId="{DAF4FCEC-08F8-EF40-AF1D-374A818CC71F}" type="presOf" srcId="{6B222057-9C8B-B747-91CE-6DBB39DD35E6}" destId="{EB40DBC1-F706-864E-908A-1DFB0EEA9DFF}" srcOrd="0" destOrd="0" presId="urn:microsoft.com/office/officeart/2005/8/layout/lProcess2"/>
    <dgm:cxn modelId="{9F33D5EF-84B4-E543-946B-CD54A1C274C6}" type="presOf" srcId="{D4B793BF-E490-B647-86DD-876FB68F6A24}" destId="{D14E1A4B-3AA5-8945-9204-444F469F22AB}" srcOrd="0" destOrd="0" presId="urn:microsoft.com/office/officeart/2005/8/layout/lProcess2"/>
    <dgm:cxn modelId="{C58F1FF4-DE1E-894B-855B-8857FABF3DED}" type="presOf" srcId="{344268CA-C5DC-1A4A-B2A3-4A4512821117}" destId="{E0E0AC15-F8D3-4441-84AE-33ABB5BECBD3}" srcOrd="0" destOrd="0" presId="urn:microsoft.com/office/officeart/2005/8/layout/lProcess2"/>
    <dgm:cxn modelId="{D3495E92-D4C7-8C49-ABFF-063EBD6228E2}" type="presParOf" srcId="{86404B18-1682-4249-BF63-51DECFBEA7E7}" destId="{6B19ED71-ED17-574E-B768-ABFA3682DE1C}" srcOrd="0" destOrd="0" presId="urn:microsoft.com/office/officeart/2005/8/layout/lProcess2"/>
    <dgm:cxn modelId="{79C0F116-F1B5-B741-AA4C-0F25BB0A310B}" type="presParOf" srcId="{6B19ED71-ED17-574E-B768-ABFA3682DE1C}" destId="{6F2DDB85-9D50-B24A-BE23-5AF340EE6FE4}" srcOrd="0" destOrd="0" presId="urn:microsoft.com/office/officeart/2005/8/layout/lProcess2"/>
    <dgm:cxn modelId="{696A2049-B925-174A-A249-8F03CA14E347}" type="presParOf" srcId="{6B19ED71-ED17-574E-B768-ABFA3682DE1C}" destId="{79BA1CBB-7C6D-8A49-8B65-CDE85CE7B4D6}" srcOrd="1" destOrd="0" presId="urn:microsoft.com/office/officeart/2005/8/layout/lProcess2"/>
    <dgm:cxn modelId="{FE8C94B1-3835-CC40-953D-35E8CCA06412}" type="presParOf" srcId="{6B19ED71-ED17-574E-B768-ABFA3682DE1C}" destId="{4BE63F1F-7C60-074C-B638-847503688A7C}" srcOrd="2" destOrd="0" presId="urn:microsoft.com/office/officeart/2005/8/layout/lProcess2"/>
    <dgm:cxn modelId="{BA7A7CFB-B104-C348-BAD9-C322D673260A}" type="presParOf" srcId="{4BE63F1F-7C60-074C-B638-847503688A7C}" destId="{86AB6C59-7207-964F-AFF8-ACAEC061EA76}" srcOrd="0" destOrd="0" presId="urn:microsoft.com/office/officeart/2005/8/layout/lProcess2"/>
    <dgm:cxn modelId="{EA4197D5-454B-704F-B787-78CD04E5ABAC}" type="presParOf" srcId="{86AB6C59-7207-964F-AFF8-ACAEC061EA76}" destId="{D9F594E7-FF73-724A-94DC-087D9EBE3F66}" srcOrd="0" destOrd="0" presId="urn:microsoft.com/office/officeart/2005/8/layout/lProcess2"/>
    <dgm:cxn modelId="{F6B89C7F-6BEA-2642-96A8-BEDAF4C351C5}" type="presParOf" srcId="{86AB6C59-7207-964F-AFF8-ACAEC061EA76}" destId="{C7564283-EE63-6D46-8C94-2841EDAAD663}" srcOrd="1" destOrd="0" presId="urn:microsoft.com/office/officeart/2005/8/layout/lProcess2"/>
    <dgm:cxn modelId="{537BE71E-DF1E-044B-AFFE-18062E876FC3}" type="presParOf" srcId="{86AB6C59-7207-964F-AFF8-ACAEC061EA76}" destId="{F2D131F3-8ED1-7749-A8FC-7C68E041E2D2}" srcOrd="2" destOrd="0" presId="urn:microsoft.com/office/officeart/2005/8/layout/lProcess2"/>
    <dgm:cxn modelId="{E009935A-F21B-D841-BBD3-AE21EF5EEDC5}" type="presParOf" srcId="{86AB6C59-7207-964F-AFF8-ACAEC061EA76}" destId="{FDA83EA1-0040-C649-9D0E-CE23B6D869DB}" srcOrd="3" destOrd="0" presId="urn:microsoft.com/office/officeart/2005/8/layout/lProcess2"/>
    <dgm:cxn modelId="{5F1584D3-C064-1C4A-8862-6B4D437E6770}" type="presParOf" srcId="{86AB6C59-7207-964F-AFF8-ACAEC061EA76}" destId="{E0E0AC15-F8D3-4441-84AE-33ABB5BECBD3}" srcOrd="4" destOrd="0" presId="urn:microsoft.com/office/officeart/2005/8/layout/lProcess2"/>
    <dgm:cxn modelId="{4647D2B2-68E4-3D44-9A25-011249034E3C}" type="presParOf" srcId="{86AB6C59-7207-964F-AFF8-ACAEC061EA76}" destId="{3EC2E42B-D4F2-224D-8691-46BDDA17CF20}" srcOrd="5" destOrd="0" presId="urn:microsoft.com/office/officeart/2005/8/layout/lProcess2"/>
    <dgm:cxn modelId="{D93D84A5-2ECF-4D47-A212-886E9CE20696}" type="presParOf" srcId="{86AB6C59-7207-964F-AFF8-ACAEC061EA76}" destId="{C92C2508-6110-6449-9A52-97FAE90F267C}" srcOrd="6" destOrd="0" presId="urn:microsoft.com/office/officeart/2005/8/layout/lProcess2"/>
    <dgm:cxn modelId="{E7C35123-7FD2-134C-8D56-908BACBBFA78}" type="presParOf" srcId="{86404B18-1682-4249-BF63-51DECFBEA7E7}" destId="{6BBA614D-AA50-044C-9839-F2B5F4BAF0C7}" srcOrd="1" destOrd="0" presId="urn:microsoft.com/office/officeart/2005/8/layout/lProcess2"/>
    <dgm:cxn modelId="{64DAFBAA-22BC-4147-9A39-F0A706D37BDE}" type="presParOf" srcId="{86404B18-1682-4249-BF63-51DECFBEA7E7}" destId="{AC0AA74F-FDF1-C24D-A471-BC7E212B04E6}" srcOrd="2" destOrd="0" presId="urn:microsoft.com/office/officeart/2005/8/layout/lProcess2"/>
    <dgm:cxn modelId="{EAC6AB5C-ACAB-D24C-BB9A-74183CD2062C}" type="presParOf" srcId="{AC0AA74F-FDF1-C24D-A471-BC7E212B04E6}" destId="{FC00AD74-D3A5-A84C-95EE-99E4F053DBC1}" srcOrd="0" destOrd="0" presId="urn:microsoft.com/office/officeart/2005/8/layout/lProcess2"/>
    <dgm:cxn modelId="{B7F9969F-51D7-234F-823C-8B04EE88BBAD}" type="presParOf" srcId="{AC0AA74F-FDF1-C24D-A471-BC7E212B04E6}" destId="{AD7AE279-8F85-1D4E-B341-1F77E1D18F02}" srcOrd="1" destOrd="0" presId="urn:microsoft.com/office/officeart/2005/8/layout/lProcess2"/>
    <dgm:cxn modelId="{AFE24338-EC14-A044-B496-BD359AD4BEEB}" type="presParOf" srcId="{AC0AA74F-FDF1-C24D-A471-BC7E212B04E6}" destId="{076D221A-7841-5A4C-8785-62B6062227F8}" srcOrd="2" destOrd="0" presId="urn:microsoft.com/office/officeart/2005/8/layout/lProcess2"/>
    <dgm:cxn modelId="{98EB5318-1158-AC4C-B6C1-BA51C0D7B0AC}" type="presParOf" srcId="{076D221A-7841-5A4C-8785-62B6062227F8}" destId="{39EFA9D7-ABC0-1244-83D1-23429E9995DC}" srcOrd="0" destOrd="0" presId="urn:microsoft.com/office/officeart/2005/8/layout/lProcess2"/>
    <dgm:cxn modelId="{CADFA0BF-11DE-E64D-A301-2EDDC6261C5E}" type="presParOf" srcId="{39EFA9D7-ABC0-1244-83D1-23429E9995DC}" destId="{0DEF3024-4C0D-894F-9C99-CD307117C41C}" srcOrd="0" destOrd="0" presId="urn:microsoft.com/office/officeart/2005/8/layout/lProcess2"/>
    <dgm:cxn modelId="{6DFB6978-3545-6643-8339-BBB03D8CA748}" type="presParOf" srcId="{39EFA9D7-ABC0-1244-83D1-23429E9995DC}" destId="{8F174795-952E-5544-B4C8-543DA9EA13BD}" srcOrd="1" destOrd="0" presId="urn:microsoft.com/office/officeart/2005/8/layout/lProcess2"/>
    <dgm:cxn modelId="{CD1BE815-AC14-BC45-8EFA-5BE531FDDFF8}" type="presParOf" srcId="{39EFA9D7-ABC0-1244-83D1-23429E9995DC}" destId="{9282A7CF-8331-EF4C-835E-E7E087AD1DE2}" srcOrd="2" destOrd="0" presId="urn:microsoft.com/office/officeart/2005/8/layout/lProcess2"/>
    <dgm:cxn modelId="{FEE1188C-4052-B440-BB00-5E973AF57802}" type="presParOf" srcId="{86404B18-1682-4249-BF63-51DECFBEA7E7}" destId="{58E84078-0392-8649-AAE3-1FC504CE4A30}" srcOrd="3" destOrd="0" presId="urn:microsoft.com/office/officeart/2005/8/layout/lProcess2"/>
    <dgm:cxn modelId="{17752744-C87D-F045-B0E5-4812A64A287D}" type="presParOf" srcId="{86404B18-1682-4249-BF63-51DECFBEA7E7}" destId="{05AF3E47-187E-D84F-A22E-FDD18EF6C4B2}" srcOrd="4" destOrd="0" presId="urn:microsoft.com/office/officeart/2005/8/layout/lProcess2"/>
    <dgm:cxn modelId="{526EC264-59CF-7742-B87C-9636DEA76586}" type="presParOf" srcId="{05AF3E47-187E-D84F-A22E-FDD18EF6C4B2}" destId="{F84A48E1-A0CD-1C4B-88C6-FC63DE19E086}" srcOrd="0" destOrd="0" presId="urn:microsoft.com/office/officeart/2005/8/layout/lProcess2"/>
    <dgm:cxn modelId="{3DFFDA7F-D46B-2F47-AB75-DF4426C8CCF3}" type="presParOf" srcId="{05AF3E47-187E-D84F-A22E-FDD18EF6C4B2}" destId="{94AE575B-14E7-FA43-8BF6-778F35627D47}" srcOrd="1" destOrd="0" presId="urn:microsoft.com/office/officeart/2005/8/layout/lProcess2"/>
    <dgm:cxn modelId="{014A1B96-AD42-724B-9976-CE55527DF6FB}" type="presParOf" srcId="{05AF3E47-187E-D84F-A22E-FDD18EF6C4B2}" destId="{806B505B-4810-3D44-9D19-4A36B93F4FB3}" srcOrd="2" destOrd="0" presId="urn:microsoft.com/office/officeart/2005/8/layout/lProcess2"/>
    <dgm:cxn modelId="{393727C1-FAE9-9E4A-8CB1-3A7AD5644D18}" type="presParOf" srcId="{806B505B-4810-3D44-9D19-4A36B93F4FB3}" destId="{789DC403-D15C-0C4F-92E3-C077816049E9}" srcOrd="0" destOrd="0" presId="urn:microsoft.com/office/officeart/2005/8/layout/lProcess2"/>
    <dgm:cxn modelId="{6023E174-C1E9-F441-B455-3D9C47B8B676}" type="presParOf" srcId="{789DC403-D15C-0C4F-92E3-C077816049E9}" destId="{D14E1A4B-3AA5-8945-9204-444F469F22AB}" srcOrd="0" destOrd="0" presId="urn:microsoft.com/office/officeart/2005/8/layout/lProcess2"/>
    <dgm:cxn modelId="{2975EFD4-CBAA-9544-8181-1006849D7F67}" type="presParOf" srcId="{789DC403-D15C-0C4F-92E3-C077816049E9}" destId="{EF676EDE-6777-224B-9650-46571254A026}" srcOrd="1" destOrd="0" presId="urn:microsoft.com/office/officeart/2005/8/layout/lProcess2"/>
    <dgm:cxn modelId="{37A64FF3-2D25-B947-8387-AD48402A87AC}" type="presParOf" srcId="{789DC403-D15C-0C4F-92E3-C077816049E9}" destId="{00AA9C3B-393C-DB4E-8871-CE27C87F6EF5}" srcOrd="2" destOrd="0" presId="urn:microsoft.com/office/officeart/2005/8/layout/lProcess2"/>
    <dgm:cxn modelId="{807F924E-38A2-974E-A78B-6E00383BA7BB}" type="presParOf" srcId="{789DC403-D15C-0C4F-92E3-C077816049E9}" destId="{7584A9B7-C1AC-2A44-973E-A4B805E678B4}" srcOrd="3" destOrd="0" presId="urn:microsoft.com/office/officeart/2005/8/layout/lProcess2"/>
    <dgm:cxn modelId="{FD627C5B-3204-9540-B398-0EA2BB38C357}" type="presParOf" srcId="{789DC403-D15C-0C4F-92E3-C077816049E9}" destId="{3FCC6EA7-2363-D847-B52D-1AD3DCFFE14A}" srcOrd="4" destOrd="0" presId="urn:microsoft.com/office/officeart/2005/8/layout/lProcess2"/>
    <dgm:cxn modelId="{F75C0A5F-75EA-7149-9BE4-52B7C1EC85E0}" type="presParOf" srcId="{789DC403-D15C-0C4F-92E3-C077816049E9}" destId="{841D51B9-E359-2445-B4D3-83EC040DBE60}" srcOrd="5" destOrd="0" presId="urn:microsoft.com/office/officeart/2005/8/layout/lProcess2"/>
    <dgm:cxn modelId="{0D7D4F8D-ED1F-7742-8419-E4E16A503E29}" type="presParOf" srcId="{789DC403-D15C-0C4F-92E3-C077816049E9}" destId="{E36A19F2-D445-EF41-B4B1-AF82BA97E8B8}" srcOrd="6" destOrd="0" presId="urn:microsoft.com/office/officeart/2005/8/layout/lProcess2"/>
    <dgm:cxn modelId="{148A212F-6868-4C4D-B9EC-63C83D449715}" type="presParOf" srcId="{86404B18-1682-4249-BF63-51DECFBEA7E7}" destId="{B511CBC9-7672-4F4F-99C4-172A439A42FE}" srcOrd="5" destOrd="0" presId="urn:microsoft.com/office/officeart/2005/8/layout/lProcess2"/>
    <dgm:cxn modelId="{84DC92FA-6471-FF48-8116-F1095790E412}" type="presParOf" srcId="{86404B18-1682-4249-BF63-51DECFBEA7E7}" destId="{F4524B52-712A-C841-866E-57BD95E8D793}" srcOrd="6" destOrd="0" presId="urn:microsoft.com/office/officeart/2005/8/layout/lProcess2"/>
    <dgm:cxn modelId="{81C621CD-513D-7647-8F3F-AB62F4F9952E}" type="presParOf" srcId="{F4524B52-712A-C841-866E-57BD95E8D793}" destId="{75A20B09-D78F-7A40-87B9-54852F63E295}" srcOrd="0" destOrd="0" presId="urn:microsoft.com/office/officeart/2005/8/layout/lProcess2"/>
    <dgm:cxn modelId="{D8E33804-953E-834E-B226-B4A7859AC517}" type="presParOf" srcId="{F4524B52-712A-C841-866E-57BD95E8D793}" destId="{4D4FE379-9E99-9C4B-9D01-5298760566A1}" srcOrd="1" destOrd="0" presId="urn:microsoft.com/office/officeart/2005/8/layout/lProcess2"/>
    <dgm:cxn modelId="{D998768F-51AE-9A47-B7F8-58A775B4603E}" type="presParOf" srcId="{F4524B52-712A-C841-866E-57BD95E8D793}" destId="{FE767328-8DDE-8049-90E1-4619123E319A}" srcOrd="2" destOrd="0" presId="urn:microsoft.com/office/officeart/2005/8/layout/lProcess2"/>
    <dgm:cxn modelId="{B5EA9CC7-D2AF-BB43-91C8-175F1F534DD6}" type="presParOf" srcId="{FE767328-8DDE-8049-90E1-4619123E319A}" destId="{7250039B-C12E-9546-BB6C-EC645ABA453C}" srcOrd="0" destOrd="0" presId="urn:microsoft.com/office/officeart/2005/8/layout/lProcess2"/>
    <dgm:cxn modelId="{1A0E66B6-6D6D-514F-B839-803AB8DAFEA6}" type="presParOf" srcId="{7250039B-C12E-9546-BB6C-EC645ABA453C}" destId="{EB40DBC1-F706-864E-908A-1DFB0EEA9DFF}" srcOrd="0" destOrd="0" presId="urn:microsoft.com/office/officeart/2005/8/layout/lProcess2"/>
    <dgm:cxn modelId="{1F319336-A05A-BF42-AEB2-A1046868CBE7}" type="presParOf" srcId="{7250039B-C12E-9546-BB6C-EC645ABA453C}" destId="{0B569098-FE10-D942-90A0-4B121004130F}" srcOrd="1" destOrd="0" presId="urn:microsoft.com/office/officeart/2005/8/layout/lProcess2"/>
    <dgm:cxn modelId="{90830401-3A02-C043-A459-B0E584532C4D}" type="presParOf" srcId="{7250039B-C12E-9546-BB6C-EC645ABA453C}" destId="{428124E1-72B9-0242-B48C-8D2E02E77E25}" srcOrd="2" destOrd="0" presId="urn:microsoft.com/office/officeart/2005/8/layout/lProcess2"/>
    <dgm:cxn modelId="{3C88A4C4-6184-114F-8F33-F5EF31399A19}" type="presParOf" srcId="{7250039B-C12E-9546-BB6C-EC645ABA453C}" destId="{D233EF12-DE5C-1F4B-BF48-7F201CF6D296}" srcOrd="3" destOrd="0" presId="urn:microsoft.com/office/officeart/2005/8/layout/lProcess2"/>
    <dgm:cxn modelId="{C9567EBD-08FC-FB4B-8A99-ADA09F4CE733}" type="presParOf" srcId="{7250039B-C12E-9546-BB6C-EC645ABA453C}" destId="{DDD08B09-42B0-6245-89FA-AD1ADE3EB545}" srcOrd="4" destOrd="0" presId="urn:microsoft.com/office/officeart/2005/8/layout/lProcess2"/>
    <dgm:cxn modelId="{D7461DAC-BE72-F441-A159-FCBDF7999BD6}" type="presParOf" srcId="{7250039B-C12E-9546-BB6C-EC645ABA453C}" destId="{F6B8DBCD-C67F-C049-BBC3-CFE7F8EF7ACA}" srcOrd="5" destOrd="0" presId="urn:microsoft.com/office/officeart/2005/8/layout/lProcess2"/>
    <dgm:cxn modelId="{D7A2D347-C82E-E445-8199-32E39B4B3F7A}" type="presParOf" srcId="{7250039B-C12E-9546-BB6C-EC645ABA453C}" destId="{9E4B7E54-97FD-2046-A001-F4EF6B3098CD}" srcOrd="6" destOrd="0" presId="urn:microsoft.com/office/officeart/2005/8/layout/lProcess2"/>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8DECE9-DC4E-894E-A4C8-7109B90DAEAC}">
      <dsp:nvSpPr>
        <dsp:cNvPr id="0" name=""/>
        <dsp:cNvSpPr/>
      </dsp:nvSpPr>
      <dsp:spPr>
        <a:xfrm>
          <a:off x="1984411" y="1552855"/>
          <a:ext cx="1271087" cy="1271087"/>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b="1" kern="1200"/>
            <a:t>PESTEL</a:t>
          </a:r>
        </a:p>
      </dsp:txBody>
      <dsp:txXfrm>
        <a:off x="2170557" y="1739001"/>
        <a:ext cx="898795" cy="898795"/>
      </dsp:txXfrm>
    </dsp:sp>
    <dsp:sp modelId="{5970BA59-E370-F743-AD89-737AC88E6775}">
      <dsp:nvSpPr>
        <dsp:cNvPr id="0" name=""/>
        <dsp:cNvSpPr/>
      </dsp:nvSpPr>
      <dsp:spPr>
        <a:xfrm rot="10800000">
          <a:off x="693605" y="2007269"/>
          <a:ext cx="1219811" cy="362259"/>
        </a:xfrm>
        <a:prstGeom prst="lef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D5B2B435-3E09-6F4E-A18A-4785398EE481}">
      <dsp:nvSpPr>
        <dsp:cNvPr id="0" name=""/>
        <dsp:cNvSpPr/>
      </dsp:nvSpPr>
      <dsp:spPr>
        <a:xfrm>
          <a:off x="248724" y="1832494"/>
          <a:ext cx="889761" cy="711809"/>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t>POLITICAL</a:t>
          </a:r>
        </a:p>
      </dsp:txBody>
      <dsp:txXfrm>
        <a:off x="269572" y="1853342"/>
        <a:ext cx="848065" cy="670113"/>
      </dsp:txXfrm>
    </dsp:sp>
    <dsp:sp modelId="{4413C3C5-F143-7C49-A87E-0DD2EDC1EDCC}">
      <dsp:nvSpPr>
        <dsp:cNvPr id="0" name=""/>
        <dsp:cNvSpPr/>
      </dsp:nvSpPr>
      <dsp:spPr>
        <a:xfrm rot="12960000">
          <a:off x="945023" y="1233482"/>
          <a:ext cx="1219811" cy="362259"/>
        </a:xfrm>
        <a:prstGeom prst="lef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D4001FDF-E68B-FC47-8E09-7A3678EA47B5}">
      <dsp:nvSpPr>
        <dsp:cNvPr id="0" name=""/>
        <dsp:cNvSpPr/>
      </dsp:nvSpPr>
      <dsp:spPr>
        <a:xfrm>
          <a:off x="616624" y="700214"/>
          <a:ext cx="889761" cy="711809"/>
        </a:xfrm>
        <a:prstGeom prst="roundRect">
          <a:avLst>
            <a:gd name="adj" fmla="val 1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t>ECONOMIC</a:t>
          </a:r>
        </a:p>
      </dsp:txBody>
      <dsp:txXfrm>
        <a:off x="637472" y="721062"/>
        <a:ext cx="848065" cy="670113"/>
      </dsp:txXfrm>
    </dsp:sp>
    <dsp:sp modelId="{BDEDD46A-127F-1F4D-B303-D732E0133972}">
      <dsp:nvSpPr>
        <dsp:cNvPr id="0" name=""/>
        <dsp:cNvSpPr/>
      </dsp:nvSpPr>
      <dsp:spPr>
        <a:xfrm rot="15120000">
          <a:off x="1603245" y="755256"/>
          <a:ext cx="1219811" cy="362259"/>
        </a:xfrm>
        <a:prstGeom prst="lef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64BBB60E-635E-7040-84C0-CEEF0260EEC9}">
      <dsp:nvSpPr>
        <dsp:cNvPr id="0" name=""/>
        <dsp:cNvSpPr/>
      </dsp:nvSpPr>
      <dsp:spPr>
        <a:xfrm>
          <a:off x="1579799" y="427"/>
          <a:ext cx="889761" cy="711809"/>
        </a:xfrm>
        <a:prstGeom prst="roundRect">
          <a:avLst>
            <a:gd name="adj" fmla="val 1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t>SOCIAL</a:t>
          </a:r>
        </a:p>
      </dsp:txBody>
      <dsp:txXfrm>
        <a:off x="1600647" y="21275"/>
        <a:ext cx="848065" cy="670113"/>
      </dsp:txXfrm>
    </dsp:sp>
    <dsp:sp modelId="{FAC068C7-A68D-2643-B3E8-043198E0C7EA}">
      <dsp:nvSpPr>
        <dsp:cNvPr id="0" name=""/>
        <dsp:cNvSpPr/>
      </dsp:nvSpPr>
      <dsp:spPr>
        <a:xfrm rot="17280000">
          <a:off x="2416852" y="755256"/>
          <a:ext cx="1219811" cy="362259"/>
        </a:xfrm>
        <a:prstGeom prst="leftArrow">
          <a:avLst>
            <a:gd name="adj1" fmla="val 60000"/>
            <a:gd name="adj2" fmla="val 5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4AAF6B40-33A3-754C-A457-55ABE1BA9E05}">
      <dsp:nvSpPr>
        <dsp:cNvPr id="0" name=""/>
        <dsp:cNvSpPr/>
      </dsp:nvSpPr>
      <dsp:spPr>
        <a:xfrm>
          <a:off x="2770349" y="427"/>
          <a:ext cx="889761" cy="711809"/>
        </a:xfrm>
        <a:prstGeom prst="roundRect">
          <a:avLst>
            <a:gd name="adj" fmla="val 1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t>TECHNOLOGY</a:t>
          </a:r>
        </a:p>
      </dsp:txBody>
      <dsp:txXfrm>
        <a:off x="2791197" y="21275"/>
        <a:ext cx="848065" cy="670113"/>
      </dsp:txXfrm>
    </dsp:sp>
    <dsp:sp modelId="{65C3779B-7EED-D94B-A326-3C3F3465D690}">
      <dsp:nvSpPr>
        <dsp:cNvPr id="0" name=""/>
        <dsp:cNvSpPr/>
      </dsp:nvSpPr>
      <dsp:spPr>
        <a:xfrm rot="19440000">
          <a:off x="3075074" y="1233482"/>
          <a:ext cx="1219811" cy="362259"/>
        </a:xfrm>
        <a:prstGeom prst="leftArrow">
          <a:avLst>
            <a:gd name="adj1" fmla="val 60000"/>
            <a:gd name="adj2" fmla="val 5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9BA496DD-A570-C943-AA9B-1E94857801CF}">
      <dsp:nvSpPr>
        <dsp:cNvPr id="0" name=""/>
        <dsp:cNvSpPr/>
      </dsp:nvSpPr>
      <dsp:spPr>
        <a:xfrm>
          <a:off x="3733523" y="700214"/>
          <a:ext cx="889761" cy="711809"/>
        </a:xfrm>
        <a:prstGeom prst="roundRect">
          <a:avLst>
            <a:gd name="adj" fmla="val 1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t>ENVIRONMENT</a:t>
          </a:r>
        </a:p>
      </dsp:txBody>
      <dsp:txXfrm>
        <a:off x="3754371" y="721062"/>
        <a:ext cx="848065" cy="670113"/>
      </dsp:txXfrm>
    </dsp:sp>
    <dsp:sp modelId="{430ECF24-734B-6F4C-BE64-46721F1F9C78}">
      <dsp:nvSpPr>
        <dsp:cNvPr id="0" name=""/>
        <dsp:cNvSpPr/>
      </dsp:nvSpPr>
      <dsp:spPr>
        <a:xfrm>
          <a:off x="3326493" y="2007269"/>
          <a:ext cx="1219811" cy="362259"/>
        </a:xfrm>
        <a:prstGeom prst="lef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F4EE9BDC-3B72-6445-B3CA-2CFC88CBE10F}">
      <dsp:nvSpPr>
        <dsp:cNvPr id="0" name=""/>
        <dsp:cNvSpPr/>
      </dsp:nvSpPr>
      <dsp:spPr>
        <a:xfrm>
          <a:off x="4101423" y="1832494"/>
          <a:ext cx="889761" cy="711809"/>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t>LEGAL</a:t>
          </a:r>
        </a:p>
      </dsp:txBody>
      <dsp:txXfrm>
        <a:off x="4122271" y="1853342"/>
        <a:ext cx="848065" cy="67011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28EE98-CE2C-664B-B3EB-8D17E2F40488}">
      <dsp:nvSpPr>
        <dsp:cNvPr id="0" name=""/>
        <dsp:cNvSpPr/>
      </dsp:nvSpPr>
      <dsp:spPr>
        <a:xfrm>
          <a:off x="1822772" y="794128"/>
          <a:ext cx="1840855" cy="1840855"/>
        </a:xfrm>
        <a:prstGeom prst="ellipse">
          <a:avLst/>
        </a:prstGeom>
        <a:solidFill>
          <a:schemeClr val="accent2">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36830" tIns="36830" rIns="36830" bIns="36830" numCol="1" spcCol="1270" anchor="ctr" anchorCtr="0">
          <a:noAutofit/>
        </a:bodyPr>
        <a:lstStyle/>
        <a:p>
          <a:pPr marL="0" lvl="0" indent="0" algn="ctr" defTabSz="1289050">
            <a:lnSpc>
              <a:spcPct val="90000"/>
            </a:lnSpc>
            <a:spcBef>
              <a:spcPct val="0"/>
            </a:spcBef>
            <a:spcAft>
              <a:spcPct val="35000"/>
            </a:spcAft>
            <a:buNone/>
          </a:pPr>
          <a:r>
            <a:rPr lang="en-GB" sz="2900" b="1" kern="1200"/>
            <a:t>Porter's Five Forces</a:t>
          </a:r>
        </a:p>
      </dsp:txBody>
      <dsp:txXfrm>
        <a:off x="2092359" y="1063715"/>
        <a:ext cx="1301681" cy="1301681"/>
      </dsp:txXfrm>
    </dsp:sp>
    <dsp:sp modelId="{4B2C0C0E-5041-C441-9ACD-3AD439A41DC6}">
      <dsp:nvSpPr>
        <dsp:cNvPr id="0" name=""/>
        <dsp:cNvSpPr/>
      </dsp:nvSpPr>
      <dsp:spPr>
        <a:xfrm>
          <a:off x="2282986" y="56794"/>
          <a:ext cx="920427" cy="920427"/>
        </a:xfrm>
        <a:prstGeom prst="ellipse">
          <a:avLst/>
        </a:prstGeom>
        <a:solidFill>
          <a:schemeClr val="accent3">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Threat of New Entrants</a:t>
          </a:r>
          <a:endParaRPr lang="en-GB" sz="900" b="1" kern="1200"/>
        </a:p>
      </dsp:txBody>
      <dsp:txXfrm>
        <a:off x="2417779" y="191587"/>
        <a:ext cx="650841" cy="650841"/>
      </dsp:txXfrm>
    </dsp:sp>
    <dsp:sp modelId="{E24A10B7-0639-FD4B-8194-C0F067633C89}">
      <dsp:nvSpPr>
        <dsp:cNvPr id="0" name=""/>
        <dsp:cNvSpPr/>
      </dsp:nvSpPr>
      <dsp:spPr>
        <a:xfrm>
          <a:off x="3421921" y="884279"/>
          <a:ext cx="920427" cy="920427"/>
        </a:xfrm>
        <a:prstGeom prst="ellipse">
          <a:avLst/>
        </a:prstGeom>
        <a:solidFill>
          <a:schemeClr val="accent4">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Bargaining Power of Buyers</a:t>
          </a:r>
          <a:endParaRPr lang="en-GB" sz="900" b="1" kern="1200"/>
        </a:p>
      </dsp:txBody>
      <dsp:txXfrm>
        <a:off x="3556714" y="1019072"/>
        <a:ext cx="650841" cy="650841"/>
      </dsp:txXfrm>
    </dsp:sp>
    <dsp:sp modelId="{8FFF5762-91CA-1345-8772-FE9F62B8D295}">
      <dsp:nvSpPr>
        <dsp:cNvPr id="0" name=""/>
        <dsp:cNvSpPr/>
      </dsp:nvSpPr>
      <dsp:spPr>
        <a:xfrm>
          <a:off x="2986886" y="2223177"/>
          <a:ext cx="920427" cy="920427"/>
        </a:xfrm>
        <a:prstGeom prst="ellipse">
          <a:avLst/>
        </a:prstGeom>
        <a:solidFill>
          <a:schemeClr val="accent5">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Bargaining Power of Suppliers</a:t>
          </a:r>
          <a:endParaRPr lang="en-GB" sz="900" b="1" kern="1200"/>
        </a:p>
      </dsp:txBody>
      <dsp:txXfrm>
        <a:off x="3121679" y="2357970"/>
        <a:ext cx="650841" cy="650841"/>
      </dsp:txXfrm>
    </dsp:sp>
    <dsp:sp modelId="{3C1A0AC3-AC1B-3E40-8E54-951EA555FACC}">
      <dsp:nvSpPr>
        <dsp:cNvPr id="0" name=""/>
        <dsp:cNvSpPr/>
      </dsp:nvSpPr>
      <dsp:spPr>
        <a:xfrm>
          <a:off x="1579085" y="2223177"/>
          <a:ext cx="920427" cy="920427"/>
        </a:xfrm>
        <a:prstGeom prst="ellipse">
          <a:avLst/>
        </a:prstGeom>
        <a:solidFill>
          <a:schemeClr val="accent6">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 Threat of New Substitutes </a:t>
          </a:r>
          <a:endParaRPr lang="en-GB" sz="900" b="1" kern="1200"/>
        </a:p>
      </dsp:txBody>
      <dsp:txXfrm>
        <a:off x="1713878" y="2357970"/>
        <a:ext cx="650841" cy="650841"/>
      </dsp:txXfrm>
    </dsp:sp>
    <dsp:sp modelId="{4D163246-F366-AF4A-8311-6F11FBD7659E}">
      <dsp:nvSpPr>
        <dsp:cNvPr id="0" name=""/>
        <dsp:cNvSpPr/>
      </dsp:nvSpPr>
      <dsp:spPr>
        <a:xfrm>
          <a:off x="1144051" y="884279"/>
          <a:ext cx="920427" cy="920427"/>
        </a:xfrm>
        <a:prstGeom prst="ellipse">
          <a:avLst/>
        </a:prstGeom>
        <a:solidFill>
          <a:schemeClr val="accent2">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Competitive Rivalry</a:t>
          </a:r>
          <a:endParaRPr lang="en-GB" sz="900" b="1" kern="1200"/>
        </a:p>
      </dsp:txBody>
      <dsp:txXfrm>
        <a:off x="1278844" y="1019072"/>
        <a:ext cx="650841" cy="65084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2DDB85-9D50-B24A-BE23-5AF340EE6FE4}">
      <dsp:nvSpPr>
        <dsp:cNvPr id="0" name=""/>
        <dsp:cNvSpPr/>
      </dsp:nvSpPr>
      <dsp:spPr>
        <a:xfrm>
          <a:off x="1322" y="0"/>
          <a:ext cx="1297930" cy="3200400"/>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Strength</a:t>
          </a:r>
        </a:p>
      </dsp:txBody>
      <dsp:txXfrm>
        <a:off x="1322" y="0"/>
        <a:ext cx="1297930" cy="960120"/>
      </dsp:txXfrm>
    </dsp:sp>
    <dsp:sp modelId="{D9F594E7-FF73-724A-94DC-087D9EBE3F66}">
      <dsp:nvSpPr>
        <dsp:cNvPr id="0" name=""/>
        <dsp:cNvSpPr/>
      </dsp:nvSpPr>
      <dsp:spPr>
        <a:xfrm>
          <a:off x="131115" y="960198"/>
          <a:ext cx="1038344" cy="466230"/>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SSE's commitment to renewable energy sources.</a:t>
          </a:r>
          <a:endParaRPr lang="en-GB" sz="700" kern="1200"/>
        </a:p>
      </dsp:txBody>
      <dsp:txXfrm>
        <a:off x="144770" y="973853"/>
        <a:ext cx="1011034" cy="438920"/>
      </dsp:txXfrm>
    </dsp:sp>
    <dsp:sp modelId="{F2D131F3-8ED1-7749-A8FC-7C68E041E2D2}">
      <dsp:nvSpPr>
        <dsp:cNvPr id="0" name=""/>
        <dsp:cNvSpPr/>
      </dsp:nvSpPr>
      <dsp:spPr>
        <a:xfrm>
          <a:off x="131115" y="1498155"/>
          <a:ext cx="1038344" cy="466230"/>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Emphasis on cost-effective pricing structures.</a:t>
          </a:r>
        </a:p>
      </dsp:txBody>
      <dsp:txXfrm>
        <a:off x="144770" y="1511810"/>
        <a:ext cx="1011034" cy="438920"/>
      </dsp:txXfrm>
    </dsp:sp>
    <dsp:sp modelId="{E0E0AC15-F8D3-4441-84AE-33ABB5BECBD3}">
      <dsp:nvSpPr>
        <dsp:cNvPr id="0" name=""/>
        <dsp:cNvSpPr/>
      </dsp:nvSpPr>
      <dsp:spPr>
        <a:xfrm>
          <a:off x="131115" y="2036113"/>
          <a:ext cx="1038344" cy="466230"/>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SSE's established infrastructure and strong market footprint.</a:t>
          </a:r>
        </a:p>
      </dsp:txBody>
      <dsp:txXfrm>
        <a:off x="144770" y="2049768"/>
        <a:ext cx="1011034" cy="438920"/>
      </dsp:txXfrm>
    </dsp:sp>
    <dsp:sp modelId="{C92C2508-6110-6449-9A52-97FAE90F267C}">
      <dsp:nvSpPr>
        <dsp:cNvPr id="0" name=""/>
        <dsp:cNvSpPr/>
      </dsp:nvSpPr>
      <dsp:spPr>
        <a:xfrm>
          <a:off x="131115" y="2574071"/>
          <a:ext cx="1038344" cy="466230"/>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SSE's proven track record in adapting to evolving market dynamics and societal expectations.</a:t>
          </a:r>
        </a:p>
      </dsp:txBody>
      <dsp:txXfrm>
        <a:off x="144770" y="2587726"/>
        <a:ext cx="1011034" cy="438920"/>
      </dsp:txXfrm>
    </dsp:sp>
    <dsp:sp modelId="{FC00AD74-D3A5-A84C-95EE-99E4F053DBC1}">
      <dsp:nvSpPr>
        <dsp:cNvPr id="0" name=""/>
        <dsp:cNvSpPr/>
      </dsp:nvSpPr>
      <dsp:spPr>
        <a:xfrm>
          <a:off x="1396597" y="0"/>
          <a:ext cx="1297930" cy="3200400"/>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Weakness</a:t>
          </a:r>
        </a:p>
      </dsp:txBody>
      <dsp:txXfrm>
        <a:off x="1396597" y="0"/>
        <a:ext cx="1297930" cy="960120"/>
      </dsp:txXfrm>
    </dsp:sp>
    <dsp:sp modelId="{0DEF3024-4C0D-894F-9C99-CD307117C41C}">
      <dsp:nvSpPr>
        <dsp:cNvPr id="0" name=""/>
        <dsp:cNvSpPr/>
      </dsp:nvSpPr>
      <dsp:spPr>
        <a:xfrm>
          <a:off x="1526390" y="961057"/>
          <a:ext cx="1038344" cy="964964"/>
        </a:xfrm>
        <a:prstGeom prst="roundRect">
          <a:avLst>
            <a:gd name="adj" fmla="val 10000"/>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SSE segments risk obsolescence in the fast-paced energy sector.</a:t>
          </a:r>
          <a:endParaRPr lang="en-GB" sz="700" kern="1200"/>
        </a:p>
      </dsp:txBody>
      <dsp:txXfrm>
        <a:off x="1554653" y="989320"/>
        <a:ext cx="981818" cy="908438"/>
      </dsp:txXfrm>
    </dsp:sp>
    <dsp:sp modelId="{9282A7CF-8331-EF4C-835E-E7E087AD1DE2}">
      <dsp:nvSpPr>
        <dsp:cNvPr id="0" name=""/>
        <dsp:cNvSpPr/>
      </dsp:nvSpPr>
      <dsp:spPr>
        <a:xfrm>
          <a:off x="1526390" y="2074478"/>
          <a:ext cx="1038344" cy="964964"/>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SSE's digital transition may lag behind inherently digital rivals.</a:t>
          </a:r>
        </a:p>
      </dsp:txBody>
      <dsp:txXfrm>
        <a:off x="1554653" y="2102741"/>
        <a:ext cx="981818" cy="908438"/>
      </dsp:txXfrm>
    </dsp:sp>
    <dsp:sp modelId="{F84A48E1-A0CD-1C4B-88C6-FC63DE19E086}">
      <dsp:nvSpPr>
        <dsp:cNvPr id="0" name=""/>
        <dsp:cNvSpPr/>
      </dsp:nvSpPr>
      <dsp:spPr>
        <a:xfrm>
          <a:off x="2791872" y="0"/>
          <a:ext cx="1297930" cy="3200400"/>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Opportunities</a:t>
          </a:r>
        </a:p>
      </dsp:txBody>
      <dsp:txXfrm>
        <a:off x="2791872" y="0"/>
        <a:ext cx="1297930" cy="960120"/>
      </dsp:txXfrm>
    </dsp:sp>
    <dsp:sp modelId="{D14E1A4B-3AA5-8945-9204-444F469F22AB}">
      <dsp:nvSpPr>
        <dsp:cNvPr id="0" name=""/>
        <dsp:cNvSpPr/>
      </dsp:nvSpPr>
      <dsp:spPr>
        <a:xfrm>
          <a:off x="2921665" y="960198"/>
          <a:ext cx="1038344" cy="466230"/>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Global renewable energy focus boosts new markets.</a:t>
          </a:r>
          <a:endParaRPr lang="en-GB" sz="700" kern="1200"/>
        </a:p>
      </dsp:txBody>
      <dsp:txXfrm>
        <a:off x="2935320" y="973853"/>
        <a:ext cx="1011034" cy="438920"/>
      </dsp:txXfrm>
    </dsp:sp>
    <dsp:sp modelId="{00AA9C3B-393C-DB4E-8871-CE27C87F6EF5}">
      <dsp:nvSpPr>
        <dsp:cNvPr id="0" name=""/>
        <dsp:cNvSpPr/>
      </dsp:nvSpPr>
      <dsp:spPr>
        <a:xfrm>
          <a:off x="2921665" y="1498155"/>
          <a:ext cx="1038344" cy="466230"/>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Government backing of sustainable energy.</a:t>
          </a:r>
        </a:p>
      </dsp:txBody>
      <dsp:txXfrm>
        <a:off x="2935320" y="1511810"/>
        <a:ext cx="1011034" cy="438920"/>
      </dsp:txXfrm>
    </dsp:sp>
    <dsp:sp modelId="{3FCC6EA7-2363-D847-B52D-1AD3DCFFE14A}">
      <dsp:nvSpPr>
        <dsp:cNvPr id="0" name=""/>
        <dsp:cNvSpPr/>
      </dsp:nvSpPr>
      <dsp:spPr>
        <a:xfrm>
          <a:off x="2921665" y="2036113"/>
          <a:ext cx="1038344" cy="466230"/>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Tech innovations like smart grids and IoT enhance service potential.</a:t>
          </a:r>
        </a:p>
      </dsp:txBody>
      <dsp:txXfrm>
        <a:off x="2935320" y="2049768"/>
        <a:ext cx="1011034" cy="438920"/>
      </dsp:txXfrm>
    </dsp:sp>
    <dsp:sp modelId="{E36A19F2-D445-EF41-B4B1-AF82BA97E8B8}">
      <dsp:nvSpPr>
        <dsp:cNvPr id="0" name=""/>
        <dsp:cNvSpPr/>
      </dsp:nvSpPr>
      <dsp:spPr>
        <a:xfrm>
          <a:off x="2921665" y="2574071"/>
          <a:ext cx="1038344" cy="466230"/>
        </a:xfrm>
        <a:prstGeom prst="roundRect">
          <a:avLst>
            <a:gd name="adj" fmla="val 10000"/>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Rise in eco-aware consumers and investors.</a:t>
          </a:r>
        </a:p>
      </dsp:txBody>
      <dsp:txXfrm>
        <a:off x="2935320" y="2587726"/>
        <a:ext cx="1011034" cy="438920"/>
      </dsp:txXfrm>
    </dsp:sp>
    <dsp:sp modelId="{75A20B09-D78F-7A40-87B9-54852F63E295}">
      <dsp:nvSpPr>
        <dsp:cNvPr id="0" name=""/>
        <dsp:cNvSpPr/>
      </dsp:nvSpPr>
      <dsp:spPr>
        <a:xfrm>
          <a:off x="4187147" y="0"/>
          <a:ext cx="1297930" cy="3200400"/>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Threats</a:t>
          </a:r>
        </a:p>
      </dsp:txBody>
      <dsp:txXfrm>
        <a:off x="4187147" y="0"/>
        <a:ext cx="1297930" cy="960120"/>
      </dsp:txXfrm>
    </dsp:sp>
    <dsp:sp modelId="{EB40DBC1-F706-864E-908A-1DFB0EEA9DFF}">
      <dsp:nvSpPr>
        <dsp:cNvPr id="0" name=""/>
        <dsp:cNvSpPr/>
      </dsp:nvSpPr>
      <dsp:spPr>
        <a:xfrm>
          <a:off x="4316940" y="960198"/>
          <a:ext cx="1038344" cy="466230"/>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Fast-changing industry outdating traditional methods.</a:t>
          </a:r>
          <a:endParaRPr lang="en-GB" sz="700" kern="1200"/>
        </a:p>
      </dsp:txBody>
      <dsp:txXfrm>
        <a:off x="4330595" y="973853"/>
        <a:ext cx="1011034" cy="438920"/>
      </dsp:txXfrm>
    </dsp:sp>
    <dsp:sp modelId="{428124E1-72B9-0242-B48C-8D2E02E77E25}">
      <dsp:nvSpPr>
        <dsp:cNvPr id="0" name=""/>
        <dsp:cNvSpPr/>
      </dsp:nvSpPr>
      <dsp:spPr>
        <a:xfrm>
          <a:off x="4316940" y="1498155"/>
          <a:ext cx="1038344" cy="466230"/>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Rising supplier and consumer influence creates market volatility.</a:t>
          </a:r>
        </a:p>
      </dsp:txBody>
      <dsp:txXfrm>
        <a:off x="4330595" y="1511810"/>
        <a:ext cx="1011034" cy="438920"/>
      </dsp:txXfrm>
    </dsp:sp>
    <dsp:sp modelId="{DDD08B09-42B0-6245-89FA-AD1ADE3EB545}">
      <dsp:nvSpPr>
        <dsp:cNvPr id="0" name=""/>
        <dsp:cNvSpPr/>
      </dsp:nvSpPr>
      <dsp:spPr>
        <a:xfrm>
          <a:off x="4316940" y="2036113"/>
          <a:ext cx="1038344" cy="466230"/>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Natively green competitors pose challenges.</a:t>
          </a:r>
        </a:p>
      </dsp:txBody>
      <dsp:txXfrm>
        <a:off x="4330595" y="2049768"/>
        <a:ext cx="1011034" cy="438920"/>
      </dsp:txXfrm>
    </dsp:sp>
    <dsp:sp modelId="{9E4B7E54-97FD-2046-A001-F4EF6B3098CD}">
      <dsp:nvSpPr>
        <dsp:cNvPr id="0" name=""/>
        <dsp:cNvSpPr/>
      </dsp:nvSpPr>
      <dsp:spPr>
        <a:xfrm>
          <a:off x="4316940" y="2574071"/>
          <a:ext cx="1038344" cy="466230"/>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Regulatory shifts and policy changes.</a:t>
          </a:r>
        </a:p>
      </dsp:txBody>
      <dsp:txXfrm>
        <a:off x="4330595" y="2587726"/>
        <a:ext cx="1011034" cy="438920"/>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34C78D1D-F2A3-4C43-A63B-42A12566A3AA}">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56484CD7-967A-0A4D-92DD-081E7E344FB4}">
  <we:reference id="wa104382081" version="1.55.1.0" store="en-GB" storeType="OMEX"/>
  <we:alternateReferences>
    <we:reference id="WA104382081" version="1.55.1.0" store="WA104382081"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word/webextensions/webextension3.xml><?xml version="1.0" encoding="utf-8"?>
<we:webextension xmlns:we="http://schemas.microsoft.com/office/webextensions/webextension/2010/11" id="{9034BB86-60FE-9D4A-869B-4153DEF58431}">
  <we:reference id="wa200004996" version="1.0.0.0" store="en-GB" storeType="OMEX"/>
  <we:alternateReferences>
    <we:reference id="WA200004996" version="1.0.0.0" store="WA200004996" storeType="OMEX"/>
  </we:alternateReferences>
  <we:properties>
    <we:property name="bibcitation-word-citation-list" value="{&quot;id&quot;:&quot;ad0ac199-4854-4294-8a31-5f66ce7190ff&quot;,&quot;citations&quot;:[{&quot;citationType&quot;:&quot;website&quot;,&quot;data&quot;:{&quot;id&quot;:&quot;7b69f462-59af-4b78-8154-6b571503c5e6&quot;,&quot;type&quot;:&quot;webpage&quot;,&quot;container-title&quot;:&quot;SSE&quot;,&quot;URL&quot;:&quot;https://www.sse.com/who-we-are/our-heritage/&quot;,&quot;title&quot;:&quot;Our heritage&quot;,&quot;favicon&quot;:&quot;https://www.sse.com/apple-touch-icon.png&quot;,&quot;regularType&quot;:&quot;website&quot;,&quot;accessed&quot;:{&quot;date-parts&quot;:[[2023,10,7]]},&quot;issued&quot;:{&quot;date-parts&quot;:[[2008,&quot;&quot;,&quot;&quot;]]},&quot;author&quot;:[{&quot;literal&quot;:&quot;SSE&quot;,&quot;backups&quot;:{}}]},&quot;requiredFieldsMetadata&quot;:{&quot;ignoredFields&quot;:{},&quot;missingFields&quot;:{}}},{&quot;citationType&quot;:&quot;website&quot;,&quot;data&quot;:{&quot;id&quot;:&quot;fe937356-4cde-43c9-b35b-2e7922ed384f&quot;,&quot;type&quot;:&quot;webpage&quot;,&quot;container-title&quot;:&quot;Utilities Savings - Business Energy Cost Control&quot;,&quot;URL&quot;:&quot;https://utilitiessavings.co.uk/info/guides/electricity-distributors/&quot;,&quot;title&quot;:&quot;Distribution Network Operators&quot;,&quot;favicon&quot;:&quot;https://utilitiessavings.co.uk/wp-content/uploads/2016/09/cropped-logo_white_square-180x180.png&quot;,&quot;regularType&quot;:&quot;website&quot;,&quot;accessed&quot;:{&quot;date-parts&quot;:[[2023,10,7]]},&quot;issued&quot;:{&quot;date-parts&quot;:[[2012,&quot;&quot;,&quot;&quot;]]}},&quot;requiredFieldsMetadata&quot;:{&quot;ignoredFields&quot;:{},&quot;missingFields&quot;:{&quot;Author&quot;:&quot;author&quot;}}},{&quot;citationType&quot;:&quot;bookChapter&quot;,&quot;data&quot;:{&quot;id&quot;:&quot;f2a58482-9da1-4183-919b-07660e08ea2c&quot;,&quot;type&quot;:&quot;chapter&quot;,&quot;title&quot;:&quot;UK Energy Sector: Past, Present and Future&quot;,&quot;DOI&quot;:&quot;10.4324/9780429265600-1&quot;,&quot;author&quot;:[{&quot;given&quot;:&quot;S. C.&quot;,&quot;family&quot;:&quot;Littlechild&quot;,&quot;sequence&quot;:&quot;first&quot;,&quot;affiliation&quot;:[]},{&quot;given&quot;:&quot;K. G.&quot;,&quot;family&quot;:&quot;Vaidya&quot;,&quot;sequence&quot;:&quot;additional&quot;,&quot;affiliation&quot;:[]}],&quot;issued&quot;:{&quot;date-parts&quot;:[[2019,6,26]]},&quot;publisher&quot;:&quot;Routledge&quot;,&quot;ISBN&quot;:[&quot;9780429265600&quot;],&quot;container-title&quot;:&quot;Energy Strategies for the UK&quot;,&quot;URL&quot;:&quot;http://dx.doi.org/10.4324/9780429265600-1&quot;,&quot;page&quot;:&quot;1-21&quot;,&quot;accessed&quot;:{&quot;date-parts&quot;:[[2023,10,7]]},&quot;regularType&quot;:&quot;bookChapter&quot;},&quot;requiredFieldsMetadata&quot;:{&quot;ignoredFields&quot;:{},&quot;missingFields&quot;:{&quot;Book author&quot;:&quot;original-author&quot;}}},{&quot;citationType&quot;:&quot;bookChapter&quot;,&quot;data&quot;:{&quot;id&quot;:&quot;c60e89c8-7f0c-4e36-91e5-54daa7f184a1&quot;,&quot;type&quot;:&quot;chapter&quot;,&quot;title&quot;:&quot;Strategies for Managing Sustainability Risk in a VUCA World&quot;,&quot;DOI&quot;:&quot;10.1007/978-3-030-91117-1_15&quot;,&quot;author&quot;:[{&quot;given&quot;:&quot;Liangrong&quot;,&quot;family&quot;:&quot;Zu&quot;,&quot;sequence&quot;:&quot;first&quot;,&quot;affiliation&quot;:[]}],&quot;issued&quot;:{&quot;date-parts&quot;:[[2022]]},&quot;publisher&quot;:&quot;Springer International Publishing&quot;,&quot;publisher-place&quot;:&quot;Cham&quot;,&quot;ISBN&quot;:[&quot;9783030911157&quot;,&quot;9783030911171&quot;],&quot;container-title&quot;:&quot;Responsible and Sustainable Business&quot;,&quot;URL&quot;:&quot;http://dx.doi.org/10.1007/978-3-030-91117-1_15&quot;,&quot;page&quot;:&quot;227-257&quot;,&quot;accessed&quot;:{&quot;date-parts&quot;:[[2023,10,7]]},&quot;regularType&quot;:&quot;bookChapter&quot;},&quot;requiredFieldsMetadata&quot;:{&quot;ignoredFields&quot;:{},&quot;missingFields&quot;:{&quot;Book author&quot;:&quot;original-author&quot;}}},{&quot;citationType&quot;:&quot;newsArticle&quot;,&quot;data&quot;:{&quot;id&quot;:&quot;5c2fe8ca-69c2-4c91-8419-c802bb1779bf&quot;,&quot;type&quot;:&quot;article-newspaper&quot;,&quot;container-title&quot;:&quot;Financial Times&quot;,&quot;URL&quot;:&quot;https://www.ft.com/content/704ff066-3bbb-46e0-a08e-60a253cc7ae0&quot;,&quot;author&quot;:[{&quot;family&quot;:&quot;Millard&quot;,&quot;given&quot;:&quot;Rachel&quot;}],&quot;title&quot;:&quot;SSE increases multibillion-pound investment drive in clean energy&quot;,&quot;favicon&quot;:&quot;https://www.ft.com/__origami/service/image/v2/images/raw/ftlogo-v1%3Abrand-ft-logo-square-coloured?source=update-logos&amp;format=png&amp;width=180&amp;height=180&quot;,&quot;issued&quot;:{&quot;date-parts&quot;:[[2023,5,24]]},&quot;regularType&quot;:&quot;newsArticle&quot;,&quot;accessed&quot;:{&quot;date-parts&quot;:[[2023,10,7]]}},&quot;requiredFieldsMetadata&quot;:{&quot;ignoredFields&quot;:{},&quot;missingFields&quot;:{}}},{&quot;citationType&quot;:&quot;website&quot;,&quot;data&quot;:{&quot;id&quot;:&quot;f85de1d5-55bf-4fd1-b45b-cfeaff91e602&quot;,&quot;type&quot;:&quot;webpage&quot;,&quot;container-title&quot;:&quot;Office for National Statistics&quot;,&quot;URL&quot;:&quot;https://www.ons.gov.uk/employmentandlabourmarket/peoplenotinwork/unemployment&quot;,&quot;title&quot;:&quot;Unemployment&quot;,&quot;favicon&quot;:&quot;https://www.ons.gov.uk/favicon.ico&quot;,&quot;regularType&quot;:&quot;website&quot;,&quot;accessed&quot;:{&quot;date-parts&quot;:[[2023,10,7]]},&quot;issued&quot;:{&quot;date-parts&quot;:[[2023,9,12]]},&quot;author&quot;:[{&quot;literal&quot;:&quot;Office for National Statistics&quot;,&quot;backups&quot;:{}}]},&quot;requiredFieldsMetadata&quot;:{&quot;ignoredFields&quot;:{},&quot;missingFields&quot;:{}}},{&quot;citationType&quot;:&quot;website&quot;,&quot;data&quot;:{&quot;id&quot;:&quot;38ef58f2-2c81-4672-ab63-de24f97ea78e&quot;,&quot;type&quot;:&quot;webpage&quot;,&quot;container-title&quot;:&quot;Bank of England&quot;,&quot;URL&quot;:&quot;https://www.bankofengland.co.uk/explainers/what-are-interest-rates&quot;,&quot;title&quot;:&quot;What are interest rates?&quot;,&quot;favicon&quot;:&quot;https://www.bankofengland.co.uk/favicon-180x180.png?v=2&quot;,&quot;regularType&quot;:&quot;website&quot;,&quot;accessed&quot;:{&quot;date-parts&quot;:[[2023,10,7]]},&quot;issued&quot;:{&quot;date-parts&quot;:[[2023,8,3]]},&quot;author&quot;:[{&quot;literal&quot;:&quot;Bank of England&quot;,&quot;backups&quot;:{}}]},&quot;requiredFieldsMetadata&quot;:{&quot;ignoredFields&quot;:{},&quot;missingFields&quot;:{}}},{&quot;citationType&quot;:&quot;newsArticle&quot;,&quot;data&quot;:{&quot;id&quot;:&quot;badb9803-bdbe-4826-86fd-d70cebd6b38d&quot;,&quot;type&quot;:&quot;article-newspaper&quot;,&quot;container-title&quot;:&quot;Forbes&quot;,&quot;URL&quot;:&quot;https://www.forbes.com/uk/advisor/investing/currencies/gbp-to-usd/&quot;,&quot;author&quot;:[{&quot;family&quot;:&quot;Pratt&quot;,&quot;given&quot;:&quot;Kevin&quot;}],&quot;title&quot;:&quot;GBP/USD Rate: Exchange GBP to USD – Convert Pounds Sterling To US Dollars&quot;,&quot;favicon&quot;:&quot;https://www.forbes.com/uk/advisor/wp-content/themes/fadvuk/assets/images/favicon.png&quot;,&quot;issued&quot;:{&quot;date-parts&quot;:[[2023,8,22]]},&quot;regularType&quot;:&quot;newsArticle&quot;,&quot;accessed&quot;:{&quot;date-parts&quot;:[[2023,10,7]]}},&quot;requiredFieldsMetadata&quot;:{&quot;ignoredFields&quot;:{},&quot;missingFields&quot;:{}}},{&quot;citationType&quot;:&quot;website&quot;,&quot;data&quot;:{&quot;id&quot;:&quot;4f47917f-beb6-4585-aaf4-7a6db4edd586&quot;,&quot;type&quot;:&quot;webpage&quot;,&quot;container-title&quot;:&quot;European Commission&quot;,&quot;URL&quot;:&quot;https://commission.europa.eu/strategy-and-policy/relations-non-eu-countries/relations-united-kingdom/eu-uk-trade-and-cooperation-agreement_en&quot;,&quot;title&quot;:&quot;The EU-UK Trade and Cooperation Agreement&quot;,&quot;favicon&quot;:&quot;https://commission.europa.eu/profiles/contrib/ewcms/themes/ewcms_theme/favicon.ico&quot;,&quot;regularType&quot;:&quot;website&quot;,&quot;accessed&quot;:{&quot;date-parts&quot;:[[2023,10,7]]},&quot;issued&quot;:{&quot;date-parts&quot;:[[2021,&quot;&quot;,&quot;&quot;]]},&quot;author&quot;:[{&quot;literal&quot;:&quot;EU Commission&quot;,&quot;backups&quot;:{}}]},&quot;requiredFieldsMetadata&quot;:{&quot;ignoredFields&quot;:{},&quot;missingFields&quot;:{}}},{&quot;citationType&quot;:&quot;website&quot;,&quot;data&quot;:{&quot;id&quot;:&quot;691d9aad-31e8-44d7-b39c-7a71fff75335&quot;,&quot;type&quot;:&quot;webpage&quot;,&quot;container-title&quot;:&quot;SSE&quot;,&quot;URL&quot;:&quot;https://www.sse.com/news-and-views/2013/06/uk-energy-market-how-does-it-compare/&quot;,&quot;title&quot;:&quot;UK energy market how does it compare&quot;,&quot;favicon&quot;:&quot;https://www.sse.com/apple-touch-icon.png&quot;,&quot;regularType&quot;:&quot;website&quot;,&quot;accessed&quot;:{&quot;date-parts&quot;:[[2023,10,7]]},&quot;author&quot;:[{&quot;given&quot;:&quot;Richard &quot;,&quot;family&quot;:&quot;Westoby&quot;,&quot;suffix&quot;:&quot;&quot;,&quot;backups&quot;:{&quot;given&quot;:&quot;Richard &quot;,&quot;family&quot;:&quot;Westoby&quot;,&quot;suffix&quot;:&quot;&quot;}}],&quot;issued&quot;:{&quot;date-parts&quot;:[[2013,6,26]]},&quot;publisher&quot;:&quot;&quot;},&quot;requiredFieldsMetadata&quot;:{&quot;ignoredFields&quot;:{},&quot;missingFields&quot;:{}}},{&quot;citationType&quot;:&quot;website&quot;,&quot;data&quot;:{&quot;id&quot;:&quot;5052b645-b309-475c-8e47-6f892c4df871&quot;,&quot;type&quot;:&quot;webpage&quot;,&quot;container-title&quot;:&quot;Energy UK&quot;,&quot;URL&quot;:&quot;https://www.energy-uk.org.uk/insights/uk-energy/&quot;,&quot;title&quot;:&quot;Information about UK Energy&quot;,&quot;favicon&quot;:&quot;https://www.energy-uk.org.uk/wp-content/uploads/2022/12/cropped-EUK-Icon-180x180.png&quot;,&quot;issued&quot;:{&quot;date-parts&quot;:[[2022,12,1]]},&quot;regularType&quot;:&quot;website&quot;,&quot;accessed&quot;:{&quot;date-parts&quot;:[[2023,10,14]]},&quot;author&quot;:[{&quot;literal&quot;:&quot;Energy UK&quot;,&quot;backups&quot;:{}}]},&quot;requiredFieldsMetadata&quot;:{&quot;ignoredFields&quot;:{},&quot;missingFields&quot;:{}}},{&quot;citationType&quot;:&quot;journalArticle&quot;,&quot;data&quot;:{&quot;id&quot;:&quot;1e1a0e13-0410-40ad-a3a2-9027135ebde9&quot;,&quot;type&quot;:&quot;article-journal&quot;,&quot;title&quot;:&quot;Low-cost renewable electricity as the key driver of the global energy transition towards sustainability&quot;,&quot;DOI&quot;:&quot;10.1016/j.energy.2021.120467&quot;,&quot;ISSN&quot;:[&quot;0360-5442&quot;],&quot;author&quot;:[{&quot;ORCID&quot;:&quot;http://orcid.org/0000-0001-7136-4803&quot;,&quot;authenticated-orcid&quot;:false,&quot;sequence&quot;:&quot;first&quot;,&quot;affiliation&quot;:[],&quot;literal&quot;:&quot;Dmitrii Bogdanov&quot;},{&quot;ORCID&quot;:&quot;http://orcid.org/0000-0001-5598-0817&quot;,&quot;authenticated-orcid&quot;:false,&quot;given&quot;:&quot;Manish&quot;,&quot;family&quot;:&quot;Ram&quot;,&quot;sequence&quot;:&quot;additional&quot;,&quot;affiliation&quot;:[]},{&quot;ORCID&quot;:&quot;http://orcid.org/0000-0002-6699-9043&quot;,&quot;authenticated-orcid&quot;:false,&quot;given&quot;:&quot;Arman&quot;,&quot;family&quot;:&quot;Aghahosseini&quot;,&quot;sequence&quot;:&quot;additional&quot;,&quot;affiliation&quot;:[]},{&quot;given&quot;:&quot;Ashish&quot;,&quot;family&quot;:&quot;Gulagi&quot;,&quot;sequence&quot;:&quot;additional&quot;,&quot;affiliation&quot;:[]},{&quot;given&quot;:&quot;Ayobami Solomon&quot;,&quot;family&quot;:&quot;Oyewo&quot;,&quot;sequence&quot;:&quot;additional&quot;,&quot;affiliation&quot;:[]},{&quot;given&quot;:&quot;Michael&quot;,&quot;family&quot;:&quot;Child&quot;,&quot;sequence&quot;:&quot;additional&quot;,&quot;affiliation&quot;:[]},{&quot;ORCID&quot;:&quot;http://orcid.org/0000-0002-2507-0916&quot;,&quot;authenticated-orcid&quot;:false,&quot;given&quot;:&quot;Upeksha&quot;,&quot;family&quot;:&quot;Caldera&quot;,&quot;sequence&quot;:&quot;additional&quot;,&quot;affiliation&quot;:[]},{&quot;ORCID&quot;:&quot;http://orcid.org/0000-0002-4756-1812&quot;,&quot;authenticated-orcid&quot;:false,&quot;given&quot;:&quot;Kristina&quot;,&quot;family&quot;:&quot;Sadovskaia&quot;,&quot;sequence&quot;:&quot;additional&quot;,&quot;affiliation&quot;:[]},{&quot;ORCID&quot;:&quot;http://orcid.org/0000-0002-0430-5886&quot;,&quot;authenticated-orcid&quot;:false,&quot;given&quot;:&quot;Javier&quot;,&quot;family&quot;:&quot;Farfan&quot;,&quot;sequence&quot;:&quot;additional&quot;,&quot;affiliation&quot;:[]},{&quot;given&quot;:&quot;Larissa&quot;,&quot;family&quot;:&quot;De Souza Noel Simas Barbosa&quot;,&quot;sequence&quot;:&quot;additional&quot;,&quot;affiliation&quot;:[]},{&quot;ORCID&quot;:&quot;http://orcid.org/0000-0002-3364-2638&quot;,&quot;authenticated-orcid&quot;:false,&quot;given&quot;:&quot;Mahdi&quot;,&quot;family&quot;:&quot;Fasihi&quot;,&quot;sequence&quot;:&quot;additional&quot;,&quot;affiliation&quot;:[]},{&quot;given&quot;:&quot;Siavash&quot;,&quot;family&quot;:&quot;Khalili&quot;,&quot;sequence&quot;:&quot;additional&quot;,&quot;affiliation&quot;:[]},{&quot;ORCID&quot;:&quot;http://orcid.org/0000-0002-0076-8226&quot;,&quot;authenticated-orcid&quot;:false,&quot;given&quot;:&quot;Thure&quot;,&quot;family&quot;:&quot;Traber&quot;,&quot;sequence&quot;:&quot;additional&quot;,&quot;affiliation&quot;:[]},{&quot;given&quot;:&quot;Christian&quot;,&quot;family&quot;:&quot;Breyer&quot;,&quot;sequence&quot;:&quot;additional&quot;,&quot;affiliation&quot;:[]}],&quot;issued&quot;:{&quot;date-parts&quot;:[[2021,7]]},&quot;volume&quot;:&quot;227&quot;,&quot;publisher&quot;:&quot;Elsevier BV&quot;,&quot;container-title&quot;:&quot;Energy&quot;,&quot;container-title-short&quot;:&quot;Energy&quot;,&quot;URL&quot;:&quot;http://dx.doi.org/10.1016/j.energy.2021.120467&quot;,&quot;page&quot;:&quot;120467&quot;,&quot;accessed&quot;:{&quot;date-parts&quot;:[[2023,10,15]]},&quot;regularType&quot;:&quot;journalArticle&quot;},&quot;requiredFieldsMetadata&quot;:{&quot;ignoredFields&quot;:{},&quot;missingFields&quot;:{&quot;Issue number&quot;:&quot;issue&quot;}}},{&quot;citationType&quot;:&quot;website&quot;,&quot;data&quot;:{&quot;id&quot;:&quot;d4eb7125-c331-4031-a0d2-f6f04cc6ba03&quot;,&quot;type&quot;:&quot;webpage&quot;,&quot;container-title&quot;:&quot;IMF&quot;,&quot;URL&quot;:&quot;https://www.imf.org/en/Publications/fandd/issues/Series/Back-to-Basics/Inflation&quot;,&quot;title&quot;:&quot;Inflation: Prices on the Rise&quot;,&quot;favicon&quot;:&quot;https://www.imf.org/external/07/images/imf_seal.ico&quot;,&quot;regularType&quot;:&quot;website&quot;,&quot;accessed&quot;:{&quot;date-parts&quot;:[[2023,10,15]]},&quot;author&quot;:[{&quot;given&quot;:&quot;Ceyda&quot;,&quot;family&quot;:&quot; Oner&quot;,&quot;suffix&quot;:&quot;&quot;,&quot;backups&quot;:{&quot;given&quot;:&quot;Ceyda&quot;,&quot;family&quot;:&quot; Oner&quot;,&quot;suffix&quot;:&quot;&quot;}}],&quot;publisher&quot;:&quot;IMF’s Finance Department&quot;,&quot;issued&quot;:{&quot;date-parts&quot;:[[2021,&quot;&quot;,&quot;&quot;]]}},&quot;requiredFieldsMetadata&quot;:{&quot;ignoredFields&quot;:{},&quot;missingFields&quot;:{}}},{&quot;citationType&quot;:&quot;website&quot;,&quot;data&quot;:{&quot;id&quot;:&quot;fde7ff07-8874-4d71-b2a2-001255e4036d&quot;,&quot;type&quot;:&quot;webpage&quot;,&quot;container-title&quot;:&quot;Office for Budget Responsibility&quot;,&quot;URL&quot;:&quot;https://obr.uk/efo/economic-and-fiscal-outlook-march-2023/&quot;,&quot;title&quot;:&quot;Economic and fiscal outlook - March 2023&quot;,&quot;favicon&quot;:&quot;https://obr.uk/wp-content/themes/obr-new/favicon/apple-touch-icon-180x180.png&quot;,&quot;issued&quot;:{&quot;date-parts&quot;:[[2023,3,15]]},&quot;regularType&quot;:&quot;website&quot;,&quot;accessed&quot;:{&quot;date-parts&quot;:[[2023,10,15]]},&quot;author&quot;:[{&quot;literal&quot;:&quot;Office for Budget Responsibility&quot;,&quot;backups&quot;:{}}]},&quot;requiredFieldsMetadata&quot;:{&quot;ignoredFields&quot;:{},&quot;missingFields&quot;:{}}},{&quot;citationType&quot;:&quot;journalArticle&quot;,&quot;data&quot;:{&quot;id&quot;:&quot;8a1aae2d-2b66-4d27-86b1-6ecbee03362a&quot;,&quot;type&quot;:&quot;article-journal&quot;,&quot;title&quot;:&quot;How to SHIFT Consumer Behaviors to be More Sustainable: A Literature Review and Guiding Framework&quot;,&quot;DOI&quot;:&quot;10.1177/0022242919825649&quot;,&quot;ISSN&quot;:[&quot;0022-2429&quot;,&quot;1547-7185&quot;],&quot;author&quot;:[{&quot;ORCID&quot;:&quot;http://orcid.org/0000-0002-3794-8247&quot;,&quot;authenticated-orcid&quot;:false,&quot;given&quot;:&quot;Katherine&quot;,&quot;family&quot;:&quot;White&quot;,&quot;sequence&quot;:&quot;first&quot;,&quot;affiliation&quot;:[]},{&quot;given&quot;:&quot;Rishad&quot;,&quot;family&quot;:&quot;Habib&quot;,&quot;sequence&quot;:&quot;additional&quot;,&quot;affiliation&quot;:[]},{&quot;given&quot;:&quot;David J.&quot;,&quot;family&quot;:&quot;Hardisty&quot;,&quot;sequence&quot;:&quot;additional&quot;,&quot;affiliation&quot;:[]}],&quot;issue&quot;:&quot;3&quot;,&quot;issued&quot;:{&quot;date-parts&quot;:[[2019,2,14]]},&quot;volume&quot;:&quot;83&quot;,&quot;publisher&quot;:&quot;SAGE Publications&quot;,&quot;container-title&quot;:&quot;Journal of Marketing&quot;,&quot;container-title-short&quot;:&quot;Journal of Marketing&quot;,&quot;URL&quot;:&quot;http://dx.doi.org/10.1177/0022242919825649&quot;,&quot;page&quot;:&quot;22-49&quot;,&quot;accessed&quot;:{&quot;date-parts&quot;:[[2023,10,15]]},&quot;regularType&quot;:&quot;journalArticle&quot;},&quot;requiredFieldsMetadata&quot;:{&quot;ignoredFields&quot;:{},&quot;missingFields&quot;:{}}},{&quot;citationType&quot;:&quot;journalArticle&quot;,&quot;data&quot;:{&quot;id&quot;:&quot;6f077070-bf7b-47d9-a251-d2e0152d300d&quot;,&quot;type&quot;:&quot;article-journal&quot;,&quot;title&quot;:&quot;Carbon removal demonstrations and problems of public perception&quot;,&quot;DOI&quot;:&quot;10.1002/wcc.857&quot;,&quot;ISSN&quot;:[&quot;1757-7780&quot;,&quot;1757-7799&quot;],&quot;author&quot;:[{&quot;ORCID&quot;:&quot;http://orcid.org/0000-0001-8071-4908&quot;,&quot;authenticated-orcid&quot;:false,&quot;given&quot;:&quot;Laurie&quot;,&quot;family&quot;:&quot;Waller&quot;,&quot;sequence&quot;:&quot;first&quot;,&quot;affiliation&quot;:[{&quot;name&quot;:&quot;Department of Geography University of Manchester  Manchester UK&quot;}]},{&quot;ORCID&quot;:&quot;http://orcid.org/0000-0002-8169-3691&quot;,&quot;authenticated-orcid&quot;:false,&quot;given&quot;:&quot;Emily&quot;,&quot;family&quot;:&quot;Cox&quot;,&quot;sequence&quot;:&quot;additional&quot;,&quot;affiliation&quot;:[{&quot;name&quot;:&quot;Smith School of Enterprise and the Environment University of Oxford  Oxford UK&quot;}]},{&quot;ORCID&quot;:&quot;http://orcid.org/0000-0001-9592-705X&quot;,&quot;authenticated-orcid&quot;:false,&quot;given&quot;:&quot;Rob&quot;,&quot;family&quot;:&quot;Bellamy&quot;,&quot;sequence&quot;:&quot;additional&quot;,&quot;affiliation&quot;:[{&quot;name&quot;:&quot;Department of Geography University of Manchester  Manchester UK&quot;}]}],&quot;issued&quot;:{&quot;date-parts&quot;:[[2023,9,20]]},&quot;publisher&quot;:&quot;Wiley&quot;,&quot;container-title&quot;:&quot;WIREs Climate Change&quot;,&quot;container-title-short&quot;:&quot;WIREs Climate Change&quot;,&quot;URL&quot;:&quot;http://dx.doi.org/10.1002/wcc.857&quot;,&quot;accessed&quot;:{&quot;date-parts&quot;:[[2023,10,15]]},&quot;regularType&quot;:&quot;journalArticle&quot;},&quot;requiredFieldsMetadata&quot;:{&quot;ignoredFields&quot;:{},&quot;missingFields&quot;:{&quot;Volume number&quot;:&quot;volume&quot;,&quot;Issue number&quot;:&quot;issue&quot;}}},{&quot;citationType&quot;:&quot;bookChapter&quot;,&quot;data&quot;:{&quot;id&quot;:&quot;a1fc1541-7dbe-4f20-af62-69b2c3ac1fcd&quot;,&quot;type&quot;:&quot;chapter&quot;,&quot;title&quot;:&quot;Promoting sustainable consumption&quot;,&quot;DOI&quot;:&quot;10.4337/9781803924519.00014&quot;,&quot;author&quot;:[{&quot;ORCID&quot;:&quot;http://orcid.org/0000-0003-0613-8062&quot;,&quot;authenticated-orcid&quot;:true,&quot;given&quot;:&quot;John&quot;,&quot;family&quot;:&quot;Thøgersen&quot;,&quot;sequence&quot;:&quot;first&quot;,&quot;affiliation&quot;:[]}],&quot;issued&quot;:{&quot;date-parts&quot;:[[2023,4,11]]},&quot;publisher&quot;:&quot;Edward Elgar Publishing&quot;,&quot;ISBN&quot;:[&quot;9781803924519&quot;,&quot;9781803924502&quot;,&quot;9781803924519&quot;],&quot;container-title&quot;:&quot;Concise Introduction to Sustainable Consumption&quot;,&quot;URL&quot;:&quot;http://dx.doi.org/10.4337/9781803924519.00014&quot;,&quot;page&quot;:&quot;110-126&quot;,&quot;accessed&quot;:{&quot;date-parts&quot;:[[2023,10,15]]},&quot;regularType&quot;:&quot;bookChapter&quot;},&quot;requiredFieldsMetadata&quot;:{&quot;ignoredFields&quot;:{},&quot;missingFields&quot;:{&quot;Book author&quot;:&quot;original-author&quot;}}},{&quot;citationType&quot;:&quot;journalArticle&quot;,&quot;data&quot;:{&quot;id&quot;:&quot;e320fffc-1086-4545-b850-8dc2c1c50251&quot;,&quot;type&quot;:&quot;article-journal&quot;,&quot;title&quot;:&quot;Social, environmental, and economic consequences of integrating renewable energies in the electricity sector: a review&quot;,&quot;DOI&quot;:&quot;10.1007/s10311-023-01587-1&quot;,&quot;ISSN&quot;:[&quot;1610-3653&quot;,&quot;1610-3661&quot;],&quot;author&quot;:[{&quot;given&quot;:&quot;Mohamed&quot;,&quot;family&quot;:&quot;Farghali&quot;,&quot;sequence&quot;:&quot;first&quot;,&quot;affiliation&quot;:[]},{&quot;ORCID&quot;:&quot;http://orcid.org/0000-0003-2788-7839&quot;,&quot;authenticated-orcid&quot;:false,&quot;given&quot;:&quot;Ahmed I.&quot;,&quot;family&quot;:&quot;Osman&quot;,&quot;sequence&quot;:&quot;additional&quot;,&quot;affiliation&quot;:[]},{&quot;given&quot;:&quot;Zhonghao&quot;,&quot;family&quot;:&quot;Chen&quot;,&quot;sequence&quot;:&quot;additional&quot;,&quot;affiliation&quot;:[]},{&quot;given&quot;:&quot;Amal&quot;,&quot;family&quot;:&quot;Abdelhaleem&quot;,&quot;sequence&quot;:&quot;additional&quot;,&quot;affiliation&quot;:[]},{&quot;given&quot;:&quot;Ikko&quot;,&quot;family&quot;:&quot;Ihara&quot;,&quot;sequence&quot;:&quot;additional&quot;,&quot;affiliation&quot;:[]},{&quot;given&quot;:&quot;Israa M. A.&quot;,&quot;family&quot;:&quot;Mohamed&quot;,&quot;sequence&quot;:&quot;additional&quot;,&quot;affiliation&quot;:[]},{&quot;given&quot;:&quot;Pow-Seng&quot;,&quot;family&quot;:&quot;Yap&quot;,&quot;sequence&quot;:&quot;additional&quot;,&quot;affiliation&quot;:[]},{&quot;given&quot;:&quot;David W.&quot;,&quot;family&quot;:&quot;Rooney&quot;,&quot;sequence&quot;:&quot;additional&quot;,&quot;affiliation&quot;:[]}],&quot;issue&quot;:&quot;3&quot;,&quot;issued&quot;:{&quot;date-parts&quot;:[[2023,3,24]]},&quot;volume&quot;:&quot;21&quot;,&quot;publisher&quot;:&quot;Springer Science and Business Media LLC&quot;,&quot;container-title&quot;:&quot;Environmental Chemistry Letters&quot;,&quot;container-title-short&quot;:&quot;Environ Chem Lett&quot;,&quot;URL&quot;:&quot;http://dx.doi.org/10.1007/s10311-023-01587-1&quot;,&quot;page&quot;:&quot;1381-1418&quot;,&quot;accessed&quot;:{&quot;date-parts&quot;:[[2023,10,15]]},&quot;regularType&quot;:&quot;journalArticle&quot;},&quot;requiredFieldsMetadata&quot;:{&quot;ignoredFields&quot;:{},&quot;missingFields&quot;:{}}},{&quot;citationType&quot;:&quot;journalArticle&quot;,&quot;data&quot;:{&quot;id&quot;:&quot;c5b9d091-3698-4412-a4ab-7d88aa6fd139&quot;,&quot;type&quot;:&quot;article-journal&quot;,&quot;regularType&quot;:&quot;journalArticle&quot;,&quot;title&quot;:&quot;Social Norms and Global Environmental Challenges: The Complex Interaction of Behaviors, Values, and Policy&quot;,&quot;author&quot;:[{&quot;family&quot;:&quot;Kinzig&quot;,&quot;given&quot;:&quot;Ann P&quot;},{&quot;family&quot;:&quot;Ehrlich&quot;,&quot;given&quot;:&quot;Paul R&quot;},{&quot;family&quot;:&quot;Alston&quot;,&quot;given&quot;:&quot;Lee J&quot;},{&quot;family&quot;:&quot;Arrow&quot;,&quot;given&quot;:&quot;Kenneth&quot;},{&quot;family&quot;:&quot;Barrett&quot;,&quot;given&quot;:&quot;Scott&quot;},{&quot;family&quot;:&quot;Buchman&quot;,&quot;given&quot;:&quot;Timothy G&quot;},{&quot;family&quot;:&quot;Daily&quot;,&quot;given&quot;:&quot;Gretchen C&quot;},{&quot;family&quot;:&quot;Levin&quot;,&quot;given&quot;:&quot;Bruce&quot;},{&quot;family&quot;:&quot;Levin&quot;,&quot;given&quot;:&quot;Simon&quot;},{&quot;family&quot;:&quot;Oppenheimer&quot;,&quot;given&quot;:&quot;Michael&quot;},{&quot;family&quot;:&quot;Ostrom&quot;,&quot;given&quot;:&quot;Elinor&quot;},{&quot;family&quot;:&quot;Saari&quot;,&quot;given&quot;:&quot;Donald&quot;}],&quot;container-title-short&quot;:&quot;Bioscience&quot;,&quot;container-title&quot;:&quot;Bioscience&quot;,&quot;ISSN&quot;:&quot;0006-3568&quot;,&quot;issued&quot;:{&quot;date-parts&quot;:[[2013,3,1]]},&quot;page&quot;:&quot;164-175&quot;,&quot;volume&quot;:&quot;63&quot;,&quot;issue&quot;:&quot;3&quot;,&quot;DOI&quot;:&quot;10.1525/bio.2013.63.3.5&quot;,&quot;URL&quot;:&quot;https://www.ncbi.nlm.nih.gov/pmc/articles/PMC4136381/&quot;,&quot;favicon&quot;:&quot;https://www.ncbi.nlm.nih.gov/coreutils/nwds/img/favicons/favicon-192.png&quot;,&quot;accessed&quot;:{&quot;date-parts&quot;:[[2023,10,15]]}},&quot;requiredFieldsMetadata&quot;:{&quot;ignoredFields&quot;:{},&quot;missingFields&quot;:{}}},{&quot;citationType&quot;:&quot;bookChapter&quot;,&quot;data&quot;:{&quot;id&quot;:&quot;dd12e6a2-ed75-4055-8902-a6fa08832ee5&quot;,&quot;type&quot;:&quot;chapter&quot;,&quot;title&quot;:&quot;The importance of energy storage in solar and wind energy, hybrid renewable energy systems&quot;,&quot;DOI&quot;:&quot;10.1016/b978-0-12-821221-9.00010-4&quot;,&quot;author&quot;:[{&quot;given&quot;:&quot;Ahmet&quot;,&quot;family&quot;:&quot;Aktaş&quot;,&quot;sequence&quot;:&quot;first&quot;,&quot;affiliation&quot;:[]}],&quot;issued&quot;:{&quot;date-parts&quot;:[[2021]]},&quot;publisher&quot;:&quot;Elsevier&quot;,&quot;container-title&quot;:&quot;Advances in Clean Energy Technologies&quot;,&quot;URL&quot;:&quot;http://dx.doi.org/10.1016/b978-0-12-821221-9.00010-4&quot;,&quot;page&quot;:&quot;377-403&quot;,&quot;accessed&quot;:{&quot;date-parts&quot;:[[2023,10,15]]},&quot;regularType&quot;:&quot;bookChapter&quot;},&quot;requiredFieldsMetadata&quot;:{&quot;ignoredFields&quot;:{},&quot;missingFields&quot;:{&quot;Book author&quot;:&quot;original-author&quot;}}},{&quot;citationType&quot;:&quot;newsArticle&quot;,&quot;data&quot;:{&quot;id&quot;:&quot;763662e2-e7db-427f-b59a-34f44fb27b7b&quot;,&quot;type&quot;:&quot;article-newspaper&quot;,&quot;container-title&quot;:&quot;Sustainable Future News&quot;,&quot;URL&quot;:&quot;https://sustainablefuturenews.com/features/the-future-of-energy-storage-batteries-and-beyond/&quot;,&quot;author&quot;:[{&quot;family&quot;:&quot;Hannay&quot;,&quot;given&quot;:&quot;James&quot;}],&quot;title&quot;:&quot;The future of energy storage: Batteries and beyond&quot;,&quot;favicon&quot;:&quot;https://sustainablefuturenews.com/wp-content/uploads/2022/03/image-3-300x300.png&quot;,&quot;issued&quot;:{&quot;date-parts&quot;:[[2023,7,5]]},&quot;regularType&quot;:&quot;newsArticle&quot;,&quot;accessed&quot;:{&quot;date-parts&quot;:[[2023,10,15]]}},&quot;requiredFieldsMetadata&quot;:{&quot;ignoredFields&quot;:{},&quot;missingFields&quot;:{}}},{&quot;citationType&quot;:&quot;journalArticle&quot;,&quot;data&quot;:{&quot;id&quot;:&quot;66a0f4dc-44a6-4dde-92db-2054dea4f0ad&quot;,&quot;type&quot;:&quot;article-journal&quot;,&quot;title&quot;:&quot;Making obsolescence obsolete: Execution of digital transformation in a high-tech manufacturing SME&quot;,&quot;DOI&quot;:&quot;10.1016/j.jbusres.2022.07.052&quot;,&quot;ISSN&quot;:[&quot;0148-2963&quot;],&quot;author&quot;:[{&quot;given&quot;:&quot;Aylin&quot;,&quot;family&quot;:&quot;Ates&quot;,&quot;sequence&quot;:&quot;first&quot;,&quot;affiliation&quot;:[]},{&quot;given&quot;:&quot;Nuran&quot;,&quot;family&quot;:&quot;Acur&quot;,&quot;sequence&quot;:&quot;additional&quot;,&quot;affiliation&quot;:[]}],&quot;issued&quot;:{&quot;date-parts&quot;:[[2022,11]]},&quot;volume&quot;:&quot;152&quot;,&quot;publisher&quot;:&quot;Elsevier BV&quot;,&quot;container-title&quot;:&quot;Journal of Business Research&quot;,&quot;container-title-short&quot;:&quot;Journal of Business Research&quot;,&quot;URL&quot;:&quot;http://dx.doi.org/10.1016/j.jbusres.2022.07.052&quot;,&quot;page&quot;:&quot;336-348&quot;,&quot;accessed&quot;:{&quot;date-parts&quot;:[[2023,10,15]]},&quot;regularType&quot;:&quot;journalArticle&quot;},&quot;requiredFieldsMetadata&quot;:{&quot;ignoredFields&quot;:{},&quot;missingFields&quot;:{&quot;Issue number&quot;:&quot;issue&quot;}}},{&quot;citationType&quot;:&quot;bookChapter&quot;,&quot;data&quot;:{&quot;id&quot;:&quot;476a9ccb-a9e8-4004-a248-feb89b4cf3ac&quot;,&quot;type&quot;:&quot;chapter&quot;,&quot;title&quot;:&quot;Local electricity markets: regulation, opportunities, and challenges in the United Kingdom&quot;,&quot;DOI&quot;:&quot;10.1016/b978-0-12-820074-2.00006-x&quot;,&quot;author&quot;:[{&quot;given&quot;:&quot;Karim L.&quot;,&quot;family&quot;:&quot;Anaya&quot;,&quot;sequence&quot;:&quot;first&quot;,&quot;affiliation&quot;:[]}],&quot;issued&quot;:{&quot;date-parts&quot;:[[2021]]},&quot;publisher&quot;:&quot;Elsevier&quot;,&quot;container-title&quot;:&quot;Local Electricity Markets&quot;,&quot;URL&quot;:&quot;http://dx.doi.org/10.1016/b978-0-12-820074-2.00006-x&quot;,&quot;page&quot;:&quot;341-354&quot;,&quot;accessed&quot;:{&quot;date-parts&quot;:[[2023,10,15]]},&quot;regularType&quot;:&quot;bookChapter&quot;},&quot;requiredFieldsMetadata&quot;:{&quot;ignoredFields&quot;:{},&quot;missingFields&quot;:{&quot;Book author&quot;:&quot;original-author&quot;}}},{&quot;citationType&quot;:&quot;website&quot;,&quot;data&quot;:{&quot;id&quot;:&quot;e5099ba2-8f7a-4b8f-b4d4-75c016386db9&quot;,&quot;type&quot;:&quot;webpage&quot;,&quot;container-title&quot;:&quot;GOV.UK&quot;,&quot;URL&quot;:&quot;https://www.gov.uk/hmrc-internal-manuals/economic-crime-supervision-handbook/ecsh82780&quot;,&quot;title&quot;:&quot;ECSH82780 - Sanctions for non-compliance: financial penalties: financial penalties framework: introduction - HMRC internal manual&quot;,&quot;favicon&quot;:&quot;https://www.gov.uk/assets/static/govuk-apple-touch-icon-180x180-026deaa34fa328ae5f1f519a37dbd15e6555c5086e1ba83986cd0827a7209902.png&quot;,&quot;regularType&quot;:&quot;website&quot;,&quot;accessed&quot;:{&quot;date-parts&quot;:[[2023,10,15]]},&quot;issued&quot;:{&quot;date-parts&quot;:[[2023,5,26]]},&quot;author&quot;:[{&quot;literal&quot;:&quot;HMRC&quot;,&quot;backups&quot;:{}}]},&quot;requiredFieldsMetadata&quot;:{&quot;ignoredFields&quot;:{},&quot;missingFields&quot;:{}}},{&quot;citationType&quot;:&quot;website&quot;,&quot;data&quot;:{&quot;id&quot;:&quot;1a53223f-c6ad-431c-acac-f253b643d100&quot;,&quot;type&quot;:&quot;webpage&quot;,&quot;container-title&quot;:&quot;Financial Crime Academy&quot;,&quot;URL&quot;:&quot;https://financialcrimeacademy.org/the-consequences-of-non-compliance/&quot;,&quot;author&quot;:[{&quot;literal&quot;:&quot;Financial Crime Academy&quot;,&quot;backups&quot;:{}}],&quot;title&quot;:&quot;The Consequences Of Non-Compliance: The Important Laws and Regulations To Non-Compliance&quot;,&quot;favicon&quot;:&quot;https://financialcrimeacademy.org/wp-content/uploads/2022/01/AFC-Logo-Color-Favicon.png&quot;,&quot;issued&quot;:{&quot;date-parts&quot;:[[2023,8,11]]},&quot;regularType&quot;:&quot;website&quot;,&quot;accessed&quot;:{&quot;date-parts&quot;:[[2023,10,15]]}},&quot;requiredFieldsMetadata&quot;:{&quot;ignoredFields&quot;:{},&quot;missingFields&quot;:{}}},{&quot;citationType&quot;:&quot;bookChapter&quot;,&quot;data&quot;:{&quot;id&quot;:&quot;c645c518-95e7-41ec-8ba8-d3bf7cc68c16&quot;,&quot;type&quot;:&quot;chapter&quot;,&quot;title&quot;:&quot;Better Regulation—Better Enforcement&quot;,&quot;DOI&quot;:&quot;10.5040/9781472563972.ch-006&quot;,&quot;author&quot;:[{&quot;given&quot;:&quot;Anthony&quot;,&quot;family&quot;:&quot;Ogus&quot;,&quot;sequence&quot;:&quot;first&quot;,&quot;affiliation&quot;:[]}],&quot;issued&quot;:{&quot;date-parts&quot;:[[2007]]},&quot;publisher&quot;:&quot;Hart Publishing&quot;,&quot;ISBN&quot;:[&quot;9781841137155&quot;,&quot;9781472563972&quot;],&quot;container-title&quot;:&quot;Better Regulation&quot;,&quot;URL&quot;:&quot;http://dx.doi.org/10.5040/9781472563972.ch-006&quot;,&quot;accessed&quot;:{&quot;date-parts&quot;:[[2023,10,15]]},&quot;regularType&quot;:&quot;bookChapter&quot;},&quot;requiredFieldsMetadata&quot;:{&quot;ignoredFields&quot;:{},&quot;missingFields&quot;:{&quot;Book author&quot;:&quot;original-author&quot;}}},{&quot;citationType&quot;:&quot;website&quot;,&quot;data&quot;:{&quot;id&quot;:&quot;f899d258-d971-45c2-9146-1e2006ccc465&quot;,&quot;type&quot;:&quot;webpage&quot;,&quot;container-title&quot;:&quot;GOV.UK&quot;,&quot;URL&quot;:&quot;https://www.gov.uk/government/publications/regulating-for-people-the-environment-and-growth-2021/regulating-for-people-the-environment-and-growth-2021&quot;,&quot;author&quot;:[{&quot;literal&quot;:&quot;Environment Agency&quot;}],&quot;title&quot;:&quot;Regulating for people, the environment and growth, 2021&quot;,&quot;favicon&quot;:&quot;https://www.gov.uk/assets/static/govuk-apple-touch-icon-180x180-026deaa34fa328ae5f1f519a37dbd15e6555c5086e1ba83986cd0827a7209902.png&quot;,&quot;issued&quot;:{&quot;date-parts&quot;:[[2022,11,1]]},&quot;regularType&quot;:&quot;website&quot;,&quot;accessed&quot;:{&quot;date-parts&quot;:[[2023,10,15]]}},&quot;requiredFieldsMetadata&quot;:{&quot;ignoredFields&quot;:{},&quot;missingFields&quot;:{}}},{&quot;citationType&quot;:&quot;website&quot;,&quot;data&quot;:{&quot;id&quot;:&quot;895318d0-af05-426c-b6e5-e74ddd2105b4&quot;,&quot;type&quot;:&quot;webpage&quot;,&quot;container-title&quot;:&quot;British Safety Council&quot;,&quot;URL&quot;:&quot;https://www.britsafe.org/training-and-learning/find-the-right-course-for-you/informational-resources/health-and-safety-legislation-what-you-need-to-know/&quot;,&quot;title&quot;:&quot;Health and Safety Legislation: What You Need to Know&quot;,&quot;favicon&quot;:&quot;https://www.britsafe.org/Assets/img/favicon.ico&quot;,&quot;regularType&quot;:&quot;website&quot;,&quot;accessed&quot;:{&quot;date-parts&quot;:[[2023,10,15]]},&quot;author&quot;:[{&quot;literal&quot;:&quot;British Safety Council&quot;,&quot;backups&quot;:{}}],&quot;issued&quot;:{&quot;date-parts&quot;:[[2023,&quot;&quot;,&quot;&quot;]]}},&quot;requiredFieldsMetadata&quot;:{&quot;ignoredFields&quot;:{},&quot;missingFields&quot;:{}}},{&quot;citationType&quot;:&quot;newsArticle&quot;,&quot;data&quot;:{&quot;id&quot;:&quot;9e563117-cdc7-4f4f-8eef-838dc035512d&quot;,&quot;type&quot;:&quot;article-newspaper&quot;,&quot;container-title&quot;:&quot;GOV.UK&quot;,&quot;URL&quot;:&quot;https://www.gov.uk/employment-contracts-and-conditions&quot;,&quot;author&quot;:[{&quot;literal&quot;:&quot;GOV.UK&quot;,&quot;backups&quot;:{}}],&quot;title&quot;:&quot;Employment contracts&quot;,&quot;favicon&quot;:&quot;https://www.gov.uk/assets/static/govuk-apple-touch-icon-180x180-026deaa34fa328ae5f1f519a37dbd15e6555c5086e1ba83986cd0827a7209902.png&quot;,&quot;issued&quot;:{&quot;date-parts&quot;:[[2012,1,5]]},&quot;regularType&quot;:&quot;newsArticle&quot;,&quot;accessed&quot;:{&quot;date-parts&quot;:[[2023,10,15]]}},&quot;requiredFieldsMetadata&quot;:{&quot;ignoredFields&quot;:{},&quot;missingFields&quot;:{}}},{&quot;citationType&quot;:&quot;website&quot;,&quot;data&quot;:{&quot;id&quot;:&quot;a6631e0b-85e9-4b96-8dbd-27068da1f948&quot;,&quot;type&quot;:&quot;webpage&quot;,&quot;container-title&quot;:&quot;legal texts - Marrakesh Agreement&quot;,&quot;URL&quot;:&quot;https://www.wto.org/english/docs_e/legal_e/26-gats_01_e.htm&quot;,&quot;title&quot;:&quot;WTO&quot;,&quot;favicon&quot;:&quot;https://www.wto.org/favicon.ico&quot;,&quot;regularType&quot;:&quot;website&quot;,&quot;accessed&quot;:{&quot;date-parts&quot;:[[2023,10,15]]},&quot;issued&quot;:{&quot;date-parts&quot;:[[2023,&quot;&quot;,&quot;&quot;]]},&quot;author&quot;:[{&quot;literal&quot;:&quot;WTO&quot;,&quot;backups&quot;:{}}]},&quot;requiredFieldsMetadata&quot;:{&quot;ignoredFields&quot;:{},&quot;missingFields&quot;:{}}},{&quot;citationType&quot;:&quot;website&quot;,&quot;data&quot;:{&quot;id&quot;:&quot;af6981ac-e262-4cad-8fe7-0db81906d69a&quot;,&quot;type&quot;:&quot;webpage&quot;,&quot;container-title&quot;:&quot;FRC (Financial Reporting Council)&quot;,&quot;URL&quot;:&quot;https://www.frc.org.uk/library/standards-codes-policy/corporate-governance/uk-corporate-governance-code/&quot;,&quot;title&quot;:&quot;UK Corporate Governance Code&quot;,&quot;favicon&quot;:&quot;https://www.frc.org.uk/apple-touch-icon.png&quot;,&quot;regularType&quot;:&quot;website&quot;,&quot;accessed&quot;:{&quot;date-parts&quot;:[[2023,10,15]]},&quot;issued&quot;:{&quot;date-parts&quot;:[[2023,9,24]]},&quot;author&quot;:[{&quot;literal&quot;:&quot;FRC&quot;,&quot;backups&quot;:{}}]},&quot;requiredFieldsMetadata&quot;:{&quot;ignoredFields&quot;:{},&quot;missingFields&quot;:{}}},{&quot;citationType&quot;:&quot;newsArticle&quot;,&quot;data&quot;:{&quot;id&quot;:&quot;8934fb62-24d4-481e-9bf5-cd4847ee1b98&quot;,&quot;type&quot;:&quot;article-newspaper&quot;,&quot;container-title&quot;:&quot;Office for National Statistics&quot;,&quot;URL&quot;:&quot;https://www.ons.gov.uk/economy/grossdomesticproductgdp/bulletins/gdpmonthlyestimateuk/december2022&quot;,&quot;author&quot;:[{&quot;family&quot;:&quot;Graham&quot;,&quot;given&quot;:&quot;Ben&quot;}],&quot;title&quot;:&quot;GDP monthly estimate, UK&quot;,&quot;favicon&quot;:&quot;https://www.ons.gov.uk/favicon.ico&quot;,&quot;issued&quot;:{&quot;date-parts&quot;:[[2023,2,10]]},&quot;regularType&quot;:&quot;newsArticle&quot;,&quot;accessed&quot;:{&quot;date-parts&quot;:[[2023,10,15]]}},&quot;requiredFieldsMetadata&quot;:{&quot;ignoredFields&quot;:{},&quot;missingFields&quot;:{}}},{&quot;citationType&quot;:&quot;newsArticle&quot;,&quot;data&quot;:{&quot;id&quot;:&quot;0e52a19f-778a-4f00-b552-aaf4a78ad421&quot;,&quot;type&quot;:&quot;article-newspaper&quot;,&quot;container-title&quot;:&quot;Office for National Statistics&quot;,&quot;URL&quot;:&quot;https://www.ons.gov.uk/economy/inflationandpriceindices/bulletins/consumerpriceinflation/august2023&quot;,&quot;author&quot;:[{&quot;family&quot;:&quot;Gooding&quot;,&quot;given&quot;:&quot;Philip&quot;}],&quot;title&quot;:&quot;Consumer price inflation, UK&quot;,&quot;favicon&quot;:&quot;https://www.ons.gov.uk/favicon.ico&quot;,&quot;issued&quot;:{&quot;date-parts&quot;:[[2023,9,19]]},&quot;regularType&quot;:&quot;newsArticle&quot;,&quot;accessed&quot;:{&quot;date-parts&quot;:[[2023,10,15]]}},&quot;requiredFieldsMetadata&quot;:{&quot;ignoredFields&quot;:{},&quot;missingFields&quot;:{}}},{&quot;citationType&quot;:&quot;website&quot;,&quot;data&quot;:{&quot;id&quot;:&quot;1090c4df-f900-4bc7-ba93-33395d0f5c8d&quot;,&quot;type&quot;:&quot;webpage&quot;,&quot;container-title&quot;:&quot;Bank of England&quot;,&quot;URL&quot;:&quot;https://www.bankofengland.co.uk/monetary-policy-summary-and-minutes/2023/september-2023&quot;,&quot;title&quot;:&quot;Bank rate maintained at 5.25% - September 2023&quot;,&quot;favicon&quot;:&quot;https://www.bankofengland.co.uk/favicon-180x180.png?ver=0&quot;,&quot;regularType&quot;:&quot;website&quot;,&quot;accessed&quot;:{&quot;date-parts&quot;:[[2023,10,15]]},&quot;author&quot;:[{&quot;literal&quot;:&quot;BoE&quot;,&quot;backups&quot;:{}}],&quot;issued&quot;:{&quot;date-parts&quot;:[[2023,9,21]]},&quot;publisher&quot;:&quot;&quot;},&quot;requiredFieldsMetadata&quot;:{&quot;ignoredFields&quot;:{},&quot;missingFields&quot;:{}}},{&quot;citationType&quot;:&quot;newsArticle&quot;,&quot;data&quot;:{&quot;id&quot;:&quot;89057cbb-b420-4798-b6fc-b8e24dd52eba&quot;,&quot;type&quot;:&quot;article-newspaper&quot;,&quot;container-title&quot;:&quot;Forbes&quot;,&quot;URL&quot;:&quot;https://www.forbes.com/sites/qai/2022/10/07/the-british-pound-has-fallen-to-its-lowest-level-against-the-us-dollar-since-1985heres-why/&quot;,&quot;author&quot;:[{&quot;literal&quot;:&quot;Forbes&quot;,&quot;backups&quot;:{}}],&quot;title&quot;:&quot;The British Pound Has Fallen To Its Lowest Level Against The U.S. Dollar Since 1985 - Here’s Why&quot;,&quot;favicon&quot;:&quot;https://i.forbesimg.com/48X48-F.png&quot;,&quot;issued&quot;:{&quot;date-parts&quot;:[[2022,10,7]]},&quot;regularType&quot;:&quot;newsArticle&quot;,&quot;accessed&quot;:{&quot;date-parts&quot;:[[2023,10,15]]}},&quot;requiredFieldsMetadata&quot;:{&quot;ignoredFields&quot;:{},&quot;missingFields&quot;:{}}},{&quot;citationType&quot;:&quot;website&quot;,&quot;data&quot;:{&quot;id&quot;:&quot;bb16a0b2-d59e-49b2-94f0-14bbd8c3bd12&quot;,&quot;type&quot;:&quot;webpage&quot;,&quot;container-title&quot;:&quot;Office for National Statistics&quot;,&quot;URL&quot;:&quot;https://www.ons.gov.uk/employmentandlabourmarket/peoplenotinwork/unemployment&quot;,&quot;title&quot;:&quot;Unemployment&quot;,&quot;favicon&quot;:&quot;https://www.ons.gov.uk/favicon.ico&quot;,&quot;regularType&quot;:&quot;website&quot;,&quot;accessed&quot;:{&quot;date-parts&quot;:[[2023,10,15]]},&quot;author&quot;:[{&quot;literal&quot;:&quot;ONS&quot;,&quot;backups&quot;:{}}],&quot;issued&quot;:{&quot;date-parts&quot;:[[2023,&quot;&quot;,&quot;&quot;]]}},&quot;requiredFieldsMetadata&quot;:{&quot;ignoredFields&quot;:{},&quot;missingFields&quot;:{}}},{&quot;citationType&quot;:&quot;newsArticle&quot;,&quot;data&quot;:{&quot;id&quot;:&quot;9dbaed44-dd60-4604-9d76-55eebdbab059&quot;,&quot;type&quot;:&quot;article-newspaper&quot;,&quot;container-title&quot;:&quot;World Bank Group&quot;,&quot;URL&quot;:&quot;https://www.worldbank.org/en/news/press-release/2022/04/26/food-and-energy-price-shocks-from-ukraine-war&quot;,&quot;author&quot;:[{&quot;literal&quot;:&quot;World Bank Group&quot;}],&quot;title&quot;:&quot;Food and Energy Price Shocks from Ukraine War Could Last for Years&quot;,&quot;favicon&quot;:&quot;https://www.worldbank.org/content/dam/wbr-redesign/logos/wbg-favicon.png&quot;,&quot;issued&quot;:{&quot;date-parts&quot;:[[2022,4,27]]},&quot;regularType&quot;:&quot;newsArticle&quot;,&quot;accessed&quot;:{&quot;date-parts&quot;:[[2023,10,15]]}},&quot;requiredFieldsMetadata&quot;:{&quot;ignoredFields&quot;:{},&quot;missingFields&quot;:{}}},{&quot;citationType&quot;:&quot;website&quot;,&quot;data&quot;:{&quot;id&quot;:&quot;c752e070-2b49-48f7-925b-eae53d093a6b&quot;,&quot;type&quot;:&quot;webpage&quot;,&quot;container-title&quot;:&quot;European Central Bank&quot;,&quot;URL&quot;:&quot;https://www.ecb.europa.eu/pub/economic-bulletin/articles/2023/html/ecb.ebart202303_01~3af23c5f5a.en.html&quot;,&quot;author&quot;:[{&quot;family&quot;:&quot;Spital&quot;,&quot;given&quot;:&quot;Tajda&quot;},{&quot;family&quot;:&quot;van Aerssen&quot;,&quot;given&quot;:&quot;Katrin Forster&quot;}],&quot;title&quot;:&quot;The impact of Brexit on UK trade and labour markets&quot;,&quot;favicon&quot;:&quot;https://www.ecb.europa.eu/favicon-180.png&quot;,&quot;issued&quot;:{&quot;date-parts&quot;:[[2023,5,15]]},&quot;regularType&quot;:&quot;website&quot;,&quot;accessed&quot;:{&quot;date-parts&quot;:[[2023,10,15]]}},&quot;requiredFieldsMetadata&quot;:{&quot;ignoredFields&quot;:{},&quot;missingFields&quot;:{}}},{&quot;citationType&quot;:&quot;website&quot;,&quot;data&quot;:{&quot;id&quot;:&quot;78023098-f15b-43ce-9dfa-b3eb29c10d34&quot;,&quot;type&quot;:&quot;webpage&quot;,&quot;container-title&quot;:&quot;IEA&quot;,&quot;URL&quot;:&quot;https://www.iea.org/energy-system/renewables/solar-pv&quot;,&quot;title&quot;:&quot;Solar&quot;,&quot;favicon&quot;:&quot;https://www.iea.org/assets/front/images/apple-touch-icon.png&quot;,&quot;regularType&quot;:&quot;website&quot;,&quot;accessed&quot;:{&quot;date-parts&quot;:[[2023,10,15]]},&quot;author&quot;:[{&quot;literal&quot;:&quot;IEA&quot;,&quot;backups&quot;:{}}],&quot;issued&quot;:{&quot;date-parts&quot;:[[2023,&quot;&quot;,&quot;&quot;]]}},&quot;requiredFieldsMetadata&quot;:{&quot;ignoredFields&quot;:{},&quot;missingFields&quot;:{}}},{&quot;citationType&quot;:&quot;report&quot;,&quot;data&quot;:{&quot;id&quot;:&quot;7aa91f07-37eb-4041-bf9d-bc569a8f8a12&quot;,&quot;type&quot;:&quot;report&quot;,&quot;title&quot;:&quot;Increasing Returns and Economic Geography&quot;,&quot;DOI&quot;:&quot;10.3386/w3275&quot;,&quot;author&quot;:[{&quot;given&quot;:&quot;Paul&quot;,&quot;family&quot;:&quot;Krugman&quot;,&quot;sequence&quot;:&quot;first&quot;,&quot;affiliation&quot;:[]}],&quot;issued&quot;:{&quot;date-parts&quot;:[[1990,3]]},&quot;publisher&quot;:&quot;National Bureau of Economic Research&quot;,&quot;publisher-place&quot;:&quot;Cambridge, MA&quot;,&quot;URL&quot;:&quot;http://dx.doi.org/10.3386/w3275&quot;,&quot;accessed&quot;:{&quot;date-parts&quot;:[[2023,10,15]]},&quot;regularType&quot;:&quot;report&quot;},&quot;requiredFieldsMetadata&quot;:{&quot;ignoredFields&quot;:{},&quot;missingFields&quot;:{}}},{&quot;citationType&quot;:&quot;journalArticle&quot;,&quot;data&quot;:{&quot;id&quot;:&quot;fc0fffdb-a9d4-43e5-895a-04e27a414074&quot;,&quot;type&quot;:&quot;article-journal&quot;,&quot;title&quot;:&quot;Navigating the VUCA World&quot;,&quot;DOI&quot;:&quot;10.5437/08956308x5601003&quot;,&quot;ISSN&quot;:[&quot;0895-6308&quot;,&quot;1930-0166&quot;],&quot;author&quot;:[{&quot;given&quot;:&quot;Bob&quot;,&quot;family&quot;:&quot;Johansen&quot;,&quot;sequence&quot;:&quot;first&quot;,&quot;affiliation&quot;:[{&quot;name&quot;:&quot;Institute for the Future&quot;}]},{&quot;given&quot;:&quot;James&quot;,&quot;family&quot;:&quot;Euchner&quot;,&quot;sequence&quot;:&quot;additional&quot;,&quot;affiliation&quot;:[{&quot;name&quot;:&quot;Goodyear&quot;}]}],&quot;issue&quot;:&quot;1&quot;,&quot;issued&quot;:{&quot;date-parts&quot;:[[2013,1]]},&quot;volume&quot;:&quot;56&quot;,&quot;publisher&quot;:&quot;Informa UK Limited&quot;,&quot;container-title&quot;:&quot;Research-Technology Management&quot;,&quot;container-title-short&quot;:&quot;Research-Technology Management&quot;,&quot;URL&quot;:&quot;http://dx.doi.org/10.5437/08956308x5601003&quot;,&quot;page&quot;:&quot;10-15&quot;,&quot;accessed&quot;:{&quot;date-parts&quot;:[[2023,10,15]]},&quot;regularType&quot;:&quot;journalArticle&quot;},&quot;requiredFieldsMetadata&quot;:{&quot;ignoredFields&quot;:{},&quot;missingFields&quot;:{}}},{&quot;citationType&quot;:&quot;bookChapter&quot;,&quot;data&quot;:{&quot;id&quot;:&quot;fab0d861-8263-4599-a8df-e94bf004d602&quot;,&quot;type&quot;:&quot;chapter&quot;,&quot;title&quot;:&quot;How Competitive Forces Shape Strategy&quot;,&quot;DOI&quot;:&quot;10.1007/978-1-349-20317-8_10&quot;,&quot;author&quot;:[{&quot;given&quot;:&quot;Michael E.&quot;,&quot;family&quot;:&quot;Porter&quot;,&quot;sequence&quot;:&quot;first&quot;,&quot;affiliation&quot;:[]}],&quot;issued&quot;:{&quot;date-parts&quot;:[[1989]]},&quot;publisher&quot;:&quot;Macmillan Education UK&quot;,&quot;publisher-place&quot;:&quot;London&quot;,&quot;ISBN&quot;:[&quot;9780333518090&quot;,&quot;9781349203178&quot;],&quot;container-title&quot;:&quot;Readings in Strategic Management&quot;,&quot;URL&quot;:&quot;http://dx.doi.org/10.1007/978-1-349-20317-8_10&quot;,&quot;page&quot;:&quot;133-143&quot;,&quot;accessed&quot;:{&quot;date-parts&quot;:[[2023,10,15]]},&quot;regularType&quot;:&quot;bookChapter&quot;},&quot;requiredFieldsMetadata&quot;:{&quot;ignoredFields&quot;:{},&quot;missingFields&quot;:{&quot;Book author&quot;:&quot;original-author&quot;}}},{&quot;citationType&quot;:&quot;bookChapter&quot;,&quot;data&quot;:{&quot;id&quot;:&quot;6db39e47-bf95-44ee-92dd-a30d4839f64c&quot;,&quot;type&quot;:&quot;chapter&quot;,&quot;title&quot;:&quot;Capitalism, Socialism, and Freedom&quot;,&quot;DOI&quot;:&quot;10.1093/0198293577.003.0002&quot;,&quot;author&quot;:[{&quot;given&quot;:&quot;Philippe&quot;,&quot;family&quot;:&quot;Van Parijs&quot;,&quot;sequence&quot;:&quot;first&quot;,&quot;affiliation&quot;:[]}],&quot;issued&quot;:{&quot;date-parts&quot;:[[1997,11,27]]},&quot;publisher&quot;:&quot;Oxford University PressOxford&quot;,&quot;ISBN&quot;:[&quot;0198293577&quot;,&quot;9780198293576&quot;,&quot;9780191600074&quot;],&quot;container-title&quot;:&quot;Real Freedom for All&quot;,&quot;URL&quot;:&quot;http://dx.doi.org/10.1093/0198293577.003.0002&quot;,&quot;page&quot;:&quot;3-29&quot;,&quot;accessed&quot;:{&quot;date-parts&quot;:[[2023,10,15]]},&quot;regularType&quot;:&quot;bookChapter&quot;},&quot;requiredFieldsMetadata&quot;:{&quot;ignoredFields&quot;:{},&quot;missingFields&quot;:{&quot;Book author&quot;:&quot;original-author&quot;}}},{&quot;citationType&quot;:&quot;newsArticle&quot;,&quot;data&quot;:{&quot;id&quot;:&quot;706edad5-c671-4ef3-9127-187007e10b49&quot;,&quot;type&quot;:&quot;article-newspaper&quot;,&quot;container-title&quot;:&quot;Corporate Finance Institute&quot;,&quot;URL&quot;:&quot;https://corporatefinanceinstitute.com/resources/accounting/product-costs/&quot;,&quot;author&quot;:[{&quot;literal&quot;:&quot;CFI Team&quot;}],&quot;title&quot;:&quot;Product Costs&quot;,&quot;favicon&quot;:&quot;https://cdn.corporatefinanceinstitute.com/assets/cropped-cfi-favicon-2-180x180.png&quot;,&quot;issued&quot;:{&quot;date-parts&quot;:[[2019,9,23]]},&quot;regularType&quot;:&quot;newsArticle&quot;,&quot;accessed&quot;:{&quot;date-parts&quot;:[[2023,10,15]]}},&quot;requiredFieldsMetadata&quot;:{&quot;ignoredFields&quot;:{},&quot;missingFields&quot;:{}}},{&quot;citationType&quot;:&quot;bookChapter&quot;,&quot;data&quot;:{&quot;id&quot;:&quot;4dc53b5f-368d-40f5-af2b-bf39230baa22&quot;,&quot;type&quot;:&quot;chapter&quot;,&quot;title&quot;:&quot;Northern Ireland and Brexit: where sovereignty and stability collide?&quot;,&quot;DOI&quot;:&quot;10.4324/9781003291770-9&quot;,&quot;author&quot;:[{&quot;given&quot;:&quot;Mary C.&quot;,&quot;family&quot;:&quot;Murphy&quot;,&quot;sequence&quot;:&quot;first&quot;,&quot;affiliation&quot;:[]}],&quot;issued&quot;:{&quot;date-parts&quot;:[[2022,3,10]]},&quot;publisher&quot;:&quot;Routledge&quot;,&quot;publisher-place&quot;:&quot;London&quot;,&quot;ISBN&quot;:[&quot;9781003291770&quot;],&quot;container-title&quot;:&quot;The Nested Games of Brexit&quot;,&quot;URL&quot;:&quot;http://dx.doi.org/10.4324/9781003291770-9&quot;,&quot;page&quot;:&quot;105-118&quot;,&quot;accessed&quot;:{&quot;date-parts&quot;:[[2023,10,15]]},&quot;regularType&quot;:&quot;bookChapter&quot;},&quot;requiredFieldsMetadata&quot;:{&quot;ignoredFields&quot;:{},&quot;missingFields&quot;:{&quot;Book author&quot;:&quot;original-author&quot;}}},{&quot;citationType&quot;:&quot;bookChapter&quot;,&quot;data&quot;:{&quot;id&quot;:&quot;a10706e5-23a4-4521-8d2c-e63f59055b2d&quot;,&quot;type&quot;:&quot;chapter&quot;,&quot;title&quot;:&quot;Transitioning Towards a Sustainable Energy Future: Challenges and Opportunities for India&quot;,&quot;DOI&quot;:&quot;10.1142/9789811204326_0008&quot;,&quot;author&quot;:[{&quot;given&quot;:&quot;Vikram Singh&quot;,&quot;family&quot;:&quot;Mehta&quot;,&quot;sequence&quot;:&quot;first&quot;,&quot;affiliation&quot;:[]}],&quot;issued&quot;:{&quot;date-parts&quot;:[[2019,7,18]]},&quot;publisher&quot;:&quot;WORLD SCIENTIFIC&quot;,&quot;container-title&quot;:&quot;Sustainable Energy Transition in South Asia&quot;,&quot;URL&quot;:&quot;http://dx.doi.org/10.1142/9789811204326_0008&quot;,&quot;page&quot;:&quot;139-151&quot;,&quot;accessed&quot;:{&quot;date-parts&quot;:[[2023,10,15]]},&quot;regularType&quot;:&quot;bookChapter&quot;},&quot;requiredFieldsMetadata&quot;:{&quot;ignoredFields&quot;:{},&quot;missingFields&quot;:{&quot;Book author&quot;:&quot;original-author&quot;}}},{&quot;citationType&quot;:&quot;report&quot;,&quot;data&quot;:{&quot;id&quot;:&quot;16916d24-4f0a-4034-a402-11892e381762&quot;,&quot;type&quot;:&quot;report&quot;,&quot;title&quot;:&quot;Innovative Solutions for Energy Transitions: Proceedings of the 11th International Conference on Applied Energy (ICAE2019)&quot;,&quot;DOI&quot;:&quot;10.46855/energy-proceedings-5084&quot;,&quot;author&quot;:[{&quot;given&quot;:&quot;Jinyue&quot;,&quot;family&quot;:&quot;Jinyue&quot;,&quot;sequence&quot;:&quot;first&quot;,&quot;affiliation&quot;:[]},{&quot;given&quot;:&quot;Jinyue&quot;,&quot;family&quot;:&quot;Yan&quot;,&quot;sequence&quot;:&quot;additional&quot;,&quot;affiliation&quot;:[]},{&quot;given&quot;:&quot;Erik&quot;,&quot;family&quot;:&quot;Dahlquist&quot;,&quot;sequence&quot;:&quot;additional&quot;,&quot;affiliation&quot;:[]},{&quot;given&quot;:&quot;Hailong&quot;,&quot;family&quot;:&quot;Li&quot;,&quot;sequence&quot;:&quot;additional&quot;,&quot;affiliation&quot;:[]},{&quot;given&quot;:&quot;Eva&quot;,&quot;family&quot;:&quot;Thorin&quot;,&quot;sequence&quot;:&quot;additional&quot;,&quot;affiliation&quot;:[]},{&quot;given&quot;:&quot;Fredrik&quot;,&quot;family&quot;:&quot;Wallin&quot;,&quot;sequence&quot;:&quot;additional&quot;,&quot;affiliation&quot;:[]},{&quot;given&quot;:&quot;Sk&quot;,&quot;family&quot;:&quot;Chou&quot;,&quot;sequence&quot;:&quot;additional&quot;,&quot;affiliation&quot;:[]}],&quot;issued&quot;:{&quot;date-parts&quot;:[[2019,3,10]]},&quot;publisher&quot;:&quot;Applied Energy Innovation Institute (AEii)&quot;,&quot;URL&quot;:&quot;http://dx.doi.org/10.46855/energy-proceedings-5084&quot;,&quot;accessed&quot;:{&quot;date-parts&quot;:[[2023,10,15]]},&quot;regularType&quot;:&quot;report&quot;},&quot;requiredFieldsMetadata&quot;:{&quot;ignoredFields&quot;:{},&quot;missingFields&quot;:{}}},{&quot;citationType&quot;:&quot;newsArticle&quot;,&quot;data&quot;:{&quot;id&quot;:&quot;890de36b-70ca-4844-9ded-d875a9970299&quot;,&quot;type&quot;:&quot;article-newspaper&quot;,&quot;container-title&quot;:&quot;Sky&quot;,&quot;URL&quot;:&quot;https://news.sky.com/story/global-shift-away-from-fossil-fuels-to-renewable-energy-by-2050-would-save-10trn-scientists-say-12696452&quot;,&quot;author&quot;:[{&quot;family&quot;:&quot;Moore&quot;,&quot;given&quot;:&quot;Thomas&quot;}],&quot;title&quot;:&quot;Global shift away from fossil fuels to renewable energy by 2050 would save £10trn, scientists say&quot;,&quot;favicon&quot;:&quot;https://news.sky.com/resources/apple-touch-icon-180x180.png?v=2&quot;,&quot;issued&quot;:{&quot;date-parts&quot;:[[2022,9,13]]},&quot;regularType&quot;:&quot;newsArticle&quot;,&quot;accessed&quot;:{&quot;date-parts&quot;:[[2023,10,15]]}},&quot;requiredFieldsMetadata&quot;:{&quot;ignoredFields&quot;:{},&quot;missingFields&quot;:{}}},{&quot;citationType&quot;:&quot;website&quot;,&quot;data&quot;:{&quot;id&quot;:&quot;156c78e4-d68a-4c91-a9bd-e6787fdab3c0&quot;,&quot;type&quot;:&quot;webpage&quot;,&quot;container-title&quot;:&quot;Ofgem&quot;,&quot;URL&quot;:&quot;https://www.ofgem.gov.uk/publications/changes-energy-supply-market-and-ofgems-approach-regulation&quot;,&quot;title&quot;:&quot;Changes in the energy supply market and Ofgem's approach to regulation&quot;,&quot;favicon&quot;:&quot;https://www.ofgem.gov.uk/themes/custom/numiko/favicons/apple-touch-icon.png&quot;,&quot;regularType&quot;:&quot;website&quot;,&quot;accessed&quot;:{&quot;date-parts&quot;:[[2023,10,15]]},&quot;author&quot;:[{&quot;literal&quot;:&quot;OFGEM&quot;,&quot;backups&quot;:{}}],&quot;issued&quot;:{&quot;date-parts&quot;:[[2023,7,4]]}},&quot;requiredFieldsMetadata&quot;:{&quot;ignoredFields&quot;:{},&quot;missingFields&quot;:{}}},{&quot;citationType&quot;:&quot;journalArticle&quot;,&quot;data&quot;:{&quot;id&quot;:&quot;ddac3a3b-fa9a-485b-85f1-4765ce47ad78&quot;,&quot;type&quot;:&quot;article-journal&quot;,&quot;title&quot;:&quot;Which policy instruments promote innovation in renewable electricity technologies? A critical review of the literature with a focus on auctions&quot;,&quot;DOI&quot;:&quot;10.1016/j.erss.2022.102501&quot;,&quot;ISSN&quot;:[&quot;2214-6296&quot;],&quot;author&quot;:[{&quot;given&quot;:&quot;Pablo&quot;,&quot;family&quot;:&quot;del Río&quot;,&quot;sequence&quot;:&quot;first&quot;,&quot;affiliation&quot;:[]},{&quot;given&quot;:&quot;Christoph P.&quot;,&quot;family&quot;:&quot;Kiefer&quot;,&quot;sequence&quot;:&quot;additional&quot;,&quot;affiliation&quot;:[]}],&quot;issued&quot;:{&quot;date-parts&quot;:[[2022,7]]},&quot;volume&quot;:&quot;89&quot;,&quot;publisher&quot;:&quot;Elsevier BV&quot;,&quot;container-title&quot;:&quot;Energy Research &amp;amp; Social Science&quot;,&quot;container-title-short&quot;:&quot;Energy Research &amp;amp; Social Science&quot;,&quot;URL&quot;:&quot;http://dx.doi.org/10.1016/j.erss.2022.102501&quot;,&quot;page&quot;:&quot;102501&quot;,&quot;accessed&quot;:{&quot;date-parts&quot;:[[2023,10,23]]},&quot;regularType&quot;:&quot;journalArticle&quot;},&quot;requiredFieldsMetadata&quot;:{&quot;ignoredFields&quot;:{},&quot;missingFields&quot;:{&quot;Issue number&quot;:&quot;issue&quot;}}},{&quot;citationType&quot;:&quot;journalArticle&quot;,&quot;data&quot;:{&quot;id&quot;:&quot;5fcd0e4f-26f1-4c6c-9452-299d5ff739dc&quot;,&quot;type&quot;:&quot;article-journal&quot;,&quot;title&quot;:&quot;System dynamics modelling to assess the impact of renewable energy systems and energy efficiency on the performance of the energy sector&quot;,&quot;DOI&quot;:&quot;10.1016/j.renene.2022.05.041&quot;,&quot;ISSN&quot;:[&quot;0960-1481&quot;],&quot;author&quot;:[{&quot;ORCID&quot;:&quot;http://orcid.org/0000-0001-8486-994X&quot;,&quot;authenticated-orcid&quot;:false,&quot;given&quot;:&quot;Mohamd&quot;,&quot;family&quot;:&quot;Laimon&quot;,&quot;sequence&quot;:&quot;first&quot;,&quot;affiliation&quot;:[]},{&quot;ORCID&quot;:&quot;http://orcid.org/0000-0002-1046-4365&quot;,&quot;authenticated-orcid&quot;:false,&quot;given&quot;:&quot;Thanh&quot;,&quot;family&quot;:&quot;Mai&quot;,&quot;sequence&quot;:&quot;additional&quot;,&quot;affiliation&quot;:[]},{&quot;ORCID&quot;:&quot;http://orcid.org/0000-0002-8583-4586&quot;,&quot;authenticated-orcid&quot;:false,&quot;given&quot;:&quot;Steven&quot;,&quot;family&quot;:&quot;Goh&quot;,&quot;sequence&quot;:&quot;additional&quot;,&quot;affiliation&quot;:[]},{&quot;ORCID&quot;:&quot;http://orcid.org/0000-0002-5332-4792&quot;,&quot;authenticated-orcid&quot;:false,&quot;given&quot;:&quot;Talal&quot;,&quot;family&quot;:&quot;Yusaf&quot;,&quot;sequence&quot;:&quot;additional&quot;,&quot;affiliation&quot;:[]}],&quot;issued&quot;:{&quot;date-parts&quot;:[[2022,6]]},&quot;volume&quot;:&quot;193&quot;,&quot;publisher&quot;:&quot;Elsevier BV&quot;,&quot;container-title&quot;:&quot;Renewable Energy&quot;,&quot;container-title-short&quot;:&quot;Renewable Energy&quot;,&quot;URL&quot;:&quot;http://dx.doi.org/10.1016/j.renene.2022.05.041&quot;,&quot;page&quot;:&quot;1041-1048&quot;,&quot;accessed&quot;:{&quot;date-parts&quot;:[[2023,10,23]]},&quot;regularType&quot;:&quot;journalArticle&quot;},&quot;requiredFieldsMetadata&quot;:{&quot;ignoredFields&quot;:{},&quot;missingFields&quot;:{&quot;Issue number&quot;:&quot;issue&quot;}}},{&quot;citationType&quot;:&quot;journalArticle&quot;,&quot;data&quot;:{&quot;id&quot;:&quot;84cdacf5-9095-4510-b562-9a71eba8f0db&quot;,&quot;type&quot;:&quot;article-journal&quot;,&quot;title&quot;:&quot;Consumer viewpoint on a new kind of energy market&quot;,&quot;DOI&quot;:&quot;10.1016/j.epsr.2019.106153&quot;,&quot;ISSN&quot;:[&quot;0378-7796&quot;],&quot;author&quot;:[{&quot;ORCID&quot;:&quot;http://orcid.org/0000-0003-2970-5859&quot;,&quot;authenticated-orcid&quot;:false,&quot;given&quot;:&quot;Anne&quot;,&quot;family&quot;:&quot;Immonen&quot;,&quot;sequence&quot;:&quot;first&quot;,&quot;affiliation&quot;:[]},{&quot;given&quot;:&quot;Jussi&quot;,&quot;family&quot;:&quot;Kiljander&quot;,&quot;sequence&quot;:&quot;additional&quot;,&quot;affiliation&quot;:[]},{&quot;given&quot;:&quot;Matti&quot;,&quot;family&quot;:&quot;Aro&quot;,&quot;sequence&quot;:&quot;additional&quot;,&quot;affiliation&quot;:[]}],&quot;issued&quot;:{&quot;date-parts&quot;:[[2020,3]]},&quot;volume&quot;:&quot;180&quot;,&quot;publisher&quot;:&quot;Elsevier BV&quot;,&quot;container-title&quot;:&quot;Electric Power Systems Research&quot;,&quot;container-title-short&quot;:&quot;Electric Power Systems Research&quot;,&quot;URL&quot;:&quot;http://dx.doi.org/10.1016/j.epsr.2019.106153&quot;,&quot;page&quot;:&quot;106153&quot;,&quot;accessed&quot;:{&quot;date-parts&quot;:[[2023,10,23]]},&quot;regularType&quot;:&quot;journalArticle&quot;},&quot;requiredFieldsMetadata&quot;:{&quot;ignoredFields&quot;:{},&quot;missingFields&quot;:{&quot;Issue number&quot;:&quot;issue&quot;}}},{&quot;citationType&quot;:&quot;website&quot;,&quot;data&quot;:{&quot;id&quot;:&quot;74579034-1552-4872-9419-18b458f9dd15&quot;,&quot;type&quot;:&quot;webpage&quot;,&quot;container-title&quot;:&quot;Business Live&quot;,&quot;URL&quot;:&quot;https://www.business-live.co.uk/special-features/how-sse-energy-solutions-helping-27518784&quot;,&quot;author&quot;:[{&quot;family&quot;:&quot;Rutherford&quot;,&quot;given&quot;:&quot;Rachel&quot;}],&quot;title&quot;:&quot;How SSE Energy Solutions is helping pave the net zero path for businesses of all sizes&quot;,&quot;favicon&quot;:&quot;https://s2-prod.business-live.co.uk/@trinitymirrordigital/chameleon-branding/publications/birminghampost/img/favicon.9b7adaf81d10eaf7.ico&quot;,&quot;issued&quot;:{&quot;date-parts&quot;:[[2023,9,7]]},&quot;regularType&quot;:&quot;website&quot;,&quot;accessed&quot;:{&quot;date-parts&quot;:[[2023,10,23]]}},&quot;requiredFieldsMetadata&quot;:{&quot;ignoredFields&quot;:{},&quot;missingFields&quot;:{}}},{&quot;citationType&quot;:&quot;website&quot;,&quot;data&quot;:{&quot;id&quot;:&quot;4fe75933-962b-4918-a139-d156d09b27c2&quot;,&quot;type&quot;:&quot;webpage&quot;,&quot;container-title&quot;:&quot;OECD&quot;,&quot;URL&quot;:&quot;https://www.oecd.org/competition/competition-in-energy-markets.htm&quot;,&quot;title&quot;:&quot;Competition in Energy Markets&quot;,&quot;favicon&quot;:&quot;https://www.oecd.org/media/oecdorg/styleassets/images/favicon/favicon.gif&quot;,&quot;regularType&quot;:&quot;website&quot;,&quot;accessed&quot;:{&quot;date-parts&quot;:[[2023,10,23]]},&quot;author&quot;:[{&quot;literal&quot;:&quot;OECD&quot;,&quot;backups&quot;:{}}],&quot;issued&quot;:{&quot;date-parts&quot;:[[2022,&quot;&quot;,&quot;&quot;]]},&quot;publisher&quot;:&quot;O&quot;},&quot;requiredFieldsMetadata&quot;:{&quot;ignoredFields&quot;:{},&quot;missingFields&quot;:{}}},{&quot;citationType&quot;:&quot;website&quot;,&quot;data&quot;:{&quot;id&quot;:&quot;41568267-3c90-4ff0-afa8-73885a8f9f63&quot;,&quot;type&quot;:&quot;webpage&quot;,&quot;container-title&quot;:&quot;IEA&quot;,&quot;URL&quot;:&quot;https://iea.blob.core.windows.net/assets/a2ebe026-aff4-4e1a-951b-8b647f7ef3e3/CompetitioninElectricityMarkets.pdf&quot;,&quot;title&quot;:&quot;Competition in Electricity Markets – Analysis&quot;,&quot;favicon&quot;:&quot;https://www.iea.org/assets/front/images/apple-touch-icon.png&quot;,&quot;regularType&quot;:&quot;website&quot;,&quot;accessed&quot;:{&quot;date-parts&quot;:[[2023,10,23]]},&quot;issued&quot;:{&quot;date-parts&quot;:[[2001,2,&quot;&quot;]]},&quot;author&quot;:[{&quot;literal&quot;:&quot;IEA&quot;,&quot;backups&quot;:{}}],&quot;annote&quot;:&quot;License: CC BY 4.0&quot;},&quot;requiredFieldsMetadata&quot;:{&quot;ignoredFields&quot;:{},&quot;missingFields&quot;:{}}}],&quot;style&quot;:{&quot;name&quot;:&quot;Cardiff University - Harvard&quot;,&quot;xml&quot;:&quot;&lt;?xml version=\&quot;1.0\&quot; encoding=\&quot;utf-8\&quot;?&gt;\n&lt;style xmlns=\&quot;http://purl.org/net/xbiblio/csl\&quot; class=\&quot;in-text\&quot; version=\&quot;1.0\&quot; demote-non-dropping-particle=\&quot;sort-only\&quot;&gt;\n  &lt;info&gt;\n    &lt;title&gt;Cardiff University - Harvard&lt;/title&gt;\n    &lt;id&gt;http://www.zotero.org/styles/cardiff-university-harvard&lt;/id&gt;\n    &lt;link href=\&quot;http://www.zotero.org/styles/cardiff-university-harvard\&quot; rel=\&quot;self\&quot;/&gt;\n    &lt;link href=\&quot;https://xerte.cardiff.ac.uk/play_4191\&quot; rel=\&quot;documentation\&quot;/&gt;\n    &lt;link href=\&quot;https://xerte.cardiff.ac.uk/play_4069\&quot; rel=\&quot;documentation\&quot;/&gt;\n    &lt;link href=\&quot;https://github.com/citation-style-language/styles/pull/3676#issuecomment-420542651\&quot; rel=\&quot;documentation\&quot;/&gt;\n    &lt;author&gt;\n      &lt;name&gt;Zoe Young&lt;/name&gt;\n      &lt;email&gt;youngz@cardiff.ac.uk&lt;/email&gt;\n    &lt;/author&gt;\n    &lt;author&gt;\n      &lt;name&gt;Lewys Peters&lt;/name&gt;\n    &lt;/author&gt;\n    &lt;category citation-format=\&quot;author-date\&quot;/&gt;\n    &lt;category field=\&quot;generic-base\&quot;/&gt;\n    &lt;summary&gt;The Harvard author-date style - adapted for Cardiff University&lt;/summary&gt;\n    &lt;updated&gt;2022-08-22T08:20:08+00:00&lt;/updated&gt;\n    &lt;rights license=\&quot;http://creativecommons.org/licenses/by-sa/3.0/\&quot;&gt;This work is licensed under a Creative Commons Attribution-ShareAlike 3.0 License&lt;/rights&gt;\n  &lt;/info&gt;\n  &lt;macro name=\&quot;editor\&quot;&gt;\n    &lt;names variable=\&quot;editor\&quot; delimiter=\&quot;, \&quot;&gt;\n      &lt;name name-as-sort-order=\&quot;all\&quot; and=\&quot;text\&quot; sort-separator=\&quot;, \&quot; initialize-with=\&quot;. \&quot; delimiter=\&quot;, \&quot;/&gt;\n      &lt;label form=\&quot;short\&quot; prefix=\&quot; \&quot;/&gt;\n    &lt;/names&gt;\n  &lt;/macro&gt;\n  &lt;macro name=\&quot;author\&quot;&gt;\n    &lt;names variable=\&quot;author\&quot;&gt;\n      &lt;name name-as-sort-order=\&quot;all\&quot; and=\&quot;text\&quot; sort-separator=\&quot;, \&quot; initialize-with=\&quot;.\&quot; delimiter-precedes-last=\&quot;never\&quot; delimiter=\&quot;, \&quot;/&gt;\n      &lt;label form=\&quot;short\&quot; prefix=\&quot; \&quot;/&gt;\n      &lt;substitute&gt;\n        &lt;names variable=\&quot;editor\&quot;/&gt;\n        &lt;choose&gt;\n          &lt;if type=\&quot;article-newspaper article-magazine\&quot; match=\&quot;any\&quot;&gt;\n            &lt;text variable=\&quot;container-title\&quot;/&gt;\n          &lt;/if&gt;\n          &lt;else&gt;\n            &lt;text macro=\&quot;title\&quot;/&gt;\n          &lt;/else&gt;\n        &lt;/choose&gt;\n      &lt;/substitute&gt;\n    &lt;/names&gt;\n  &lt;/macro&gt;\n  &lt;macro name=\&quot;author-short\&quot;&gt;\n    &lt;names variable=\&quot;author\&quot;&gt;\n      &lt;name form=\&quot;short\&quot; and=\&quot;text\&quot; delimiter=\&quot;, \&quot; delimiter-precedes-last=\&quot;never\&quot; initialize-with=\&quot;. \&quot;/&gt;\n      &lt;substitute&gt;\n        &lt;names variable=\&quot;editor\&quot;/&gt;\n        &lt;names variable=\&quot;translator\&quot;/&gt;\n        &lt;choose&gt;\n          &lt;if type=\&quot;article-newspaper article-magazine\&quot; match=\&quot;any\&quot;&gt;\n            &lt;text variable=\&quot;container-title\&quot; text-case=\&quot;title\&quot; font-style=\&quot;italic\&quot;/&gt;\n          &lt;/if&gt;\n          &lt;else&gt;\n            &lt;text macro=\&quot;title\&quot;/&gt;\n          &lt;/else&gt;\n        &lt;/choose&gt;\n      &lt;/substitute&gt;\n    &lt;/names&gt;\n  &lt;/macro&gt;\n  &lt;macro name=\&quot;access\&quot;&gt;\n    &lt;choose&gt;\n      &lt;if variable=\&quot;URL\&quot; match=\&quot;all\&quot;&gt;\n        &lt;group delimiter=\&quot; \&quot;&gt;\n          &lt;group delimiter=\&quot;: \&quot;&gt;\n            &lt;text term=\&quot;available at\&quot; text-case=\&quot;capitalize-first\&quot;/&gt;\n            &lt;text variable=\&quot;URL\&quot;/&gt;\n          &lt;/group&gt;\n          &lt;group prefix=\&quot;[\&quot; suffix=\&quot;]\&quot; delimiter=\&quot;: \&quot;&gt;\n            &lt;text term=\&quot;accessed\&quot; text-case=\&quot;capitalize-first\&quot;/&gt;\n            &lt;date variable=\&quot;accessed\&quot;&gt;\n              &lt;date-part name=\&quot;day\&quot; suffix=\&quot; \&quot;/&gt;\n              &lt;date-part name=\&quot;month\&quot; suffix=\&quot; \&quot;/&gt;\n              &lt;date-part name=\&quot;year\&quot;/&gt;\n            &lt;/date&gt;\n          &lt;/group&gt;\n        &lt;/group&gt;\n      &lt;/if&gt;\n      &lt;else-if match=\&quot;all\&quot; variable=\&quot;DOI\&quot;&gt;\n        &lt;text variable=\&quot;DOI\&quot; prefix=\&quot;doi: \&quot;/&gt;\n      &lt;/else-if&gt;\n    &lt;/choose&gt;\n  &lt;/macro&gt;\n  &lt;macro name=\&quot;title\&quot;&gt;\n    &lt;choose&gt;\n      &lt;if type=\&quot;bill book graphic legal_case legislation motion_picture report song thesis patent\&quot; match=\&quot;any\&quot;&gt;\n        &lt;text variable=\&quot;title\&quot; font-style=\&quot;italic\&quot;/&gt;\n      &lt;/if&gt;\n      &lt;else&gt;\n        &lt;text variable=\&quot;title\&quot; suffix=\&quot;.\&quot;/&gt;\n      &lt;/else&gt;\n    &lt;/choose&gt;\n  &lt;/macro&gt;\n  &lt;macro name=\&quot;publisher\&quot;&gt;\n    &lt;group delimiter=\&quot;: \&quot; suffix=\&quot;\&quot;&gt;\n      &lt;text variable=\&quot;publisher-place\&quot;/&gt;\n      &lt;text variable=\&quot;publisher\&quot;/&gt;\n    &lt;/group&gt;\n  &lt;/macro&gt;\n  &lt;macro name=\&quot;year-date\&quot;&gt;\n    &lt;choose&gt;\n      &lt;if type=\&quot;bill legislation\&quot; match=\&quot;none\&quot;&gt;\n        &lt;choose&gt;\n          &lt;if variable=\&quot;issued\&quot;&gt;\n            &lt;date variable=\&quot;issued\&quot;&gt;\n              &lt;date-part name=\&quot;year\&quot;/&gt;\n            &lt;/date&gt;\n            &lt;text variable=\&quot;year-suffix\&quot;/&gt;\n          &lt;/if&gt;\n          &lt;else&gt;\n            &lt;text term=\&quot;no date\&quot; prefix=\&quot;[\&quot; suffix=\&quot;]\&quot;/&gt;\n            &lt;text variable=\&quot;year-suffix\&quot; prefix=\&quot;[\&quot; suffix=\&quot;]\&quot;/&gt;\n          &lt;/else&gt;\n        &lt;/choose&gt;\n      &lt;/if&gt;\n    &lt;/choose&gt;\n  &lt;/macro&gt;\n  &lt;macro name=\&quot;published-date\&quot;&gt;\n    &lt;choose&gt;\n      &lt;if type=\&quot;article-newspaper article-magazine speech\&quot; match=\&quot;any\&quot;&gt;\n        &lt;date variable=\&quot;issued\&quot;&gt;\n          &lt;date-part name=\&quot;day\&quot; prefix=\&quot; \&quot; suffix=\&quot; \&quot;/&gt;\n          &lt;date-part name=\&quot;month\&quot; form=\&quot;long\&quot;/&gt;\n        &lt;/date&gt;\n      &lt;/if&gt;\n    &lt;/choose&gt;\n  &lt;/macro&gt;\n  &lt;macro name=\&quot;edition\&quot;&gt;\n    &lt;choose&gt;\n      &lt;if is-numeric=\&quot;edition\&quot;&gt;\n        &lt;group delimiter=\&quot; \&quot;&gt;\n          &lt;number variable=\&quot;edition\&quot; form=\&quot;ordinal\&quot;/&gt;\n          &lt;text term=\&quot;edition\&quot; form=\&quot;short\&quot;/&gt;\n        &lt;/group&gt;\n      &lt;/if&gt;\n      &lt;else&gt;\n        &lt;text variable=\&quot;edition\&quot; suffix=\&quot;.\&quot;/&gt;\n      &lt;/else&gt;\n    &lt;/choose&gt;\n  &lt;/macro&gt;\n  &lt;macro name=\&quot;pages\&quot;&gt;\n    &lt;choose&gt;\n      &lt;if type=\&quot;chapter paper-conference article article-journal article-magazine article-newspaper book review review-book report\&quot; match=\&quot;any\&quot;&gt;\n        &lt;group&gt;\n          &lt;label variable=\&quot;page\&quot; form=\&quot;short\&quot; suffix=\&quot; \&quot;/&gt;\n          &lt;text variable=\&quot;page\&quot; suffix=\&quot;.\&quot;/&gt;\n        &lt;/group&gt;\n      &lt;/if&gt;\n    &lt;/choose&gt;\n  &lt;/macro&gt;\n  &lt;macro name=\&quot;bill-detail\&quot;&gt;\n    &lt;choose&gt;\n      &lt;if type=\&quot;bill legislation\&quot; match=\&quot;any\&quot;&gt;\n        &lt;group&gt;\n          &lt;text variable=\&quot;section\&quot;/&gt;\n          &lt;text variable=\&quot;volume\&quot;/&gt;\n        &lt;/group&gt;\n      &lt;/if&gt;\n    &lt;/choose&gt;\n  &lt;/macro&gt;\n  &lt;macro name=\&quot;patent\&quot;&gt;\n    &lt;text variable=\&quot;number\&quot; suffix=\&quot; [Patent].\&quot;/&gt;\n  &lt;/macro&gt;\n  &lt;citation et-al-min=\&quot;3\&quot; et-al-use-first=\&quot;1\&quot; disambiguate-add-year-suffix=\&quot;true\&quot;&gt;\n    &lt;sort&gt;\n      &lt;key macro=\&quot;year-date\&quot;/&gt;\n      &lt;key variable=\&quot;author\&quot;/&gt;\n    &lt;/sort&gt;\n    &lt;layout prefix=\&quot;(\&quot; suffix=\&quot;)\&quot; delimiter=\&quot;; \&quot;&gt;\n      &lt;group delimiter=\&quot;, \&quot;&gt;\n        &lt;group delimiter=\&quot; \&quot;&gt;\n          &lt;text macro=\&quot;author-short\&quot;/&gt;\n          &lt;text macro=\&quot;year-date\&quot;/&gt;\n        &lt;/group&gt;\n        &lt;group&gt;\n          &lt;label variable=\&quot;locator\&quot; form=\&quot;short\&quot;/&gt;\n          &lt;text variable=\&quot;locator\&quot;/&gt;\n        &lt;/group&gt;\n      &lt;/group&gt;\n    &lt;/layout&gt;\n  &lt;/citation&gt;\n  &lt;bibliography et-al-min=\&quot;8\&quot; et-al-use-first=\&quot;1\&quot; hanging-indent=\&quot;false\&quot;&gt;\n    &lt;sort&gt;\n      &lt;key macro=\&quot;author\&quot;/&gt;\n      &lt;key macro=\&quot;year-date\&quot;/&gt;\n      &lt;key variable=\&quot;title\&quot;/&gt;\n    &lt;/sort&gt;\n    &lt;layout&gt;\n      &lt;text macro=\&quot;author\&quot;/&gt;\n      &lt;text macro=\&quot;year-date\&quot; prefix=\&quot; \&quot; suffix=\&quot;.\&quot;/&gt;\n      &lt;choose&gt;\n        &lt;if type=\&quot;bill book graphic legal_case legislation motion_picture report song\&quot; match=\&quot;any\&quot;&gt;\n          &lt;group delimiter=\&quot;. \&quot; prefix=\&quot; \&quot; suffix=\&quot;.\&quot;&gt;\n            &lt;text macro=\&quot;title\&quot;/&gt;\n            &lt;text macro=\&quot;edition\&quot;/&gt;\n            &lt;text macro=\&quot;editor\&quot;/&gt;\n            &lt;text macro=\&quot;publisher\&quot;/&gt;\n            &lt;text macro=\&quot;bill-detail\&quot;/&gt;\n          &lt;/group&gt;\n        &lt;/if&gt;\n        &lt;else-if type=\&quot;chapter paper-conference\&quot; match=\&quot;any\&quot;&gt;\n          &lt;text macro=\&quot;title\&quot; prefix=\&quot; \&quot; suffix=\&quot;.\&quot;/&gt;\n          &lt;group prefix=\&quot; \&quot; delimiter=\&quot; \&quot;&gt;\n            &lt;text term=\&quot;in\&quot; text-case=\&quot;capitalize-first\&quot; suffix=\&quot;:\&quot;/&gt;\n            &lt;text macro=\&quot;editor\&quot;/&gt;\n            &lt;text variable=\&quot;container-title\&quot; font-style=\&quot;italic\&quot; suffix=\&quot;.\&quot;/&gt;\n            &lt;text variable=\&quot;collection-title\&quot; suffix=\&quot;.\&quot;/&gt;\n          &lt;/group&gt;\n          &lt;group prefix=\&quot; \&quot; delimiter=\&quot; \&quot;&gt;\n            &lt;text macro=\&quot;edition\&quot;/&gt;\n            &lt;group suffix=\&quot;\&quot; delimiter=\&quot;, \&quot;&gt;\n              &lt;text macro=\&quot;publisher\&quot;/&gt;\n            &lt;/group&gt;\n          &lt;/group&gt;\n        &lt;/else-if&gt;\n        &lt;else-if type=\&quot;thesis\&quot;&gt;\n          &lt;group prefix=\&quot; \&quot; delimiter=\&quot;. \&quot; suffix=\&quot;.\&quot;&gt;\n            &lt;text macro=\&quot;title\&quot;/&gt;\n            &lt;text macro=\&quot;edition\&quot;/&gt;\n          &lt;/group&gt;\n          &lt;group prefix=\&quot; \&quot; delimiter=\&quot;, \&quot; suffix=\&quot;.\&quot;&gt;\n            &lt;text variable=\&quot;genre\&quot;/&gt;\n            &lt;text macro=\&quot;publisher\&quot;/&gt;\n          &lt;/group&gt;\n        &lt;/else-if&gt;\n        &lt;else-if type=\&quot;webpage post post-weblog\&quot; match=\&quot;any\&quot;&gt;\n          &lt;group delimiter=\&quot;. \&quot; prefix=\&quot; \&quot; suffix=\&quot;.\&quot;&gt;\n            &lt;text macro=\&quot;title\&quot;/&gt;\n          &lt;/group&gt;\n        &lt;/else-if&gt;\n        &lt;else-if type=\&quot;patent\&quot; match=\&quot;any\&quot;&gt;\n          &lt;group delimiter=\&quot; \&quot; prefix=\&quot; \&quot; suffix=\&quot;.\&quot;&gt;\n            &lt;text macro=\&quot;title\&quot;/&gt;\n            &lt;text macro=\&quot;patent\&quot;/&gt;\n          &lt;/group&gt;\n        &lt;/else-if&gt;\n        &lt;else&gt;\n          &lt;group suffix=\&quot;.\&quot;&gt;\n            &lt;text macro=\&quot;title\&quot; prefix=\&quot; \&quot;/&gt;\n            &lt;text macro=\&quot;editor\&quot; prefix=\&quot; \&quot;/&gt;\n          &lt;/group&gt;\n          &lt;group prefix=\&quot; \&quot;&gt;\n            &lt;text variable=\&quot;container-title\&quot; font-style=\&quot;italic\&quot; suffix=\&quot; \&quot;/&gt;\n            &lt;text variable=\&quot;volume\&quot;/&gt;\n            &lt;text variable=\&quot;issue\&quot; prefix=\&quot;(\&quot; suffix=\&quot;)\&quot;/&gt;\n          &lt;/group&gt;\n        &lt;/else&gt;\n      &lt;/choose&gt;\n      &lt;group&gt;\n        &lt;text macro=\&quot;published-date\&quot;/&gt;\n        &lt;text macro=\&quot;pages\&quot; prefix=\&quot;, \&quot;/&gt;\n        &lt;text prefix=\&quot;. \&quot; macro=\&quot;access\&quot; suffix=\&quot;.\&quot;/&gt;\n      &lt;/group&gt;\n    &lt;/layout&gt;\n  &lt;/bibliography&gt;\n&lt;/style&gt;\n&quot;}}"/>
    <we:property name="bibcitation-word-document-id" value="&quot;bd6c38f2-f220-4b1e-9b9a-3cff27b8682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4CB2E7-054F-1841-BA89-45250E706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416</TotalTime>
  <Pages>34</Pages>
  <Words>8365</Words>
  <Characters>54452</Characters>
  <Application>Microsoft Office Word</Application>
  <DocSecurity>0</DocSecurity>
  <Lines>1274</Lines>
  <Paragraphs>496</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Joshua Depiver (2307234)</Company>
  <LinksUpToDate>false</LinksUpToDate>
  <CharactersWithSpaces>62356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Strategic Assessment of Southern and Scottish Energy (SSE): Navigating a Transformative Energy Landscape</dc:subject>
  <dc:creator>Joshua Depiver (2307234)</dc:creator>
  <cp:keywords/>
  <dc:description/>
  <cp:lastModifiedBy>Joshua Depiver (2307234)</cp:lastModifiedBy>
  <cp:revision>105</cp:revision>
  <dcterms:created xsi:type="dcterms:W3CDTF">2023-10-05T19:30:00Z</dcterms:created>
  <dcterms:modified xsi:type="dcterms:W3CDTF">2023-11-22T02:09:00Z</dcterms:modified>
  <cp:category>Tutors Name: Anthony Burns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documentId_7127</vt:lpwstr>
  </property>
  <property fmtid="{D5CDD505-2E9C-101B-9397-08002B2CF9AE}" pid="3" name="grammarly_documentContext">
    <vt:lpwstr>{"goals":[],"domain":"general","emotions":[],"dialect":"british"}</vt:lpwstr>
  </property>
</Properties>
</file>