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AC6EF" w14:textId="097D6B14" w:rsidR="00141544" w:rsidRPr="00141544" w:rsidRDefault="00141544">
      <w:pPr>
        <w:rPr>
          <w:sz w:val="40"/>
          <w:szCs w:val="40"/>
        </w:rPr>
      </w:pPr>
      <w:r w:rsidRPr="00141544">
        <w:rPr>
          <w:sz w:val="40"/>
          <w:szCs w:val="40"/>
        </w:rPr>
        <w:t>Name Shaban Tabasum;</w:t>
      </w:r>
    </w:p>
    <w:p w14:paraId="25EECA1E" w14:textId="0D58346A" w:rsidR="00141544" w:rsidRPr="00141544" w:rsidRDefault="00141544">
      <w:pPr>
        <w:rPr>
          <w:sz w:val="40"/>
          <w:szCs w:val="40"/>
        </w:rPr>
      </w:pPr>
      <w:r w:rsidRPr="00141544">
        <w:rPr>
          <w:sz w:val="40"/>
          <w:szCs w:val="40"/>
        </w:rPr>
        <w:t>Student no 2331699;</w:t>
      </w:r>
    </w:p>
    <w:p w14:paraId="1137B29E" w14:textId="6000FAA8" w:rsidR="00141544" w:rsidRDefault="00141544" w:rsidP="00141544">
      <w:r w:rsidRPr="00141544">
        <w:rPr>
          <w:sz w:val="40"/>
          <w:szCs w:val="40"/>
        </w:rPr>
        <w:t xml:space="preserve">Moodle no </w:t>
      </w:r>
      <w:r w:rsidR="009B32A2">
        <w:rPr>
          <w:sz w:val="40"/>
          <w:szCs w:val="40"/>
        </w:rPr>
        <w:t>BMHP 5014</w:t>
      </w:r>
    </w:p>
    <w:p w14:paraId="17C4C54F" w14:textId="37F9AADD" w:rsidR="00141544" w:rsidRDefault="00141544">
      <w:r w:rsidRPr="00141544">
        <w:rPr>
          <w:sz w:val="40"/>
          <w:szCs w:val="40"/>
        </w:rPr>
        <w:t>Changemakers; Creativity &amp; Value Creation</w:t>
      </w:r>
      <w:r>
        <w:t>;</w:t>
      </w:r>
    </w:p>
    <w:p w14:paraId="56549D57" w14:textId="6A708877" w:rsidR="009B32A2" w:rsidRPr="009B32A2" w:rsidRDefault="009B32A2" w:rsidP="009B32A2">
      <w:r w:rsidRPr="009B32A2">
        <w:t>Connected Care</w:t>
      </w:r>
      <w:r w:rsidRPr="009B32A2">
        <w:t xml:space="preserve"> is a new digital triage and support platform that aims to fix many of the problems with the way NHS and social care are provided in the UK. </w:t>
      </w:r>
      <w:r w:rsidRPr="009B32A2">
        <w:t>Connected Care</w:t>
      </w:r>
      <w:r w:rsidRPr="009B32A2">
        <w:t xml:space="preserve"> wants to make it much easier for people to get safe, quick, and fair access to care by combining evidence-based triage algorithms, clinician dashboards, and easy-to-use patient tools. </w:t>
      </w:r>
      <w:r w:rsidRPr="009B32A2">
        <w:br/>
      </w:r>
      <w:r w:rsidRPr="009B32A2">
        <w:rPr>
          <w:sz w:val="36"/>
          <w:szCs w:val="36"/>
        </w:rPr>
        <w:t>Introduction</w:t>
      </w:r>
      <w:r>
        <w:rPr>
          <w:sz w:val="36"/>
          <w:szCs w:val="36"/>
        </w:rPr>
        <w:t>;</w:t>
      </w:r>
      <w:r w:rsidR="007A6973">
        <w:rPr>
          <w:sz w:val="36"/>
          <w:szCs w:val="36"/>
        </w:rPr>
        <w:t>(</w:t>
      </w:r>
      <w:r w:rsidRPr="009B32A2">
        <w:rPr>
          <w:rFonts w:ascii="Segoe UI" w:hAnsi="Segoe UI" w:cs="Segoe UI"/>
          <w:spacing w:val="1"/>
        </w:rPr>
        <w:t xml:space="preserve"> </w:t>
      </w:r>
      <w:r w:rsidRPr="009B32A2">
        <w:rPr>
          <w:sz w:val="36"/>
          <w:szCs w:val="36"/>
        </w:rPr>
        <w:t>NHS England</w:t>
      </w:r>
      <w:r w:rsidR="007A6973">
        <w:rPr>
          <w:sz w:val="36"/>
          <w:szCs w:val="36"/>
        </w:rPr>
        <w:t>,</w:t>
      </w:r>
      <w:r w:rsidRPr="009B32A2">
        <w:rPr>
          <w:sz w:val="36"/>
          <w:szCs w:val="36"/>
        </w:rPr>
        <w:t>2025)</w:t>
      </w:r>
      <w:r w:rsidRPr="009B32A2">
        <w:rPr>
          <w:sz w:val="36"/>
          <w:szCs w:val="36"/>
        </w:rPr>
        <w:br/>
      </w:r>
      <w:r w:rsidRPr="009B32A2">
        <w:t xml:space="preserve"> </w:t>
      </w:r>
      <w:r w:rsidRPr="009B32A2">
        <w:br/>
        <w:t xml:space="preserve">One of the biggest problems for the NHS and health and social care in the UK is making it easier for people to get medical care and cutting down on long wait times. Poor communication between patients and doctors causes delays and unnecessary trips to urgent and emergency care settings, which puts more stress on the system and costs millions of dollars each year. </w:t>
      </w:r>
      <w:proofErr w:type="spellStart"/>
      <w:r w:rsidRPr="009B32A2">
        <w:t>ConnectedCare</w:t>
      </w:r>
      <w:proofErr w:type="spellEnd"/>
      <w:r w:rsidRPr="009B32A2">
        <w:t xml:space="preserve"> wants to fill in these gaps with an integrated, real-time digital triage and support hub that was made with input from doctors, patients, and local governments. </w:t>
      </w:r>
      <w:r w:rsidRPr="009B32A2">
        <w:rPr>
          <w:rFonts w:ascii="Arial" w:hAnsi="Arial" w:cs="Arial"/>
        </w:rPr>
        <w:t>​</w:t>
      </w:r>
      <w:r w:rsidRPr="009B32A2">
        <w:t xml:space="preserve"> </w:t>
      </w:r>
      <w:r w:rsidRPr="009B32A2">
        <w:br/>
      </w:r>
      <w:r w:rsidRPr="009B32A2">
        <w:br/>
        <w:t xml:space="preserve">The Problem and the Proof </w:t>
      </w:r>
      <w:r w:rsidRPr="009B32A2">
        <w:br/>
        <w:t>Current NHS statistics show how serious and urgent capacity problems are for patients and their care. Recent data show that about 44% of GP appointments were made on the same day they were requested. However, more than 1.3 million appointments in England each month had to wait 28 days or longer. Long wait times have led to more "avoidable" emergency department admissions, which hurt the elderly and vulnerable the most. In October 2025 alone, more than 54,300 patients had to wait more than 12 hours for emergency care. This shows that the crisis in resource allocation and service integration is still going on.</w:t>
      </w:r>
      <w:r w:rsidR="007A6973">
        <w:t>(</w:t>
      </w:r>
      <w:r w:rsidRPr="009B32A2">
        <w:t xml:space="preserve"> </w:t>
      </w:r>
      <w:r w:rsidRPr="009B32A2">
        <w:rPr>
          <w:rFonts w:ascii="Arial" w:hAnsi="Arial" w:cs="Arial"/>
        </w:rPr>
        <w:t>​</w:t>
      </w:r>
      <w:r w:rsidRPr="009B32A2">
        <w:t xml:space="preserve"> Statist</w:t>
      </w:r>
      <w:r w:rsidR="007A6973">
        <w:t>,</w:t>
      </w:r>
      <w:r w:rsidR="007A6973" w:rsidRPr="007A6973">
        <w:rPr>
          <w:rFonts w:ascii="Segoe UI" w:hAnsi="Segoe UI" w:cs="Segoe UI"/>
          <w:spacing w:val="1"/>
        </w:rPr>
        <w:t xml:space="preserve"> </w:t>
      </w:r>
      <w:r w:rsidR="007A6973" w:rsidRPr="007A6973">
        <w:t xml:space="preserve"> </w:t>
      </w:r>
      <w:r w:rsidR="007A6973">
        <w:t>2025)</w:t>
      </w:r>
      <w:r w:rsidR="007A6973" w:rsidRPr="007A6973">
        <w:t> </w:t>
      </w:r>
      <w:r w:rsidRPr="009B32A2">
        <w:br/>
      </w:r>
      <w:r w:rsidRPr="009B32A2">
        <w:br/>
        <w:t xml:space="preserve">What Is Innovation? </w:t>
      </w:r>
      <w:r w:rsidRPr="009B32A2">
        <w:br/>
      </w:r>
      <w:proofErr w:type="spellStart"/>
      <w:r w:rsidRPr="009B32A2">
        <w:t>ConnectedCare</w:t>
      </w:r>
      <w:proofErr w:type="spellEnd"/>
      <w:r w:rsidRPr="009B32A2">
        <w:t xml:space="preserve"> is an online hub that is supported by a set of digital tools: </w:t>
      </w:r>
      <w:r w:rsidRPr="009B32A2">
        <w:br/>
      </w:r>
      <w:r w:rsidRPr="009B32A2">
        <w:br/>
        <w:t xml:space="preserve">A NICE-compliant chatbot helps patients with early assessment based on their symptoms. </w:t>
      </w:r>
      <w:r w:rsidRPr="009B32A2">
        <w:rPr>
          <w:rFonts w:ascii="Arial" w:hAnsi="Arial" w:cs="Arial"/>
        </w:rPr>
        <w:t>​</w:t>
      </w:r>
      <w:r w:rsidRPr="009B32A2">
        <w:t xml:space="preserve"> </w:t>
      </w:r>
      <w:r w:rsidRPr="009B32A2">
        <w:br/>
      </w:r>
      <w:r w:rsidRPr="009B32A2">
        <w:br/>
        <w:t xml:space="preserve">Scheduled video triage connects users to clinicians, fast assessment units, community </w:t>
      </w:r>
      <w:r w:rsidRPr="009B32A2">
        <w:lastRenderedPageBreak/>
        <w:t xml:space="preserve">nurses, or self- or primary care pathways. </w:t>
      </w:r>
      <w:r w:rsidRPr="009B32A2">
        <w:br/>
      </w:r>
      <w:r w:rsidRPr="009B32A2">
        <w:br/>
        <w:t xml:space="preserve">A clinician dashboard shows real-time information about wait times, patient safety alerts, and shared health records. This makes it easier for multidisciplinary teams to make decisions and work together. </w:t>
      </w:r>
      <w:r w:rsidRPr="009B32A2">
        <w:rPr>
          <w:rFonts w:ascii="Arial" w:hAnsi="Arial" w:cs="Arial"/>
        </w:rPr>
        <w:t>​</w:t>
      </w:r>
      <w:r w:rsidRPr="009B32A2">
        <w:t xml:space="preserve"> </w:t>
      </w:r>
      <w:r w:rsidRPr="009B32A2">
        <w:br/>
      </w:r>
      <w:r w:rsidRPr="009B32A2">
        <w:br/>
        <w:t xml:space="preserve">Secure messaging and digital referral systems speed up the process of moving patients from one level of care to another, bringing together partners from the community and the voluntary sector. </w:t>
      </w:r>
      <w:r w:rsidRPr="009B32A2">
        <w:br/>
      </w:r>
      <w:r w:rsidRPr="009B32A2">
        <w:br/>
        <w:t xml:space="preserve">A big part of the innovation is its commitment to fairness. For example, audio and plain language instructions are available for users with low literacy, telephone triage is available for people who don't have access to the internet, and multilingual support helps to fix local problems. </w:t>
      </w:r>
      <w:r w:rsidRPr="009B32A2">
        <w:rPr>
          <w:rFonts w:ascii="Arial" w:hAnsi="Arial" w:cs="Arial"/>
        </w:rPr>
        <w:t>​</w:t>
      </w:r>
      <w:r w:rsidRPr="009B32A2">
        <w:t xml:space="preserve"> </w:t>
      </w:r>
      <w:r w:rsidRPr="009B32A2">
        <w:br/>
      </w:r>
      <w:r w:rsidRPr="009B32A2">
        <w:br/>
        <w:t xml:space="preserve">Target Group and Effect </w:t>
      </w:r>
      <w:r w:rsidRPr="009B32A2">
        <w:br/>
      </w:r>
      <w:proofErr w:type="spellStart"/>
      <w:r w:rsidRPr="009B32A2">
        <w:t>ConnectedCare</w:t>
      </w:r>
      <w:proofErr w:type="spellEnd"/>
      <w:r w:rsidRPr="009B32A2">
        <w:t xml:space="preserve"> is especially helpful for older and adult patients who don't need emergency care, as well as for carers and primary/urgent care doctors who are getting more and more requests. The platform helps with better resource allocation, cuts down on unnecessary ED visits, and makes patients happier by making the first point of contact and triage process easier. </w:t>
      </w:r>
      <w:proofErr w:type="spellStart"/>
      <w:r w:rsidRPr="009B32A2">
        <w:t>ConnectedCare</w:t>
      </w:r>
      <w:proofErr w:type="spellEnd"/>
      <w:r w:rsidRPr="009B32A2">
        <w:t xml:space="preserve"> helps the NHS reach its goals for population health management and integrated care by offering personalised support pathways. </w:t>
      </w:r>
      <w:r w:rsidRPr="009B32A2">
        <w:rPr>
          <w:rFonts w:ascii="Arial" w:hAnsi="Arial" w:cs="Arial"/>
        </w:rPr>
        <w:t>​</w:t>
      </w:r>
      <w:r w:rsidRPr="009B32A2">
        <w:t xml:space="preserve"> </w:t>
      </w:r>
      <w:r w:rsidRPr="009B32A2">
        <w:br/>
      </w:r>
      <w:r w:rsidRPr="009B32A2">
        <w:br/>
        <w:t xml:space="preserve">Technical Information and Following the Rules </w:t>
      </w:r>
      <w:r w:rsidRPr="009B32A2">
        <w:br/>
        <w:t xml:space="preserve">The system's technical architecture follows NICE clinical guidelines, NHS-approved secure video standards, and lightweight EHR integration for real-time shared notes. End-to-end encryption, role-based access management, and strong audit logs are some of the security features that make sure the company follows UK data governance and clinical safety rules. An analytics dashboard helps with planning services and improving quality all the time, which is helpful during the pilot and scale-up phases. </w:t>
      </w:r>
      <w:r w:rsidRPr="009B32A2">
        <w:rPr>
          <w:rFonts w:ascii="Arial" w:hAnsi="Arial" w:cs="Arial"/>
        </w:rPr>
        <w:t>​</w:t>
      </w:r>
      <w:r w:rsidRPr="009B32A2">
        <w:t xml:space="preserve"> </w:t>
      </w:r>
      <w:r w:rsidRPr="009B32A2">
        <w:br/>
      </w:r>
      <w:r w:rsidRPr="009B32A2">
        <w:br/>
        <w:t xml:space="preserve">Schedule for Implementation </w:t>
      </w:r>
      <w:r w:rsidR="007A6973" w:rsidRPr="007A6973">
        <w:t> (Ogrinc et al., 2016)</w:t>
      </w:r>
      <w:r w:rsidRPr="009B32A2">
        <w:br/>
        <w:t xml:space="preserve">The following is a plan for a staged implementation process: </w:t>
      </w:r>
      <w:r w:rsidRPr="009B32A2">
        <w:br/>
      </w:r>
      <w:r w:rsidRPr="009B32A2">
        <w:br/>
        <w:t>Months 1</w:t>
      </w:r>
      <w:r w:rsidRPr="009B32A2">
        <w:rPr>
          <w:rFonts w:ascii="Aptos" w:hAnsi="Aptos" w:cs="Aptos"/>
        </w:rPr>
        <w:t>–</w:t>
      </w:r>
      <w:r w:rsidRPr="009B32A2">
        <w:t xml:space="preserve">3: Involve a lot of stakeholders and work with patients, doctors, and local governments to design the project. </w:t>
      </w:r>
      <w:r w:rsidRPr="009B32A2">
        <w:br/>
      </w:r>
      <w:r w:rsidRPr="009B32A2">
        <w:br/>
        <w:t>Months 4</w:t>
      </w:r>
      <w:r w:rsidRPr="009B32A2">
        <w:rPr>
          <w:rFonts w:ascii="Aptos" w:hAnsi="Aptos" w:cs="Aptos"/>
        </w:rPr>
        <w:t>–</w:t>
      </w:r>
      <w:r w:rsidRPr="009B32A2">
        <w:t xml:space="preserve">6: Making prototypes of the chatbot and clinician dashboard; testing for safety and governance. </w:t>
      </w:r>
      <w:r w:rsidRPr="009B32A2">
        <w:br/>
      </w:r>
      <w:r w:rsidRPr="009B32A2">
        <w:br/>
      </w:r>
      <w:r w:rsidRPr="009B32A2">
        <w:lastRenderedPageBreak/>
        <w:t xml:space="preserve">Months 7–8: Two-site pilot rollout, first user feedback, and ongoing improvements. </w:t>
      </w:r>
      <w:r w:rsidRPr="009B32A2">
        <w:br/>
      </w:r>
      <w:r w:rsidRPr="009B32A2">
        <w:br/>
        <w:t xml:space="preserve">Months 10–12: Full local rollout, training for clinicians, and gathering of baseline impact data. </w:t>
      </w:r>
      <w:r w:rsidRPr="009B32A2">
        <w:rPr>
          <w:rFonts w:ascii="Arial" w:hAnsi="Arial" w:cs="Arial"/>
        </w:rPr>
        <w:t>​</w:t>
      </w:r>
      <w:r w:rsidRPr="009B32A2">
        <w:t xml:space="preserve"> </w:t>
      </w:r>
      <w:r w:rsidRPr="009B32A2">
        <w:br/>
      </w:r>
      <w:r w:rsidRPr="009B32A2">
        <w:br/>
        <w:t xml:space="preserve">This timeline makes sure that stakeholders are involved in transformation efforts in a way that is consistent with NHS values and based on evidence. </w:t>
      </w:r>
      <w:r w:rsidRPr="009B32A2">
        <w:rPr>
          <w:rFonts w:ascii="Arial" w:hAnsi="Arial" w:cs="Arial"/>
        </w:rPr>
        <w:t>​</w:t>
      </w:r>
      <w:r w:rsidRPr="009B32A2">
        <w:t xml:space="preserve"> </w:t>
      </w:r>
      <w:r w:rsidRPr="009B32A2">
        <w:br/>
      </w:r>
      <w:r w:rsidRPr="009B32A2">
        <w:br/>
        <w:t xml:space="preserve">Strategy for spreading the word </w:t>
      </w:r>
      <w:r w:rsidRPr="009B32A2">
        <w:br/>
        <w:t xml:space="preserve">Digital campaigns, local engagement activities, NHS webinars, and partnerships with voluntary and social care sector partners will all help to promote </w:t>
      </w:r>
      <w:proofErr w:type="spellStart"/>
      <w:r w:rsidRPr="009B32A2">
        <w:t>ConnectedCare</w:t>
      </w:r>
      <w:proofErr w:type="spellEnd"/>
      <w:r w:rsidRPr="009B32A2">
        <w:t xml:space="preserve">. Dissemination will focus on fair access and measurable impact, using both traditional and digital channels to get as many stakeholders on board as possible. </w:t>
      </w:r>
      <w:r w:rsidRPr="009B32A2">
        <w:rPr>
          <w:rFonts w:ascii="Arial" w:hAnsi="Arial" w:cs="Arial"/>
        </w:rPr>
        <w:t>​</w:t>
      </w:r>
      <w:r w:rsidRPr="009B32A2">
        <w:t xml:space="preserve"> </w:t>
      </w:r>
      <w:r w:rsidRPr="009B32A2">
        <w:br/>
      </w:r>
      <w:r w:rsidRPr="009B32A2">
        <w:br/>
        <w:t xml:space="preserve">Evaluation and Metrics </w:t>
      </w:r>
      <w:r w:rsidR="00F90232" w:rsidRPr="00F90232">
        <w:t>(Bazzano et al., 2020)</w:t>
      </w:r>
      <w:r w:rsidRPr="009B32A2">
        <w:br/>
        <w:t xml:space="preserve">There is a strong evaluation framework in place that focusses on: </w:t>
      </w:r>
      <w:r w:rsidRPr="009B32A2">
        <w:br/>
      </w:r>
      <w:r w:rsidRPr="009B32A2">
        <w:br/>
        <w:t xml:space="preserve">Quantitative metrics include fewer unnecessary ED visits, faster response times from clinicians, lower cost per triage avoided, and data on clinician workload. </w:t>
      </w:r>
      <w:r w:rsidRPr="009B32A2">
        <w:rPr>
          <w:rFonts w:ascii="Arial" w:hAnsi="Arial" w:cs="Arial"/>
        </w:rPr>
        <w:t>​</w:t>
      </w:r>
      <w:r w:rsidRPr="009B32A2">
        <w:t xml:space="preserve"> </w:t>
      </w:r>
      <w:r w:rsidRPr="009B32A2">
        <w:br/>
      </w:r>
      <w:r w:rsidRPr="009B32A2">
        <w:br/>
        <w:t xml:space="preserve">Qualitative indicators: patient-reported experience, access fairness, and care quality. </w:t>
      </w:r>
      <w:r w:rsidRPr="009B32A2">
        <w:br/>
      </w:r>
      <w:r w:rsidRPr="009B32A2">
        <w:br/>
        <w:t xml:space="preserve">Mixed-methods analyses compare results from pilot and main study wards and use feedback loops to quickly improve quality. </w:t>
      </w:r>
      <w:r w:rsidRPr="009B32A2">
        <w:br/>
      </w:r>
      <w:r w:rsidRPr="009B32A2">
        <w:br/>
        <w:t xml:space="preserve">These metrics fit well with NHS evaluation guidance and quality improvement reporting standards. </w:t>
      </w:r>
      <w:r w:rsidRPr="009B32A2">
        <w:rPr>
          <w:rFonts w:ascii="Arial" w:hAnsi="Arial" w:cs="Arial"/>
        </w:rPr>
        <w:t>​</w:t>
      </w:r>
      <w:r w:rsidRPr="009B32A2">
        <w:t xml:space="preserve"> </w:t>
      </w:r>
      <w:r w:rsidRPr="009B32A2">
        <w:br/>
      </w:r>
      <w:r w:rsidRPr="009B32A2">
        <w:br/>
        <w:t xml:space="preserve">Main Problems and Their Answers </w:t>
      </w:r>
      <w:r w:rsidRPr="009B32A2">
        <w:br/>
        <w:t xml:space="preserve">Digital exclusion, resistance from clinicians, and complicated data governance are some of the biggest problems: </w:t>
      </w:r>
      <w:r w:rsidRPr="009B32A2">
        <w:br/>
      </w:r>
      <w:r w:rsidRPr="009B32A2">
        <w:br/>
        <w:t xml:space="preserve">Providing telephone triage and community walk-in access points helps to solve digital exclusion. </w:t>
      </w:r>
      <w:r w:rsidRPr="009B32A2">
        <w:br/>
      </w:r>
      <w:r w:rsidRPr="009B32A2">
        <w:br/>
        <w:t xml:space="preserve">Showing that triage sessions save time and are safe for clinicians is a way to get them involved. </w:t>
      </w:r>
      <w:r w:rsidRPr="009B32A2">
        <w:br/>
      </w:r>
      <w:r w:rsidRPr="009B32A2">
        <w:br/>
        <w:t xml:space="preserve">Early DPIAs (Data Privacy Impact Assessments), NHS-standard contracts, and close monitoring of clinical safety incidents help with data governance issues. </w:t>
      </w:r>
      <w:r w:rsidRPr="009B32A2">
        <w:rPr>
          <w:rFonts w:ascii="Arial" w:hAnsi="Arial" w:cs="Arial"/>
        </w:rPr>
        <w:t>​</w:t>
      </w:r>
      <w:r w:rsidRPr="009B32A2">
        <w:t xml:space="preserve"> </w:t>
      </w:r>
      <w:r w:rsidRPr="009B32A2">
        <w:br/>
      </w:r>
      <w:r w:rsidRPr="009B32A2">
        <w:br/>
      </w:r>
      <w:r w:rsidRPr="009B32A2">
        <w:lastRenderedPageBreak/>
        <w:t xml:space="preserve">Reflecting Critically </w:t>
      </w:r>
      <w:r w:rsidRPr="009B32A2">
        <w:br/>
      </w:r>
      <w:proofErr w:type="spellStart"/>
      <w:r w:rsidRPr="009B32A2">
        <w:t>ConnectedCare</w:t>
      </w:r>
      <w:proofErr w:type="spellEnd"/>
      <w:r w:rsidRPr="009B32A2">
        <w:t xml:space="preserve"> makes good use of design and co-production principles by connecting evidence-based technology innovation with the needs of NHS staff on the front lines. Its strengths are that it is fair, supports clinicians, and can be used in the real world on a large scale. Some of the problems are that it might be hard to integrate with older systems and that it will always be necessary to improve support for people who speak more than one language or who have low literacy. The project's staged pilot, ongoing feedback, and emphasis on data openness lower risks and increase the chances of successful adoption. </w:t>
      </w:r>
      <w:r w:rsidRPr="009B32A2">
        <w:rPr>
          <w:rFonts w:ascii="Arial" w:hAnsi="Arial" w:cs="Arial"/>
        </w:rPr>
        <w:t>​</w:t>
      </w:r>
      <w:r w:rsidRPr="009B32A2">
        <w:t xml:space="preserve"> </w:t>
      </w:r>
      <w:r w:rsidRPr="009B32A2">
        <w:br/>
      </w:r>
      <w:r w:rsidRPr="009B32A2">
        <w:br/>
        <w:t xml:space="preserve">Final Thoughts </w:t>
      </w:r>
      <w:r w:rsidRPr="009B32A2">
        <w:br/>
      </w:r>
      <w:proofErr w:type="spellStart"/>
      <w:r w:rsidRPr="009B32A2">
        <w:t>ConnectedCare</w:t>
      </w:r>
      <w:proofErr w:type="spellEnd"/>
      <w:r w:rsidRPr="009B32A2">
        <w:t xml:space="preserve"> offers a strong, equity-focused model for healthcare innovation that is very relevant to the NHS's current goals. It offers scalable, patient-</w:t>
      </w:r>
      <w:proofErr w:type="spellStart"/>
      <w:r w:rsidRPr="009B32A2">
        <w:t>centered</w:t>
      </w:r>
      <w:proofErr w:type="spellEnd"/>
      <w:r w:rsidRPr="009B32A2">
        <w:t xml:space="preserve"> solutions for making pathways to home better and cutting down on unnecessary care bottlenecks by embedding clinical and data governance standards and putting co-design first. The poster and early results show that it creates value in many areas, including improving quality, the patient experience, and the long-term health of the system. </w:t>
      </w:r>
      <w:r w:rsidRPr="009B32A2">
        <w:rPr>
          <w:rFonts w:ascii="Arial" w:hAnsi="Arial" w:cs="Arial"/>
        </w:rPr>
        <w:t>​</w:t>
      </w:r>
    </w:p>
    <w:p w14:paraId="596F51BD" w14:textId="77777777" w:rsidR="009B32A2" w:rsidRDefault="009B32A2"/>
    <w:p w14:paraId="452AF148" w14:textId="77777777" w:rsidR="00F90232" w:rsidRPr="00F90232" w:rsidRDefault="00F90232" w:rsidP="00F90232">
      <w:pPr>
        <w:rPr>
          <w:b/>
          <w:bCs/>
        </w:rPr>
      </w:pPr>
      <w:r w:rsidRPr="00F90232">
        <w:rPr>
          <w:b/>
          <w:bCs/>
        </w:rPr>
        <w:t>Reports, Data Analyses, and Web Pages</w:t>
      </w:r>
    </w:p>
    <w:p w14:paraId="1B7721CA" w14:textId="77777777" w:rsidR="00F90232" w:rsidRPr="00F90232" w:rsidRDefault="00F90232" w:rsidP="00F90232">
      <w:r w:rsidRPr="00F90232">
        <w:t>NHS England. (2025) NHS waiting list hits two-year low as staff work to turn the tide. [Online]. Available at: </w:t>
      </w:r>
      <w:hyperlink r:id="rId8" w:tgtFrame="_blank" w:history="1">
        <w:r w:rsidRPr="00F90232">
          <w:rPr>
            <w:rStyle w:val="Hyperlink"/>
            <w:b/>
            <w:bCs/>
          </w:rPr>
          <w:t>https://www.england.nhs.uk/2025/06/nhs-waiting-list-hits-two-year-low-as-staff-work-to-turn-the-tide/</w:t>
        </w:r>
      </w:hyperlink>
      <w:r w:rsidRPr="00F90232">
        <w:t> [Accessed 19 November 2025].</w:t>
      </w:r>
    </w:p>
    <w:p w14:paraId="4457F290" w14:textId="77777777" w:rsidR="00F90232" w:rsidRPr="00F90232" w:rsidRDefault="00F90232" w:rsidP="00F90232">
      <w:r w:rsidRPr="00F90232">
        <w:t>British Medical Association (BMA). (2025) NHS backlog data analysis. [Online]. Available at: </w:t>
      </w:r>
      <w:hyperlink r:id="rId9" w:tgtFrame="_blank" w:history="1">
        <w:r w:rsidRPr="00F90232">
          <w:rPr>
            <w:rStyle w:val="Hyperlink"/>
            <w:b/>
            <w:bCs/>
          </w:rPr>
          <w:t>https://www.bma.org.uk/advice-and-support/nhs-delivery-and-workforce/pressures/nhs-backlog-data-analysis</w:t>
        </w:r>
      </w:hyperlink>
      <w:r w:rsidRPr="00F90232">
        <w:t> [Accessed 19 November 2025].</w:t>
      </w:r>
    </w:p>
    <w:p w14:paraId="7D015048" w14:textId="77777777" w:rsidR="00F90232" w:rsidRPr="00F90232" w:rsidRDefault="00F90232" w:rsidP="00F90232">
      <w:r w:rsidRPr="00F90232">
        <w:t>Statista. (2025) Wait times for a GP appointment England 2025. [Online]. Available at: </w:t>
      </w:r>
      <w:hyperlink r:id="rId10" w:tgtFrame="_blank" w:history="1">
        <w:r w:rsidRPr="00F90232">
          <w:rPr>
            <w:rStyle w:val="Hyperlink"/>
            <w:b/>
            <w:bCs/>
          </w:rPr>
          <w:t>https://www.statista.com/statistics/1608619/wait-times-for-a-gp-appointment-england/</w:t>
        </w:r>
      </w:hyperlink>
      <w:r w:rsidRPr="00F90232">
        <w:t> [Accessed 19 November 2025].</w:t>
      </w:r>
    </w:p>
    <w:p w14:paraId="3671CF6C" w14:textId="77777777" w:rsidR="00F90232" w:rsidRPr="00F90232" w:rsidRDefault="00F90232" w:rsidP="00F90232">
      <w:r w:rsidRPr="00F90232">
        <w:t>Statista. (2025) Wait times for a general practice appointment England 2025. [Online]. Available at: </w:t>
      </w:r>
      <w:hyperlink r:id="rId11" w:tgtFrame="_blank" w:history="1">
        <w:r w:rsidRPr="00F90232">
          <w:rPr>
            <w:rStyle w:val="Hyperlink"/>
            <w:b/>
            <w:bCs/>
          </w:rPr>
          <w:t>https://www.statista.com/statistics/1608549/wait-times-for-a-general-practice-appointment-england/</w:t>
        </w:r>
      </w:hyperlink>
      <w:r w:rsidRPr="00F90232">
        <w:t> [Accessed 19 November 2025].</w:t>
      </w:r>
    </w:p>
    <w:p w14:paraId="472F200D" w14:textId="77777777" w:rsidR="00F90232" w:rsidRPr="00F90232" w:rsidRDefault="00F90232" w:rsidP="00F90232">
      <w:pPr>
        <w:rPr>
          <w:b/>
          <w:bCs/>
        </w:rPr>
      </w:pPr>
      <w:r w:rsidRPr="00F90232">
        <w:rPr>
          <w:b/>
          <w:bCs/>
        </w:rPr>
        <w:t>Academic Journal Articles</w:t>
      </w:r>
    </w:p>
    <w:p w14:paraId="75ED66F0" w14:textId="77777777" w:rsidR="00F90232" w:rsidRPr="00F90232" w:rsidRDefault="00F90232" w:rsidP="00F90232">
      <w:r w:rsidRPr="00F90232">
        <w:t>Bazzano, A.N., Martin, J., Hicks, E., Faughnan, M., and Murphy, L. (2020) ‘Improving the reporting of health research involving design’, BMJ Global Health, 5(2), e002248. Available at: </w:t>
      </w:r>
      <w:hyperlink r:id="rId12" w:tgtFrame="_blank" w:history="1">
        <w:r w:rsidRPr="00F90232">
          <w:rPr>
            <w:rStyle w:val="Hyperlink"/>
            <w:b/>
            <w:bCs/>
          </w:rPr>
          <w:t>https://pmc.ncbi.nlm.nih.gov/articles/PMC7042569/</w:t>
        </w:r>
      </w:hyperlink>
      <w:r w:rsidRPr="00F90232">
        <w:t> [Accessed 19 November 2025].</w:t>
      </w:r>
    </w:p>
    <w:p w14:paraId="2F930BAF" w14:textId="77777777" w:rsidR="00F90232" w:rsidRPr="00F90232" w:rsidRDefault="00F90232" w:rsidP="00F90232">
      <w:r w:rsidRPr="00F90232">
        <w:lastRenderedPageBreak/>
        <w:t>Ogrinc, G., Nelson, W.A., Adams, S.M., and Huther, T. (2016) ‘How to Write Up Your Quality Improvement Initiatives for Publication’, BMJ Quality &amp; Safety, 25(8), pp. 558–563. Available at: </w:t>
      </w:r>
      <w:hyperlink r:id="rId13" w:tgtFrame="_blank" w:history="1">
        <w:r w:rsidRPr="00F90232">
          <w:rPr>
            <w:rStyle w:val="Hyperlink"/>
            <w:b/>
            <w:bCs/>
          </w:rPr>
          <w:t>https://pmc.ncbi.nlm.nih.gov/articles/PMC4857497/</w:t>
        </w:r>
      </w:hyperlink>
      <w:r w:rsidRPr="00F90232">
        <w:t> [Accessed 19 November 2025].</w:t>
      </w:r>
    </w:p>
    <w:p w14:paraId="37341436" w14:textId="77777777" w:rsidR="00F90232" w:rsidRPr="00F90232" w:rsidRDefault="00F90232" w:rsidP="00F90232">
      <w:r w:rsidRPr="00F90232">
        <w:pict w14:anchorId="1CF38466">
          <v:rect id="_x0000_i1031" style="width:0;height:.75pt" o:hralign="center" o:hrstd="t" o:hr="t" fillcolor="#a0a0a0" stroked="f"/>
        </w:pict>
      </w:r>
    </w:p>
    <w:p w14:paraId="1304BA31" w14:textId="7B664974" w:rsidR="00281F86" w:rsidRPr="00281F86" w:rsidRDefault="00281F86" w:rsidP="00281F86">
      <w:pPr>
        <w:rPr>
          <w:b/>
          <w:bCs/>
        </w:rPr>
      </w:pPr>
      <w:r>
        <w:rPr>
          <w:b/>
          <w:bCs/>
        </w:rPr>
        <w:t xml:space="preserve"> </w:t>
      </w:r>
      <w:proofErr w:type="spellStart"/>
      <w:r>
        <w:rPr>
          <w:b/>
          <w:bCs/>
        </w:rPr>
        <w:t>Connectedcare</w:t>
      </w:r>
      <w:proofErr w:type="spellEnd"/>
      <w:r>
        <w:rPr>
          <w:b/>
          <w:bCs/>
        </w:rPr>
        <w:t xml:space="preserve"> poster  references;</w:t>
      </w:r>
    </w:p>
    <w:p w14:paraId="3767B315" w14:textId="77777777" w:rsidR="00281F86" w:rsidRPr="00281F86" w:rsidRDefault="00281F86" w:rsidP="00281F86">
      <w:pPr>
        <w:rPr>
          <w:b/>
          <w:bCs/>
        </w:rPr>
      </w:pPr>
      <w:r w:rsidRPr="00281F86">
        <w:rPr>
          <w:b/>
          <w:bCs/>
        </w:rPr>
        <w:t>Harvard Style References</w:t>
      </w:r>
    </w:p>
    <w:p w14:paraId="204DF8D5" w14:textId="77777777" w:rsidR="00281F86" w:rsidRPr="00281F86" w:rsidRDefault="00281F86" w:rsidP="00281F86">
      <w:pPr>
        <w:numPr>
          <w:ilvl w:val="0"/>
          <w:numId w:val="1"/>
        </w:numPr>
        <w:rPr>
          <w:b/>
          <w:bCs/>
        </w:rPr>
      </w:pPr>
      <w:r w:rsidRPr="00281F86">
        <w:rPr>
          <w:b/>
          <w:bCs/>
        </w:rPr>
        <w:t xml:space="preserve">Russell, S., Stocker, R., Cockshott, Z., Mason, S., Knight, J., Hanratty, B. &amp; Preston, N. (2025) </w:t>
      </w:r>
      <w:r w:rsidRPr="00281F86">
        <w:rPr>
          <w:b/>
          <w:bCs/>
          <w:i/>
          <w:iCs/>
        </w:rPr>
        <w:t>Use of a digital application to enhance communication and triage between care homes and national health service community services in the United Kingdom: a qualitative evaluation</w:t>
      </w:r>
      <w:r w:rsidRPr="00281F86">
        <w:rPr>
          <w:b/>
          <w:bCs/>
        </w:rPr>
        <w:t xml:space="preserve">. BMC Geriatrics, 25(875). Available at: </w:t>
      </w:r>
      <w:hyperlink r:id="rId14" w:history="1">
        <w:r w:rsidRPr="00281F86">
          <w:rPr>
            <w:rStyle w:val="Hyperlink"/>
            <w:b/>
            <w:bCs/>
          </w:rPr>
          <w:t>https://bmcgeriatr.biomedcentral.com/articles/10.1186/s12877-025-06217-9</w:t>
        </w:r>
      </w:hyperlink>
    </w:p>
    <w:p w14:paraId="6A4FD2CD" w14:textId="77777777" w:rsidR="00281F86" w:rsidRPr="00281F86" w:rsidRDefault="00281F86" w:rsidP="00281F86">
      <w:pPr>
        <w:numPr>
          <w:ilvl w:val="0"/>
          <w:numId w:val="1"/>
        </w:numPr>
        <w:rPr>
          <w:b/>
          <w:bCs/>
        </w:rPr>
      </w:pPr>
      <w:r w:rsidRPr="00281F86">
        <w:rPr>
          <w:b/>
          <w:bCs/>
        </w:rPr>
        <w:t xml:space="preserve">NHS England (2025) </w:t>
      </w:r>
      <w:r w:rsidRPr="00281F86">
        <w:rPr>
          <w:b/>
          <w:bCs/>
          <w:i/>
          <w:iCs/>
        </w:rPr>
        <w:t>Digitally enabled triage</w:t>
      </w:r>
      <w:r w:rsidRPr="00281F86">
        <w:rPr>
          <w:b/>
          <w:bCs/>
        </w:rPr>
        <w:t xml:space="preserve">. NHS England. Available at: </w:t>
      </w:r>
      <w:hyperlink r:id="rId15" w:history="1">
        <w:r w:rsidRPr="00281F86">
          <w:rPr>
            <w:rStyle w:val="Hyperlink"/>
            <w:b/>
            <w:bCs/>
          </w:rPr>
          <w:t>https://www.england.nhs.uk/long-read/digitally-enabled-triage/</w:t>
        </w:r>
      </w:hyperlink>
    </w:p>
    <w:p w14:paraId="1356F0FF" w14:textId="77777777" w:rsidR="00281F86" w:rsidRPr="00281F86" w:rsidRDefault="00281F86" w:rsidP="00281F86">
      <w:pPr>
        <w:numPr>
          <w:ilvl w:val="0"/>
          <w:numId w:val="1"/>
        </w:numPr>
        <w:rPr>
          <w:b/>
          <w:bCs/>
        </w:rPr>
      </w:pPr>
      <w:r w:rsidRPr="00281F86">
        <w:rPr>
          <w:b/>
          <w:bCs/>
        </w:rPr>
        <w:t xml:space="preserve">Eccles, A., Hopper, M., Turk, A. &amp; Atherton, H. (2019) </w:t>
      </w:r>
      <w:r w:rsidRPr="00281F86">
        <w:rPr>
          <w:b/>
          <w:bCs/>
          <w:i/>
          <w:iCs/>
        </w:rPr>
        <w:t>Patient use of an online triage platform: a mixed-methods retrospective exploration in UK primary care</w:t>
      </w:r>
      <w:r w:rsidRPr="00281F86">
        <w:rPr>
          <w:b/>
          <w:bCs/>
        </w:rPr>
        <w:t>. British Journal of General Practice, 69(682), pp. e336–e344. DOI: 10.3399/bjgp19X702197</w:t>
      </w:r>
    </w:p>
    <w:p w14:paraId="0968170B" w14:textId="77777777" w:rsidR="00281F86" w:rsidRPr="00281F86" w:rsidRDefault="00281F86" w:rsidP="00281F86">
      <w:pPr>
        <w:numPr>
          <w:ilvl w:val="0"/>
          <w:numId w:val="1"/>
        </w:numPr>
        <w:rPr>
          <w:b/>
          <w:bCs/>
        </w:rPr>
      </w:pPr>
      <w:r w:rsidRPr="00281F86">
        <w:rPr>
          <w:b/>
          <w:bCs/>
        </w:rPr>
        <w:t xml:space="preserve">Royal College of General Practitioners (RCGP) (2021) </w:t>
      </w:r>
      <w:r w:rsidRPr="00281F86">
        <w:rPr>
          <w:b/>
          <w:bCs/>
          <w:i/>
          <w:iCs/>
        </w:rPr>
        <w:t>The future role of remote consultations &amp; patient triage</w:t>
      </w:r>
      <w:r w:rsidRPr="00281F86">
        <w:rPr>
          <w:b/>
          <w:bCs/>
        </w:rPr>
        <w:t xml:space="preserve">. RCGP. Available at: </w:t>
      </w:r>
      <w:hyperlink r:id="rId16" w:history="1">
        <w:r w:rsidRPr="00281F86">
          <w:rPr>
            <w:rStyle w:val="Hyperlink"/>
            <w:b/>
            <w:bCs/>
          </w:rPr>
          <w:t>https://www.rcgp.org.uk/getmedia/72f052b6-3227-48b4-87c9-b05ff90517c4/future-role-of-remote-consultations-patient-triage.pdf</w:t>
        </w:r>
      </w:hyperlink>
    </w:p>
    <w:p w14:paraId="7948C182" w14:textId="77777777" w:rsidR="00281F86" w:rsidRPr="00281F86" w:rsidRDefault="00281F86" w:rsidP="00281F86">
      <w:pPr>
        <w:numPr>
          <w:ilvl w:val="0"/>
          <w:numId w:val="1"/>
        </w:numPr>
        <w:rPr>
          <w:b/>
          <w:bCs/>
        </w:rPr>
      </w:pPr>
      <w:r w:rsidRPr="00281F86">
        <w:rPr>
          <w:b/>
          <w:bCs/>
        </w:rPr>
        <w:t xml:space="preserve">Watkins, E. (2025) </w:t>
      </w:r>
      <w:r w:rsidRPr="00281F86">
        <w:rPr>
          <w:b/>
          <w:bCs/>
          <w:i/>
          <w:iCs/>
        </w:rPr>
        <w:t>Digital triage in GP: enhancing access to care or increasing inequalities?</w:t>
      </w:r>
      <w:r w:rsidRPr="00281F86">
        <w:rPr>
          <w:b/>
          <w:bCs/>
        </w:rPr>
        <w:t xml:space="preserve"> The King’s Fund Blog. Available at: </w:t>
      </w:r>
      <w:hyperlink r:id="rId17" w:history="1">
        <w:r w:rsidRPr="00281F86">
          <w:rPr>
            <w:rStyle w:val="Hyperlink"/>
            <w:b/>
            <w:bCs/>
          </w:rPr>
          <w:t>https://www.kingsfund.org.uk/insight-and-analysis/blogs/digital-triage-gp-access-care-inequalities</w:t>
        </w:r>
      </w:hyperlink>
    </w:p>
    <w:p w14:paraId="77348120" w14:textId="77777777" w:rsidR="00281F86" w:rsidRPr="00281F86" w:rsidRDefault="00281F86" w:rsidP="00281F86">
      <w:pPr>
        <w:numPr>
          <w:ilvl w:val="0"/>
          <w:numId w:val="1"/>
        </w:numPr>
        <w:rPr>
          <w:b/>
          <w:bCs/>
        </w:rPr>
      </w:pPr>
      <w:r w:rsidRPr="00281F86">
        <w:rPr>
          <w:b/>
          <w:bCs/>
        </w:rPr>
        <w:t xml:space="preserve">Greenhalgh, T., Koh, G.C.H. &amp; Car, J. (2020) </w:t>
      </w:r>
      <w:r w:rsidRPr="00281F86">
        <w:rPr>
          <w:b/>
          <w:bCs/>
          <w:i/>
          <w:iCs/>
        </w:rPr>
        <w:t>Covid-19: a remote assessment in primary care</w:t>
      </w:r>
      <w:r w:rsidRPr="00281F86">
        <w:rPr>
          <w:b/>
          <w:bCs/>
        </w:rPr>
        <w:t>. BMJ, 368, m1182. DOI: 10.1136/bmj.m1182</w:t>
      </w:r>
    </w:p>
    <w:p w14:paraId="344A8DDB" w14:textId="77777777" w:rsidR="00281F86" w:rsidRPr="00281F86" w:rsidRDefault="00281F86" w:rsidP="00281F86">
      <w:pPr>
        <w:numPr>
          <w:ilvl w:val="0"/>
          <w:numId w:val="1"/>
        </w:numPr>
        <w:rPr>
          <w:b/>
          <w:bCs/>
        </w:rPr>
      </w:pPr>
      <w:r w:rsidRPr="00281F86">
        <w:rPr>
          <w:b/>
          <w:bCs/>
        </w:rPr>
        <w:t xml:space="preserve">NHS Digital (2023) </w:t>
      </w:r>
      <w:r w:rsidRPr="00281F86">
        <w:rPr>
          <w:b/>
          <w:bCs/>
          <w:i/>
          <w:iCs/>
        </w:rPr>
        <w:t>NHS App and online consultation services: guidance for practices</w:t>
      </w:r>
      <w:r w:rsidRPr="00281F86">
        <w:rPr>
          <w:b/>
          <w:bCs/>
        </w:rPr>
        <w:t xml:space="preserve">. NHS Digital. Available at: </w:t>
      </w:r>
      <w:hyperlink r:id="rId18" w:history="1">
        <w:r w:rsidRPr="00281F86">
          <w:rPr>
            <w:rStyle w:val="Hyperlink"/>
            <w:b/>
            <w:bCs/>
          </w:rPr>
          <w:t>https://digital.nhs.uk/services/nhs-app</w:t>
        </w:r>
      </w:hyperlink>
    </w:p>
    <w:p w14:paraId="2B30CD52" w14:textId="77777777" w:rsidR="00281F86" w:rsidRPr="00281F86" w:rsidRDefault="00281F86" w:rsidP="00281F86">
      <w:pPr>
        <w:numPr>
          <w:ilvl w:val="0"/>
          <w:numId w:val="1"/>
        </w:numPr>
        <w:rPr>
          <w:b/>
          <w:bCs/>
        </w:rPr>
      </w:pPr>
      <w:r w:rsidRPr="00281F86">
        <w:rPr>
          <w:b/>
          <w:bCs/>
        </w:rPr>
        <w:t xml:space="preserve">National Institute for Health and Care Excellence (NICE) (2022) </w:t>
      </w:r>
      <w:r w:rsidRPr="00281F86">
        <w:rPr>
          <w:b/>
          <w:bCs/>
          <w:i/>
          <w:iCs/>
        </w:rPr>
        <w:t>Clinical Knowledge Summaries: triage and referral pathways</w:t>
      </w:r>
      <w:r w:rsidRPr="00281F86">
        <w:rPr>
          <w:b/>
          <w:bCs/>
        </w:rPr>
        <w:t xml:space="preserve">. NICE. Available at: </w:t>
      </w:r>
      <w:hyperlink r:id="rId19" w:history="1">
        <w:r w:rsidRPr="00281F86">
          <w:rPr>
            <w:rStyle w:val="Hyperlink"/>
            <w:b/>
            <w:bCs/>
          </w:rPr>
          <w:t>https://cks.nice.org.uk</w:t>
        </w:r>
      </w:hyperlink>
    </w:p>
    <w:p w14:paraId="0A419690" w14:textId="77777777" w:rsidR="00281F86" w:rsidRPr="00281F86" w:rsidRDefault="00281F86" w:rsidP="00281F86">
      <w:pPr>
        <w:numPr>
          <w:ilvl w:val="0"/>
          <w:numId w:val="1"/>
        </w:numPr>
        <w:rPr>
          <w:b/>
          <w:bCs/>
        </w:rPr>
      </w:pPr>
      <w:r w:rsidRPr="00281F86">
        <w:rPr>
          <w:b/>
          <w:bCs/>
        </w:rPr>
        <w:lastRenderedPageBreak/>
        <w:t xml:space="preserve">Department of Health and Social Care (DHSC) (2024) </w:t>
      </w:r>
      <w:r w:rsidRPr="00281F86">
        <w:rPr>
          <w:b/>
          <w:bCs/>
          <w:i/>
          <w:iCs/>
        </w:rPr>
        <w:t>Data protection and governance in health and social care</w:t>
      </w:r>
      <w:r w:rsidRPr="00281F86">
        <w:rPr>
          <w:b/>
          <w:bCs/>
        </w:rPr>
        <w:t xml:space="preserve">. DHSC. Available at: </w:t>
      </w:r>
      <w:hyperlink r:id="rId20" w:history="1">
        <w:r w:rsidRPr="00281F86">
          <w:rPr>
            <w:rStyle w:val="Hyperlink"/>
            <w:b/>
            <w:bCs/>
          </w:rPr>
          <w:t>https://www.gov.uk/government/publications/data-protection-in-health-and-social-care</w:t>
        </w:r>
      </w:hyperlink>
    </w:p>
    <w:p w14:paraId="63F83B13" w14:textId="7B6169F1" w:rsidR="00F90232" w:rsidRPr="00F90232" w:rsidRDefault="00281F86" w:rsidP="00F90232">
      <w:pPr>
        <w:numPr>
          <w:ilvl w:val="0"/>
          <w:numId w:val="1"/>
        </w:numPr>
        <w:rPr>
          <w:b/>
          <w:bCs/>
        </w:rPr>
      </w:pPr>
      <w:r w:rsidRPr="00281F86">
        <w:rPr>
          <w:b/>
          <w:bCs/>
        </w:rPr>
        <w:t xml:space="preserve">World Health Organization (WHO) (2021) </w:t>
      </w:r>
      <w:r w:rsidRPr="00281F86">
        <w:rPr>
          <w:b/>
          <w:bCs/>
          <w:i/>
          <w:iCs/>
        </w:rPr>
        <w:t xml:space="preserve">Digital health: transforming </w:t>
      </w:r>
      <w:proofErr w:type="spellStart"/>
      <w:r w:rsidR="00744644">
        <w:rPr>
          <w:b/>
          <w:bCs/>
          <w:i/>
          <w:iCs/>
        </w:rPr>
        <w:t>o</w:t>
      </w:r>
      <w:r w:rsidRPr="00281F86">
        <w:rPr>
          <w:b/>
          <w:bCs/>
          <w:i/>
          <w:iCs/>
        </w:rPr>
        <w:t>healthcare</w:t>
      </w:r>
      <w:proofErr w:type="spellEnd"/>
      <w:r w:rsidRPr="00281F86">
        <w:rPr>
          <w:b/>
          <w:bCs/>
          <w:i/>
          <w:iCs/>
        </w:rPr>
        <w:t xml:space="preserve"> systems</w:t>
      </w:r>
      <w:r w:rsidRPr="00281F86">
        <w:rPr>
          <w:b/>
          <w:bCs/>
        </w:rPr>
        <w:t xml:space="preserve">. WHO. Available at: </w:t>
      </w:r>
      <w:hyperlink r:id="rId21" w:history="1">
        <w:r w:rsidRPr="00281F86">
          <w:rPr>
            <w:rStyle w:val="Hyperlink"/>
            <w:b/>
            <w:bCs/>
          </w:rPr>
          <w:t>https://www.who.int/publications/i/item/digital-health-transforming-healthcare</w:t>
        </w:r>
      </w:hyperlink>
    </w:p>
    <w:p w14:paraId="0EDE5094" w14:textId="1B3D255E" w:rsidR="00F90232" w:rsidRDefault="00285055">
      <w:r>
        <w:object w:dxaOrig="12160" w:dyaOrig="830" w14:anchorId="0A9EA3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608pt;height:41.5pt" o:ole="">
            <v:imagedata r:id="rId22" o:title=""/>
          </v:shape>
          <o:OLEObject Type="Embed" ProgID="Package" ShapeID="_x0000_i1049" DrawAspect="Content" ObjectID="_1825099639" r:id="rId23"/>
        </w:object>
      </w:r>
    </w:p>
    <w:sectPr w:rsidR="00F902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12178"/>
    <w:multiLevelType w:val="multilevel"/>
    <w:tmpl w:val="6A4073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889744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544"/>
    <w:rsid w:val="00060A07"/>
    <w:rsid w:val="00141544"/>
    <w:rsid w:val="00281F86"/>
    <w:rsid w:val="00285055"/>
    <w:rsid w:val="00386D50"/>
    <w:rsid w:val="00411075"/>
    <w:rsid w:val="00744644"/>
    <w:rsid w:val="0079228D"/>
    <w:rsid w:val="007A6973"/>
    <w:rsid w:val="007B2127"/>
    <w:rsid w:val="009B32A2"/>
    <w:rsid w:val="00C4353E"/>
    <w:rsid w:val="00E27A25"/>
    <w:rsid w:val="00EC7340"/>
    <w:rsid w:val="00F90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9A401"/>
  <w15:chartTrackingRefBased/>
  <w15:docId w15:val="{4AA9DE22-D118-4A09-BD65-F108477B3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5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15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15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15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15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15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15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15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15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5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15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15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15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15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15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15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15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1544"/>
    <w:rPr>
      <w:rFonts w:eastAsiaTheme="majorEastAsia" w:cstheme="majorBidi"/>
      <w:color w:val="272727" w:themeColor="text1" w:themeTint="D8"/>
    </w:rPr>
  </w:style>
  <w:style w:type="paragraph" w:styleId="Title">
    <w:name w:val="Title"/>
    <w:basedOn w:val="Normal"/>
    <w:next w:val="Normal"/>
    <w:link w:val="TitleChar"/>
    <w:uiPriority w:val="10"/>
    <w:qFormat/>
    <w:rsid w:val="001415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15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15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15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1544"/>
    <w:pPr>
      <w:spacing w:before="160"/>
      <w:jc w:val="center"/>
    </w:pPr>
    <w:rPr>
      <w:i/>
      <w:iCs/>
      <w:color w:val="404040" w:themeColor="text1" w:themeTint="BF"/>
    </w:rPr>
  </w:style>
  <w:style w:type="character" w:customStyle="1" w:styleId="QuoteChar">
    <w:name w:val="Quote Char"/>
    <w:basedOn w:val="DefaultParagraphFont"/>
    <w:link w:val="Quote"/>
    <w:uiPriority w:val="29"/>
    <w:rsid w:val="00141544"/>
    <w:rPr>
      <w:i/>
      <w:iCs/>
      <w:color w:val="404040" w:themeColor="text1" w:themeTint="BF"/>
    </w:rPr>
  </w:style>
  <w:style w:type="paragraph" w:styleId="ListParagraph">
    <w:name w:val="List Paragraph"/>
    <w:basedOn w:val="Normal"/>
    <w:uiPriority w:val="34"/>
    <w:qFormat/>
    <w:rsid w:val="00141544"/>
    <w:pPr>
      <w:ind w:left="720"/>
      <w:contextualSpacing/>
    </w:pPr>
  </w:style>
  <w:style w:type="character" w:styleId="IntenseEmphasis">
    <w:name w:val="Intense Emphasis"/>
    <w:basedOn w:val="DefaultParagraphFont"/>
    <w:uiPriority w:val="21"/>
    <w:qFormat/>
    <w:rsid w:val="00141544"/>
    <w:rPr>
      <w:i/>
      <w:iCs/>
      <w:color w:val="0F4761" w:themeColor="accent1" w:themeShade="BF"/>
    </w:rPr>
  </w:style>
  <w:style w:type="paragraph" w:styleId="IntenseQuote">
    <w:name w:val="Intense Quote"/>
    <w:basedOn w:val="Normal"/>
    <w:next w:val="Normal"/>
    <w:link w:val="IntenseQuoteChar"/>
    <w:uiPriority w:val="30"/>
    <w:qFormat/>
    <w:rsid w:val="001415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1544"/>
    <w:rPr>
      <w:i/>
      <w:iCs/>
      <w:color w:val="0F4761" w:themeColor="accent1" w:themeShade="BF"/>
    </w:rPr>
  </w:style>
  <w:style w:type="character" w:styleId="IntenseReference">
    <w:name w:val="Intense Reference"/>
    <w:basedOn w:val="DefaultParagraphFont"/>
    <w:uiPriority w:val="32"/>
    <w:qFormat/>
    <w:rsid w:val="00141544"/>
    <w:rPr>
      <w:b/>
      <w:bCs/>
      <w:smallCaps/>
      <w:color w:val="0F4761" w:themeColor="accent1" w:themeShade="BF"/>
      <w:spacing w:val="5"/>
    </w:rPr>
  </w:style>
  <w:style w:type="character" w:styleId="Hyperlink">
    <w:name w:val="Hyperlink"/>
    <w:basedOn w:val="DefaultParagraphFont"/>
    <w:uiPriority w:val="99"/>
    <w:unhideWhenUsed/>
    <w:rsid w:val="00F90232"/>
    <w:rPr>
      <w:color w:val="467886" w:themeColor="hyperlink"/>
      <w:u w:val="single"/>
    </w:rPr>
  </w:style>
  <w:style w:type="character" w:styleId="UnresolvedMention">
    <w:name w:val="Unresolved Mention"/>
    <w:basedOn w:val="DefaultParagraphFont"/>
    <w:uiPriority w:val="99"/>
    <w:semiHidden/>
    <w:unhideWhenUsed/>
    <w:rsid w:val="00F90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2025/06/nhs-waiting-list-hits-two-year-low-as-staff-work-to-turn-the-tide/" TargetMode="External"/><Relationship Id="rId13" Type="http://schemas.openxmlformats.org/officeDocument/2006/relationships/hyperlink" Target="https://pmc.ncbi.nlm.nih.gov/articles/PMC4857497/" TargetMode="External"/><Relationship Id="rId18" Type="http://schemas.openxmlformats.org/officeDocument/2006/relationships/hyperlink" Target="https://digital.nhs.uk/services/nhs-app" TargetMode="External"/><Relationship Id="rId3" Type="http://schemas.openxmlformats.org/officeDocument/2006/relationships/customXml" Target="../customXml/item3.xml"/><Relationship Id="rId21" Type="http://schemas.openxmlformats.org/officeDocument/2006/relationships/hyperlink" Target="https://www.who.int/publications/i/item/digital-health-transforming-healthcare" TargetMode="External"/><Relationship Id="rId7" Type="http://schemas.openxmlformats.org/officeDocument/2006/relationships/webSettings" Target="webSettings.xml"/><Relationship Id="rId12" Type="http://schemas.openxmlformats.org/officeDocument/2006/relationships/hyperlink" Target="https://pmc.ncbi.nlm.nih.gov/articles/PMC7042569/" TargetMode="External"/><Relationship Id="rId17" Type="http://schemas.openxmlformats.org/officeDocument/2006/relationships/hyperlink" Target="https://www.kingsfund.org.uk/insight-and-analysis/blogs/digital-triage-gp-access-care-inequalitie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rcgp.org.uk/getmedia/72f052b6-3227-48b4-87c9-b05ff90517c4/future-role-of-remote-consultations-patient-triage.pdf" TargetMode="External"/><Relationship Id="rId20" Type="http://schemas.openxmlformats.org/officeDocument/2006/relationships/hyperlink" Target="https://www.gov.uk/government/publications/data-protection-in-health-and-social-car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tatista.com/statistics/1608549/wait-times-for-a-general-practice-appointment-england/"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england.nhs.uk/long-read/digitally-enabled-triage/" TargetMode="External"/><Relationship Id="rId23" Type="http://schemas.openxmlformats.org/officeDocument/2006/relationships/oleObject" Target="embeddings/oleObject1.bin"/><Relationship Id="rId10" Type="http://schemas.openxmlformats.org/officeDocument/2006/relationships/hyperlink" Target="https://www.statista.com/statistics/1608619/wait-times-for-a-gp-appointment-england/" TargetMode="External"/><Relationship Id="rId19" Type="http://schemas.openxmlformats.org/officeDocument/2006/relationships/hyperlink" Target="https://cks.nice.org.uk/" TargetMode="External"/><Relationship Id="rId4" Type="http://schemas.openxmlformats.org/officeDocument/2006/relationships/numbering" Target="numbering.xml"/><Relationship Id="rId9" Type="http://schemas.openxmlformats.org/officeDocument/2006/relationships/hyperlink" Target="https://www.bma.org.uk/advice-and-support/nhs-delivery-and-workforce/pressures/nhs-backlog-data-analysis" TargetMode="External"/><Relationship Id="rId14" Type="http://schemas.openxmlformats.org/officeDocument/2006/relationships/hyperlink" Target="https://bmcgeriatr.biomedcentral.com/articles/10.1186/s12877-025-06217-9" TargetMode="External"/><Relationship Id="rId22"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0" ma:contentTypeDescription="Create a new document." ma:contentTypeScope="" ma:versionID="ae9441e6219f3294fcbc24a9fe8ab885">
  <xsd:schema xmlns:xsd="http://www.w3.org/2001/XMLSchema" xmlns:xs="http://www.w3.org/2001/XMLSchema" xmlns:p="http://schemas.microsoft.com/office/2006/metadata/properties" xmlns:ns3="6642d537-5170-4cd9-a3f2-9ec198ee3eac" targetNamespace="http://schemas.microsoft.com/office/2006/metadata/properties" ma:root="true" ma:fieldsID="4555d69078dba47d30dec23a40db97ab"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Props1.xml><?xml version="1.0" encoding="utf-8"?>
<ds:datastoreItem xmlns:ds="http://schemas.openxmlformats.org/officeDocument/2006/customXml" ds:itemID="{3B9E43E9-1DE7-4B7D-B4F0-5DFA0970F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C388A4-09E7-4F13-87AC-134F994A21F0}">
  <ds:schemaRefs>
    <ds:schemaRef ds:uri="http://schemas.microsoft.com/sharepoint/v3/contenttype/forms"/>
  </ds:schemaRefs>
</ds:datastoreItem>
</file>

<file path=customXml/itemProps3.xml><?xml version="1.0" encoding="utf-8"?>
<ds:datastoreItem xmlns:ds="http://schemas.openxmlformats.org/officeDocument/2006/customXml" ds:itemID="{38D7DBD6-942A-495F-ADF4-6E0FF57056E5}">
  <ds:schemaRefs>
    <ds:schemaRef ds:uri="http://schemas.microsoft.com/office/2006/metadata/properties"/>
    <ds:schemaRef ds:uri="http://schemas.microsoft.com/office/infopath/2007/PartnerControls"/>
    <ds:schemaRef ds:uri="6642d537-5170-4cd9-a3f2-9ec198ee3ea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 Tabasum (2331699)</dc:creator>
  <cp:keywords/>
  <dc:description/>
  <cp:lastModifiedBy>Shabana Tabasum (2331699)</cp:lastModifiedBy>
  <cp:revision>10</cp:revision>
  <dcterms:created xsi:type="dcterms:W3CDTF">2025-11-19T21:03:00Z</dcterms:created>
  <dcterms:modified xsi:type="dcterms:W3CDTF">2025-11-19T23:20:00Z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