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EF816" w14:textId="77777777" w:rsidR="002044FD" w:rsidRDefault="002044FD" w:rsidP="002044FD">
      <w:pPr>
        <w:pStyle w:val="NormalWeb"/>
        <w:spacing w:before="0" w:beforeAutospacing="0" w:after="0" w:afterAutospacing="0" w:line="360" w:lineRule="auto"/>
        <w:contextualSpacing/>
        <w:jc w:val="both"/>
        <w:rPr>
          <w:rFonts w:ascii="Arial" w:hAnsi="Arial" w:cs="Arial"/>
          <w:u w:val="single"/>
          <w:lang w:val="en-GB"/>
        </w:rPr>
      </w:pPr>
    </w:p>
    <w:p w14:paraId="778B0B5A" w14:textId="77777777" w:rsidR="002044FD" w:rsidRDefault="002044FD" w:rsidP="002044FD">
      <w:pPr>
        <w:pStyle w:val="NormalWeb"/>
        <w:spacing w:before="0" w:beforeAutospacing="0" w:after="0" w:afterAutospacing="0" w:line="360" w:lineRule="auto"/>
        <w:contextualSpacing/>
        <w:jc w:val="both"/>
        <w:rPr>
          <w:rFonts w:ascii="Arial" w:hAnsi="Arial" w:cs="Arial"/>
          <w:u w:val="single"/>
          <w:lang w:val="en-GB"/>
        </w:rPr>
      </w:pPr>
    </w:p>
    <w:p w14:paraId="17030073" w14:textId="4152B6CB" w:rsidR="002044FD" w:rsidRDefault="002044FD" w:rsidP="002044FD">
      <w:pPr>
        <w:pStyle w:val="NormalWeb"/>
        <w:spacing w:before="0" w:beforeAutospacing="0" w:after="0" w:afterAutospacing="0" w:line="360" w:lineRule="auto"/>
        <w:contextualSpacing/>
        <w:jc w:val="center"/>
        <w:rPr>
          <w:rFonts w:ascii="Arial" w:hAnsi="Arial" w:cs="Arial"/>
          <w:u w:val="single"/>
          <w:lang w:val="en-GB"/>
        </w:rPr>
      </w:pPr>
      <w:r>
        <w:rPr>
          <w:rFonts w:ascii="Arial" w:hAnsi="Arial" w:cs="Arial"/>
          <w:noProof/>
          <w:u w:val="single"/>
          <w:lang w:val="en-GB"/>
        </w:rPr>
        <w:drawing>
          <wp:inline distT="0" distB="0" distL="0" distR="0" wp14:anchorId="1D3B4F22" wp14:editId="134557C8">
            <wp:extent cx="3621852" cy="1422429"/>
            <wp:effectExtent l="0" t="0" r="0" b="0"/>
            <wp:docPr id="841534116" name="Picture 2" descr="A person holding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534116" name="Picture 2" descr="A person holding a sig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53945" cy="1435033"/>
                    </a:xfrm>
                    <a:prstGeom prst="rect">
                      <a:avLst/>
                    </a:prstGeom>
                  </pic:spPr>
                </pic:pic>
              </a:graphicData>
            </a:graphic>
          </wp:inline>
        </w:drawing>
      </w:r>
    </w:p>
    <w:p w14:paraId="767A67E5" w14:textId="2C3F6499" w:rsidR="00532B94" w:rsidRPr="002044FD" w:rsidRDefault="002044FD" w:rsidP="002044FD">
      <w:pPr>
        <w:pStyle w:val="NormalWeb"/>
        <w:spacing w:before="0" w:beforeAutospacing="0" w:after="0" w:afterAutospacing="0" w:line="360" w:lineRule="auto"/>
        <w:contextualSpacing/>
        <w:jc w:val="both"/>
        <w:rPr>
          <w:rFonts w:ascii="Arial" w:hAnsi="Arial" w:cs="Arial"/>
          <w:u w:val="single"/>
          <w:lang w:val="en-GB"/>
        </w:rPr>
      </w:pPr>
      <w:r w:rsidRPr="002044FD">
        <w:rPr>
          <w:rFonts w:ascii="Arial" w:hAnsi="Arial" w:cs="Arial"/>
          <w:u w:val="single"/>
          <w:lang w:val="en-GB"/>
        </w:rPr>
        <w:t>Student Number:</w:t>
      </w:r>
      <w:r>
        <w:rPr>
          <w:rFonts w:ascii="Arial" w:hAnsi="Arial" w:cs="Arial"/>
          <w:u w:val="single"/>
          <w:lang w:val="en-GB"/>
        </w:rPr>
        <w:t xml:space="preserve"> 2130984</w:t>
      </w:r>
    </w:p>
    <w:p w14:paraId="2245C7E6" w14:textId="1B432E36" w:rsidR="002044FD" w:rsidRPr="002044FD" w:rsidRDefault="002044FD" w:rsidP="002044FD">
      <w:pPr>
        <w:pStyle w:val="NormalWeb"/>
        <w:spacing w:before="0" w:beforeAutospacing="0" w:after="0" w:afterAutospacing="0" w:line="360" w:lineRule="auto"/>
        <w:contextualSpacing/>
        <w:jc w:val="both"/>
        <w:rPr>
          <w:rFonts w:ascii="Arial" w:hAnsi="Arial" w:cs="Arial"/>
          <w:u w:val="single"/>
          <w:lang w:val="en-GB"/>
        </w:rPr>
      </w:pPr>
      <w:r w:rsidRPr="002044FD">
        <w:rPr>
          <w:rFonts w:ascii="Arial" w:hAnsi="Arial" w:cs="Arial"/>
          <w:u w:val="single"/>
          <w:lang w:val="en-GB"/>
        </w:rPr>
        <w:t>Student Name:</w:t>
      </w:r>
      <w:r>
        <w:rPr>
          <w:rFonts w:ascii="Arial" w:hAnsi="Arial" w:cs="Arial"/>
          <w:u w:val="single"/>
          <w:lang w:val="en-GB"/>
        </w:rPr>
        <w:t xml:space="preserve"> Shelsya Cavanza</w:t>
      </w:r>
    </w:p>
    <w:p w14:paraId="7F729491" w14:textId="052C3FA1" w:rsidR="00532B94" w:rsidRPr="002044FD" w:rsidRDefault="002044FD" w:rsidP="002044FD">
      <w:pPr>
        <w:pStyle w:val="NormalWeb"/>
        <w:spacing w:before="0" w:beforeAutospacing="0" w:after="0" w:afterAutospacing="0" w:line="360" w:lineRule="auto"/>
        <w:contextualSpacing/>
        <w:jc w:val="both"/>
        <w:rPr>
          <w:rFonts w:ascii="Arial" w:hAnsi="Arial" w:cs="Arial"/>
          <w:u w:val="single"/>
          <w:lang w:val="en-GB"/>
        </w:rPr>
      </w:pPr>
      <w:r w:rsidRPr="002044FD">
        <w:rPr>
          <w:rFonts w:ascii="Arial" w:hAnsi="Arial" w:cs="Arial"/>
          <w:u w:val="single"/>
          <w:lang w:val="en-GB"/>
        </w:rPr>
        <w:t>Course code</w:t>
      </w:r>
      <w:r>
        <w:rPr>
          <w:rFonts w:ascii="Arial" w:hAnsi="Arial" w:cs="Arial"/>
          <w:u w:val="single"/>
          <w:lang w:val="en-GB"/>
        </w:rPr>
        <w:t>: Problem-solving and innovation</w:t>
      </w:r>
    </w:p>
    <w:p w14:paraId="362053EE" w14:textId="27080232" w:rsidR="008D5F86" w:rsidRPr="002044FD" w:rsidRDefault="002C26B9" w:rsidP="00617400">
      <w:pPr>
        <w:pStyle w:val="NormalWeb"/>
        <w:spacing w:before="0" w:beforeAutospacing="0" w:after="0" w:afterAutospacing="0" w:line="480" w:lineRule="auto"/>
        <w:contextualSpacing/>
        <w:jc w:val="center"/>
        <w:rPr>
          <w:rFonts w:ascii="Arial" w:eastAsiaTheme="minorHAnsi" w:hAnsi="Arial" w:cs="Arial"/>
          <w:u w:val="single"/>
        </w:rPr>
      </w:pPr>
      <w:r w:rsidRPr="002044FD">
        <w:rPr>
          <w:rFonts w:ascii="Arial" w:eastAsiaTheme="minorHAnsi" w:hAnsi="Arial" w:cs="Arial"/>
          <w:u w:val="single"/>
        </w:rPr>
        <w:t>Impact of the Current Situation: Tesla Greenwashing Case</w:t>
      </w:r>
    </w:p>
    <w:p w14:paraId="5B3335EF" w14:textId="77777777" w:rsidR="00D96FD5" w:rsidRPr="002044FD" w:rsidRDefault="00D96FD5" w:rsidP="00617400">
      <w:pPr>
        <w:pStyle w:val="NormalWeb"/>
        <w:spacing w:before="0" w:beforeAutospacing="0" w:after="0" w:afterAutospacing="0" w:line="480" w:lineRule="auto"/>
        <w:contextualSpacing/>
        <w:jc w:val="center"/>
        <w:rPr>
          <w:rFonts w:ascii="Arial" w:hAnsi="Arial" w:cs="Arial"/>
        </w:rPr>
      </w:pPr>
    </w:p>
    <w:p w14:paraId="6F40889C" w14:textId="7A589502" w:rsidR="00C62C11" w:rsidRPr="002044FD" w:rsidRDefault="00C62C11" w:rsidP="002044FD">
      <w:pPr>
        <w:spacing w:line="360" w:lineRule="auto"/>
        <w:ind w:firstLine="0"/>
        <w:contextualSpacing/>
        <w:jc w:val="both"/>
        <w:rPr>
          <w:rFonts w:ascii="Arial" w:hAnsi="Arial" w:cs="Arial"/>
          <w:sz w:val="24"/>
        </w:rPr>
      </w:pPr>
      <w:r w:rsidRPr="002044FD">
        <w:rPr>
          <w:rFonts w:ascii="Arial" w:hAnsi="Arial" w:cs="Arial"/>
          <w:sz w:val="24"/>
        </w:rPr>
        <w:t xml:space="preserve">The project examines the effect of the existing </w:t>
      </w:r>
      <w:proofErr w:type="gramStart"/>
      <w:r w:rsidRPr="002044FD">
        <w:rPr>
          <w:rFonts w:ascii="Arial" w:hAnsi="Arial" w:cs="Arial"/>
          <w:sz w:val="24"/>
        </w:rPr>
        <w:t>state of affairs</w:t>
      </w:r>
      <w:proofErr w:type="gramEnd"/>
      <w:r w:rsidRPr="002044FD">
        <w:rPr>
          <w:rFonts w:ascii="Arial" w:hAnsi="Arial" w:cs="Arial"/>
          <w:sz w:val="24"/>
        </w:rPr>
        <w:t xml:space="preserve"> on Tesla sustainability claims and why the given issue should be approached with a systematic way of analysis. Greenwashing is currently being </w:t>
      </w:r>
      <w:proofErr w:type="spellStart"/>
      <w:r w:rsidRPr="002044FD">
        <w:rPr>
          <w:rFonts w:ascii="Arial" w:hAnsi="Arial" w:cs="Arial"/>
          <w:sz w:val="24"/>
        </w:rPr>
        <w:t>recognised</w:t>
      </w:r>
      <w:proofErr w:type="spellEnd"/>
      <w:r w:rsidRPr="002044FD">
        <w:rPr>
          <w:rFonts w:ascii="Arial" w:hAnsi="Arial" w:cs="Arial"/>
          <w:sz w:val="24"/>
        </w:rPr>
        <w:t xml:space="preserve"> as a serious issue in sustainability reporting, especially where companies present environmental achievements that cannot be backed up by clear lifecycle facts (Koch and Denner, 2025). Such an issue is intensified in the electric-vehicle (EV) industry, where environmental differentiation is one of the core areas of competition, but the emissions behind battery supply chains remain highly uncertain and disputed (</w:t>
      </w:r>
      <w:proofErr w:type="spellStart"/>
      <w:r w:rsidRPr="002044FD">
        <w:rPr>
          <w:rFonts w:ascii="Arial" w:hAnsi="Arial" w:cs="Arial"/>
          <w:sz w:val="24"/>
        </w:rPr>
        <w:t>Boiral</w:t>
      </w:r>
      <w:proofErr w:type="spellEnd"/>
      <w:r w:rsidRPr="002044FD">
        <w:rPr>
          <w:rFonts w:ascii="Arial" w:hAnsi="Arial" w:cs="Arial"/>
          <w:sz w:val="24"/>
        </w:rPr>
        <w:t>, Brotherton and Talbot, 2024).</w:t>
      </w:r>
    </w:p>
    <w:p w14:paraId="35780D07" w14:textId="181BA851" w:rsidR="000C0828" w:rsidRPr="002044FD" w:rsidRDefault="00C62C11" w:rsidP="002044FD">
      <w:pPr>
        <w:spacing w:line="360" w:lineRule="auto"/>
        <w:ind w:firstLine="0"/>
        <w:contextualSpacing/>
        <w:jc w:val="both"/>
        <w:rPr>
          <w:rFonts w:ascii="Arial" w:hAnsi="Arial" w:cs="Arial"/>
          <w:sz w:val="24"/>
        </w:rPr>
      </w:pPr>
      <w:r w:rsidRPr="002044FD">
        <w:rPr>
          <w:rFonts w:ascii="Arial" w:hAnsi="Arial" w:cs="Arial"/>
          <w:sz w:val="24"/>
        </w:rPr>
        <w:t>This complexity can be evidenced by the current situation facing Tesla. Although Tesla has established itself as the leader in sustainable mobility, its environmental communication is recently subject to serious regulatory pressure. In June 2025, the French Directorate-General for Competition, Consumer Affairs and Fraud Control found that some of the environmental claims made by Tesla are deceptive due to the lack of evidence to prove the advertised sustainability characteristics (Reuters, 2025). Similarly, in 2024-2025, the California Department of Motor Vehicles raised concerns about misleading marketing by Autopilot and sustainability performance, meaning that there is no geographical isolation of the issue (Stempel, 2024)</w:t>
      </w:r>
      <w:r w:rsidR="00261053" w:rsidRPr="002044FD">
        <w:rPr>
          <w:rFonts w:ascii="Arial" w:hAnsi="Arial" w:cs="Arial"/>
          <w:sz w:val="24"/>
        </w:rPr>
        <w:t>.</w:t>
      </w:r>
    </w:p>
    <w:p w14:paraId="4322260B" w14:textId="77777777" w:rsidR="00716BF3" w:rsidRPr="002044FD" w:rsidRDefault="00716BF3" w:rsidP="002044FD">
      <w:pPr>
        <w:spacing w:line="360" w:lineRule="auto"/>
        <w:ind w:firstLine="0"/>
        <w:contextualSpacing/>
        <w:jc w:val="both"/>
        <w:rPr>
          <w:rFonts w:ascii="Arial" w:hAnsi="Arial" w:cs="Arial"/>
          <w:sz w:val="24"/>
        </w:rPr>
      </w:pPr>
      <w:r w:rsidRPr="002044FD">
        <w:rPr>
          <w:rFonts w:ascii="Arial" w:hAnsi="Arial" w:cs="Arial"/>
          <w:sz w:val="24"/>
        </w:rPr>
        <w:lastRenderedPageBreak/>
        <w:t xml:space="preserve">These controlling responses have far-reaching implications since Tesla is an industry leader whose marketing actions impact consumer expectations, investor attitudes and general industry standards. According to independent lifecycle assessment, lithium-ion battery manufacturing leads to 3-5 </w:t>
      </w:r>
      <w:proofErr w:type="spellStart"/>
      <w:r w:rsidRPr="002044FD">
        <w:rPr>
          <w:rFonts w:ascii="Arial" w:hAnsi="Arial" w:cs="Arial"/>
          <w:sz w:val="24"/>
        </w:rPr>
        <w:t>tonnes</w:t>
      </w:r>
      <w:proofErr w:type="spellEnd"/>
      <w:r w:rsidRPr="002044FD">
        <w:rPr>
          <w:rFonts w:ascii="Arial" w:hAnsi="Arial" w:cs="Arial"/>
          <w:sz w:val="24"/>
        </w:rPr>
        <w:t xml:space="preserve"> of CO</w:t>
      </w:r>
      <w:r w:rsidRPr="002044FD">
        <w:rPr>
          <w:rFonts w:ascii="Cambria Math" w:hAnsi="Cambria Math" w:cs="Cambria Math"/>
          <w:sz w:val="24"/>
        </w:rPr>
        <w:t>₂</w:t>
      </w:r>
      <w:r w:rsidRPr="002044FD">
        <w:rPr>
          <w:rFonts w:ascii="Arial" w:hAnsi="Arial" w:cs="Arial"/>
          <w:sz w:val="24"/>
        </w:rPr>
        <w:t xml:space="preserve">-equivalent per car (Negri and Bieker, 2025). This observation </w:t>
      </w:r>
      <w:proofErr w:type="gramStart"/>
      <w:r w:rsidRPr="002044FD">
        <w:rPr>
          <w:rFonts w:ascii="Arial" w:hAnsi="Arial" w:cs="Arial"/>
          <w:sz w:val="24"/>
        </w:rPr>
        <w:t>is in conflict with</w:t>
      </w:r>
      <w:proofErr w:type="gramEnd"/>
      <w:r w:rsidRPr="002044FD">
        <w:rPr>
          <w:rFonts w:ascii="Arial" w:hAnsi="Arial" w:cs="Arial"/>
          <w:sz w:val="24"/>
        </w:rPr>
        <w:t xml:space="preserve"> the made-to-seem-simple zero-emission narratives that Tesla often sells. Additionally, methodology checks have found some inconsistencies in Tesla's avoided-emissions reporting and fears that some of the estimates might be overstated because of undisclosed assumptions (Jennifer, 2025).</w:t>
      </w:r>
    </w:p>
    <w:p w14:paraId="7814F9B9" w14:textId="101A3B2E" w:rsidR="00C62C11" w:rsidRPr="002044FD" w:rsidRDefault="00716BF3" w:rsidP="002044FD">
      <w:pPr>
        <w:spacing w:line="360" w:lineRule="auto"/>
        <w:ind w:firstLine="0"/>
        <w:contextualSpacing/>
        <w:jc w:val="both"/>
        <w:rPr>
          <w:rFonts w:ascii="Arial" w:hAnsi="Arial" w:cs="Arial"/>
          <w:sz w:val="24"/>
        </w:rPr>
      </w:pPr>
      <w:r w:rsidRPr="002044FD">
        <w:rPr>
          <w:rFonts w:ascii="Arial" w:hAnsi="Arial" w:cs="Arial"/>
          <w:sz w:val="24"/>
        </w:rPr>
        <w:t xml:space="preserve">The effects of this scenario extend beyond the reputation of Tesla. Greenwashing undermines the credibility of sustainability reporting and misguides ESG-based investment choices and policy initiatives to hasten low-carbon transformations (Santos, Coelho and Marques, 2023). The EV industry, which already requires significant governmental aid and incentives for green policies, is under the threat of disbelief in case market leaders are viewed as distorting environmental standards (Obrador Rey et al., 2024). Additionally, according to Koch and Denner (2025), competitors can be pressured into such marketing tactics in case misleading statements seem to be commercially </w:t>
      </w:r>
      <w:proofErr w:type="spellStart"/>
      <w:r w:rsidRPr="002044FD">
        <w:rPr>
          <w:rFonts w:ascii="Arial" w:hAnsi="Arial" w:cs="Arial"/>
          <w:sz w:val="24"/>
        </w:rPr>
        <w:t>favourable</w:t>
      </w:r>
      <w:proofErr w:type="spellEnd"/>
      <w:r w:rsidRPr="002044FD">
        <w:rPr>
          <w:rFonts w:ascii="Arial" w:hAnsi="Arial" w:cs="Arial"/>
          <w:sz w:val="24"/>
        </w:rPr>
        <w:t>.</w:t>
      </w:r>
    </w:p>
    <w:p w14:paraId="14E0017C" w14:textId="28636301" w:rsidR="007A60A9" w:rsidRPr="002044FD" w:rsidRDefault="00F431AA" w:rsidP="002044FD">
      <w:pPr>
        <w:spacing w:line="360" w:lineRule="auto"/>
        <w:ind w:firstLine="0"/>
        <w:contextualSpacing/>
        <w:jc w:val="both"/>
        <w:rPr>
          <w:rFonts w:ascii="Arial" w:hAnsi="Arial" w:cs="Arial"/>
          <w:sz w:val="24"/>
        </w:rPr>
      </w:pPr>
      <w:r w:rsidRPr="002044FD">
        <w:rPr>
          <w:rFonts w:ascii="Arial" w:hAnsi="Arial" w:cs="Arial"/>
          <w:sz w:val="24"/>
        </w:rPr>
        <w:t xml:space="preserve">Overall, the regulatory issues in Tesla expose </w:t>
      </w:r>
      <w:proofErr w:type="spellStart"/>
      <w:r w:rsidRPr="002044FD">
        <w:rPr>
          <w:rFonts w:ascii="Arial" w:hAnsi="Arial" w:cs="Arial"/>
          <w:sz w:val="24"/>
        </w:rPr>
        <w:t>organisational</w:t>
      </w:r>
      <w:proofErr w:type="spellEnd"/>
      <w:r w:rsidRPr="002044FD">
        <w:rPr>
          <w:rFonts w:ascii="Arial" w:hAnsi="Arial" w:cs="Arial"/>
          <w:sz w:val="24"/>
        </w:rPr>
        <w:t xml:space="preserve"> vulnerabilities to the definition, measurement, and regulation of environmental claims. The present state of Tesla proves that a systematic root cause analysis is required to comprehend why the misleading sustainability communication may take place again despite the market leadership and technological progress. The project therefore </w:t>
      </w:r>
      <w:proofErr w:type="spellStart"/>
      <w:r w:rsidRPr="002044FD">
        <w:rPr>
          <w:rFonts w:ascii="Arial" w:hAnsi="Arial" w:cs="Arial"/>
          <w:sz w:val="24"/>
        </w:rPr>
        <w:t>contextualises</w:t>
      </w:r>
      <w:proofErr w:type="spellEnd"/>
      <w:r w:rsidRPr="002044FD">
        <w:rPr>
          <w:rFonts w:ascii="Arial" w:hAnsi="Arial" w:cs="Arial"/>
          <w:sz w:val="24"/>
        </w:rPr>
        <w:t xml:space="preserve"> the justification of the analysis of the environmental reporting of Tesla by applying a strict analytical approach, which sets the scene of the RCA tools that can be found in the following slides.</w:t>
      </w:r>
    </w:p>
    <w:p w14:paraId="0D12DDF0" w14:textId="77777777" w:rsidR="007A60A9" w:rsidRPr="002044FD" w:rsidRDefault="007A60A9" w:rsidP="002044FD">
      <w:pPr>
        <w:spacing w:line="360" w:lineRule="auto"/>
        <w:contextualSpacing/>
        <w:rPr>
          <w:rFonts w:ascii="Arial" w:hAnsi="Arial" w:cs="Arial"/>
          <w:sz w:val="24"/>
        </w:rPr>
      </w:pPr>
    </w:p>
    <w:p w14:paraId="66719185" w14:textId="349D62B1" w:rsidR="00FB7C58" w:rsidRPr="002044FD" w:rsidRDefault="00FB7C58" w:rsidP="002044FD">
      <w:pPr>
        <w:spacing w:line="360" w:lineRule="auto"/>
        <w:rPr>
          <w:rFonts w:ascii="Arial" w:hAnsi="Arial" w:cs="Arial"/>
          <w:sz w:val="24"/>
        </w:rPr>
      </w:pPr>
      <w:r w:rsidRPr="002044FD">
        <w:rPr>
          <w:rFonts w:ascii="Arial" w:hAnsi="Arial" w:cs="Arial"/>
          <w:sz w:val="24"/>
        </w:rPr>
        <w:br w:type="page"/>
      </w:r>
    </w:p>
    <w:p w14:paraId="116A5BC8" w14:textId="46E0540E" w:rsidR="009C7ED0" w:rsidRDefault="00FB7C58" w:rsidP="002044FD">
      <w:pPr>
        <w:spacing w:line="360" w:lineRule="auto"/>
        <w:ind w:firstLine="0"/>
        <w:contextualSpacing/>
        <w:jc w:val="center"/>
        <w:rPr>
          <w:rFonts w:ascii="Times New Roman" w:hAnsi="Times New Roman" w:cs="Times New Roman"/>
          <w:b/>
          <w:sz w:val="24"/>
        </w:rPr>
      </w:pPr>
      <w:r w:rsidRPr="00FB7C58">
        <w:rPr>
          <w:rFonts w:ascii="Times New Roman" w:hAnsi="Times New Roman" w:cs="Times New Roman"/>
          <w:b/>
          <w:sz w:val="24"/>
        </w:rPr>
        <w:lastRenderedPageBreak/>
        <w:t>References</w:t>
      </w:r>
    </w:p>
    <w:p w14:paraId="1917EE0F" w14:textId="77777777" w:rsidR="002C26B9" w:rsidRPr="002C26B9" w:rsidRDefault="002C26B9" w:rsidP="002044FD">
      <w:pPr>
        <w:spacing w:after="240" w:line="360" w:lineRule="auto"/>
        <w:ind w:firstLine="0"/>
        <w:jc w:val="both"/>
        <w:rPr>
          <w:rFonts w:ascii="Arial" w:eastAsia="Times New Roman" w:hAnsi="Arial" w:cs="Arial"/>
          <w:sz w:val="24"/>
          <w:szCs w:val="24"/>
          <w:lang w:val="en-GB" w:eastAsia="en-GB"/>
        </w:rPr>
      </w:pPr>
      <w:proofErr w:type="spellStart"/>
      <w:r w:rsidRPr="002C26B9">
        <w:rPr>
          <w:rFonts w:ascii="Arial" w:eastAsia="Times New Roman" w:hAnsi="Arial" w:cs="Arial"/>
          <w:sz w:val="24"/>
          <w:szCs w:val="24"/>
          <w:lang w:val="en-GB" w:eastAsia="en-GB"/>
        </w:rPr>
        <w:t>Boiral</w:t>
      </w:r>
      <w:proofErr w:type="spellEnd"/>
      <w:r w:rsidRPr="002C26B9">
        <w:rPr>
          <w:rFonts w:ascii="Arial" w:eastAsia="Times New Roman" w:hAnsi="Arial" w:cs="Arial"/>
          <w:sz w:val="24"/>
          <w:szCs w:val="24"/>
          <w:lang w:val="en-GB" w:eastAsia="en-GB"/>
        </w:rPr>
        <w:t xml:space="preserve">, O., Brotherton, M.-C. and Talbot, D. (2024). ACHIEVING CORPORATE CARBON NEUTRALITY: A MULTI-PERSPECTIVE FRAMEWORK. </w:t>
      </w:r>
      <w:r w:rsidRPr="002C26B9">
        <w:rPr>
          <w:rFonts w:ascii="Arial" w:eastAsia="Times New Roman" w:hAnsi="Arial" w:cs="Arial"/>
          <w:i/>
          <w:iCs/>
          <w:sz w:val="24"/>
          <w:szCs w:val="24"/>
          <w:lang w:val="en-GB" w:eastAsia="en-GB"/>
        </w:rPr>
        <w:t>Journal of Cleaner Production</w:t>
      </w:r>
      <w:r w:rsidRPr="002C26B9">
        <w:rPr>
          <w:rFonts w:ascii="Arial" w:eastAsia="Times New Roman" w:hAnsi="Arial" w:cs="Arial"/>
          <w:sz w:val="24"/>
          <w:szCs w:val="24"/>
          <w:lang w:val="en-GB" w:eastAsia="en-GB"/>
        </w:rPr>
        <w:t xml:space="preserve">, 467, pp.143040–143040. </w:t>
      </w:r>
      <w:proofErr w:type="spellStart"/>
      <w:proofErr w:type="gramStart"/>
      <w:r w:rsidRPr="002C26B9">
        <w:rPr>
          <w:rFonts w:ascii="Arial" w:eastAsia="Times New Roman" w:hAnsi="Arial" w:cs="Arial"/>
          <w:sz w:val="24"/>
          <w:szCs w:val="24"/>
          <w:lang w:val="en-GB" w:eastAsia="en-GB"/>
        </w:rPr>
        <w:t>doi:https</w:t>
      </w:r>
      <w:proofErr w:type="spellEnd"/>
      <w:r w:rsidRPr="002C26B9">
        <w:rPr>
          <w:rFonts w:ascii="Arial" w:eastAsia="Times New Roman" w:hAnsi="Arial" w:cs="Arial"/>
          <w:sz w:val="24"/>
          <w:szCs w:val="24"/>
          <w:lang w:val="en-GB" w:eastAsia="en-GB"/>
        </w:rPr>
        <w:t>://doi.org/10.1016/j.jclepro.2024.143040</w:t>
      </w:r>
      <w:proofErr w:type="gramEnd"/>
      <w:r w:rsidRPr="002C26B9">
        <w:rPr>
          <w:rFonts w:ascii="Arial" w:eastAsia="Times New Roman" w:hAnsi="Arial" w:cs="Arial"/>
          <w:sz w:val="24"/>
          <w:szCs w:val="24"/>
          <w:lang w:val="en-GB" w:eastAsia="en-GB"/>
        </w:rPr>
        <w:t>.</w:t>
      </w:r>
    </w:p>
    <w:p w14:paraId="46147776" w14:textId="77777777" w:rsidR="002C26B9" w:rsidRPr="002C26B9" w:rsidRDefault="002C26B9" w:rsidP="002044FD">
      <w:pPr>
        <w:spacing w:after="240" w:line="360" w:lineRule="auto"/>
        <w:ind w:firstLine="0"/>
        <w:jc w:val="both"/>
        <w:rPr>
          <w:rFonts w:ascii="Arial" w:eastAsia="Times New Roman" w:hAnsi="Arial" w:cs="Arial"/>
          <w:sz w:val="24"/>
          <w:szCs w:val="24"/>
          <w:lang w:val="en-GB" w:eastAsia="en-GB"/>
        </w:rPr>
      </w:pPr>
      <w:r w:rsidRPr="002C26B9">
        <w:rPr>
          <w:rFonts w:ascii="Arial" w:eastAsia="Times New Roman" w:hAnsi="Arial" w:cs="Arial"/>
          <w:sz w:val="24"/>
          <w:szCs w:val="24"/>
          <w:lang w:val="en-GB" w:eastAsia="en-GB"/>
        </w:rPr>
        <w:t xml:space="preserve">Jennifer, L. (2025). </w:t>
      </w:r>
      <w:r w:rsidRPr="002C26B9">
        <w:rPr>
          <w:rFonts w:ascii="Arial" w:eastAsia="Times New Roman" w:hAnsi="Arial" w:cs="Arial"/>
          <w:i/>
          <w:iCs/>
          <w:sz w:val="24"/>
          <w:szCs w:val="24"/>
          <w:lang w:val="en-GB" w:eastAsia="en-GB"/>
        </w:rPr>
        <w:t>Tesla’s Avoided Emissions Are Up to 49% Overstated, A Study Claims</w:t>
      </w:r>
      <w:r w:rsidRPr="002C26B9">
        <w:rPr>
          <w:rFonts w:ascii="Arial" w:eastAsia="Times New Roman" w:hAnsi="Arial" w:cs="Arial"/>
          <w:sz w:val="24"/>
          <w:szCs w:val="24"/>
          <w:lang w:val="en-GB" w:eastAsia="en-GB"/>
        </w:rPr>
        <w:t>. [online] Carbon Credits. Available at: https://carboncredits.com/teslas-avoided-emissions-are-up-to-49-overstated-a-study-claims/.</w:t>
      </w:r>
    </w:p>
    <w:p w14:paraId="1A37C4AF" w14:textId="77777777" w:rsidR="002C26B9" w:rsidRPr="002C26B9" w:rsidRDefault="002C26B9" w:rsidP="002044FD">
      <w:pPr>
        <w:spacing w:after="240" w:line="360" w:lineRule="auto"/>
        <w:ind w:firstLine="0"/>
        <w:jc w:val="both"/>
        <w:rPr>
          <w:rFonts w:ascii="Arial" w:eastAsia="Times New Roman" w:hAnsi="Arial" w:cs="Arial"/>
          <w:sz w:val="24"/>
          <w:szCs w:val="24"/>
          <w:lang w:val="en-GB" w:eastAsia="en-GB"/>
        </w:rPr>
      </w:pPr>
      <w:r w:rsidRPr="002C26B9">
        <w:rPr>
          <w:rFonts w:ascii="Arial" w:eastAsia="Times New Roman" w:hAnsi="Arial" w:cs="Arial"/>
          <w:sz w:val="24"/>
          <w:szCs w:val="24"/>
          <w:lang w:val="en-GB" w:eastAsia="en-GB"/>
        </w:rPr>
        <w:t xml:space="preserve">Koch, T. and Denner, N. (2025). Different shades of green deception. Greenwashing’s adverse effects on corporate image and credibility. </w:t>
      </w:r>
      <w:r w:rsidRPr="002C26B9">
        <w:rPr>
          <w:rFonts w:ascii="Arial" w:eastAsia="Times New Roman" w:hAnsi="Arial" w:cs="Arial"/>
          <w:i/>
          <w:iCs/>
          <w:sz w:val="24"/>
          <w:szCs w:val="24"/>
          <w:lang w:val="en-GB" w:eastAsia="en-GB"/>
        </w:rPr>
        <w:t>Public Relations Review</w:t>
      </w:r>
      <w:r w:rsidRPr="002C26B9">
        <w:rPr>
          <w:rFonts w:ascii="Arial" w:eastAsia="Times New Roman" w:hAnsi="Arial" w:cs="Arial"/>
          <w:sz w:val="24"/>
          <w:szCs w:val="24"/>
          <w:lang w:val="en-GB" w:eastAsia="en-GB"/>
        </w:rPr>
        <w:t xml:space="preserve">, [online] 51(1), p.102521. </w:t>
      </w:r>
      <w:proofErr w:type="spellStart"/>
      <w:proofErr w:type="gramStart"/>
      <w:r w:rsidRPr="002C26B9">
        <w:rPr>
          <w:rFonts w:ascii="Arial" w:eastAsia="Times New Roman" w:hAnsi="Arial" w:cs="Arial"/>
          <w:sz w:val="24"/>
          <w:szCs w:val="24"/>
          <w:lang w:val="en-GB" w:eastAsia="en-GB"/>
        </w:rPr>
        <w:t>doi:https</w:t>
      </w:r>
      <w:proofErr w:type="spellEnd"/>
      <w:r w:rsidRPr="002C26B9">
        <w:rPr>
          <w:rFonts w:ascii="Arial" w:eastAsia="Times New Roman" w:hAnsi="Arial" w:cs="Arial"/>
          <w:sz w:val="24"/>
          <w:szCs w:val="24"/>
          <w:lang w:val="en-GB" w:eastAsia="en-GB"/>
        </w:rPr>
        <w:t>://doi.org/10.1016/j.pubrev.2024.102521</w:t>
      </w:r>
      <w:proofErr w:type="gramEnd"/>
      <w:r w:rsidRPr="002C26B9">
        <w:rPr>
          <w:rFonts w:ascii="Arial" w:eastAsia="Times New Roman" w:hAnsi="Arial" w:cs="Arial"/>
          <w:sz w:val="24"/>
          <w:szCs w:val="24"/>
          <w:lang w:val="en-GB" w:eastAsia="en-GB"/>
        </w:rPr>
        <w:t>.</w:t>
      </w:r>
    </w:p>
    <w:p w14:paraId="688126BE" w14:textId="77777777" w:rsidR="002C26B9" w:rsidRPr="002C26B9" w:rsidRDefault="002C26B9" w:rsidP="002044FD">
      <w:pPr>
        <w:spacing w:after="240" w:line="360" w:lineRule="auto"/>
        <w:ind w:firstLine="0"/>
        <w:jc w:val="both"/>
        <w:rPr>
          <w:rFonts w:ascii="Arial" w:eastAsia="Times New Roman" w:hAnsi="Arial" w:cs="Arial"/>
          <w:sz w:val="24"/>
          <w:szCs w:val="24"/>
          <w:lang w:val="en-GB" w:eastAsia="en-GB"/>
        </w:rPr>
      </w:pPr>
      <w:r w:rsidRPr="002C26B9">
        <w:rPr>
          <w:rFonts w:ascii="Arial" w:eastAsia="Times New Roman" w:hAnsi="Arial" w:cs="Arial"/>
          <w:sz w:val="24"/>
          <w:szCs w:val="24"/>
          <w:lang w:val="en-GB" w:eastAsia="en-GB"/>
        </w:rPr>
        <w:t xml:space="preserve">Negri, M. and Bieker, G. (2025). </w:t>
      </w:r>
      <w:r w:rsidRPr="002C26B9">
        <w:rPr>
          <w:rFonts w:ascii="Arial" w:eastAsia="Times New Roman" w:hAnsi="Arial" w:cs="Arial"/>
          <w:i/>
          <w:iCs/>
          <w:sz w:val="24"/>
          <w:szCs w:val="24"/>
          <w:lang w:val="en-GB" w:eastAsia="en-GB"/>
        </w:rPr>
        <w:t>Life-cycle greenhouse gas emissions from passenger cars in the European Union A 2025 update and key factors to consider</w:t>
      </w:r>
      <w:r w:rsidRPr="002C26B9">
        <w:rPr>
          <w:rFonts w:ascii="Arial" w:eastAsia="Times New Roman" w:hAnsi="Arial" w:cs="Arial"/>
          <w:sz w:val="24"/>
          <w:szCs w:val="24"/>
          <w:lang w:val="en-GB" w:eastAsia="en-GB"/>
        </w:rPr>
        <w:t>. [online] Available at: https://theicct.org/wp-content/uploads/2025/07/ID-392-%E2%80%93-Life-cycle-GHG_report_final.pdf.</w:t>
      </w:r>
    </w:p>
    <w:p w14:paraId="3DB83791" w14:textId="77777777" w:rsidR="002C26B9" w:rsidRPr="002C26B9" w:rsidRDefault="002C26B9" w:rsidP="002044FD">
      <w:pPr>
        <w:spacing w:after="240" w:line="360" w:lineRule="auto"/>
        <w:ind w:firstLine="0"/>
        <w:jc w:val="both"/>
        <w:rPr>
          <w:rFonts w:ascii="Arial" w:eastAsia="Times New Roman" w:hAnsi="Arial" w:cs="Arial"/>
          <w:sz w:val="24"/>
          <w:szCs w:val="24"/>
          <w:lang w:val="en-GB" w:eastAsia="en-GB"/>
        </w:rPr>
      </w:pPr>
      <w:r w:rsidRPr="002C26B9">
        <w:rPr>
          <w:rFonts w:ascii="Arial" w:eastAsia="Times New Roman" w:hAnsi="Arial" w:cs="Arial"/>
          <w:sz w:val="24"/>
          <w:szCs w:val="24"/>
          <w:lang w:val="en-GB" w:eastAsia="en-GB"/>
        </w:rPr>
        <w:t xml:space="preserve">Obrador Rey, S., Canals Casals, L., </w:t>
      </w:r>
      <w:proofErr w:type="spellStart"/>
      <w:r w:rsidRPr="002C26B9">
        <w:rPr>
          <w:rFonts w:ascii="Arial" w:eastAsia="Times New Roman" w:hAnsi="Arial" w:cs="Arial"/>
          <w:sz w:val="24"/>
          <w:szCs w:val="24"/>
          <w:lang w:val="en-GB" w:eastAsia="en-GB"/>
        </w:rPr>
        <w:t>Gevorkov</w:t>
      </w:r>
      <w:proofErr w:type="spellEnd"/>
      <w:r w:rsidRPr="002C26B9">
        <w:rPr>
          <w:rFonts w:ascii="Arial" w:eastAsia="Times New Roman" w:hAnsi="Arial" w:cs="Arial"/>
          <w:sz w:val="24"/>
          <w:szCs w:val="24"/>
          <w:lang w:val="en-GB" w:eastAsia="en-GB"/>
        </w:rPr>
        <w:t xml:space="preserve">, L., Cremades Oliver, L. and Trilla, L. (2024). Critical Review on the Sustainability of Electric Vehicles: Addressing Challenges without Interfering in Market Trends. </w:t>
      </w:r>
      <w:r w:rsidRPr="002C26B9">
        <w:rPr>
          <w:rFonts w:ascii="Arial" w:eastAsia="Times New Roman" w:hAnsi="Arial" w:cs="Arial"/>
          <w:i/>
          <w:iCs/>
          <w:sz w:val="24"/>
          <w:szCs w:val="24"/>
          <w:lang w:val="en-GB" w:eastAsia="en-GB"/>
        </w:rPr>
        <w:t>Electronics</w:t>
      </w:r>
      <w:r w:rsidRPr="002C26B9">
        <w:rPr>
          <w:rFonts w:ascii="Arial" w:eastAsia="Times New Roman" w:hAnsi="Arial" w:cs="Arial"/>
          <w:sz w:val="24"/>
          <w:szCs w:val="24"/>
          <w:lang w:val="en-GB" w:eastAsia="en-GB"/>
        </w:rPr>
        <w:t xml:space="preserve">, [online] 13(5), p.860. </w:t>
      </w:r>
      <w:proofErr w:type="spellStart"/>
      <w:proofErr w:type="gramStart"/>
      <w:r w:rsidRPr="002C26B9">
        <w:rPr>
          <w:rFonts w:ascii="Arial" w:eastAsia="Times New Roman" w:hAnsi="Arial" w:cs="Arial"/>
          <w:sz w:val="24"/>
          <w:szCs w:val="24"/>
          <w:lang w:val="en-GB" w:eastAsia="en-GB"/>
        </w:rPr>
        <w:t>doi:https</w:t>
      </w:r>
      <w:proofErr w:type="spellEnd"/>
      <w:r w:rsidRPr="002C26B9">
        <w:rPr>
          <w:rFonts w:ascii="Arial" w:eastAsia="Times New Roman" w:hAnsi="Arial" w:cs="Arial"/>
          <w:sz w:val="24"/>
          <w:szCs w:val="24"/>
          <w:lang w:val="en-GB" w:eastAsia="en-GB"/>
        </w:rPr>
        <w:t>://doi.org/10.3390/electronics13050860</w:t>
      </w:r>
      <w:proofErr w:type="gramEnd"/>
      <w:r w:rsidRPr="002C26B9">
        <w:rPr>
          <w:rFonts w:ascii="Arial" w:eastAsia="Times New Roman" w:hAnsi="Arial" w:cs="Arial"/>
          <w:sz w:val="24"/>
          <w:szCs w:val="24"/>
          <w:lang w:val="en-GB" w:eastAsia="en-GB"/>
        </w:rPr>
        <w:t>.</w:t>
      </w:r>
    </w:p>
    <w:p w14:paraId="5F3888C5" w14:textId="77777777" w:rsidR="002C26B9" w:rsidRPr="002C26B9" w:rsidRDefault="002C26B9" w:rsidP="002044FD">
      <w:pPr>
        <w:spacing w:after="240" w:line="360" w:lineRule="auto"/>
        <w:ind w:firstLine="0"/>
        <w:jc w:val="both"/>
        <w:rPr>
          <w:rFonts w:ascii="Arial" w:eastAsia="Times New Roman" w:hAnsi="Arial" w:cs="Arial"/>
          <w:sz w:val="24"/>
          <w:szCs w:val="24"/>
          <w:lang w:val="en-GB" w:eastAsia="en-GB"/>
        </w:rPr>
      </w:pPr>
      <w:r w:rsidRPr="002C26B9">
        <w:rPr>
          <w:rFonts w:ascii="Arial" w:eastAsia="Times New Roman" w:hAnsi="Arial" w:cs="Arial"/>
          <w:sz w:val="24"/>
          <w:szCs w:val="24"/>
          <w:lang w:val="en-GB" w:eastAsia="en-GB"/>
        </w:rPr>
        <w:t xml:space="preserve">Reuters (2025). French investigators order Tesla to stop ‘deceptive business </w:t>
      </w:r>
      <w:proofErr w:type="gramStart"/>
      <w:r w:rsidRPr="002C26B9">
        <w:rPr>
          <w:rFonts w:ascii="Arial" w:eastAsia="Times New Roman" w:hAnsi="Arial" w:cs="Arial"/>
          <w:sz w:val="24"/>
          <w:szCs w:val="24"/>
          <w:lang w:val="en-GB" w:eastAsia="en-GB"/>
        </w:rPr>
        <w:t>practices’</w:t>
      </w:r>
      <w:proofErr w:type="gramEnd"/>
      <w:r w:rsidRPr="002C26B9">
        <w:rPr>
          <w:rFonts w:ascii="Arial" w:eastAsia="Times New Roman" w:hAnsi="Arial" w:cs="Arial"/>
          <w:sz w:val="24"/>
          <w:szCs w:val="24"/>
          <w:lang w:val="en-GB" w:eastAsia="en-GB"/>
        </w:rPr>
        <w:t xml:space="preserve">. </w:t>
      </w:r>
      <w:r w:rsidRPr="002C26B9">
        <w:rPr>
          <w:rFonts w:ascii="Arial" w:eastAsia="Times New Roman" w:hAnsi="Arial" w:cs="Arial"/>
          <w:i/>
          <w:iCs/>
          <w:sz w:val="24"/>
          <w:szCs w:val="24"/>
          <w:lang w:val="en-GB" w:eastAsia="en-GB"/>
        </w:rPr>
        <w:t>Reuters</w:t>
      </w:r>
      <w:r w:rsidRPr="002C26B9">
        <w:rPr>
          <w:rFonts w:ascii="Arial" w:eastAsia="Times New Roman" w:hAnsi="Arial" w:cs="Arial"/>
          <w:sz w:val="24"/>
          <w:szCs w:val="24"/>
          <w:lang w:val="en-GB" w:eastAsia="en-GB"/>
        </w:rPr>
        <w:t>. [online] 24 Jun. Available at: https://www.reuters.com/legal/legalindustry/french-investigators-order-tesla-stop-deceptive-business-practices-2025-06-24/.</w:t>
      </w:r>
    </w:p>
    <w:p w14:paraId="16E3D844" w14:textId="77777777" w:rsidR="002C26B9" w:rsidRPr="002C26B9" w:rsidRDefault="002C26B9" w:rsidP="002044FD">
      <w:pPr>
        <w:spacing w:after="240" w:line="360" w:lineRule="auto"/>
        <w:ind w:firstLine="0"/>
        <w:jc w:val="both"/>
        <w:rPr>
          <w:rFonts w:ascii="Arial" w:eastAsia="Times New Roman" w:hAnsi="Arial" w:cs="Arial"/>
          <w:sz w:val="24"/>
          <w:szCs w:val="24"/>
          <w:lang w:val="en-GB" w:eastAsia="en-GB"/>
        </w:rPr>
      </w:pPr>
      <w:r w:rsidRPr="002C26B9">
        <w:rPr>
          <w:rFonts w:ascii="Arial" w:eastAsia="Times New Roman" w:hAnsi="Arial" w:cs="Arial"/>
          <w:sz w:val="24"/>
          <w:szCs w:val="24"/>
          <w:lang w:val="en-GB" w:eastAsia="en-GB"/>
        </w:rPr>
        <w:t xml:space="preserve">Santos, C., Coelho, A. and Marques, A. (2023). A systematic literature review on greenwashing and its relationship to stakeholders: state of art and future research agenda. </w:t>
      </w:r>
      <w:r w:rsidRPr="002C26B9">
        <w:rPr>
          <w:rFonts w:ascii="Arial" w:eastAsia="Times New Roman" w:hAnsi="Arial" w:cs="Arial"/>
          <w:i/>
          <w:iCs/>
          <w:sz w:val="24"/>
          <w:szCs w:val="24"/>
          <w:lang w:val="en-GB" w:eastAsia="en-GB"/>
        </w:rPr>
        <w:t>Management Review Quarterly</w:t>
      </w:r>
      <w:r w:rsidRPr="002C26B9">
        <w:rPr>
          <w:rFonts w:ascii="Arial" w:eastAsia="Times New Roman" w:hAnsi="Arial" w:cs="Arial"/>
          <w:sz w:val="24"/>
          <w:szCs w:val="24"/>
          <w:lang w:val="en-GB" w:eastAsia="en-GB"/>
        </w:rPr>
        <w:t xml:space="preserve">, 74(1), pp.1397–1421. </w:t>
      </w:r>
      <w:proofErr w:type="spellStart"/>
      <w:proofErr w:type="gramStart"/>
      <w:r w:rsidRPr="002C26B9">
        <w:rPr>
          <w:rFonts w:ascii="Arial" w:eastAsia="Times New Roman" w:hAnsi="Arial" w:cs="Arial"/>
          <w:sz w:val="24"/>
          <w:szCs w:val="24"/>
          <w:lang w:val="en-GB" w:eastAsia="en-GB"/>
        </w:rPr>
        <w:t>doi:https</w:t>
      </w:r>
      <w:proofErr w:type="spellEnd"/>
      <w:r w:rsidRPr="002C26B9">
        <w:rPr>
          <w:rFonts w:ascii="Arial" w:eastAsia="Times New Roman" w:hAnsi="Arial" w:cs="Arial"/>
          <w:sz w:val="24"/>
          <w:szCs w:val="24"/>
          <w:lang w:val="en-GB" w:eastAsia="en-GB"/>
        </w:rPr>
        <w:t>://doi.org/10.1007/s11301-023-00337-5</w:t>
      </w:r>
      <w:proofErr w:type="gramEnd"/>
      <w:r w:rsidRPr="002C26B9">
        <w:rPr>
          <w:rFonts w:ascii="Arial" w:eastAsia="Times New Roman" w:hAnsi="Arial" w:cs="Arial"/>
          <w:sz w:val="24"/>
          <w:szCs w:val="24"/>
          <w:lang w:val="en-GB" w:eastAsia="en-GB"/>
        </w:rPr>
        <w:t>.</w:t>
      </w:r>
    </w:p>
    <w:p w14:paraId="27057787" w14:textId="335EF6EE" w:rsidR="00FB7C58" w:rsidRPr="008459D7" w:rsidRDefault="002C26B9" w:rsidP="002044FD">
      <w:pPr>
        <w:spacing w:after="240" w:line="360" w:lineRule="auto"/>
        <w:ind w:firstLine="0"/>
        <w:jc w:val="both"/>
        <w:rPr>
          <w:rFonts w:ascii="Arial" w:eastAsia="Times New Roman" w:hAnsi="Arial" w:cs="Arial"/>
          <w:sz w:val="24"/>
          <w:szCs w:val="24"/>
          <w:lang w:val="en-GB" w:eastAsia="en-GB"/>
        </w:rPr>
      </w:pPr>
      <w:r w:rsidRPr="002C26B9">
        <w:rPr>
          <w:rFonts w:ascii="Arial" w:eastAsia="Times New Roman" w:hAnsi="Arial" w:cs="Arial"/>
          <w:sz w:val="24"/>
          <w:szCs w:val="24"/>
          <w:lang w:val="en-GB" w:eastAsia="en-GB"/>
        </w:rPr>
        <w:lastRenderedPageBreak/>
        <w:t xml:space="preserve">Stempel, J. (2024). Tesla must face California’s false-marketing claims concerning Autopilot. </w:t>
      </w:r>
      <w:r w:rsidRPr="002C26B9">
        <w:rPr>
          <w:rFonts w:ascii="Arial" w:eastAsia="Times New Roman" w:hAnsi="Arial" w:cs="Arial"/>
          <w:i/>
          <w:iCs/>
          <w:sz w:val="24"/>
          <w:szCs w:val="24"/>
          <w:lang w:val="en-GB" w:eastAsia="en-GB"/>
        </w:rPr>
        <w:t>Reuters</w:t>
      </w:r>
      <w:r w:rsidRPr="002C26B9">
        <w:rPr>
          <w:rFonts w:ascii="Arial" w:eastAsia="Times New Roman" w:hAnsi="Arial" w:cs="Arial"/>
          <w:sz w:val="24"/>
          <w:szCs w:val="24"/>
          <w:lang w:val="en-GB" w:eastAsia="en-GB"/>
        </w:rPr>
        <w:t>. [online] 10 Jun. Available at: https://www.reuters.com/legal/tesla-must-face-californias-false-marketing-claims-concerning-autopilot-2024-06-10/.</w:t>
      </w:r>
    </w:p>
    <w:sectPr w:rsidR="00FB7C58" w:rsidRPr="008459D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1636C" w14:textId="77777777" w:rsidR="002F29E6" w:rsidRDefault="002F29E6" w:rsidP="00532B94">
      <w:pPr>
        <w:spacing w:line="240" w:lineRule="auto"/>
      </w:pPr>
      <w:r>
        <w:separator/>
      </w:r>
    </w:p>
  </w:endnote>
  <w:endnote w:type="continuationSeparator" w:id="0">
    <w:p w14:paraId="3BBA1044" w14:textId="77777777" w:rsidR="002F29E6" w:rsidRDefault="002F29E6" w:rsidP="00532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FB7F3" w14:textId="77777777" w:rsidR="00DD3C62" w:rsidRDefault="00DD3C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D8D3C" w14:textId="77777777" w:rsidR="00DD3C62" w:rsidRDefault="00DD3C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DBA31" w14:textId="77777777" w:rsidR="00DD3C62" w:rsidRDefault="00DD3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0E30F" w14:textId="77777777" w:rsidR="002F29E6" w:rsidRDefault="002F29E6" w:rsidP="00532B94">
      <w:pPr>
        <w:spacing w:line="240" w:lineRule="auto"/>
      </w:pPr>
      <w:r>
        <w:separator/>
      </w:r>
    </w:p>
  </w:footnote>
  <w:footnote w:type="continuationSeparator" w:id="0">
    <w:p w14:paraId="7B905A95" w14:textId="77777777" w:rsidR="002F29E6" w:rsidRDefault="002F29E6" w:rsidP="00532B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F9A33" w14:textId="77777777" w:rsidR="00DD3C62" w:rsidRDefault="00DD3C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500189"/>
      <w:docPartObj>
        <w:docPartGallery w:val="Page Numbers (Top of Page)"/>
        <w:docPartUnique/>
      </w:docPartObj>
    </w:sdtPr>
    <w:sdtEndPr>
      <w:rPr>
        <w:noProof/>
      </w:rPr>
    </w:sdtEndPr>
    <w:sdtContent>
      <w:p w14:paraId="38251602" w14:textId="3FEFE29F" w:rsidR="00532B94" w:rsidRDefault="00532B94">
        <w:pPr>
          <w:pStyle w:val="Header"/>
          <w:jc w:val="right"/>
        </w:pPr>
        <w:r>
          <w:fldChar w:fldCharType="begin"/>
        </w:r>
        <w:r>
          <w:instrText xml:space="preserve"> PAGE   \* MERGEFORMAT </w:instrText>
        </w:r>
        <w:r>
          <w:fldChar w:fldCharType="separate"/>
        </w:r>
        <w:r w:rsidR="00195B81">
          <w:rPr>
            <w:noProof/>
          </w:rPr>
          <w:t>1</w:t>
        </w:r>
        <w:r>
          <w:rPr>
            <w:noProof/>
          </w:rPr>
          <w:fldChar w:fldCharType="end"/>
        </w:r>
      </w:p>
    </w:sdtContent>
  </w:sdt>
  <w:p w14:paraId="088F5064" w14:textId="77777777" w:rsidR="00532B94" w:rsidRDefault="00532B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5C11F" w14:textId="77777777" w:rsidR="00DD3C62" w:rsidRDefault="00DD3C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94E46"/>
    <w:multiLevelType w:val="hybridMultilevel"/>
    <w:tmpl w:val="CC92AE9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6206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LY0Nza2MDA2tzSwtDBX0lEKTi0uzszPAykwqgUAAJpDyCwAAAA="/>
  </w:docVars>
  <w:rsids>
    <w:rsidRoot w:val="0093135B"/>
    <w:rsid w:val="00002276"/>
    <w:rsid w:val="00021211"/>
    <w:rsid w:val="00034A11"/>
    <w:rsid w:val="0003634D"/>
    <w:rsid w:val="000458E5"/>
    <w:rsid w:val="0006153C"/>
    <w:rsid w:val="00091FD2"/>
    <w:rsid w:val="000B11C1"/>
    <w:rsid w:val="000C0828"/>
    <w:rsid w:val="000C6102"/>
    <w:rsid w:val="000D648B"/>
    <w:rsid w:val="000E722E"/>
    <w:rsid w:val="001040DB"/>
    <w:rsid w:val="00112056"/>
    <w:rsid w:val="001202CB"/>
    <w:rsid w:val="001353CE"/>
    <w:rsid w:val="001516E5"/>
    <w:rsid w:val="00187825"/>
    <w:rsid w:val="0019187D"/>
    <w:rsid w:val="00195B81"/>
    <w:rsid w:val="001B10F6"/>
    <w:rsid w:val="001C2F79"/>
    <w:rsid w:val="001F69D8"/>
    <w:rsid w:val="002044FD"/>
    <w:rsid w:val="0021565F"/>
    <w:rsid w:val="00226B28"/>
    <w:rsid w:val="00243418"/>
    <w:rsid w:val="00252486"/>
    <w:rsid w:val="00261053"/>
    <w:rsid w:val="00274AC6"/>
    <w:rsid w:val="002836B2"/>
    <w:rsid w:val="0028675C"/>
    <w:rsid w:val="002960D2"/>
    <w:rsid w:val="00296AAC"/>
    <w:rsid w:val="002A34DB"/>
    <w:rsid w:val="002A41ED"/>
    <w:rsid w:val="002B6D5D"/>
    <w:rsid w:val="002B701C"/>
    <w:rsid w:val="002C0ED5"/>
    <w:rsid w:val="002C26B9"/>
    <w:rsid w:val="002C4B1B"/>
    <w:rsid w:val="002E793F"/>
    <w:rsid w:val="002F29E6"/>
    <w:rsid w:val="002F4E78"/>
    <w:rsid w:val="003204DA"/>
    <w:rsid w:val="00327D78"/>
    <w:rsid w:val="0034609D"/>
    <w:rsid w:val="003548CA"/>
    <w:rsid w:val="00364361"/>
    <w:rsid w:val="0037235A"/>
    <w:rsid w:val="003B4FA4"/>
    <w:rsid w:val="003D1886"/>
    <w:rsid w:val="003E2BA0"/>
    <w:rsid w:val="003F437C"/>
    <w:rsid w:val="0041020C"/>
    <w:rsid w:val="0041567F"/>
    <w:rsid w:val="0042177B"/>
    <w:rsid w:val="00466655"/>
    <w:rsid w:val="00485D2A"/>
    <w:rsid w:val="004B3710"/>
    <w:rsid w:val="004B75BE"/>
    <w:rsid w:val="0053226C"/>
    <w:rsid w:val="00532B94"/>
    <w:rsid w:val="00533EE6"/>
    <w:rsid w:val="005408F2"/>
    <w:rsid w:val="0055010D"/>
    <w:rsid w:val="00551D48"/>
    <w:rsid w:val="00554316"/>
    <w:rsid w:val="00586A3A"/>
    <w:rsid w:val="005A38EF"/>
    <w:rsid w:val="005E4FA1"/>
    <w:rsid w:val="00617400"/>
    <w:rsid w:val="00623DB2"/>
    <w:rsid w:val="0064261C"/>
    <w:rsid w:val="00654969"/>
    <w:rsid w:val="00655EAE"/>
    <w:rsid w:val="0065618D"/>
    <w:rsid w:val="0068214A"/>
    <w:rsid w:val="00683087"/>
    <w:rsid w:val="00692780"/>
    <w:rsid w:val="006A3E03"/>
    <w:rsid w:val="006B75A6"/>
    <w:rsid w:val="006D5907"/>
    <w:rsid w:val="006E51DE"/>
    <w:rsid w:val="006E7514"/>
    <w:rsid w:val="00704E53"/>
    <w:rsid w:val="00716BF3"/>
    <w:rsid w:val="00716CE2"/>
    <w:rsid w:val="00721270"/>
    <w:rsid w:val="007A60A9"/>
    <w:rsid w:val="007B0C46"/>
    <w:rsid w:val="007E51B1"/>
    <w:rsid w:val="007E5CD8"/>
    <w:rsid w:val="008216B1"/>
    <w:rsid w:val="008233C4"/>
    <w:rsid w:val="0084152D"/>
    <w:rsid w:val="008459D7"/>
    <w:rsid w:val="008462CA"/>
    <w:rsid w:val="00853FD7"/>
    <w:rsid w:val="00862AC2"/>
    <w:rsid w:val="008A096C"/>
    <w:rsid w:val="008A136B"/>
    <w:rsid w:val="008C10BC"/>
    <w:rsid w:val="008C4A26"/>
    <w:rsid w:val="008D5F86"/>
    <w:rsid w:val="008E31C6"/>
    <w:rsid w:val="008F5F2A"/>
    <w:rsid w:val="008F60C4"/>
    <w:rsid w:val="0090141E"/>
    <w:rsid w:val="00910D3E"/>
    <w:rsid w:val="0093135B"/>
    <w:rsid w:val="00943C74"/>
    <w:rsid w:val="00964632"/>
    <w:rsid w:val="0096469E"/>
    <w:rsid w:val="009C77F3"/>
    <w:rsid w:val="009C7ED0"/>
    <w:rsid w:val="009D7395"/>
    <w:rsid w:val="00A11416"/>
    <w:rsid w:val="00A151A9"/>
    <w:rsid w:val="00A303FA"/>
    <w:rsid w:val="00A768CE"/>
    <w:rsid w:val="00AA083F"/>
    <w:rsid w:val="00AA7410"/>
    <w:rsid w:val="00AD1291"/>
    <w:rsid w:val="00AE3087"/>
    <w:rsid w:val="00B032A9"/>
    <w:rsid w:val="00B14130"/>
    <w:rsid w:val="00B259BC"/>
    <w:rsid w:val="00B25E0F"/>
    <w:rsid w:val="00B46236"/>
    <w:rsid w:val="00B466E5"/>
    <w:rsid w:val="00B62902"/>
    <w:rsid w:val="00B9618F"/>
    <w:rsid w:val="00BA3600"/>
    <w:rsid w:val="00BC49E3"/>
    <w:rsid w:val="00BC5094"/>
    <w:rsid w:val="00BE4115"/>
    <w:rsid w:val="00C014FB"/>
    <w:rsid w:val="00C202C0"/>
    <w:rsid w:val="00C2455B"/>
    <w:rsid w:val="00C26374"/>
    <w:rsid w:val="00C26F23"/>
    <w:rsid w:val="00C32026"/>
    <w:rsid w:val="00C34B82"/>
    <w:rsid w:val="00C42CAD"/>
    <w:rsid w:val="00C4794B"/>
    <w:rsid w:val="00C56994"/>
    <w:rsid w:val="00C62C11"/>
    <w:rsid w:val="00C71776"/>
    <w:rsid w:val="00CB231D"/>
    <w:rsid w:val="00CE5EF3"/>
    <w:rsid w:val="00CF0DE1"/>
    <w:rsid w:val="00D12757"/>
    <w:rsid w:val="00D23E5F"/>
    <w:rsid w:val="00D25EEE"/>
    <w:rsid w:val="00D31B0A"/>
    <w:rsid w:val="00D31C41"/>
    <w:rsid w:val="00D448AD"/>
    <w:rsid w:val="00D56263"/>
    <w:rsid w:val="00D67312"/>
    <w:rsid w:val="00D7274C"/>
    <w:rsid w:val="00D779A9"/>
    <w:rsid w:val="00D91F66"/>
    <w:rsid w:val="00D96FD5"/>
    <w:rsid w:val="00DB40EF"/>
    <w:rsid w:val="00DD3C62"/>
    <w:rsid w:val="00DE1021"/>
    <w:rsid w:val="00E10241"/>
    <w:rsid w:val="00E11A5C"/>
    <w:rsid w:val="00E2019D"/>
    <w:rsid w:val="00E3194A"/>
    <w:rsid w:val="00E51E7C"/>
    <w:rsid w:val="00E901F3"/>
    <w:rsid w:val="00EA2C58"/>
    <w:rsid w:val="00ED7F45"/>
    <w:rsid w:val="00EE3DA8"/>
    <w:rsid w:val="00F04F8C"/>
    <w:rsid w:val="00F30F0B"/>
    <w:rsid w:val="00F315F3"/>
    <w:rsid w:val="00F431AA"/>
    <w:rsid w:val="00F46D33"/>
    <w:rsid w:val="00F85890"/>
    <w:rsid w:val="00FA2396"/>
    <w:rsid w:val="00FB7C58"/>
    <w:rsid w:val="00FC6D90"/>
    <w:rsid w:val="00FD2CC5"/>
    <w:rsid w:val="00FD3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A4E09"/>
  <w15:docId w15:val="{C6F6629C-5B6B-464D-BDA5-07E9FCD92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6A3A"/>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86A3A"/>
    <w:rPr>
      <w:color w:val="0563C1" w:themeColor="hyperlink"/>
      <w:u w:val="single"/>
    </w:rPr>
  </w:style>
  <w:style w:type="character" w:styleId="Strong">
    <w:name w:val="Strong"/>
    <w:basedOn w:val="DefaultParagraphFont"/>
    <w:uiPriority w:val="22"/>
    <w:qFormat/>
    <w:rsid w:val="003B4FA4"/>
    <w:rPr>
      <w:b/>
      <w:bCs/>
    </w:rPr>
  </w:style>
  <w:style w:type="character" w:styleId="FollowedHyperlink">
    <w:name w:val="FollowedHyperlink"/>
    <w:basedOn w:val="DefaultParagraphFont"/>
    <w:uiPriority w:val="99"/>
    <w:semiHidden/>
    <w:unhideWhenUsed/>
    <w:rsid w:val="003B4FA4"/>
    <w:rPr>
      <w:color w:val="954F72" w:themeColor="followedHyperlink"/>
      <w:u w:val="single"/>
    </w:rPr>
  </w:style>
  <w:style w:type="paragraph" w:styleId="Header">
    <w:name w:val="header"/>
    <w:basedOn w:val="Normal"/>
    <w:link w:val="HeaderChar"/>
    <w:uiPriority w:val="99"/>
    <w:unhideWhenUsed/>
    <w:rsid w:val="00532B94"/>
    <w:pPr>
      <w:tabs>
        <w:tab w:val="center" w:pos="4680"/>
        <w:tab w:val="right" w:pos="9360"/>
      </w:tabs>
      <w:spacing w:line="240" w:lineRule="auto"/>
    </w:pPr>
  </w:style>
  <w:style w:type="character" w:customStyle="1" w:styleId="HeaderChar">
    <w:name w:val="Header Char"/>
    <w:basedOn w:val="DefaultParagraphFont"/>
    <w:link w:val="Header"/>
    <w:uiPriority w:val="99"/>
    <w:rsid w:val="00532B94"/>
  </w:style>
  <w:style w:type="paragraph" w:styleId="Footer">
    <w:name w:val="footer"/>
    <w:basedOn w:val="Normal"/>
    <w:link w:val="FooterChar"/>
    <w:uiPriority w:val="99"/>
    <w:unhideWhenUsed/>
    <w:rsid w:val="00532B94"/>
    <w:pPr>
      <w:tabs>
        <w:tab w:val="center" w:pos="4680"/>
        <w:tab w:val="right" w:pos="9360"/>
      </w:tabs>
      <w:spacing w:line="240" w:lineRule="auto"/>
    </w:pPr>
  </w:style>
  <w:style w:type="character" w:customStyle="1" w:styleId="FooterChar">
    <w:name w:val="Footer Char"/>
    <w:basedOn w:val="DefaultParagraphFont"/>
    <w:link w:val="Footer"/>
    <w:uiPriority w:val="99"/>
    <w:rsid w:val="00532B94"/>
  </w:style>
  <w:style w:type="paragraph" w:styleId="ListParagraph">
    <w:name w:val="List Paragraph"/>
    <w:basedOn w:val="Normal"/>
    <w:uiPriority w:val="34"/>
    <w:qFormat/>
    <w:rsid w:val="00FD3FC0"/>
    <w:pPr>
      <w:ind w:left="720"/>
      <w:contextualSpacing/>
    </w:pPr>
  </w:style>
  <w:style w:type="character" w:styleId="PlaceholderText">
    <w:name w:val="Placeholder Text"/>
    <w:basedOn w:val="DefaultParagraphFont"/>
    <w:uiPriority w:val="99"/>
    <w:semiHidden/>
    <w:rsid w:val="002B701C"/>
    <w:rPr>
      <w:color w:val="808080"/>
    </w:rPr>
  </w:style>
  <w:style w:type="paragraph" w:styleId="BalloonText">
    <w:name w:val="Balloon Text"/>
    <w:basedOn w:val="Normal"/>
    <w:link w:val="BalloonTextChar"/>
    <w:uiPriority w:val="99"/>
    <w:semiHidden/>
    <w:unhideWhenUsed/>
    <w:rsid w:val="002B701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701C"/>
    <w:rPr>
      <w:rFonts w:ascii="Tahoma" w:hAnsi="Tahoma" w:cs="Tahoma"/>
      <w:sz w:val="16"/>
      <w:szCs w:val="16"/>
    </w:rPr>
  </w:style>
  <w:style w:type="table" w:styleId="TableGrid">
    <w:name w:val="Table Grid"/>
    <w:basedOn w:val="TableNormal"/>
    <w:uiPriority w:val="39"/>
    <w:rsid w:val="00E3194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619970">
      <w:bodyDiv w:val="1"/>
      <w:marLeft w:val="0"/>
      <w:marRight w:val="0"/>
      <w:marTop w:val="0"/>
      <w:marBottom w:val="0"/>
      <w:divBdr>
        <w:top w:val="none" w:sz="0" w:space="0" w:color="auto"/>
        <w:left w:val="none" w:sz="0" w:space="0" w:color="auto"/>
        <w:bottom w:val="none" w:sz="0" w:space="0" w:color="auto"/>
        <w:right w:val="none" w:sz="0" w:space="0" w:color="auto"/>
      </w:divBdr>
    </w:div>
    <w:div w:id="337005996">
      <w:bodyDiv w:val="1"/>
      <w:marLeft w:val="0"/>
      <w:marRight w:val="0"/>
      <w:marTop w:val="0"/>
      <w:marBottom w:val="0"/>
      <w:divBdr>
        <w:top w:val="none" w:sz="0" w:space="0" w:color="auto"/>
        <w:left w:val="none" w:sz="0" w:space="0" w:color="auto"/>
        <w:bottom w:val="none" w:sz="0" w:space="0" w:color="auto"/>
        <w:right w:val="none" w:sz="0" w:space="0" w:color="auto"/>
      </w:divBdr>
    </w:div>
    <w:div w:id="436951294">
      <w:bodyDiv w:val="1"/>
      <w:marLeft w:val="0"/>
      <w:marRight w:val="0"/>
      <w:marTop w:val="0"/>
      <w:marBottom w:val="0"/>
      <w:divBdr>
        <w:top w:val="none" w:sz="0" w:space="0" w:color="auto"/>
        <w:left w:val="none" w:sz="0" w:space="0" w:color="auto"/>
        <w:bottom w:val="none" w:sz="0" w:space="0" w:color="auto"/>
        <w:right w:val="none" w:sz="0" w:space="0" w:color="auto"/>
      </w:divBdr>
      <w:divsChild>
        <w:div w:id="222453947">
          <w:marLeft w:val="-720"/>
          <w:marRight w:val="0"/>
          <w:marTop w:val="0"/>
          <w:marBottom w:val="0"/>
          <w:divBdr>
            <w:top w:val="none" w:sz="0" w:space="0" w:color="auto"/>
            <w:left w:val="none" w:sz="0" w:space="0" w:color="auto"/>
            <w:bottom w:val="none" w:sz="0" w:space="0" w:color="auto"/>
            <w:right w:val="none" w:sz="0" w:space="0" w:color="auto"/>
          </w:divBdr>
        </w:div>
      </w:divsChild>
    </w:div>
    <w:div w:id="504784376">
      <w:bodyDiv w:val="1"/>
      <w:marLeft w:val="0"/>
      <w:marRight w:val="0"/>
      <w:marTop w:val="0"/>
      <w:marBottom w:val="0"/>
      <w:divBdr>
        <w:top w:val="none" w:sz="0" w:space="0" w:color="auto"/>
        <w:left w:val="none" w:sz="0" w:space="0" w:color="auto"/>
        <w:bottom w:val="none" w:sz="0" w:space="0" w:color="auto"/>
        <w:right w:val="none" w:sz="0" w:space="0" w:color="auto"/>
      </w:divBdr>
      <w:divsChild>
        <w:div w:id="1410420462">
          <w:marLeft w:val="-720"/>
          <w:marRight w:val="0"/>
          <w:marTop w:val="0"/>
          <w:marBottom w:val="0"/>
          <w:divBdr>
            <w:top w:val="none" w:sz="0" w:space="0" w:color="auto"/>
            <w:left w:val="none" w:sz="0" w:space="0" w:color="auto"/>
            <w:bottom w:val="none" w:sz="0" w:space="0" w:color="auto"/>
            <w:right w:val="none" w:sz="0" w:space="0" w:color="auto"/>
          </w:divBdr>
        </w:div>
      </w:divsChild>
    </w:div>
    <w:div w:id="677511835">
      <w:bodyDiv w:val="1"/>
      <w:marLeft w:val="0"/>
      <w:marRight w:val="0"/>
      <w:marTop w:val="0"/>
      <w:marBottom w:val="0"/>
      <w:divBdr>
        <w:top w:val="none" w:sz="0" w:space="0" w:color="auto"/>
        <w:left w:val="none" w:sz="0" w:space="0" w:color="auto"/>
        <w:bottom w:val="none" w:sz="0" w:space="0" w:color="auto"/>
        <w:right w:val="none" w:sz="0" w:space="0" w:color="auto"/>
      </w:divBdr>
      <w:divsChild>
        <w:div w:id="1625845001">
          <w:marLeft w:val="-720"/>
          <w:marRight w:val="0"/>
          <w:marTop w:val="0"/>
          <w:marBottom w:val="0"/>
          <w:divBdr>
            <w:top w:val="none" w:sz="0" w:space="0" w:color="auto"/>
            <w:left w:val="none" w:sz="0" w:space="0" w:color="auto"/>
            <w:bottom w:val="none" w:sz="0" w:space="0" w:color="auto"/>
            <w:right w:val="none" w:sz="0" w:space="0" w:color="auto"/>
          </w:divBdr>
        </w:div>
      </w:divsChild>
    </w:div>
    <w:div w:id="793521188">
      <w:bodyDiv w:val="1"/>
      <w:marLeft w:val="0"/>
      <w:marRight w:val="0"/>
      <w:marTop w:val="0"/>
      <w:marBottom w:val="0"/>
      <w:divBdr>
        <w:top w:val="none" w:sz="0" w:space="0" w:color="auto"/>
        <w:left w:val="none" w:sz="0" w:space="0" w:color="auto"/>
        <w:bottom w:val="none" w:sz="0" w:space="0" w:color="auto"/>
        <w:right w:val="none" w:sz="0" w:space="0" w:color="auto"/>
      </w:divBdr>
    </w:div>
    <w:div w:id="1174956483">
      <w:bodyDiv w:val="1"/>
      <w:marLeft w:val="0"/>
      <w:marRight w:val="0"/>
      <w:marTop w:val="0"/>
      <w:marBottom w:val="0"/>
      <w:divBdr>
        <w:top w:val="none" w:sz="0" w:space="0" w:color="auto"/>
        <w:left w:val="none" w:sz="0" w:space="0" w:color="auto"/>
        <w:bottom w:val="none" w:sz="0" w:space="0" w:color="auto"/>
        <w:right w:val="none" w:sz="0" w:space="0" w:color="auto"/>
      </w:divBdr>
      <w:divsChild>
        <w:div w:id="434859978">
          <w:marLeft w:val="-720"/>
          <w:marRight w:val="0"/>
          <w:marTop w:val="0"/>
          <w:marBottom w:val="0"/>
          <w:divBdr>
            <w:top w:val="none" w:sz="0" w:space="0" w:color="auto"/>
            <w:left w:val="none" w:sz="0" w:space="0" w:color="auto"/>
            <w:bottom w:val="none" w:sz="0" w:space="0" w:color="auto"/>
            <w:right w:val="none" w:sz="0" w:space="0" w:color="auto"/>
          </w:divBdr>
        </w:div>
      </w:divsChild>
    </w:div>
    <w:div w:id="1189099741">
      <w:bodyDiv w:val="1"/>
      <w:marLeft w:val="0"/>
      <w:marRight w:val="0"/>
      <w:marTop w:val="0"/>
      <w:marBottom w:val="0"/>
      <w:divBdr>
        <w:top w:val="none" w:sz="0" w:space="0" w:color="auto"/>
        <w:left w:val="none" w:sz="0" w:space="0" w:color="auto"/>
        <w:bottom w:val="none" w:sz="0" w:space="0" w:color="auto"/>
        <w:right w:val="none" w:sz="0" w:space="0" w:color="auto"/>
      </w:divBdr>
    </w:div>
    <w:div w:id="1350908247">
      <w:bodyDiv w:val="1"/>
      <w:marLeft w:val="0"/>
      <w:marRight w:val="0"/>
      <w:marTop w:val="0"/>
      <w:marBottom w:val="0"/>
      <w:divBdr>
        <w:top w:val="none" w:sz="0" w:space="0" w:color="auto"/>
        <w:left w:val="none" w:sz="0" w:space="0" w:color="auto"/>
        <w:bottom w:val="none" w:sz="0" w:space="0" w:color="auto"/>
        <w:right w:val="none" w:sz="0" w:space="0" w:color="auto"/>
      </w:divBdr>
      <w:divsChild>
        <w:div w:id="139854099">
          <w:marLeft w:val="-720"/>
          <w:marRight w:val="0"/>
          <w:marTop w:val="0"/>
          <w:marBottom w:val="0"/>
          <w:divBdr>
            <w:top w:val="none" w:sz="0" w:space="0" w:color="auto"/>
            <w:left w:val="none" w:sz="0" w:space="0" w:color="auto"/>
            <w:bottom w:val="none" w:sz="0" w:space="0" w:color="auto"/>
            <w:right w:val="none" w:sz="0" w:space="0" w:color="auto"/>
          </w:divBdr>
        </w:div>
      </w:divsChild>
    </w:div>
    <w:div w:id="1415275428">
      <w:bodyDiv w:val="1"/>
      <w:marLeft w:val="0"/>
      <w:marRight w:val="0"/>
      <w:marTop w:val="0"/>
      <w:marBottom w:val="0"/>
      <w:divBdr>
        <w:top w:val="none" w:sz="0" w:space="0" w:color="auto"/>
        <w:left w:val="none" w:sz="0" w:space="0" w:color="auto"/>
        <w:bottom w:val="none" w:sz="0" w:space="0" w:color="auto"/>
        <w:right w:val="none" w:sz="0" w:space="0" w:color="auto"/>
      </w:divBdr>
    </w:div>
    <w:div w:id="1515341756">
      <w:bodyDiv w:val="1"/>
      <w:marLeft w:val="0"/>
      <w:marRight w:val="0"/>
      <w:marTop w:val="0"/>
      <w:marBottom w:val="0"/>
      <w:divBdr>
        <w:top w:val="none" w:sz="0" w:space="0" w:color="auto"/>
        <w:left w:val="none" w:sz="0" w:space="0" w:color="auto"/>
        <w:bottom w:val="none" w:sz="0" w:space="0" w:color="auto"/>
        <w:right w:val="none" w:sz="0" w:space="0" w:color="auto"/>
      </w:divBdr>
      <w:divsChild>
        <w:div w:id="1731612867">
          <w:marLeft w:val="0"/>
          <w:marRight w:val="0"/>
          <w:marTop w:val="0"/>
          <w:marBottom w:val="0"/>
          <w:divBdr>
            <w:top w:val="none" w:sz="0" w:space="0" w:color="auto"/>
            <w:left w:val="none" w:sz="0" w:space="0" w:color="auto"/>
            <w:bottom w:val="none" w:sz="0" w:space="0" w:color="auto"/>
            <w:right w:val="none" w:sz="0" w:space="0" w:color="auto"/>
          </w:divBdr>
        </w:div>
      </w:divsChild>
    </w:div>
    <w:div w:id="1594851022">
      <w:bodyDiv w:val="1"/>
      <w:marLeft w:val="0"/>
      <w:marRight w:val="0"/>
      <w:marTop w:val="0"/>
      <w:marBottom w:val="0"/>
      <w:divBdr>
        <w:top w:val="none" w:sz="0" w:space="0" w:color="auto"/>
        <w:left w:val="none" w:sz="0" w:space="0" w:color="auto"/>
        <w:bottom w:val="none" w:sz="0" w:space="0" w:color="auto"/>
        <w:right w:val="none" w:sz="0" w:space="0" w:color="auto"/>
      </w:divBdr>
      <w:divsChild>
        <w:div w:id="1287390608">
          <w:marLeft w:val="-720"/>
          <w:marRight w:val="0"/>
          <w:marTop w:val="0"/>
          <w:marBottom w:val="0"/>
          <w:divBdr>
            <w:top w:val="none" w:sz="0" w:space="0" w:color="auto"/>
            <w:left w:val="none" w:sz="0" w:space="0" w:color="auto"/>
            <w:bottom w:val="none" w:sz="0" w:space="0" w:color="auto"/>
            <w:right w:val="none" w:sz="0" w:space="0" w:color="auto"/>
          </w:divBdr>
        </w:div>
      </w:divsChild>
    </w:div>
    <w:div w:id="1613825783">
      <w:bodyDiv w:val="1"/>
      <w:marLeft w:val="0"/>
      <w:marRight w:val="0"/>
      <w:marTop w:val="0"/>
      <w:marBottom w:val="0"/>
      <w:divBdr>
        <w:top w:val="none" w:sz="0" w:space="0" w:color="auto"/>
        <w:left w:val="none" w:sz="0" w:space="0" w:color="auto"/>
        <w:bottom w:val="none" w:sz="0" w:space="0" w:color="auto"/>
        <w:right w:val="none" w:sz="0" w:space="0" w:color="auto"/>
      </w:divBdr>
      <w:divsChild>
        <w:div w:id="1312948356">
          <w:marLeft w:val="-720"/>
          <w:marRight w:val="0"/>
          <w:marTop w:val="0"/>
          <w:marBottom w:val="0"/>
          <w:divBdr>
            <w:top w:val="none" w:sz="0" w:space="0" w:color="auto"/>
            <w:left w:val="none" w:sz="0" w:space="0" w:color="auto"/>
            <w:bottom w:val="none" w:sz="0" w:space="0" w:color="auto"/>
            <w:right w:val="none" w:sz="0" w:space="0" w:color="auto"/>
          </w:divBdr>
        </w:div>
      </w:divsChild>
    </w:div>
    <w:div w:id="1665820929">
      <w:bodyDiv w:val="1"/>
      <w:marLeft w:val="0"/>
      <w:marRight w:val="0"/>
      <w:marTop w:val="0"/>
      <w:marBottom w:val="0"/>
      <w:divBdr>
        <w:top w:val="none" w:sz="0" w:space="0" w:color="auto"/>
        <w:left w:val="none" w:sz="0" w:space="0" w:color="auto"/>
        <w:bottom w:val="none" w:sz="0" w:space="0" w:color="auto"/>
        <w:right w:val="none" w:sz="0" w:space="0" w:color="auto"/>
      </w:divBdr>
      <w:divsChild>
        <w:div w:id="1099369996">
          <w:marLeft w:val="-720"/>
          <w:marRight w:val="0"/>
          <w:marTop w:val="0"/>
          <w:marBottom w:val="0"/>
          <w:divBdr>
            <w:top w:val="none" w:sz="0" w:space="0" w:color="auto"/>
            <w:left w:val="none" w:sz="0" w:space="0" w:color="auto"/>
            <w:bottom w:val="none" w:sz="0" w:space="0" w:color="auto"/>
            <w:right w:val="none" w:sz="0" w:space="0" w:color="auto"/>
          </w:divBdr>
        </w:div>
      </w:divsChild>
    </w:div>
    <w:div w:id="1668512381">
      <w:bodyDiv w:val="1"/>
      <w:marLeft w:val="0"/>
      <w:marRight w:val="0"/>
      <w:marTop w:val="0"/>
      <w:marBottom w:val="0"/>
      <w:divBdr>
        <w:top w:val="none" w:sz="0" w:space="0" w:color="auto"/>
        <w:left w:val="none" w:sz="0" w:space="0" w:color="auto"/>
        <w:bottom w:val="none" w:sz="0" w:space="0" w:color="auto"/>
        <w:right w:val="none" w:sz="0" w:space="0" w:color="auto"/>
      </w:divBdr>
      <w:divsChild>
        <w:div w:id="627123435">
          <w:marLeft w:val="-720"/>
          <w:marRight w:val="0"/>
          <w:marTop w:val="0"/>
          <w:marBottom w:val="0"/>
          <w:divBdr>
            <w:top w:val="none" w:sz="0" w:space="0" w:color="auto"/>
            <w:left w:val="none" w:sz="0" w:space="0" w:color="auto"/>
            <w:bottom w:val="none" w:sz="0" w:space="0" w:color="auto"/>
            <w:right w:val="none" w:sz="0" w:space="0" w:color="auto"/>
          </w:divBdr>
        </w:div>
      </w:divsChild>
    </w:div>
    <w:div w:id="173693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833</Words>
  <Characters>4750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Shelsya Cavanza (2130984)</dc:creator>
  <cp:lastModifiedBy>Shelsya Cavanza (2130984)</cp:lastModifiedBy>
  <cp:revision>2</cp:revision>
  <dcterms:created xsi:type="dcterms:W3CDTF">2025-11-14T20:42:00Z</dcterms:created>
  <dcterms:modified xsi:type="dcterms:W3CDTF">2025-11-14T20:42:00Z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a7e6aa42a2d79998e58f7b7f7350c2d0d632892dea5b508616375b1e7c62b88a</vt:lpwstr>
  </property>
</Properties>
</file>