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0AE2" w:rsidRDefault="00BA0AE2" w:rsidP="00FA43FF">
      <w:pPr>
        <w:pStyle w:val="NormalWeb"/>
        <w:spacing w:before="0" w:beforeAutospacing="0" w:after="120" w:afterAutospacing="0"/>
        <w:rPr>
          <w:rFonts w:ascii="Arial" w:hAnsi="Arial" w:cs="Arial"/>
          <w:b/>
          <w:bCs/>
          <w:sz w:val="22"/>
          <w:szCs w:val="22"/>
        </w:rPr>
      </w:pPr>
      <w:bookmarkStart w:id="0" w:name="_GoBack"/>
      <w:bookmarkEnd w:id="0"/>
    </w:p>
    <w:p w:rsidR="00843836" w:rsidRDefault="00843836" w:rsidP="00FA43FF">
      <w:pPr>
        <w:pStyle w:val="NormalWeb"/>
        <w:spacing w:before="0" w:beforeAutospacing="0" w:after="120" w:afterAutospacing="0"/>
        <w:rPr>
          <w:rFonts w:ascii="Arial" w:hAnsi="Arial" w:cs="Arial"/>
          <w:b/>
          <w:bCs/>
          <w:sz w:val="24"/>
          <w:szCs w:val="24"/>
        </w:rPr>
      </w:pPr>
      <w:r>
        <w:rPr>
          <w:rFonts w:ascii="Arial" w:hAnsi="Arial" w:cs="Arial"/>
          <w:b/>
          <w:bCs/>
          <w:sz w:val="24"/>
          <w:szCs w:val="24"/>
        </w:rPr>
        <w:t>K</w:t>
      </w:r>
      <w:r w:rsidRPr="002F7985">
        <w:rPr>
          <w:rFonts w:ascii="Arial" w:hAnsi="Arial" w:cs="Arial"/>
          <w:b/>
          <w:bCs/>
          <w:sz w:val="24"/>
          <w:szCs w:val="24"/>
        </w:rPr>
        <w:t xml:space="preserve">ey changes to </w:t>
      </w:r>
      <w:r>
        <w:rPr>
          <w:rFonts w:ascii="Arial" w:hAnsi="Arial" w:cs="Arial"/>
          <w:b/>
          <w:bCs/>
          <w:sz w:val="24"/>
          <w:szCs w:val="24"/>
        </w:rPr>
        <w:t>procedures relating to students</w:t>
      </w:r>
    </w:p>
    <w:p w:rsidR="00843836" w:rsidRDefault="00843836" w:rsidP="00FA43FF">
      <w:pPr>
        <w:pStyle w:val="NormalWeb"/>
        <w:spacing w:before="0" w:beforeAutospacing="0" w:after="120" w:afterAutospacing="0"/>
        <w:rPr>
          <w:rFonts w:ascii="Arial" w:hAnsi="Arial" w:cs="Arial"/>
          <w:b/>
          <w:bCs/>
          <w:sz w:val="24"/>
          <w:szCs w:val="24"/>
        </w:rPr>
      </w:pPr>
      <w:r>
        <w:rPr>
          <w:rFonts w:ascii="Arial" w:hAnsi="Arial" w:cs="Arial"/>
          <w:b/>
          <w:bCs/>
          <w:sz w:val="24"/>
          <w:szCs w:val="24"/>
        </w:rPr>
        <w:t>Academic Quality Handbook Parts F and G</w:t>
      </w:r>
    </w:p>
    <w:p w:rsidR="00843836" w:rsidRDefault="00843836" w:rsidP="00FA43FF">
      <w:pPr>
        <w:pStyle w:val="NormalWeb"/>
        <w:spacing w:before="0" w:beforeAutospacing="0" w:after="120" w:afterAutospacing="0"/>
        <w:rPr>
          <w:rFonts w:ascii="Arial" w:hAnsi="Arial" w:cs="Arial"/>
          <w:b/>
          <w:bCs/>
          <w:sz w:val="22"/>
          <w:szCs w:val="22"/>
        </w:rPr>
      </w:pPr>
    </w:p>
    <w:p w:rsidR="002F7985" w:rsidRPr="002F7985" w:rsidRDefault="002F7985" w:rsidP="00FA43FF">
      <w:pPr>
        <w:pStyle w:val="NormalWeb"/>
        <w:spacing w:before="0" w:beforeAutospacing="0" w:after="120" w:afterAutospacing="0"/>
        <w:rPr>
          <w:rFonts w:ascii="Arial" w:hAnsi="Arial" w:cs="Arial"/>
          <w:b/>
          <w:bCs/>
          <w:sz w:val="22"/>
          <w:szCs w:val="22"/>
        </w:rPr>
      </w:pPr>
      <w:r w:rsidRPr="002F7985">
        <w:rPr>
          <w:rFonts w:ascii="Arial" w:hAnsi="Arial" w:cs="Arial"/>
          <w:b/>
          <w:bCs/>
          <w:sz w:val="22"/>
          <w:szCs w:val="22"/>
        </w:rPr>
        <w:t>Introduction</w:t>
      </w:r>
    </w:p>
    <w:p w:rsidR="00BB0F2B" w:rsidRDefault="001A6F3A" w:rsidP="00FA43FF">
      <w:pPr>
        <w:pStyle w:val="NormalWeb"/>
        <w:spacing w:before="0" w:beforeAutospacing="0" w:after="120" w:afterAutospacing="0"/>
        <w:jc w:val="both"/>
        <w:rPr>
          <w:rFonts w:ascii="Arial" w:hAnsi="Arial" w:cs="Arial"/>
          <w:bCs/>
          <w:sz w:val="22"/>
          <w:szCs w:val="22"/>
        </w:rPr>
      </w:pPr>
      <w:r>
        <w:rPr>
          <w:rFonts w:ascii="Arial" w:hAnsi="Arial" w:cs="Arial"/>
          <w:bCs/>
          <w:sz w:val="22"/>
          <w:szCs w:val="22"/>
        </w:rPr>
        <w:t>As part of the work undertaken to effect the merger of S</w:t>
      </w:r>
      <w:r w:rsidR="00FA43FF">
        <w:rPr>
          <w:rFonts w:ascii="Arial" w:hAnsi="Arial" w:cs="Arial"/>
          <w:bCs/>
          <w:sz w:val="22"/>
          <w:szCs w:val="22"/>
        </w:rPr>
        <w:t xml:space="preserve">wansea </w:t>
      </w:r>
      <w:r>
        <w:rPr>
          <w:rFonts w:ascii="Arial" w:hAnsi="Arial" w:cs="Arial"/>
          <w:bCs/>
          <w:sz w:val="22"/>
          <w:szCs w:val="22"/>
        </w:rPr>
        <w:t>M</w:t>
      </w:r>
      <w:r w:rsidR="00FA43FF">
        <w:rPr>
          <w:rFonts w:ascii="Arial" w:hAnsi="Arial" w:cs="Arial"/>
          <w:bCs/>
          <w:sz w:val="22"/>
          <w:szCs w:val="22"/>
        </w:rPr>
        <w:t xml:space="preserve">etropolitan </w:t>
      </w:r>
      <w:r>
        <w:rPr>
          <w:rFonts w:ascii="Arial" w:hAnsi="Arial" w:cs="Arial"/>
          <w:bCs/>
          <w:sz w:val="22"/>
          <w:szCs w:val="22"/>
        </w:rPr>
        <w:t>U</w:t>
      </w:r>
      <w:r w:rsidR="00FA43FF">
        <w:rPr>
          <w:rFonts w:ascii="Arial" w:hAnsi="Arial" w:cs="Arial"/>
          <w:bCs/>
          <w:sz w:val="22"/>
          <w:szCs w:val="22"/>
        </w:rPr>
        <w:t>niversity</w:t>
      </w:r>
      <w:r>
        <w:rPr>
          <w:rFonts w:ascii="Arial" w:hAnsi="Arial" w:cs="Arial"/>
          <w:bCs/>
          <w:sz w:val="22"/>
          <w:szCs w:val="22"/>
        </w:rPr>
        <w:t xml:space="preserve"> with U</w:t>
      </w:r>
      <w:r w:rsidR="00FA43FF">
        <w:rPr>
          <w:rFonts w:ascii="Arial" w:hAnsi="Arial" w:cs="Arial"/>
          <w:bCs/>
          <w:sz w:val="22"/>
          <w:szCs w:val="22"/>
        </w:rPr>
        <w:t xml:space="preserve">niversity of </w:t>
      </w:r>
      <w:r>
        <w:rPr>
          <w:rFonts w:ascii="Arial" w:hAnsi="Arial" w:cs="Arial"/>
          <w:bCs/>
          <w:sz w:val="22"/>
          <w:szCs w:val="22"/>
        </w:rPr>
        <w:t>W</w:t>
      </w:r>
      <w:r w:rsidR="00FA43FF">
        <w:rPr>
          <w:rFonts w:ascii="Arial" w:hAnsi="Arial" w:cs="Arial"/>
          <w:bCs/>
          <w:sz w:val="22"/>
          <w:szCs w:val="22"/>
        </w:rPr>
        <w:t>ales</w:t>
      </w:r>
      <w:r>
        <w:rPr>
          <w:rFonts w:ascii="Arial" w:hAnsi="Arial" w:cs="Arial"/>
          <w:bCs/>
          <w:sz w:val="22"/>
          <w:szCs w:val="22"/>
        </w:rPr>
        <w:t>:</w:t>
      </w:r>
      <w:r w:rsidR="00FA43FF">
        <w:rPr>
          <w:rFonts w:ascii="Arial" w:hAnsi="Arial" w:cs="Arial"/>
          <w:bCs/>
          <w:sz w:val="22"/>
          <w:szCs w:val="22"/>
        </w:rPr>
        <w:t xml:space="preserve"> </w:t>
      </w:r>
      <w:r>
        <w:rPr>
          <w:rFonts w:ascii="Arial" w:hAnsi="Arial" w:cs="Arial"/>
          <w:bCs/>
          <w:sz w:val="22"/>
          <w:szCs w:val="22"/>
        </w:rPr>
        <w:t>T</w:t>
      </w:r>
      <w:r w:rsidR="00FA43FF">
        <w:rPr>
          <w:rFonts w:ascii="Arial" w:hAnsi="Arial" w:cs="Arial"/>
          <w:bCs/>
          <w:sz w:val="22"/>
          <w:szCs w:val="22"/>
        </w:rPr>
        <w:t xml:space="preserve">rinity </w:t>
      </w:r>
      <w:r>
        <w:rPr>
          <w:rFonts w:ascii="Arial" w:hAnsi="Arial" w:cs="Arial"/>
          <w:bCs/>
          <w:sz w:val="22"/>
          <w:szCs w:val="22"/>
        </w:rPr>
        <w:t>S</w:t>
      </w:r>
      <w:r w:rsidR="00FA43FF">
        <w:rPr>
          <w:rFonts w:ascii="Arial" w:hAnsi="Arial" w:cs="Arial"/>
          <w:bCs/>
          <w:sz w:val="22"/>
          <w:szCs w:val="22"/>
        </w:rPr>
        <w:t xml:space="preserve">aint </w:t>
      </w:r>
      <w:r>
        <w:rPr>
          <w:rFonts w:ascii="Arial" w:hAnsi="Arial" w:cs="Arial"/>
          <w:bCs/>
          <w:sz w:val="22"/>
          <w:szCs w:val="22"/>
        </w:rPr>
        <w:t>D</w:t>
      </w:r>
      <w:r w:rsidR="00FA43FF">
        <w:rPr>
          <w:rFonts w:ascii="Arial" w:hAnsi="Arial" w:cs="Arial"/>
          <w:bCs/>
          <w:sz w:val="22"/>
          <w:szCs w:val="22"/>
        </w:rPr>
        <w:t>avid,</w:t>
      </w:r>
      <w:r>
        <w:rPr>
          <w:rFonts w:ascii="Arial" w:hAnsi="Arial" w:cs="Arial"/>
          <w:bCs/>
          <w:sz w:val="22"/>
          <w:szCs w:val="22"/>
        </w:rPr>
        <w:t xml:space="preserve"> new Regulations for Taught Awards came into force on 30 September 2012</w:t>
      </w:r>
      <w:r w:rsidR="00FA43FF">
        <w:rPr>
          <w:rFonts w:ascii="Arial" w:hAnsi="Arial" w:cs="Arial"/>
          <w:bCs/>
          <w:sz w:val="22"/>
          <w:szCs w:val="22"/>
        </w:rPr>
        <w:t>.</w:t>
      </w:r>
      <w:r>
        <w:rPr>
          <w:rFonts w:ascii="Arial" w:hAnsi="Arial" w:cs="Arial"/>
          <w:bCs/>
          <w:sz w:val="22"/>
          <w:szCs w:val="22"/>
        </w:rPr>
        <w:t xml:space="preserve"> </w:t>
      </w:r>
      <w:r w:rsidR="00FA43FF">
        <w:rPr>
          <w:rFonts w:ascii="Arial" w:hAnsi="Arial" w:cs="Arial"/>
          <w:bCs/>
          <w:sz w:val="22"/>
          <w:szCs w:val="22"/>
        </w:rPr>
        <w:t>W</w:t>
      </w:r>
      <w:r>
        <w:rPr>
          <w:rFonts w:ascii="Arial" w:hAnsi="Arial" w:cs="Arial"/>
          <w:bCs/>
          <w:sz w:val="22"/>
          <w:szCs w:val="22"/>
        </w:rPr>
        <w:t>ork on procedures in respect of Student Discipline</w:t>
      </w:r>
      <w:r w:rsidR="00FA43FF">
        <w:rPr>
          <w:rFonts w:ascii="Arial" w:hAnsi="Arial" w:cs="Arial"/>
          <w:bCs/>
          <w:sz w:val="22"/>
          <w:szCs w:val="22"/>
        </w:rPr>
        <w:t xml:space="preserve"> (Regulation F14)</w:t>
      </w:r>
      <w:r w:rsidR="00FA43FF" w:rsidRPr="00FA43FF">
        <w:rPr>
          <w:rFonts w:ascii="Arial" w:hAnsi="Arial" w:cs="Arial"/>
          <w:bCs/>
          <w:sz w:val="22"/>
          <w:szCs w:val="22"/>
        </w:rPr>
        <w:t xml:space="preserve"> </w:t>
      </w:r>
      <w:r w:rsidR="00FA43FF">
        <w:rPr>
          <w:rFonts w:ascii="Arial" w:hAnsi="Arial" w:cs="Arial"/>
          <w:bCs/>
          <w:sz w:val="22"/>
          <w:szCs w:val="22"/>
        </w:rPr>
        <w:t>and Complaints (Procedure F12)</w:t>
      </w:r>
      <w:r>
        <w:rPr>
          <w:rFonts w:ascii="Arial" w:hAnsi="Arial" w:cs="Arial"/>
          <w:bCs/>
          <w:sz w:val="22"/>
          <w:szCs w:val="22"/>
        </w:rPr>
        <w:t xml:space="preserve">, </w:t>
      </w:r>
      <w:r w:rsidR="00FA43FF">
        <w:rPr>
          <w:rFonts w:ascii="Arial" w:hAnsi="Arial" w:cs="Arial"/>
          <w:bCs/>
          <w:sz w:val="22"/>
          <w:szCs w:val="22"/>
        </w:rPr>
        <w:t xml:space="preserve">Extenuating Circumstances (Procedure G4a), Unfair Practice (Procedure G4c) and </w:t>
      </w:r>
      <w:r>
        <w:rPr>
          <w:rFonts w:ascii="Arial" w:hAnsi="Arial" w:cs="Arial"/>
          <w:bCs/>
          <w:sz w:val="22"/>
          <w:szCs w:val="22"/>
        </w:rPr>
        <w:t>Appeals</w:t>
      </w:r>
      <w:r w:rsidR="00FA43FF">
        <w:rPr>
          <w:rFonts w:ascii="Arial" w:hAnsi="Arial" w:cs="Arial"/>
          <w:bCs/>
          <w:sz w:val="22"/>
          <w:szCs w:val="22"/>
        </w:rPr>
        <w:t xml:space="preserve"> (Procedure G6a)</w:t>
      </w:r>
      <w:r>
        <w:rPr>
          <w:rFonts w:ascii="Arial" w:hAnsi="Arial" w:cs="Arial"/>
          <w:bCs/>
          <w:sz w:val="22"/>
          <w:szCs w:val="22"/>
        </w:rPr>
        <w:t xml:space="preserve">, has now been completed and the revised procedures were approved by the Senate on 21 November 2012. </w:t>
      </w:r>
      <w:r>
        <w:rPr>
          <w:rFonts w:ascii="Arial" w:hAnsi="Arial" w:cs="Arial"/>
          <w:b/>
          <w:bCs/>
          <w:sz w:val="22"/>
          <w:szCs w:val="22"/>
        </w:rPr>
        <w:t>T</w:t>
      </w:r>
      <w:r w:rsidRPr="001A6F3A">
        <w:rPr>
          <w:rFonts w:ascii="Arial" w:hAnsi="Arial" w:cs="Arial"/>
          <w:b/>
          <w:bCs/>
          <w:sz w:val="22"/>
          <w:szCs w:val="22"/>
        </w:rPr>
        <w:t xml:space="preserve">he new Procedures will </w:t>
      </w:r>
      <w:r>
        <w:rPr>
          <w:rFonts w:ascii="Arial" w:hAnsi="Arial" w:cs="Arial"/>
          <w:b/>
          <w:bCs/>
          <w:sz w:val="22"/>
          <w:szCs w:val="22"/>
        </w:rPr>
        <w:t>come into effect</w:t>
      </w:r>
      <w:r w:rsidRPr="001A6F3A">
        <w:rPr>
          <w:rFonts w:ascii="Arial" w:hAnsi="Arial" w:cs="Arial"/>
          <w:b/>
          <w:bCs/>
          <w:sz w:val="22"/>
          <w:szCs w:val="22"/>
        </w:rPr>
        <w:t xml:space="preserve"> from 1 January 2013 </w:t>
      </w:r>
      <w:r w:rsidRPr="00BB0F2B">
        <w:rPr>
          <w:rFonts w:ascii="Arial" w:hAnsi="Arial" w:cs="Arial"/>
          <w:b/>
          <w:bCs/>
          <w:sz w:val="22"/>
          <w:szCs w:val="22"/>
        </w:rPr>
        <w:t xml:space="preserve">for all </w:t>
      </w:r>
      <w:r>
        <w:rPr>
          <w:rFonts w:ascii="Arial" w:hAnsi="Arial" w:cs="Arial"/>
          <w:b/>
          <w:bCs/>
          <w:sz w:val="22"/>
          <w:szCs w:val="22"/>
        </w:rPr>
        <w:t>taught degree students, regardless of the stage that they have reached in their studies.</w:t>
      </w:r>
    </w:p>
    <w:p w:rsidR="001170B0" w:rsidRDefault="00BB0F2B" w:rsidP="00FA43FF">
      <w:pPr>
        <w:pStyle w:val="NormalWeb"/>
        <w:spacing w:before="0" w:beforeAutospacing="0" w:after="120" w:afterAutospacing="0"/>
        <w:rPr>
          <w:rFonts w:ascii="Arial" w:hAnsi="Arial" w:cs="Arial"/>
          <w:bCs/>
          <w:sz w:val="22"/>
          <w:szCs w:val="22"/>
        </w:rPr>
      </w:pPr>
      <w:r>
        <w:rPr>
          <w:rFonts w:ascii="Arial" w:hAnsi="Arial" w:cs="Arial"/>
          <w:bCs/>
          <w:sz w:val="22"/>
          <w:szCs w:val="22"/>
        </w:rPr>
        <w:t>The ke</w:t>
      </w:r>
      <w:r w:rsidR="008A4D80">
        <w:rPr>
          <w:rFonts w:ascii="Arial" w:hAnsi="Arial" w:cs="Arial"/>
          <w:bCs/>
          <w:sz w:val="22"/>
          <w:szCs w:val="22"/>
        </w:rPr>
        <w:t xml:space="preserve">y changes are summarised below. </w:t>
      </w:r>
      <w:r w:rsidR="008A4D80" w:rsidRPr="008A4D80">
        <w:rPr>
          <w:rFonts w:ascii="Arial" w:hAnsi="Arial" w:cs="Arial"/>
          <w:b/>
          <w:bCs/>
          <w:sz w:val="22"/>
          <w:szCs w:val="22"/>
        </w:rPr>
        <w:t>These changes are significant and will have an effect on the advice that staff provide for students.</w:t>
      </w:r>
      <w:r w:rsidR="008A4D80">
        <w:rPr>
          <w:rFonts w:ascii="Arial" w:hAnsi="Arial" w:cs="Arial"/>
          <w:bCs/>
          <w:sz w:val="22"/>
          <w:szCs w:val="22"/>
        </w:rPr>
        <w:t xml:space="preserve"> </w:t>
      </w:r>
      <w:r w:rsidR="001170B0">
        <w:rPr>
          <w:rFonts w:ascii="Arial" w:hAnsi="Arial" w:cs="Arial"/>
          <w:bCs/>
          <w:sz w:val="22"/>
          <w:szCs w:val="22"/>
        </w:rPr>
        <w:t>The only exception relates to students with extenuating circumstances who have already been granted extensions to assessment deadlines (see below). The procedures that apply to research degree students will be published separately in the near future.</w:t>
      </w:r>
    </w:p>
    <w:p w:rsidR="001170B0" w:rsidRDefault="001170B0" w:rsidP="00FA43FF">
      <w:pPr>
        <w:pStyle w:val="NormalWeb"/>
        <w:spacing w:before="0" w:beforeAutospacing="0" w:after="120" w:afterAutospacing="0"/>
        <w:rPr>
          <w:rFonts w:ascii="Arial" w:hAnsi="Arial" w:cs="Arial"/>
          <w:bCs/>
          <w:sz w:val="22"/>
          <w:szCs w:val="22"/>
        </w:rPr>
      </w:pPr>
      <w:r>
        <w:rPr>
          <w:rFonts w:ascii="Arial" w:hAnsi="Arial" w:cs="Arial"/>
          <w:bCs/>
          <w:sz w:val="22"/>
          <w:szCs w:val="22"/>
        </w:rPr>
        <w:t xml:space="preserve">The regulations are supported by a number of forms which students and/or staff are required to complete at the appropriate stage of the relevant procedure. The forms </w:t>
      </w:r>
      <w:r w:rsidR="00923588">
        <w:rPr>
          <w:rFonts w:ascii="Arial" w:hAnsi="Arial" w:cs="Arial"/>
          <w:bCs/>
          <w:sz w:val="22"/>
          <w:szCs w:val="22"/>
        </w:rPr>
        <w:t>will be published on the web</w:t>
      </w:r>
      <w:r w:rsidR="001A6F3A">
        <w:rPr>
          <w:rFonts w:ascii="Arial" w:hAnsi="Arial" w:cs="Arial"/>
          <w:bCs/>
          <w:sz w:val="22"/>
          <w:szCs w:val="22"/>
        </w:rPr>
        <w:t xml:space="preserve"> </w:t>
      </w:r>
      <w:r w:rsidR="00923588">
        <w:rPr>
          <w:rFonts w:ascii="Arial" w:hAnsi="Arial" w:cs="Arial"/>
          <w:bCs/>
          <w:sz w:val="22"/>
          <w:szCs w:val="22"/>
        </w:rPr>
        <w:t xml:space="preserve">pages </w:t>
      </w:r>
      <w:r w:rsidR="001A6F3A">
        <w:rPr>
          <w:rFonts w:ascii="Arial" w:hAnsi="Arial" w:cs="Arial"/>
          <w:bCs/>
          <w:sz w:val="22"/>
          <w:szCs w:val="22"/>
        </w:rPr>
        <w:t xml:space="preserve">at </w:t>
      </w:r>
      <w:hyperlink r:id="rId7" w:history="1">
        <w:r w:rsidR="001A6F3A" w:rsidRPr="002377B6">
          <w:rPr>
            <w:rStyle w:val="Hyperlink"/>
            <w:rFonts w:ascii="Arial" w:hAnsi="Arial" w:cs="Arial"/>
            <w:bCs/>
            <w:sz w:val="22"/>
            <w:szCs w:val="22"/>
          </w:rPr>
          <w:t>http://qualityhandbook.smu.ac.uk/</w:t>
        </w:r>
      </w:hyperlink>
      <w:r w:rsidR="001A6F3A">
        <w:rPr>
          <w:rFonts w:ascii="Arial" w:hAnsi="Arial" w:cs="Arial"/>
          <w:bCs/>
          <w:sz w:val="22"/>
          <w:szCs w:val="22"/>
        </w:rPr>
        <w:t xml:space="preserve"> </w:t>
      </w:r>
      <w:r w:rsidR="00923588">
        <w:rPr>
          <w:rFonts w:ascii="Arial" w:hAnsi="Arial" w:cs="Arial"/>
          <w:bCs/>
          <w:sz w:val="22"/>
          <w:szCs w:val="22"/>
        </w:rPr>
        <w:t>as soon as they become available.</w:t>
      </w:r>
    </w:p>
    <w:p w:rsidR="005A6F1A" w:rsidRPr="001170B0" w:rsidRDefault="005A6F1A" w:rsidP="00FA43FF">
      <w:pPr>
        <w:pStyle w:val="NormalWeb"/>
        <w:spacing w:before="0" w:beforeAutospacing="0" w:after="120" w:afterAutospacing="0"/>
        <w:rPr>
          <w:rFonts w:ascii="Arial" w:hAnsi="Arial" w:cs="Arial"/>
          <w:bCs/>
          <w:sz w:val="22"/>
          <w:szCs w:val="22"/>
        </w:rPr>
      </w:pPr>
      <w:r>
        <w:rPr>
          <w:rFonts w:ascii="Arial" w:hAnsi="Arial" w:cs="Arial"/>
          <w:bCs/>
          <w:sz w:val="22"/>
          <w:szCs w:val="22"/>
        </w:rPr>
        <w:t>The term ‘Offices of the Pro Vice-Chancellor (Academic)’ is used generically in the regulations to refer to those administrative offices at Carmarthen, Lampeter and Swansea overseen by the Pro Vice-Cha</w:t>
      </w:r>
      <w:r w:rsidR="002F0E08">
        <w:rPr>
          <w:rFonts w:ascii="Arial" w:hAnsi="Arial" w:cs="Arial"/>
          <w:bCs/>
          <w:sz w:val="22"/>
          <w:szCs w:val="22"/>
        </w:rPr>
        <w:t xml:space="preserve">ncellor (Academic). In practice </w:t>
      </w:r>
      <w:r>
        <w:rPr>
          <w:rFonts w:ascii="Arial" w:hAnsi="Arial" w:cs="Arial"/>
          <w:bCs/>
          <w:sz w:val="22"/>
          <w:szCs w:val="22"/>
        </w:rPr>
        <w:t xml:space="preserve">the term refers to the </w:t>
      </w:r>
      <w:r w:rsidR="00D5721F">
        <w:rPr>
          <w:rFonts w:ascii="Arial" w:hAnsi="Arial" w:cs="Arial"/>
          <w:bCs/>
          <w:sz w:val="22"/>
          <w:szCs w:val="22"/>
        </w:rPr>
        <w:t>Academic Registry’s Compliance Unit</w:t>
      </w:r>
      <w:r>
        <w:rPr>
          <w:rFonts w:ascii="Arial" w:hAnsi="Arial" w:cs="Arial"/>
          <w:bCs/>
          <w:sz w:val="22"/>
          <w:szCs w:val="22"/>
        </w:rPr>
        <w:t xml:space="preserve"> in respect of students</w:t>
      </w:r>
      <w:r w:rsidR="002F0E08">
        <w:rPr>
          <w:rFonts w:ascii="Arial" w:hAnsi="Arial" w:cs="Arial"/>
          <w:bCs/>
          <w:sz w:val="22"/>
          <w:szCs w:val="22"/>
        </w:rPr>
        <w:t xml:space="preserve"> studying on Swansea campuses so all inquiries should be directed</w:t>
      </w:r>
      <w:r w:rsidR="00290999">
        <w:rPr>
          <w:rFonts w:ascii="Arial" w:hAnsi="Arial" w:cs="Arial"/>
          <w:bCs/>
          <w:sz w:val="22"/>
          <w:szCs w:val="22"/>
        </w:rPr>
        <w:t>, in the case of questions concerning the procedures themselves, to the Compliance Unit (arun.clarke@smu.ac.uk ) or directly to the Academic Registrar (</w:t>
      </w:r>
      <w:hyperlink r:id="rId8" w:history="1">
        <w:r w:rsidR="00290999" w:rsidRPr="002377B6">
          <w:rPr>
            <w:rStyle w:val="Hyperlink"/>
            <w:rFonts w:ascii="Arial" w:hAnsi="Arial" w:cs="Arial"/>
            <w:bCs/>
            <w:sz w:val="22"/>
            <w:szCs w:val="22"/>
          </w:rPr>
          <w:t>richard.knapp@smu.ac.uk</w:t>
        </w:r>
      </w:hyperlink>
      <w:r w:rsidR="00290999">
        <w:rPr>
          <w:rFonts w:ascii="Arial" w:hAnsi="Arial" w:cs="Arial"/>
          <w:bCs/>
          <w:sz w:val="22"/>
          <w:szCs w:val="22"/>
        </w:rPr>
        <w:t>).</w:t>
      </w:r>
    </w:p>
    <w:p w:rsidR="001170B0" w:rsidRPr="001170B0" w:rsidRDefault="001170B0" w:rsidP="00FA43FF">
      <w:pPr>
        <w:pStyle w:val="NormalWeb"/>
        <w:spacing w:before="0" w:beforeAutospacing="0" w:after="120" w:afterAutospacing="0"/>
        <w:rPr>
          <w:rFonts w:ascii="Arial" w:hAnsi="Arial" w:cs="Arial"/>
          <w:bCs/>
          <w:sz w:val="22"/>
          <w:szCs w:val="22"/>
        </w:rPr>
      </w:pPr>
      <w:r>
        <w:rPr>
          <w:rFonts w:ascii="Arial" w:hAnsi="Arial" w:cs="Arial"/>
          <w:bCs/>
          <w:sz w:val="22"/>
          <w:szCs w:val="22"/>
        </w:rPr>
        <w:t xml:space="preserve">A separate briefing note will be sent to all students </w:t>
      </w:r>
      <w:r w:rsidR="00923588">
        <w:rPr>
          <w:rFonts w:ascii="Arial" w:hAnsi="Arial" w:cs="Arial"/>
          <w:bCs/>
          <w:sz w:val="22"/>
          <w:szCs w:val="22"/>
        </w:rPr>
        <w:t xml:space="preserve">at the start of </w:t>
      </w:r>
      <w:r>
        <w:rPr>
          <w:rFonts w:ascii="Arial" w:hAnsi="Arial" w:cs="Arial"/>
          <w:bCs/>
          <w:sz w:val="22"/>
          <w:szCs w:val="22"/>
        </w:rPr>
        <w:t xml:space="preserve">January 2013. </w:t>
      </w:r>
    </w:p>
    <w:p w:rsidR="001170B0" w:rsidRDefault="001170B0" w:rsidP="00FA43FF">
      <w:pPr>
        <w:pStyle w:val="NormalWeb"/>
        <w:spacing w:before="0" w:beforeAutospacing="0" w:after="120" w:afterAutospacing="0"/>
        <w:rPr>
          <w:rFonts w:ascii="Arial" w:hAnsi="Arial" w:cs="Arial"/>
          <w:b/>
          <w:bCs/>
          <w:sz w:val="22"/>
          <w:szCs w:val="22"/>
        </w:rPr>
      </w:pPr>
    </w:p>
    <w:p w:rsidR="001170B0" w:rsidRDefault="007C4702" w:rsidP="00FA43FF">
      <w:pPr>
        <w:pStyle w:val="NormalWeb"/>
        <w:spacing w:before="0" w:beforeAutospacing="0" w:after="120" w:afterAutospacing="0"/>
        <w:rPr>
          <w:rFonts w:ascii="Arial" w:hAnsi="Arial" w:cs="Arial"/>
          <w:b/>
          <w:bCs/>
          <w:sz w:val="22"/>
          <w:szCs w:val="22"/>
        </w:rPr>
      </w:pPr>
      <w:r w:rsidRPr="002F7985">
        <w:rPr>
          <w:rFonts w:ascii="Arial" w:hAnsi="Arial" w:cs="Arial"/>
          <w:b/>
          <w:bCs/>
          <w:sz w:val="22"/>
          <w:szCs w:val="22"/>
        </w:rPr>
        <w:t xml:space="preserve">Key </w:t>
      </w:r>
      <w:r w:rsidR="001170B0">
        <w:rPr>
          <w:rFonts w:ascii="Arial" w:hAnsi="Arial" w:cs="Arial"/>
          <w:b/>
          <w:bCs/>
          <w:sz w:val="22"/>
          <w:szCs w:val="22"/>
        </w:rPr>
        <w:t>c</w:t>
      </w:r>
      <w:r w:rsidRPr="002F7985">
        <w:rPr>
          <w:rFonts w:ascii="Arial" w:hAnsi="Arial" w:cs="Arial"/>
          <w:b/>
          <w:bCs/>
          <w:sz w:val="22"/>
          <w:szCs w:val="22"/>
        </w:rPr>
        <w:t xml:space="preserve">hanges to </w:t>
      </w:r>
      <w:r w:rsidR="001170B0">
        <w:rPr>
          <w:rFonts w:ascii="Arial" w:hAnsi="Arial" w:cs="Arial"/>
          <w:b/>
          <w:bCs/>
          <w:sz w:val="22"/>
          <w:szCs w:val="22"/>
        </w:rPr>
        <w:t>procedures relating to students</w:t>
      </w:r>
    </w:p>
    <w:p w:rsidR="008A4D80" w:rsidRDefault="008A4D80" w:rsidP="00FA43FF">
      <w:pPr>
        <w:pStyle w:val="NormalWeb"/>
        <w:numPr>
          <w:ilvl w:val="0"/>
          <w:numId w:val="7"/>
        </w:numPr>
        <w:spacing w:before="0" w:beforeAutospacing="0" w:after="120" w:afterAutospacing="0"/>
        <w:rPr>
          <w:rFonts w:ascii="Arial" w:hAnsi="Arial" w:cs="Arial"/>
          <w:b/>
          <w:bCs/>
          <w:sz w:val="22"/>
          <w:szCs w:val="22"/>
        </w:rPr>
      </w:pPr>
      <w:r>
        <w:rPr>
          <w:rFonts w:ascii="Arial" w:hAnsi="Arial" w:cs="Arial"/>
          <w:b/>
          <w:bCs/>
          <w:sz w:val="22"/>
          <w:szCs w:val="22"/>
        </w:rPr>
        <w:t>Extenuating circumstances</w:t>
      </w:r>
    </w:p>
    <w:p w:rsidR="009E2B2C" w:rsidRPr="009E2B2C" w:rsidRDefault="003D5C65" w:rsidP="00FA43FF">
      <w:pPr>
        <w:pStyle w:val="NormalWeb"/>
        <w:numPr>
          <w:ilvl w:val="0"/>
          <w:numId w:val="9"/>
        </w:numPr>
        <w:spacing w:before="0" w:beforeAutospacing="0" w:after="120" w:afterAutospacing="0"/>
        <w:rPr>
          <w:rFonts w:ascii="Arial" w:hAnsi="Arial" w:cs="Arial"/>
          <w:b/>
          <w:bCs/>
          <w:sz w:val="22"/>
          <w:szCs w:val="22"/>
        </w:rPr>
      </w:pPr>
      <w:r>
        <w:rPr>
          <w:rFonts w:ascii="Arial" w:hAnsi="Arial" w:cs="Arial"/>
          <w:bCs/>
          <w:sz w:val="22"/>
          <w:szCs w:val="22"/>
        </w:rPr>
        <w:t>The establishment of a cross-University Extenuating Circumstances Panel (ECP) to ensure consistency in the consideration of requests f</w:t>
      </w:r>
      <w:r w:rsidR="00497056">
        <w:rPr>
          <w:rFonts w:ascii="Arial" w:hAnsi="Arial" w:cs="Arial"/>
          <w:bCs/>
          <w:sz w:val="22"/>
          <w:szCs w:val="22"/>
        </w:rPr>
        <w:t>or extenuating circumstances across the University. All student requests for consideration of extenuating circumstances must be sub</w:t>
      </w:r>
      <w:r w:rsidR="009E2B2C">
        <w:rPr>
          <w:rFonts w:ascii="Arial" w:hAnsi="Arial" w:cs="Arial"/>
          <w:bCs/>
          <w:sz w:val="22"/>
          <w:szCs w:val="22"/>
        </w:rPr>
        <w:t xml:space="preserve">mitted to the ECP using the appropriate form. </w:t>
      </w:r>
      <w:r w:rsidR="009E2B2C" w:rsidRPr="009E2B2C">
        <w:rPr>
          <w:rFonts w:ascii="Arial" w:hAnsi="Arial" w:cs="Arial"/>
          <w:bCs/>
          <w:sz w:val="22"/>
          <w:szCs w:val="22"/>
        </w:rPr>
        <w:t xml:space="preserve">Examining Boards will implement the decisions of the ECP without further discussion of individual extenuating circumstances. The ECP will have representation from all faculties and will meet regularly, probably on a monthly basis. </w:t>
      </w:r>
    </w:p>
    <w:p w:rsidR="009E2B2C" w:rsidRPr="009E2B2C" w:rsidRDefault="007F4625" w:rsidP="00FA43FF">
      <w:pPr>
        <w:pStyle w:val="NormalWeb"/>
        <w:numPr>
          <w:ilvl w:val="0"/>
          <w:numId w:val="9"/>
        </w:numPr>
        <w:spacing w:before="0" w:beforeAutospacing="0" w:after="120" w:afterAutospacing="0"/>
        <w:rPr>
          <w:rFonts w:ascii="Arial" w:hAnsi="Arial" w:cs="Arial"/>
          <w:b/>
          <w:bCs/>
          <w:sz w:val="22"/>
          <w:szCs w:val="22"/>
        </w:rPr>
      </w:pPr>
      <w:r>
        <w:rPr>
          <w:rFonts w:ascii="Arial" w:hAnsi="Arial" w:cs="Arial"/>
          <w:bCs/>
          <w:sz w:val="22"/>
          <w:szCs w:val="22"/>
        </w:rPr>
        <w:t xml:space="preserve">As a result, academic staff </w:t>
      </w:r>
      <w:r w:rsidR="009E2B2C">
        <w:rPr>
          <w:rFonts w:ascii="Arial" w:hAnsi="Arial" w:cs="Arial"/>
          <w:bCs/>
          <w:sz w:val="22"/>
          <w:szCs w:val="22"/>
        </w:rPr>
        <w:t>are no longer able to grant extensions. In the event that work is submitted late, the work must be marked in the normal way and then penalised in accordance with the regulations (i</w:t>
      </w:r>
      <w:r>
        <w:rPr>
          <w:rFonts w:ascii="Arial" w:hAnsi="Arial" w:cs="Arial"/>
          <w:bCs/>
          <w:sz w:val="22"/>
          <w:szCs w:val="22"/>
        </w:rPr>
        <w:t>.</w:t>
      </w:r>
      <w:r w:rsidR="009E2B2C">
        <w:rPr>
          <w:rFonts w:ascii="Arial" w:hAnsi="Arial" w:cs="Arial"/>
          <w:bCs/>
          <w:sz w:val="22"/>
          <w:szCs w:val="22"/>
        </w:rPr>
        <w:t>e. capped at 40% if up to a week late, or awarded a mark of 0% if more than a week late). It will be for the ECP to determine whether the penalty should be lifted in the light of the student’s extenuating circumstances (see 1.5).</w:t>
      </w:r>
    </w:p>
    <w:p w:rsidR="009E2B2C" w:rsidRDefault="009E2B2C" w:rsidP="00FA43FF">
      <w:pPr>
        <w:pStyle w:val="NormalWeb"/>
        <w:spacing w:before="0" w:beforeAutospacing="0" w:after="120" w:afterAutospacing="0"/>
        <w:ind w:left="720"/>
        <w:rPr>
          <w:rFonts w:ascii="Arial" w:hAnsi="Arial" w:cs="Arial"/>
          <w:bCs/>
          <w:i/>
          <w:sz w:val="22"/>
          <w:szCs w:val="22"/>
        </w:rPr>
      </w:pPr>
      <w:r w:rsidRPr="009E2B2C">
        <w:rPr>
          <w:rFonts w:ascii="Arial" w:hAnsi="Arial" w:cs="Arial"/>
          <w:bCs/>
          <w:i/>
          <w:sz w:val="22"/>
          <w:szCs w:val="22"/>
        </w:rPr>
        <w:t>Where a student has already been granted an extension to an assessment deadline, the agreed new deadline will continue to apply</w:t>
      </w:r>
      <w:r>
        <w:rPr>
          <w:rFonts w:ascii="Arial" w:hAnsi="Arial" w:cs="Arial"/>
          <w:bCs/>
          <w:i/>
          <w:sz w:val="22"/>
          <w:szCs w:val="22"/>
        </w:rPr>
        <w:t xml:space="preserve">. However, </w:t>
      </w:r>
      <w:r w:rsidRPr="009E2B2C">
        <w:rPr>
          <w:rFonts w:ascii="Arial" w:hAnsi="Arial" w:cs="Arial"/>
          <w:bCs/>
          <w:i/>
          <w:sz w:val="22"/>
          <w:szCs w:val="22"/>
        </w:rPr>
        <w:t>no further extensions may be permitted</w:t>
      </w:r>
      <w:r w:rsidR="00923588">
        <w:rPr>
          <w:rFonts w:ascii="Arial" w:hAnsi="Arial" w:cs="Arial"/>
          <w:bCs/>
          <w:i/>
          <w:sz w:val="22"/>
          <w:szCs w:val="22"/>
        </w:rPr>
        <w:t xml:space="preserve"> </w:t>
      </w:r>
      <w:r w:rsidRPr="009E2B2C">
        <w:rPr>
          <w:rFonts w:ascii="Arial" w:hAnsi="Arial" w:cs="Arial"/>
          <w:bCs/>
          <w:i/>
          <w:sz w:val="22"/>
          <w:szCs w:val="22"/>
        </w:rPr>
        <w:t>– the student should instead be referred to the new procedure.</w:t>
      </w:r>
    </w:p>
    <w:p w:rsidR="009E2B2C" w:rsidRPr="009E2B2C" w:rsidRDefault="007F4625" w:rsidP="00FA43FF">
      <w:pPr>
        <w:pStyle w:val="NormalWeb"/>
        <w:numPr>
          <w:ilvl w:val="0"/>
          <w:numId w:val="9"/>
        </w:numPr>
        <w:spacing w:before="0" w:beforeAutospacing="0" w:after="120" w:afterAutospacing="0"/>
        <w:rPr>
          <w:rFonts w:ascii="Arial" w:hAnsi="Arial" w:cs="Arial"/>
          <w:b/>
          <w:bCs/>
          <w:sz w:val="22"/>
          <w:szCs w:val="22"/>
        </w:rPr>
      </w:pPr>
      <w:r>
        <w:rPr>
          <w:rFonts w:ascii="Arial" w:hAnsi="Arial" w:cs="Arial"/>
          <w:bCs/>
          <w:sz w:val="22"/>
          <w:szCs w:val="22"/>
        </w:rPr>
        <w:t xml:space="preserve">Confirmation that </w:t>
      </w:r>
      <w:r w:rsidR="009E2B2C">
        <w:rPr>
          <w:rFonts w:ascii="Arial" w:hAnsi="Arial" w:cs="Arial"/>
          <w:bCs/>
          <w:sz w:val="22"/>
          <w:szCs w:val="22"/>
        </w:rPr>
        <w:t xml:space="preserve">long standing impairment or medical conditions, such as physical disability or dyslexia, are not normally considered to be extenuating circumstances (unless there is a specific deterioration around the time of the assessment). Students with such conditions </w:t>
      </w:r>
      <w:r>
        <w:rPr>
          <w:rFonts w:ascii="Arial" w:hAnsi="Arial" w:cs="Arial"/>
          <w:bCs/>
          <w:sz w:val="22"/>
          <w:szCs w:val="22"/>
        </w:rPr>
        <w:t>are encouraged to report them to Student Services to ensure that, where appropriate, adjustments may be made and/or support put in place well before assessment commences (see 1.3).</w:t>
      </w:r>
    </w:p>
    <w:p w:rsidR="007C2B23" w:rsidRDefault="007C2B23" w:rsidP="00FA43FF">
      <w:pPr>
        <w:pStyle w:val="NormalWeb"/>
        <w:spacing w:before="0" w:beforeAutospacing="0" w:after="120" w:afterAutospacing="0"/>
        <w:ind w:left="360"/>
        <w:rPr>
          <w:rFonts w:ascii="Arial" w:hAnsi="Arial" w:cs="Arial"/>
          <w:b/>
          <w:bCs/>
          <w:sz w:val="22"/>
          <w:szCs w:val="22"/>
        </w:rPr>
      </w:pPr>
    </w:p>
    <w:p w:rsidR="007F4625" w:rsidRDefault="007F4625" w:rsidP="00FA43FF">
      <w:pPr>
        <w:pStyle w:val="NormalWeb"/>
        <w:numPr>
          <w:ilvl w:val="0"/>
          <w:numId w:val="7"/>
        </w:numPr>
        <w:spacing w:before="0" w:beforeAutospacing="0" w:after="120" w:afterAutospacing="0"/>
        <w:rPr>
          <w:rFonts w:ascii="Arial" w:hAnsi="Arial" w:cs="Arial"/>
          <w:b/>
          <w:bCs/>
          <w:sz w:val="22"/>
          <w:szCs w:val="22"/>
        </w:rPr>
      </w:pPr>
      <w:r>
        <w:rPr>
          <w:rFonts w:ascii="Arial" w:hAnsi="Arial" w:cs="Arial"/>
          <w:b/>
          <w:bCs/>
          <w:sz w:val="22"/>
          <w:szCs w:val="22"/>
        </w:rPr>
        <w:t>Unfair Practice</w:t>
      </w:r>
    </w:p>
    <w:p w:rsidR="00BA0AE2" w:rsidRDefault="007F4625" w:rsidP="00FA43FF">
      <w:pPr>
        <w:pStyle w:val="NormalWeb"/>
        <w:numPr>
          <w:ilvl w:val="0"/>
          <w:numId w:val="9"/>
        </w:numPr>
        <w:spacing w:before="0" w:beforeAutospacing="0" w:after="0" w:afterAutospacing="0"/>
        <w:rPr>
          <w:rFonts w:ascii="Arial" w:hAnsi="Arial" w:cs="Arial"/>
          <w:bCs/>
        </w:rPr>
      </w:pPr>
      <w:r>
        <w:rPr>
          <w:rFonts w:ascii="Arial" w:hAnsi="Arial" w:cs="Arial"/>
          <w:bCs/>
        </w:rPr>
        <w:t>Following the submission of the Unfair Practice Investigation Form by the School, the undertaking of an initial investigation by the Offices of the PVC (Academic) in conjunction with the releva</w:t>
      </w:r>
      <w:r w:rsidR="00BA0AE2">
        <w:rPr>
          <w:rFonts w:ascii="Arial" w:hAnsi="Arial" w:cs="Arial"/>
          <w:bCs/>
        </w:rPr>
        <w:t>nt Dean (or nominee) to determine whether there is sufficient evidence to proceed with the investigation. This may include the convening of an oral examination (see 2-5).</w:t>
      </w:r>
    </w:p>
    <w:p w:rsidR="00BA0AE2" w:rsidRDefault="00BA0AE2" w:rsidP="00FA43FF">
      <w:pPr>
        <w:pStyle w:val="NormalWeb"/>
        <w:spacing w:before="0" w:beforeAutospacing="0" w:after="0" w:afterAutospacing="0"/>
        <w:ind w:left="360"/>
        <w:rPr>
          <w:rFonts w:ascii="Arial" w:hAnsi="Arial" w:cs="Arial"/>
          <w:bCs/>
        </w:rPr>
      </w:pPr>
    </w:p>
    <w:p w:rsidR="00BA0AE2" w:rsidRDefault="00BA0AE2" w:rsidP="00FA43FF">
      <w:pPr>
        <w:pStyle w:val="NormalWeb"/>
        <w:numPr>
          <w:ilvl w:val="0"/>
          <w:numId w:val="9"/>
        </w:numPr>
        <w:spacing w:before="0" w:beforeAutospacing="0" w:after="0" w:afterAutospacing="0"/>
        <w:rPr>
          <w:rFonts w:ascii="Arial" w:hAnsi="Arial" w:cs="Arial"/>
          <w:bCs/>
        </w:rPr>
      </w:pPr>
      <w:r>
        <w:rPr>
          <w:rFonts w:ascii="Arial" w:hAnsi="Arial" w:cs="Arial"/>
          <w:bCs/>
        </w:rPr>
        <w:t xml:space="preserve">The introduction of the opportunity for a student to accept an allegation of unfair practice without appearing before a Panel of </w:t>
      </w:r>
      <w:r w:rsidR="005D148F">
        <w:rPr>
          <w:rFonts w:ascii="Arial" w:hAnsi="Arial" w:cs="Arial"/>
          <w:bCs/>
        </w:rPr>
        <w:t>I</w:t>
      </w:r>
      <w:r>
        <w:rPr>
          <w:rFonts w:ascii="Arial" w:hAnsi="Arial" w:cs="Arial"/>
          <w:bCs/>
        </w:rPr>
        <w:t>nquiry. Where an allegation is accepted in this way, the Offices of the Pro Vice-Chancellor will apply the appropriate penalty in accordance with the Unfair Practice Guidelines, and inform the student accordingly</w:t>
      </w:r>
      <w:r w:rsidR="0077649E">
        <w:rPr>
          <w:rFonts w:ascii="Arial" w:hAnsi="Arial" w:cs="Arial"/>
          <w:bCs/>
        </w:rPr>
        <w:t xml:space="preserve"> (see 6)</w:t>
      </w:r>
      <w:r>
        <w:rPr>
          <w:rFonts w:ascii="Arial" w:hAnsi="Arial" w:cs="Arial"/>
          <w:bCs/>
        </w:rPr>
        <w:t>.</w:t>
      </w:r>
    </w:p>
    <w:p w:rsidR="00BA0AE2" w:rsidRDefault="00BA0AE2" w:rsidP="00FA43FF">
      <w:pPr>
        <w:pStyle w:val="NormalWeb"/>
        <w:spacing w:before="0" w:beforeAutospacing="0" w:after="0" w:afterAutospacing="0"/>
        <w:ind w:left="360"/>
        <w:rPr>
          <w:rFonts w:ascii="Arial" w:hAnsi="Arial" w:cs="Arial"/>
          <w:bCs/>
        </w:rPr>
      </w:pPr>
    </w:p>
    <w:p w:rsidR="007F4625" w:rsidRPr="00BA0AE2" w:rsidRDefault="00BA0AE2" w:rsidP="00FA43FF">
      <w:pPr>
        <w:pStyle w:val="NormalWeb"/>
        <w:numPr>
          <w:ilvl w:val="0"/>
          <w:numId w:val="9"/>
        </w:numPr>
        <w:spacing w:before="0" w:beforeAutospacing="0" w:after="120" w:afterAutospacing="0"/>
        <w:rPr>
          <w:rFonts w:ascii="Arial" w:hAnsi="Arial" w:cs="Arial"/>
          <w:b/>
          <w:bCs/>
          <w:sz w:val="22"/>
          <w:szCs w:val="22"/>
        </w:rPr>
      </w:pPr>
      <w:r w:rsidRPr="00BA0AE2">
        <w:rPr>
          <w:rFonts w:ascii="Arial" w:hAnsi="Arial" w:cs="Arial"/>
          <w:bCs/>
        </w:rPr>
        <w:t xml:space="preserve">The introduction of </w:t>
      </w:r>
      <w:r w:rsidR="007C2B23">
        <w:rPr>
          <w:rFonts w:ascii="Arial" w:hAnsi="Arial" w:cs="Arial"/>
          <w:bCs/>
        </w:rPr>
        <w:t>U</w:t>
      </w:r>
      <w:r w:rsidRPr="00BA0AE2">
        <w:rPr>
          <w:rFonts w:ascii="Arial" w:hAnsi="Arial" w:cs="Arial"/>
          <w:bCs/>
        </w:rPr>
        <w:t xml:space="preserve">nfair Practice Guidelines </w:t>
      </w:r>
      <w:r w:rsidR="0077649E">
        <w:rPr>
          <w:rFonts w:ascii="Arial" w:hAnsi="Arial" w:cs="Arial"/>
          <w:bCs/>
        </w:rPr>
        <w:t>(see Appendix</w:t>
      </w:r>
      <w:r w:rsidR="00923588">
        <w:rPr>
          <w:rFonts w:ascii="Arial" w:hAnsi="Arial" w:cs="Arial"/>
          <w:bCs/>
        </w:rPr>
        <w:t>)</w:t>
      </w:r>
      <w:r w:rsidR="0077649E">
        <w:rPr>
          <w:rFonts w:ascii="Arial" w:hAnsi="Arial" w:cs="Arial"/>
          <w:bCs/>
        </w:rPr>
        <w:t xml:space="preserve"> </w:t>
      </w:r>
      <w:r w:rsidR="007C2B23">
        <w:rPr>
          <w:rFonts w:ascii="Arial" w:hAnsi="Arial" w:cs="Arial"/>
          <w:bCs/>
        </w:rPr>
        <w:t xml:space="preserve">which set out </w:t>
      </w:r>
      <w:r w:rsidRPr="00BA0AE2">
        <w:rPr>
          <w:rFonts w:ascii="Arial" w:hAnsi="Arial" w:cs="Arial"/>
          <w:bCs/>
        </w:rPr>
        <w:t>the possible penalties that may be imposed for unfair practice, according to the severity of the offence. The formula used has been developed through the JISC Plagiarism Advisory Service AMBeR Project, and has been adopted by a range of other universities. Its potential impact on unfair practice cases at UWTSD has been analysed carefully, with adjustments made as appropriate, by the Q</w:t>
      </w:r>
      <w:r w:rsidR="007C2B23">
        <w:rPr>
          <w:rFonts w:ascii="Arial" w:hAnsi="Arial" w:cs="Arial"/>
          <w:bCs/>
        </w:rPr>
        <w:t>AU</w:t>
      </w:r>
      <w:r w:rsidRPr="00BA0AE2">
        <w:rPr>
          <w:rFonts w:ascii="Arial" w:hAnsi="Arial" w:cs="Arial"/>
          <w:bCs/>
        </w:rPr>
        <w:t xml:space="preserve">. Where a student admits to an allegation of unfair practice, the appropriate penalty </w:t>
      </w:r>
      <w:r w:rsidR="007F4625" w:rsidRPr="00BA0AE2">
        <w:rPr>
          <w:rFonts w:ascii="Arial" w:hAnsi="Arial" w:cs="Arial"/>
          <w:bCs/>
        </w:rPr>
        <w:t xml:space="preserve">may be imposed at administrative level without recourse to a </w:t>
      </w:r>
      <w:r w:rsidRPr="00BA0AE2">
        <w:rPr>
          <w:rFonts w:ascii="Arial" w:hAnsi="Arial" w:cs="Arial"/>
          <w:bCs/>
        </w:rPr>
        <w:t xml:space="preserve">Panel </w:t>
      </w:r>
      <w:r w:rsidR="007F4625" w:rsidRPr="00BA0AE2">
        <w:rPr>
          <w:rFonts w:ascii="Arial" w:hAnsi="Arial" w:cs="Arial"/>
          <w:bCs/>
        </w:rPr>
        <w:t xml:space="preserve">of </w:t>
      </w:r>
      <w:r w:rsidR="005D148F">
        <w:rPr>
          <w:rFonts w:ascii="Arial" w:hAnsi="Arial" w:cs="Arial"/>
          <w:bCs/>
        </w:rPr>
        <w:t>Inq</w:t>
      </w:r>
      <w:r w:rsidR="007F4625" w:rsidRPr="00BA0AE2">
        <w:rPr>
          <w:rFonts w:ascii="Arial" w:hAnsi="Arial" w:cs="Arial"/>
          <w:bCs/>
        </w:rPr>
        <w:t>uiry</w:t>
      </w:r>
      <w:r w:rsidRPr="00BA0AE2">
        <w:rPr>
          <w:rFonts w:ascii="Arial" w:hAnsi="Arial" w:cs="Arial"/>
          <w:bCs/>
        </w:rPr>
        <w:t>; where a case is referred to a Panel, the Panel will similarly apply the Guidelines.</w:t>
      </w:r>
    </w:p>
    <w:p w:rsidR="00BA0AE2" w:rsidRDefault="00BA0AE2" w:rsidP="00FA43FF">
      <w:pPr>
        <w:pStyle w:val="ListParagraph"/>
        <w:jc w:val="left"/>
        <w:rPr>
          <w:rFonts w:ascii="Arial" w:hAnsi="Arial" w:cs="Arial"/>
          <w:b/>
          <w:bCs/>
          <w:sz w:val="22"/>
          <w:szCs w:val="22"/>
        </w:rPr>
      </w:pPr>
    </w:p>
    <w:p w:rsidR="001170B0" w:rsidRDefault="001170B0" w:rsidP="00FA43FF">
      <w:pPr>
        <w:pStyle w:val="NormalWeb"/>
        <w:numPr>
          <w:ilvl w:val="0"/>
          <w:numId w:val="7"/>
        </w:numPr>
        <w:spacing w:before="0" w:beforeAutospacing="0" w:after="120" w:afterAutospacing="0"/>
        <w:rPr>
          <w:rFonts w:ascii="Arial" w:hAnsi="Arial" w:cs="Arial"/>
          <w:b/>
          <w:bCs/>
          <w:sz w:val="22"/>
          <w:szCs w:val="22"/>
        </w:rPr>
      </w:pPr>
      <w:r>
        <w:rPr>
          <w:rFonts w:ascii="Arial" w:hAnsi="Arial" w:cs="Arial"/>
          <w:b/>
          <w:bCs/>
          <w:sz w:val="22"/>
          <w:szCs w:val="22"/>
        </w:rPr>
        <w:t>Academic appeals</w:t>
      </w:r>
    </w:p>
    <w:p w:rsidR="007F4625" w:rsidRDefault="007F4625" w:rsidP="00FA43FF">
      <w:pPr>
        <w:numPr>
          <w:ilvl w:val="0"/>
          <w:numId w:val="8"/>
        </w:numPr>
        <w:spacing w:after="0" w:line="240" w:lineRule="auto"/>
        <w:rPr>
          <w:rFonts w:ascii="Arial" w:eastAsia="SimSun" w:hAnsi="Arial" w:cs="Arial"/>
          <w:bCs/>
          <w:color w:val="000000"/>
          <w:sz w:val="21"/>
          <w:szCs w:val="21"/>
          <w:lang w:val="en-GB" w:eastAsia="zh-CN"/>
        </w:rPr>
      </w:pPr>
      <w:r>
        <w:rPr>
          <w:rFonts w:ascii="Arial" w:eastAsia="SimSun" w:hAnsi="Arial" w:cs="Arial"/>
          <w:bCs/>
          <w:color w:val="000000"/>
          <w:sz w:val="21"/>
          <w:szCs w:val="21"/>
          <w:lang w:val="en-GB" w:eastAsia="zh-CN"/>
        </w:rPr>
        <w:t xml:space="preserve">The addition, as permissible grounds for appeal, </w:t>
      </w:r>
      <w:r w:rsidR="009529D4">
        <w:rPr>
          <w:rFonts w:ascii="Arial" w:eastAsia="SimSun" w:hAnsi="Arial" w:cs="Arial"/>
          <w:bCs/>
          <w:color w:val="000000"/>
          <w:sz w:val="21"/>
          <w:szCs w:val="21"/>
          <w:lang w:val="en-GB" w:eastAsia="zh-CN"/>
        </w:rPr>
        <w:t xml:space="preserve">of </w:t>
      </w:r>
      <w:r>
        <w:rPr>
          <w:rFonts w:ascii="Arial" w:eastAsia="SimSun" w:hAnsi="Arial" w:cs="Arial"/>
          <w:bCs/>
          <w:color w:val="000000"/>
          <w:sz w:val="21"/>
          <w:szCs w:val="21"/>
          <w:lang w:val="en-GB" w:eastAsia="zh-CN"/>
        </w:rPr>
        <w:t>a procedural failure relating to the Extenuating Circumstances Panel (see 2. Please also see the section on Extenuating Circumstances above).</w:t>
      </w:r>
    </w:p>
    <w:p w:rsidR="007F4625" w:rsidRDefault="007F4625" w:rsidP="00FA43FF">
      <w:pPr>
        <w:spacing w:after="0" w:line="240" w:lineRule="auto"/>
        <w:ind w:left="360"/>
        <w:rPr>
          <w:rFonts w:ascii="Arial" w:eastAsia="SimSun" w:hAnsi="Arial" w:cs="Arial"/>
          <w:bCs/>
          <w:color w:val="000000"/>
          <w:sz w:val="21"/>
          <w:szCs w:val="21"/>
          <w:lang w:val="en-GB" w:eastAsia="zh-CN"/>
        </w:rPr>
      </w:pPr>
    </w:p>
    <w:p w:rsidR="007F4625" w:rsidRDefault="007F4625" w:rsidP="00FA43FF">
      <w:pPr>
        <w:numPr>
          <w:ilvl w:val="0"/>
          <w:numId w:val="8"/>
        </w:numPr>
        <w:spacing w:after="0" w:line="240" w:lineRule="auto"/>
        <w:rPr>
          <w:rFonts w:ascii="Arial" w:eastAsia="SimSun" w:hAnsi="Arial" w:cs="Arial"/>
          <w:bCs/>
          <w:color w:val="000000"/>
          <w:sz w:val="21"/>
          <w:szCs w:val="21"/>
          <w:lang w:val="en-GB" w:eastAsia="zh-CN"/>
        </w:rPr>
      </w:pPr>
      <w:r w:rsidRPr="001170B0">
        <w:rPr>
          <w:rFonts w:ascii="Arial" w:eastAsia="SimSun" w:hAnsi="Arial" w:cs="Arial"/>
          <w:bCs/>
          <w:color w:val="000000"/>
          <w:sz w:val="21"/>
          <w:szCs w:val="21"/>
          <w:lang w:val="en-GB" w:eastAsia="zh-CN"/>
        </w:rPr>
        <w:t>The removal of the requirement for students to submit an application for verification prior to submitting an appeal.</w:t>
      </w:r>
      <w:r>
        <w:rPr>
          <w:rFonts w:ascii="Arial" w:eastAsia="SimSun" w:hAnsi="Arial" w:cs="Arial"/>
          <w:bCs/>
          <w:color w:val="000000"/>
          <w:sz w:val="21"/>
          <w:szCs w:val="21"/>
          <w:lang w:val="en-GB" w:eastAsia="zh-CN"/>
        </w:rPr>
        <w:t xml:space="preserve"> The process of verifying that a published result is accurate will continue to take place as part of the process of considering the facts surrounding the appeal (see 5).</w:t>
      </w:r>
    </w:p>
    <w:p w:rsidR="007F4625" w:rsidRPr="001170B0" w:rsidRDefault="007F4625" w:rsidP="00FA43FF">
      <w:pPr>
        <w:spacing w:after="0" w:line="240" w:lineRule="auto"/>
        <w:ind w:left="360"/>
        <w:rPr>
          <w:rFonts w:ascii="Arial" w:eastAsia="SimSun" w:hAnsi="Arial" w:cs="Arial"/>
          <w:bCs/>
          <w:color w:val="000000"/>
          <w:sz w:val="21"/>
          <w:szCs w:val="21"/>
          <w:lang w:val="en-GB" w:eastAsia="zh-CN"/>
        </w:rPr>
      </w:pPr>
      <w:r>
        <w:rPr>
          <w:rFonts w:ascii="Arial" w:eastAsia="SimSun" w:hAnsi="Arial" w:cs="Arial"/>
          <w:bCs/>
          <w:color w:val="000000"/>
          <w:sz w:val="21"/>
          <w:szCs w:val="21"/>
          <w:lang w:val="en-GB" w:eastAsia="zh-CN"/>
        </w:rPr>
        <w:t xml:space="preserve"> </w:t>
      </w:r>
    </w:p>
    <w:p w:rsidR="007F4625" w:rsidRPr="001170B0" w:rsidRDefault="007F4625" w:rsidP="00FA43FF">
      <w:pPr>
        <w:numPr>
          <w:ilvl w:val="0"/>
          <w:numId w:val="8"/>
        </w:numPr>
        <w:spacing w:after="0" w:line="240" w:lineRule="auto"/>
        <w:rPr>
          <w:rFonts w:ascii="Arial" w:eastAsia="SimSun" w:hAnsi="Arial" w:cs="Arial"/>
          <w:bCs/>
          <w:color w:val="000000"/>
          <w:sz w:val="21"/>
          <w:szCs w:val="21"/>
          <w:lang w:val="en-GB" w:eastAsia="zh-CN"/>
        </w:rPr>
      </w:pPr>
      <w:r w:rsidRPr="001170B0">
        <w:rPr>
          <w:rFonts w:ascii="Arial" w:eastAsia="SimSun" w:hAnsi="Arial" w:cs="Arial"/>
          <w:bCs/>
          <w:color w:val="000000"/>
          <w:sz w:val="21"/>
          <w:szCs w:val="21"/>
          <w:lang w:val="en-GB" w:eastAsia="zh-CN"/>
        </w:rPr>
        <w:t>The introduction of a requirement for formal written confirmation (by the Chair of Examining Board or other appropriate officer) of the circumstances surrounding the appeal</w:t>
      </w:r>
      <w:r>
        <w:rPr>
          <w:rFonts w:ascii="Arial" w:eastAsia="SimSun" w:hAnsi="Arial" w:cs="Arial"/>
          <w:bCs/>
          <w:color w:val="000000"/>
          <w:sz w:val="21"/>
          <w:szCs w:val="21"/>
          <w:lang w:val="en-GB" w:eastAsia="zh-CN"/>
        </w:rPr>
        <w:t xml:space="preserve"> (see 6)</w:t>
      </w:r>
      <w:r w:rsidRPr="001170B0">
        <w:rPr>
          <w:rFonts w:ascii="Arial" w:eastAsia="SimSun" w:hAnsi="Arial" w:cs="Arial"/>
          <w:bCs/>
          <w:color w:val="000000"/>
          <w:sz w:val="21"/>
          <w:szCs w:val="21"/>
          <w:lang w:val="en-GB" w:eastAsia="zh-CN"/>
        </w:rPr>
        <w:t>.</w:t>
      </w:r>
    </w:p>
    <w:p w:rsidR="007F4625" w:rsidRDefault="007F4625" w:rsidP="00FA43FF">
      <w:pPr>
        <w:pStyle w:val="NormalWeb"/>
        <w:spacing w:before="0" w:beforeAutospacing="0" w:after="120" w:afterAutospacing="0"/>
        <w:ind w:left="360"/>
        <w:rPr>
          <w:rFonts w:ascii="Arial" w:hAnsi="Arial" w:cs="Arial"/>
          <w:b/>
          <w:bCs/>
          <w:sz w:val="22"/>
          <w:szCs w:val="22"/>
        </w:rPr>
      </w:pPr>
    </w:p>
    <w:p w:rsidR="007F4625" w:rsidRDefault="007F4625" w:rsidP="00FA43FF">
      <w:pPr>
        <w:pStyle w:val="NormalWeb"/>
        <w:numPr>
          <w:ilvl w:val="0"/>
          <w:numId w:val="7"/>
        </w:numPr>
        <w:spacing w:before="0" w:beforeAutospacing="0" w:after="120" w:afterAutospacing="0"/>
        <w:rPr>
          <w:rFonts w:ascii="Arial" w:hAnsi="Arial" w:cs="Arial"/>
          <w:b/>
          <w:bCs/>
          <w:sz w:val="22"/>
          <w:szCs w:val="22"/>
        </w:rPr>
      </w:pPr>
      <w:r>
        <w:rPr>
          <w:rFonts w:ascii="Arial" w:hAnsi="Arial" w:cs="Arial"/>
          <w:b/>
          <w:bCs/>
          <w:sz w:val="22"/>
          <w:szCs w:val="22"/>
        </w:rPr>
        <w:t>Complaints</w:t>
      </w:r>
    </w:p>
    <w:p w:rsidR="00F017B1" w:rsidRPr="0077649E" w:rsidRDefault="00F017B1" w:rsidP="00FA43FF">
      <w:pPr>
        <w:pStyle w:val="NormalWeb"/>
        <w:numPr>
          <w:ilvl w:val="0"/>
          <w:numId w:val="11"/>
        </w:numPr>
        <w:spacing w:before="0" w:beforeAutospacing="0" w:after="0" w:afterAutospacing="0"/>
        <w:rPr>
          <w:rFonts w:ascii="Arial" w:hAnsi="Arial" w:cs="Arial"/>
          <w:b/>
          <w:bCs/>
        </w:rPr>
      </w:pPr>
      <w:r>
        <w:rPr>
          <w:rFonts w:ascii="Arial" w:hAnsi="Arial" w:cs="Arial"/>
          <w:bCs/>
        </w:rPr>
        <w:t xml:space="preserve">The formalisation of </w:t>
      </w:r>
      <w:r w:rsidR="00D5721F">
        <w:rPr>
          <w:rFonts w:ascii="Arial" w:hAnsi="Arial" w:cs="Arial"/>
          <w:bCs/>
        </w:rPr>
        <w:t>the</w:t>
      </w:r>
      <w:r>
        <w:rPr>
          <w:rFonts w:ascii="Arial" w:hAnsi="Arial" w:cs="Arial"/>
          <w:bCs/>
        </w:rPr>
        <w:t xml:space="preserve"> first stage of the complaints process, through which students are required to make the complaint at Faculty (or support department) level rather than to the Pro Vice-Chancellor. </w:t>
      </w:r>
    </w:p>
    <w:p w:rsidR="0077649E" w:rsidRPr="0077649E" w:rsidRDefault="0077649E" w:rsidP="00FA43FF">
      <w:pPr>
        <w:pStyle w:val="NormalWeb"/>
        <w:spacing w:before="0" w:beforeAutospacing="0" w:after="0" w:afterAutospacing="0"/>
        <w:ind w:left="360"/>
        <w:rPr>
          <w:rFonts w:ascii="Arial" w:hAnsi="Arial" w:cs="Arial"/>
          <w:b/>
          <w:bCs/>
        </w:rPr>
      </w:pPr>
    </w:p>
    <w:p w:rsidR="00F017B1" w:rsidRPr="005B70BF" w:rsidRDefault="00F017B1" w:rsidP="00FA43FF">
      <w:pPr>
        <w:pStyle w:val="NormalWeb"/>
        <w:numPr>
          <w:ilvl w:val="0"/>
          <w:numId w:val="11"/>
        </w:numPr>
        <w:spacing w:before="0" w:beforeAutospacing="0" w:after="0" w:afterAutospacing="0"/>
        <w:rPr>
          <w:rFonts w:ascii="Arial" w:hAnsi="Arial" w:cs="Arial"/>
          <w:b/>
          <w:bCs/>
        </w:rPr>
      </w:pPr>
      <w:r>
        <w:rPr>
          <w:rFonts w:ascii="Arial" w:hAnsi="Arial" w:cs="Arial"/>
          <w:bCs/>
        </w:rPr>
        <w:t>Clarification that appeals against complaints decisions can only be made on the grounds of defects or irregularities in the handling of the complaint.</w:t>
      </w:r>
    </w:p>
    <w:p w:rsidR="005A6F1A" w:rsidRDefault="005A6F1A" w:rsidP="00FA43FF">
      <w:pPr>
        <w:spacing w:after="120"/>
        <w:rPr>
          <w:rFonts w:ascii="Arial" w:hAnsi="Arial" w:cs="Arial"/>
          <w:b/>
        </w:rPr>
      </w:pPr>
    </w:p>
    <w:p w:rsidR="005D148F" w:rsidRPr="009529D4" w:rsidRDefault="005D148F" w:rsidP="00FA43FF">
      <w:pPr>
        <w:spacing w:after="0"/>
        <w:rPr>
          <w:rFonts w:ascii="Arial" w:hAnsi="Arial" w:cs="Arial"/>
        </w:rPr>
      </w:pPr>
      <w:r>
        <w:rPr>
          <w:rFonts w:ascii="Arial" w:hAnsi="Arial" w:cs="Arial"/>
        </w:rPr>
        <w:t>Dr Nick Potter, Dean of Learning, Teaching and Enhancement</w:t>
      </w:r>
    </w:p>
    <w:p w:rsidR="006C6339" w:rsidRPr="009529D4" w:rsidRDefault="00923588" w:rsidP="00FA43FF">
      <w:pPr>
        <w:spacing w:after="120"/>
        <w:rPr>
          <w:rFonts w:ascii="Arial" w:hAnsi="Arial" w:cs="Arial"/>
        </w:rPr>
      </w:pPr>
      <w:r>
        <w:rPr>
          <w:rFonts w:ascii="Arial" w:hAnsi="Arial" w:cs="Arial"/>
        </w:rPr>
        <w:t xml:space="preserve">7 December </w:t>
      </w:r>
      <w:r w:rsidR="006C6339" w:rsidRPr="009529D4">
        <w:rPr>
          <w:rFonts w:ascii="Arial" w:hAnsi="Arial" w:cs="Arial"/>
        </w:rPr>
        <w:t>2012</w:t>
      </w:r>
    </w:p>
    <w:sectPr w:rsidR="006C6339" w:rsidRPr="009529D4" w:rsidSect="00DA0B14">
      <w:headerReference w:type="default" r:id="rId9"/>
      <w:footerReference w:type="default" r:id="rId10"/>
      <w:pgSz w:w="12240" w:h="15840"/>
      <w:pgMar w:top="1440" w:right="900" w:bottom="851" w:left="1440" w:header="720" w:footer="146"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5BD5" w:rsidRDefault="00F45BD5" w:rsidP="002F7985">
      <w:pPr>
        <w:spacing w:after="0" w:line="240" w:lineRule="auto"/>
      </w:pPr>
      <w:r>
        <w:separator/>
      </w:r>
    </w:p>
  </w:endnote>
  <w:endnote w:type="continuationSeparator" w:id="1">
    <w:p w:rsidR="00F45BD5" w:rsidRDefault="00F45BD5" w:rsidP="002F798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Teifryn">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65845"/>
      <w:docPartObj>
        <w:docPartGallery w:val="Page Numbers (Bottom of Page)"/>
        <w:docPartUnique/>
      </w:docPartObj>
    </w:sdtPr>
    <w:sdtContent>
      <w:p w:rsidR="002F0E08" w:rsidRDefault="002F0E08">
        <w:pPr>
          <w:pStyle w:val="Footer"/>
          <w:jc w:val="center"/>
        </w:pPr>
      </w:p>
      <w:p w:rsidR="002F0E08" w:rsidRDefault="001D5648">
        <w:pPr>
          <w:pStyle w:val="Footer"/>
          <w:jc w:val="center"/>
        </w:pPr>
        <w:fldSimple w:instr=" PAGE   \* MERGEFORMAT ">
          <w:r w:rsidR="0051012B">
            <w:rPr>
              <w:noProof/>
            </w:rPr>
            <w:t>3</w:t>
          </w:r>
        </w:fldSimple>
      </w:p>
    </w:sdtContent>
  </w:sdt>
  <w:p w:rsidR="002F0E08" w:rsidRDefault="002F0E0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5BD5" w:rsidRDefault="00F45BD5" w:rsidP="002F7985">
      <w:pPr>
        <w:spacing w:after="0" w:line="240" w:lineRule="auto"/>
      </w:pPr>
      <w:r>
        <w:separator/>
      </w:r>
    </w:p>
  </w:footnote>
  <w:footnote w:type="continuationSeparator" w:id="1">
    <w:p w:rsidR="00F45BD5" w:rsidRDefault="00F45BD5" w:rsidP="002F798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3836" w:rsidRDefault="00843836" w:rsidP="001A6F3A">
    <w:pPr>
      <w:pStyle w:val="NormalWeb"/>
      <w:spacing w:before="0" w:beforeAutospacing="0" w:after="120" w:afterAutospacing="0"/>
      <w:jc w:val="both"/>
      <w:rPr>
        <w:rFonts w:ascii="Arial" w:hAnsi="Arial" w:cs="Arial"/>
        <w:b/>
        <w:bCs/>
        <w:sz w:val="24"/>
        <w:szCs w:val="24"/>
      </w:rPr>
    </w:pPr>
    <w:r>
      <w:rPr>
        <w:noProof/>
        <w:lang w:eastAsia="en-GB"/>
      </w:rPr>
      <w:drawing>
        <wp:inline distT="0" distB="0" distL="0" distR="0">
          <wp:extent cx="1619250" cy="1057275"/>
          <wp:effectExtent l="19050" t="0" r="0" b="0"/>
          <wp:docPr id="4" name="Picture 1" descr="Description: Swansea-Met-Logo-Em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Swansea-Met-Logo-Email"/>
                  <pic:cNvPicPr>
                    <a:picLocks noChangeAspect="1" noChangeArrowheads="1"/>
                  </pic:cNvPicPr>
                </pic:nvPicPr>
                <pic:blipFill>
                  <a:blip r:embed="rId1" r:link="rId2"/>
                  <a:srcRect/>
                  <a:stretch>
                    <a:fillRect/>
                  </a:stretch>
                </pic:blipFill>
                <pic:spPr bwMode="auto">
                  <a:xfrm>
                    <a:off x="0" y="0"/>
                    <a:ext cx="1619250" cy="1057275"/>
                  </a:xfrm>
                  <a:prstGeom prst="rect">
                    <a:avLst/>
                  </a:prstGeom>
                  <a:noFill/>
                  <a:ln w="9525">
                    <a:noFill/>
                    <a:miter lim="800000"/>
                    <a:headEnd/>
                    <a:tailEnd/>
                  </a:ln>
                </pic:spPr>
              </pic:pic>
            </a:graphicData>
          </a:graphic>
        </wp:inline>
      </w:drawing>
    </w:r>
  </w:p>
  <w:p w:rsidR="002F0E08" w:rsidRDefault="002F0E08" w:rsidP="001A6F3A">
    <w:pPr>
      <w:pStyle w:val="NormalWeb"/>
      <w:spacing w:before="0" w:beforeAutospacing="0" w:after="120" w:afterAutospacing="0"/>
      <w:jc w:val="both"/>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A741B6"/>
    <w:multiLevelType w:val="hybridMultilevel"/>
    <w:tmpl w:val="2B9C4D36"/>
    <w:lvl w:ilvl="0" w:tplc="08090001">
      <w:start w:val="1"/>
      <w:numFmt w:val="bullet"/>
      <w:lvlText w:val=""/>
      <w:lvlJc w:val="left"/>
      <w:pPr>
        <w:ind w:left="720" w:hanging="360"/>
      </w:pPr>
      <w:rPr>
        <w:rFonts w:ascii="Symbol" w:hAnsi="Symbol" w:hint="default"/>
      </w:rPr>
    </w:lvl>
    <w:lvl w:ilvl="1" w:tplc="223E04FC">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D225631"/>
    <w:multiLevelType w:val="hybridMultilevel"/>
    <w:tmpl w:val="BC664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569721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26B23DED"/>
    <w:multiLevelType w:val="hybridMultilevel"/>
    <w:tmpl w:val="4ED268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2BA76CA9"/>
    <w:multiLevelType w:val="hybridMultilevel"/>
    <w:tmpl w:val="3D66D75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38F2505"/>
    <w:multiLevelType w:val="hybridMultilevel"/>
    <w:tmpl w:val="EE9EA292"/>
    <w:lvl w:ilvl="0" w:tplc="08090001">
      <w:start w:val="1"/>
      <w:numFmt w:val="bullet"/>
      <w:lvlText w:val=""/>
      <w:lvlJc w:val="left"/>
      <w:pPr>
        <w:ind w:left="720" w:hanging="360"/>
      </w:pPr>
      <w:rPr>
        <w:rFonts w:ascii="Symbol" w:hAnsi="Symbol" w:hint="default"/>
      </w:rPr>
    </w:lvl>
    <w:lvl w:ilvl="1" w:tplc="96363300">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65F0E9F"/>
    <w:multiLevelType w:val="hybridMultilevel"/>
    <w:tmpl w:val="5C9C2810"/>
    <w:lvl w:ilvl="0" w:tplc="08090001">
      <w:start w:val="1"/>
      <w:numFmt w:val="bullet"/>
      <w:lvlText w:val=""/>
      <w:lvlJc w:val="left"/>
      <w:pPr>
        <w:ind w:left="720" w:hanging="360"/>
      </w:pPr>
      <w:rPr>
        <w:rFonts w:ascii="Symbol" w:hAnsi="Symbol" w:hint="default"/>
      </w:rPr>
    </w:lvl>
    <w:lvl w:ilvl="1" w:tplc="96363300">
      <w:start w:val="1"/>
      <w:numFmt w:val="bullet"/>
      <w:lvlText w:val=""/>
      <w:lvlJc w:val="left"/>
      <w:pPr>
        <w:ind w:left="1440" w:hanging="360"/>
      </w:pPr>
      <w:rPr>
        <w:rFonts w:ascii="Symbol" w:hAnsi="Symbol" w:hint="default"/>
      </w:rPr>
    </w:lvl>
    <w:lvl w:ilvl="2" w:tplc="04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755DF8"/>
    <w:multiLevelType w:val="hybridMultilevel"/>
    <w:tmpl w:val="6D5825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51D475DB"/>
    <w:multiLevelType w:val="multilevel"/>
    <w:tmpl w:val="959E6FE8"/>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9">
    <w:nsid w:val="5F742CB0"/>
    <w:multiLevelType w:val="hybridMultilevel"/>
    <w:tmpl w:val="10E20312"/>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6FF4307A"/>
    <w:multiLevelType w:val="hybridMultilevel"/>
    <w:tmpl w:val="F40E6B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71E35010"/>
    <w:multiLevelType w:val="hybridMultilevel"/>
    <w:tmpl w:val="86283C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5"/>
  </w:num>
  <w:num w:numId="3">
    <w:abstractNumId w:val="2"/>
  </w:num>
  <w:num w:numId="4">
    <w:abstractNumId w:val="8"/>
  </w:num>
  <w:num w:numId="5">
    <w:abstractNumId w:val="6"/>
  </w:num>
  <w:num w:numId="6">
    <w:abstractNumId w:val="0"/>
  </w:num>
  <w:num w:numId="7">
    <w:abstractNumId w:val="9"/>
  </w:num>
  <w:num w:numId="8">
    <w:abstractNumId w:val="11"/>
  </w:num>
  <w:num w:numId="9">
    <w:abstractNumId w:val="7"/>
  </w:num>
  <w:num w:numId="10">
    <w:abstractNumId w:val="3"/>
  </w:num>
  <w:num w:numId="11">
    <w:abstractNumId w:val="1"/>
  </w:num>
  <w:num w:numId="12">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049"/>
  </w:hdrShapeDefaults>
  <w:footnotePr>
    <w:footnote w:id="0"/>
    <w:footnote w:id="1"/>
  </w:footnotePr>
  <w:endnotePr>
    <w:endnote w:id="0"/>
    <w:endnote w:id="1"/>
  </w:endnotePr>
  <w:compat/>
  <w:rsids>
    <w:rsidRoot w:val="007C4702"/>
    <w:rsid w:val="001170B0"/>
    <w:rsid w:val="00146B0F"/>
    <w:rsid w:val="001A6F3A"/>
    <w:rsid w:val="001D5648"/>
    <w:rsid w:val="00253A65"/>
    <w:rsid w:val="00290999"/>
    <w:rsid w:val="002F0E08"/>
    <w:rsid w:val="002F7985"/>
    <w:rsid w:val="003D5C65"/>
    <w:rsid w:val="00443712"/>
    <w:rsid w:val="00497056"/>
    <w:rsid w:val="0051012B"/>
    <w:rsid w:val="00546598"/>
    <w:rsid w:val="005A6F1A"/>
    <w:rsid w:val="005D148F"/>
    <w:rsid w:val="00662E9E"/>
    <w:rsid w:val="006C6339"/>
    <w:rsid w:val="00727080"/>
    <w:rsid w:val="007315DF"/>
    <w:rsid w:val="0077649E"/>
    <w:rsid w:val="007C2B23"/>
    <w:rsid w:val="007C4702"/>
    <w:rsid w:val="007F4625"/>
    <w:rsid w:val="00843836"/>
    <w:rsid w:val="008A4D80"/>
    <w:rsid w:val="008C59D5"/>
    <w:rsid w:val="008D53EB"/>
    <w:rsid w:val="00923588"/>
    <w:rsid w:val="00933AB7"/>
    <w:rsid w:val="009529D4"/>
    <w:rsid w:val="0097651E"/>
    <w:rsid w:val="009E20C8"/>
    <w:rsid w:val="009E2B2C"/>
    <w:rsid w:val="00BA0AE2"/>
    <w:rsid w:val="00BB0F2B"/>
    <w:rsid w:val="00C171A8"/>
    <w:rsid w:val="00C3383B"/>
    <w:rsid w:val="00CA0EDA"/>
    <w:rsid w:val="00CB4A3A"/>
    <w:rsid w:val="00D5721F"/>
    <w:rsid w:val="00DA0B14"/>
    <w:rsid w:val="00DD2E7E"/>
    <w:rsid w:val="00E47FC6"/>
    <w:rsid w:val="00E763FB"/>
    <w:rsid w:val="00F017B1"/>
    <w:rsid w:val="00F45BD5"/>
    <w:rsid w:val="00F654DA"/>
    <w:rsid w:val="00FA43FF"/>
    <w:rsid w:val="00FD6A4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708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7C4702"/>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ListParagraph">
    <w:name w:val="List Paragraph"/>
    <w:basedOn w:val="Normal"/>
    <w:uiPriority w:val="34"/>
    <w:qFormat/>
    <w:rsid w:val="007C4702"/>
    <w:pPr>
      <w:spacing w:before="120" w:after="0" w:line="240" w:lineRule="auto"/>
      <w:ind w:left="720"/>
      <w:contextualSpacing/>
      <w:jc w:val="both"/>
    </w:pPr>
    <w:rPr>
      <w:rFonts w:ascii="Times New Roman" w:eastAsia="Times New Roman" w:hAnsi="Times New Roman" w:cs="Times New Roman"/>
      <w:sz w:val="24"/>
      <w:szCs w:val="24"/>
      <w:lang w:val="en-GB" w:eastAsia="en-GB"/>
    </w:rPr>
  </w:style>
  <w:style w:type="paragraph" w:customStyle="1" w:styleId="para1">
    <w:name w:val="para1"/>
    <w:basedOn w:val="Normal"/>
    <w:rsid w:val="007C4702"/>
    <w:pPr>
      <w:spacing w:before="120" w:after="0" w:line="240" w:lineRule="auto"/>
      <w:ind w:left="274" w:hanging="274"/>
      <w:jc w:val="both"/>
    </w:pPr>
    <w:rPr>
      <w:rFonts w:ascii="Teifryn" w:eastAsia="Times New Roman" w:hAnsi="Teifryn" w:cs="Times New Roman"/>
      <w:noProof/>
      <w:sz w:val="18"/>
      <w:szCs w:val="20"/>
      <w:lang w:val="en-AU" w:eastAsia="en-GB"/>
    </w:rPr>
  </w:style>
  <w:style w:type="character" w:styleId="CommentReference">
    <w:name w:val="annotation reference"/>
    <w:basedOn w:val="DefaultParagraphFont"/>
    <w:semiHidden/>
    <w:rsid w:val="007C4702"/>
    <w:rPr>
      <w:sz w:val="16"/>
      <w:szCs w:val="16"/>
    </w:rPr>
  </w:style>
  <w:style w:type="paragraph" w:styleId="CommentText">
    <w:name w:val="annotation text"/>
    <w:basedOn w:val="Normal"/>
    <w:link w:val="CommentTextChar"/>
    <w:semiHidden/>
    <w:rsid w:val="007C4702"/>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7C4702"/>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7C47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702"/>
    <w:rPr>
      <w:rFonts w:ascii="Tahoma" w:hAnsi="Tahoma" w:cs="Tahoma"/>
      <w:sz w:val="16"/>
      <w:szCs w:val="16"/>
    </w:rPr>
  </w:style>
  <w:style w:type="paragraph" w:styleId="Header">
    <w:name w:val="header"/>
    <w:basedOn w:val="Normal"/>
    <w:link w:val="HeaderChar"/>
    <w:uiPriority w:val="99"/>
    <w:unhideWhenUsed/>
    <w:rsid w:val="002F7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985"/>
  </w:style>
  <w:style w:type="paragraph" w:styleId="Footer">
    <w:name w:val="footer"/>
    <w:basedOn w:val="Normal"/>
    <w:link w:val="FooterChar"/>
    <w:uiPriority w:val="99"/>
    <w:unhideWhenUsed/>
    <w:rsid w:val="002F7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985"/>
  </w:style>
  <w:style w:type="character" w:styleId="Hyperlink">
    <w:name w:val="Hyperlink"/>
    <w:basedOn w:val="DefaultParagraphFont"/>
    <w:uiPriority w:val="99"/>
    <w:unhideWhenUsed/>
    <w:rsid w:val="00923588"/>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923588"/>
    <w:pPr>
      <w:spacing w:after="200"/>
    </w:pPr>
    <w:rPr>
      <w:rFonts w:asciiTheme="minorHAnsi" w:eastAsiaTheme="minorHAnsi" w:hAnsiTheme="minorHAnsi" w:cstheme="minorBidi"/>
      <w:b/>
      <w:bCs/>
      <w:lang w:val="en-US" w:eastAsia="en-US"/>
    </w:rPr>
  </w:style>
  <w:style w:type="character" w:customStyle="1" w:styleId="CommentSubjectChar">
    <w:name w:val="Comment Subject Char"/>
    <w:basedOn w:val="CommentTextChar"/>
    <w:link w:val="CommentSubject"/>
    <w:uiPriority w:val="99"/>
    <w:semiHidden/>
    <w:rsid w:val="00923588"/>
    <w:rPr>
      <w:rFonts w:ascii="Times New Roman" w:eastAsia="Times New Roman" w:hAnsi="Times New Roman" w:cs="Times New Roman"/>
      <w:b/>
      <w:bCs/>
      <w:sz w:val="20"/>
      <w:szCs w:val="20"/>
      <w:lang w:val="en-AU"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7C4702"/>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ListParagraph">
    <w:name w:val="List Paragraph"/>
    <w:basedOn w:val="Normal"/>
    <w:uiPriority w:val="34"/>
    <w:qFormat/>
    <w:rsid w:val="007C4702"/>
    <w:pPr>
      <w:spacing w:before="120" w:after="0" w:line="240" w:lineRule="auto"/>
      <w:ind w:left="720"/>
      <w:contextualSpacing/>
      <w:jc w:val="both"/>
    </w:pPr>
    <w:rPr>
      <w:rFonts w:ascii="Times New Roman" w:eastAsia="Times New Roman" w:hAnsi="Times New Roman" w:cs="Times New Roman"/>
      <w:sz w:val="24"/>
      <w:szCs w:val="24"/>
      <w:lang w:val="en-GB" w:eastAsia="en-GB"/>
    </w:rPr>
  </w:style>
  <w:style w:type="paragraph" w:customStyle="1" w:styleId="para1">
    <w:name w:val="para1"/>
    <w:basedOn w:val="Normal"/>
    <w:rsid w:val="007C4702"/>
    <w:pPr>
      <w:spacing w:before="120" w:after="0" w:line="240" w:lineRule="auto"/>
      <w:ind w:left="274" w:hanging="274"/>
      <w:jc w:val="both"/>
    </w:pPr>
    <w:rPr>
      <w:rFonts w:ascii="Teifryn" w:eastAsia="Times New Roman" w:hAnsi="Teifryn" w:cs="Times New Roman"/>
      <w:noProof/>
      <w:sz w:val="18"/>
      <w:szCs w:val="20"/>
      <w:lang w:val="en-AU" w:eastAsia="en-GB"/>
    </w:rPr>
  </w:style>
  <w:style w:type="character" w:styleId="CommentReference">
    <w:name w:val="annotation reference"/>
    <w:basedOn w:val="DefaultParagraphFont"/>
    <w:semiHidden/>
    <w:rsid w:val="007C4702"/>
    <w:rPr>
      <w:sz w:val="16"/>
      <w:szCs w:val="16"/>
    </w:rPr>
  </w:style>
  <w:style w:type="paragraph" w:styleId="CommentText">
    <w:name w:val="annotation text"/>
    <w:basedOn w:val="Normal"/>
    <w:link w:val="CommentTextChar"/>
    <w:semiHidden/>
    <w:rsid w:val="007C4702"/>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7C4702"/>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7C47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70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ichard.knapp@smu.ac.uk" TargetMode="External"/><Relationship Id="rId3" Type="http://schemas.openxmlformats.org/officeDocument/2006/relationships/settings" Target="settings.xml"/><Relationship Id="rId7" Type="http://schemas.openxmlformats.org/officeDocument/2006/relationships/hyperlink" Target="http://qualityhandbook.smu.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microsoft.com/office/2007/relationships/stylesWithEffects" Target="stylesWithEffect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gif@01CDCCC1.BDFDE560" TargetMode="External"/><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1</Pages>
  <Words>969</Words>
  <Characters>5526</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Catrin Thomas</dc:creator>
  <cp:lastModifiedBy> </cp:lastModifiedBy>
  <cp:revision>7</cp:revision>
  <cp:lastPrinted>2012-11-22T14:56:00Z</cp:lastPrinted>
  <dcterms:created xsi:type="dcterms:W3CDTF">2012-11-30T09:52:00Z</dcterms:created>
  <dcterms:modified xsi:type="dcterms:W3CDTF">2012-11-30T10:37:00Z</dcterms:modified>
</cp:coreProperties>
</file>