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spacing w:before="0" w:after="0"/>
        <w:ind w:left="-180" w:right="-334"/>
        <w:rPr/>
      </w:pPr>
      <w:r>
        <w:rPr/>
        <w:drawing>
          <wp:inline distL="0" distT="0" distB="0" distR="0">
            <wp:extent cx="1908048" cy="635635"/>
            <wp:effectExtent l="0" t="0" r="0" b="0"/>
            <wp:docPr id="1026"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1908048" cy="635635"/>
                    </a:xfrm>
                    <a:prstGeom prst="rect">
                      <a:avLst/>
                    </a:prstGeom>
                  </pic:spPr>
                </pic:pic>
              </a:graphicData>
            </a:graphic>
          </wp:inline>
        </w:drawing>
      </w:r>
    </w:p>
    <w:p>
      <w:pPr>
        <w:spacing w:before="0" w:after="0"/>
        <w:ind w:left="-180" w:right="-334"/>
        <w:rPr/>
      </w:pPr>
    </w:p>
    <w:p>
      <w:pPr>
        <w:spacing w:before="0" w:after="0"/>
        <w:ind w:left="-180" w:right="-334"/>
        <w:rPr/>
      </w:pPr>
    </w:p>
    <w:p>
      <w:pPr>
        <w:spacing w:before="0" w:after="0"/>
        <w:ind w:left="-180" w:right="-334"/>
        <w:jc w:val="center"/>
        <w:rPr/>
      </w:pPr>
      <w:r>
        <w:rPr>
          <w:rFonts w:ascii="Arial" w:cs="Arial" w:hAnsi="Arial" w:hint="default"/>
          <w:b/>
          <w:bCs/>
          <w:sz w:val="28"/>
          <w:szCs w:val="28"/>
          <w:lang w:val="cy-GB"/>
        </w:rPr>
        <w:t>Postgraduate</w:t>
      </w:r>
      <w:r>
        <w:rPr>
          <w:rFonts w:ascii="Arial" w:cs="Arial" w:hAnsi="Arial" w:hint="default"/>
          <w:b/>
          <w:bCs/>
          <w:sz w:val="28"/>
          <w:szCs w:val="28"/>
          <w:lang w:val="cy-GB"/>
        </w:rPr>
        <w:t>/Distance</w:t>
      </w:r>
      <w:r>
        <w:rPr>
          <w:rFonts w:ascii="Arial" w:cs="Arial" w:hAnsi="Arial" w:hint="default"/>
          <w:b/>
          <w:bCs/>
          <w:sz w:val="28"/>
          <w:szCs w:val="28"/>
          <w:lang w:val="cy-GB"/>
        </w:rPr>
        <w:t xml:space="preserve"> </w:t>
      </w:r>
      <w:r>
        <w:rPr>
          <w:rFonts w:ascii="Arial" w:cs="Arial" w:hAnsi="Arial" w:hint="default"/>
          <w:b/>
          <w:bCs/>
          <w:sz w:val="28"/>
          <w:szCs w:val="28"/>
          <w:lang w:val="cy-GB"/>
        </w:rPr>
        <w:t>Learning</w:t>
      </w:r>
      <w:r>
        <w:rPr>
          <w:rFonts w:ascii="Arial" w:cs="Arial" w:hAnsi="Arial" w:hint="default"/>
          <w:b/>
          <w:bCs/>
          <w:sz w:val="28"/>
          <w:szCs w:val="28"/>
          <w:lang w:val="cy-GB"/>
        </w:rPr>
        <w:t xml:space="preserve"> </w:t>
      </w:r>
    </w:p>
    <w:p>
      <w:pPr>
        <w:spacing w:before="0" w:after="0"/>
        <w:ind w:left="-180" w:right="-334"/>
        <w:jc w:val="center"/>
        <w:rPr/>
      </w:pPr>
      <w:r>
        <w:rPr>
          <w:rFonts w:ascii="Arial" w:cs="Arial" w:hAnsi="Arial" w:hint="default"/>
          <w:b/>
          <w:bCs/>
          <w:sz w:val="28"/>
          <w:szCs w:val="28"/>
          <w:lang w:val="cy-GB"/>
        </w:rPr>
        <w:t>A</w:t>
      </w:r>
      <w:r>
        <w:rPr>
          <w:rFonts w:ascii="Arial" w:cs="Arial" w:hAnsi="Arial" w:hint="default"/>
          <w:b/>
          <w:bCs/>
          <w:sz w:val="28"/>
          <w:szCs w:val="28"/>
          <w:lang w:val="cy-GB"/>
        </w:rPr>
        <w:t>ssignment</w:t>
      </w:r>
      <w:r>
        <w:rPr>
          <w:rFonts w:ascii="Arial" w:cs="Arial" w:hAnsi="Arial" w:hint="default"/>
          <w:b/>
          <w:bCs/>
          <w:sz w:val="28"/>
          <w:szCs w:val="28"/>
          <w:lang w:val="cy-GB"/>
        </w:rPr>
        <w:t xml:space="preserve"> </w:t>
      </w:r>
      <w:r>
        <w:rPr>
          <w:rFonts w:ascii="Arial" w:cs="Arial" w:hAnsi="Arial" w:hint="default"/>
          <w:b/>
          <w:bCs/>
          <w:sz w:val="28"/>
          <w:szCs w:val="28"/>
          <w:lang w:val="cy-GB"/>
        </w:rPr>
        <w:t>coversheet</w:t>
      </w:r>
      <w:r>
        <w:rPr>
          <w:rFonts w:ascii="Arial" w:cs="Arial" w:hAnsi="Arial" w:hint="default"/>
          <w:b/>
          <w:bCs/>
          <w:sz w:val="28"/>
          <w:szCs w:val="28"/>
          <w:lang w:val="cy-GB"/>
        </w:rPr>
        <w:t xml:space="preserve"> </w:t>
      </w:r>
      <w:r>
        <w:rPr>
          <w:rFonts w:ascii="Arial" w:cs="Arial" w:hAnsi="Arial" w:hint="default"/>
          <w:b/>
          <w:bCs/>
          <w:sz w:val="28"/>
          <w:szCs w:val="28"/>
          <w:lang w:val="cy-GB"/>
        </w:rPr>
        <w:t>&amp;</w:t>
      </w:r>
      <w:r>
        <w:rPr>
          <w:rFonts w:ascii="Arial" w:cs="Arial" w:hAnsi="Arial" w:hint="default"/>
          <w:b/>
          <w:bCs/>
          <w:sz w:val="28"/>
          <w:szCs w:val="28"/>
          <w:lang w:val="cy-GB"/>
        </w:rPr>
        <w:t xml:space="preserve"> </w:t>
      </w:r>
      <w:r>
        <w:rPr>
          <w:rFonts w:ascii="Arial" w:cs="Arial" w:hAnsi="Arial" w:hint="default"/>
          <w:b/>
          <w:bCs/>
          <w:sz w:val="28"/>
          <w:szCs w:val="28"/>
          <w:lang w:val="cy-GB"/>
        </w:rPr>
        <w:t>feedback</w:t>
      </w:r>
      <w:r>
        <w:rPr>
          <w:rFonts w:ascii="Arial" w:cs="Arial" w:hAnsi="Arial" w:hint="default"/>
          <w:b/>
          <w:bCs/>
          <w:sz w:val="28"/>
          <w:szCs w:val="28"/>
          <w:lang w:val="cy-GB"/>
        </w:rPr>
        <w:t xml:space="preserve"> </w:t>
      </w:r>
      <w:r>
        <w:rPr>
          <w:rFonts w:ascii="Arial" w:cs="Arial" w:hAnsi="Arial" w:hint="default"/>
          <w:b/>
          <w:bCs/>
          <w:sz w:val="28"/>
          <w:szCs w:val="28"/>
          <w:lang w:val="cy-GB"/>
        </w:rPr>
        <w:t>form</w:t>
      </w:r>
    </w:p>
    <w:p>
      <w:pPr>
        <w:rPr/>
      </w:pPr>
    </w:p>
    <w:p>
      <w:pPr>
        <w:jc w:val="center"/>
        <w:rPr/>
      </w:pPr>
      <w:r>
        <w:rPr>
          <w:rFonts w:hint="default"/>
          <w:lang w:val="cy-GB"/>
        </w:rPr>
        <w:t>THIS</w:t>
      </w:r>
      <w:r>
        <w:rPr>
          <w:rFonts w:hint="default"/>
          <w:lang w:val="cy-GB"/>
        </w:rPr>
        <w:t xml:space="preserve"> </w:t>
      </w:r>
      <w:r>
        <w:rPr>
          <w:rFonts w:hint="default"/>
          <w:lang w:val="cy-GB"/>
        </w:rPr>
        <w:t>SHEET</w:t>
      </w:r>
      <w:r>
        <w:rPr>
          <w:rFonts w:hint="default"/>
          <w:lang w:val="cy-GB"/>
        </w:rPr>
        <w:t xml:space="preserve"> </w:t>
      </w:r>
      <w:r>
        <w:rPr>
          <w:rFonts w:hint="default"/>
          <w:lang w:val="cy-GB"/>
        </w:rPr>
        <w:t>MUST</w:t>
      </w:r>
      <w:r>
        <w:rPr>
          <w:rFonts w:hint="default"/>
          <w:lang w:val="cy-GB"/>
        </w:rPr>
        <w:t xml:space="preserve"> </w:t>
      </w:r>
      <w:r>
        <w:rPr>
          <w:rFonts w:hint="default"/>
          <w:lang w:val="cy-GB"/>
        </w:rPr>
        <w:t>BE</w:t>
      </w:r>
      <w:r>
        <w:rPr>
          <w:rFonts w:hint="default"/>
          <w:lang w:val="cy-GB"/>
        </w:rPr>
        <w:t xml:space="preserve"> </w:t>
      </w:r>
      <w:r>
        <w:rPr>
          <w:rFonts w:hint="default"/>
          <w:lang w:val="cy-GB"/>
        </w:rPr>
        <w:t>THE</w:t>
      </w:r>
      <w:r>
        <w:rPr>
          <w:rFonts w:hint="default"/>
          <w:lang w:val="cy-GB"/>
        </w:rPr>
        <w:t xml:space="preserve"> </w:t>
      </w:r>
      <w:r>
        <w:rPr>
          <w:rFonts w:hint="default"/>
          <w:lang w:val="cy-GB"/>
        </w:rPr>
        <w:t>FIRST</w:t>
      </w:r>
      <w:r>
        <w:rPr>
          <w:rFonts w:hint="default"/>
          <w:lang w:val="cy-GB"/>
        </w:rPr>
        <w:t xml:space="preserve"> </w:t>
      </w:r>
      <w:r>
        <w:rPr>
          <w:rFonts w:hint="default"/>
          <w:lang w:val="cy-GB"/>
        </w:rPr>
        <w:t>PAGE</w:t>
      </w:r>
      <w:r>
        <w:rPr>
          <w:rFonts w:hint="default"/>
          <w:lang w:val="cy-GB"/>
        </w:rPr>
        <w:t xml:space="preserve"> </w:t>
      </w:r>
      <w:r>
        <w:rPr>
          <w:rFonts w:hint="default"/>
          <w:lang w:val="cy-GB"/>
        </w:rPr>
        <w:t>OF</w:t>
      </w:r>
      <w:r>
        <w:rPr>
          <w:rFonts w:hint="default"/>
          <w:lang w:val="cy-GB"/>
        </w:rPr>
        <w:t xml:space="preserve"> </w:t>
      </w:r>
      <w:r>
        <w:rPr>
          <w:rFonts w:hint="default"/>
          <w:lang w:val="cy-GB"/>
        </w:rPr>
        <w:t>THE</w:t>
      </w:r>
      <w:r>
        <w:rPr>
          <w:rFonts w:hint="default"/>
          <w:lang w:val="cy-GB"/>
        </w:rPr>
        <w:t xml:space="preserve"> </w:t>
      </w:r>
      <w:r>
        <w:rPr>
          <w:rFonts w:hint="default"/>
          <w:lang w:val="cy-GB"/>
        </w:rPr>
        <w:t>ASSIGNMENT</w:t>
      </w:r>
      <w:r>
        <w:rPr>
          <w:rFonts w:hint="default"/>
          <w:lang w:val="cy-GB"/>
        </w:rPr>
        <w:t xml:space="preserve"> </w:t>
      </w:r>
      <w:r>
        <w:rPr>
          <w:rFonts w:hint="default"/>
          <w:lang w:val="cy-GB"/>
        </w:rPr>
        <w:t>YOU</w:t>
      </w:r>
      <w:r>
        <w:rPr>
          <w:rFonts w:hint="default"/>
          <w:lang w:val="cy-GB"/>
        </w:rPr>
        <w:t xml:space="preserve"> </w:t>
      </w:r>
      <w:r>
        <w:rPr>
          <w:rFonts w:hint="default"/>
          <w:lang w:val="cy-GB"/>
        </w:rPr>
        <w:t>ARE</w:t>
      </w:r>
      <w:r>
        <w:rPr>
          <w:rFonts w:hint="default"/>
          <w:lang w:val="cy-GB"/>
        </w:rPr>
        <w:t xml:space="preserve"> </w:t>
      </w:r>
      <w:r>
        <w:rPr>
          <w:rFonts w:hint="default"/>
          <w:lang w:val="cy-GB"/>
        </w:rPr>
        <w:t>SUBMITTING</w:t>
      </w:r>
      <w:r>
        <w:rPr>
          <w:rFonts w:hint="default"/>
          <w:lang w:val="cy-GB"/>
        </w:rPr>
        <w:t xml:space="preserve">  </w:t>
      </w:r>
      <w:r>
        <w:rPr>
          <w:rFonts w:hint="default"/>
          <w:lang w:val="cy-GB"/>
        </w:rPr>
        <w:t>(DO</w:t>
      </w:r>
      <w:r>
        <w:rPr>
          <w:rFonts w:hint="default"/>
          <w:lang w:val="cy-GB"/>
        </w:rPr>
        <w:t xml:space="preserve"> </w:t>
      </w:r>
      <w:r>
        <w:rPr>
          <w:rFonts w:hint="default"/>
          <w:lang w:val="cy-GB"/>
        </w:rPr>
        <w:t>NOT</w:t>
      </w:r>
      <w:r>
        <w:rPr>
          <w:rFonts w:hint="default"/>
          <w:lang w:val="cy-GB"/>
        </w:rPr>
        <w:t xml:space="preserve"> </w:t>
      </w:r>
      <w:r>
        <w:rPr>
          <w:rFonts w:hint="default"/>
          <w:lang w:val="cy-GB"/>
        </w:rPr>
        <w:t>SEND</w:t>
      </w:r>
      <w:r>
        <w:rPr>
          <w:rFonts w:hint="default"/>
          <w:lang w:val="cy-GB"/>
        </w:rPr>
        <w:t xml:space="preserve"> </w:t>
      </w:r>
      <w:r>
        <w:rPr>
          <w:rFonts w:hint="default"/>
          <w:lang w:val="cy-GB"/>
        </w:rPr>
        <w:t>AS</w:t>
      </w:r>
      <w:r>
        <w:rPr>
          <w:rFonts w:hint="default"/>
          <w:lang w:val="cy-GB"/>
        </w:rPr>
        <w:t xml:space="preserve"> </w:t>
      </w:r>
      <w:r>
        <w:rPr>
          <w:rFonts w:hint="default"/>
          <w:lang w:val="cy-GB"/>
        </w:rPr>
        <w:t>A</w:t>
      </w:r>
      <w:r>
        <w:rPr>
          <w:rFonts w:hint="default"/>
          <w:lang w:val="cy-GB"/>
        </w:rPr>
        <w:t xml:space="preserve"> </w:t>
      </w:r>
      <w:r>
        <w:rPr>
          <w:rFonts w:hint="default"/>
          <w:lang w:val="cy-GB"/>
        </w:rPr>
        <w:t>SEPARATE</w:t>
      </w:r>
      <w:r>
        <w:rPr>
          <w:rFonts w:hint="default"/>
          <w:lang w:val="cy-GB"/>
        </w:rPr>
        <w:t xml:space="preserve"> </w:t>
      </w:r>
      <w:r>
        <w:rPr>
          <w:rFonts w:hint="default"/>
          <w:lang w:val="cy-GB"/>
        </w:rPr>
        <w:t>FILE)</w:t>
      </w:r>
    </w:p>
    <w:p>
      <w:pPr>
        <w:jc w:val="center"/>
        <w:rPr/>
      </w:pPr>
    </w:p>
    <w:tbl>
      <w:tblPr>
        <w:jc w:val="left"/>
        <w:tblInd w:w="0" w:type="dxa"/>
        <w:tblCellMar>
          <w:top w:w="0" w:type="dxa"/>
          <w:left w:w="108" w:type="dxa"/>
          <w:bottom w:w="0" w:type="dxa"/>
          <w:right w:w="108" w:type="dxa"/>
        </w:tblCellMar>
      </w:tblPr>
      <w:tblGrid>
        <w:gridCol w:w="4788"/>
        <w:gridCol w:w="423"/>
        <w:gridCol w:w="1557"/>
        <w:gridCol w:w="285"/>
        <w:gridCol w:w="1802"/>
        <w:gridCol w:w="1"/>
      </w:tblGrid>
      <w:tr>
        <w:trPr>
          <w:wBefore w:w="0" w:type="dxa"/>
          <w:wAfter w:w="0" w:type="dxa"/>
          <w:cantSplit w:val="false"/>
          <w:trHeight w:val="614"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the</w:t>
            </w:r>
            <w:r>
              <w:rPr>
                <w:rFonts w:ascii="Arial" w:cs="Arial" w:hAnsi="Arial" w:hint="default"/>
                <w:b/>
                <w:bCs/>
                <w:sz w:val="22"/>
                <w:szCs w:val="22"/>
              </w:rPr>
              <w:t xml:space="preserve"> </w:t>
            </w:r>
            <w:r>
              <w:rPr>
                <w:rFonts w:ascii="Arial" w:cs="Arial" w:hAnsi="Arial" w:hint="default"/>
                <w:b/>
                <w:bCs/>
                <w:sz w:val="22"/>
                <w:szCs w:val="22"/>
              </w:rPr>
              <w:t>student</w:t>
            </w:r>
            <w:r>
              <w:rPr>
                <w:rFonts w:ascii="Arial" w:cs="Arial" w:hAnsi="Arial" w:hint="default"/>
                <w:sz w:val="22"/>
                <w:szCs w:val="22"/>
              </w:rPr>
              <w:t>:</w:t>
            </w:r>
          </w:p>
        </w:tc>
      </w:tr>
      <w:tr>
        <w:tblPrEx/>
        <w:trPr>
          <w:wBefore w:w="0" w:type="dxa"/>
          <w:wAfter w:w="0" w:type="dxa"/>
          <w:cantSplit w:val="false"/>
          <w:trHeight w:val="71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sz w:val="22"/>
                <w:szCs w:val="22"/>
              </w:rPr>
              <w:t>Na</w:t>
            </w:r>
            <w:r>
              <w:rPr>
                <w:rFonts w:ascii="Arial" w:cs="Arial" w:hAnsi="Arial" w:hint="default"/>
                <w:sz w:val="22"/>
                <w:szCs w:val="22"/>
              </w:rPr>
              <w:t>me:</w:t>
            </w:r>
          </w:p>
          <w:p>
            <w:pPr>
              <w:spacing w:before="0" w:after="0"/>
              <w:ind w:right="34"/>
              <w:rPr/>
            </w:pPr>
            <w:r>
              <w:rPr>
                <w:rFonts w:ascii="Helvetica Neue LT 75 Kindle Bold" w:cs="Helvetica Neue LT 75 Kindle Bold" w:eastAsia="Helvetica Neue LT 75 Kindle Bold" w:hAnsi="Helvetica Neue LT 75 Kindle Bold" w:hint="default"/>
                <w:sz w:val="36"/>
                <w:szCs w:val="36"/>
                <w:lang w:val="en-GB"/>
              </w:rPr>
              <w:t>Catherine</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Hornby</w:t>
            </w:r>
          </w:p>
          <w:p>
            <w:pPr>
              <w:spacing w:before="0" w:after="0"/>
              <w:ind w:right="34"/>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b/>
                <w:bCs/>
                <w:sz w:val="22"/>
                <w:szCs w:val="22"/>
                <w:u w:val="single"/>
              </w:rPr>
              <w:t>University</w:t>
            </w:r>
            <w:r>
              <w:rPr>
                <w:rFonts w:ascii="Arial" w:cs="Arial" w:hAnsi="Arial" w:hint="default"/>
                <w:sz w:val="22"/>
                <w:szCs w:val="22"/>
                <w:u w:val="single"/>
              </w:rPr>
              <w:t xml:space="preserve"> </w:t>
            </w:r>
            <w:r>
              <w:rPr>
                <w:rFonts w:ascii="Arial" w:cs="Arial" w:hAnsi="Arial" w:hint="default"/>
                <w:sz w:val="22"/>
                <w:szCs w:val="22"/>
              </w:rPr>
              <w:t>Email:</w:t>
            </w:r>
            <w:r>
              <w:rPr>
                <w:rFonts w:ascii="Arial" w:cs="Arial" w:hAnsi="Arial" w:hint="default"/>
                <w:sz w:val="22"/>
                <w:szCs w:val="22"/>
              </w:rPr>
              <w:t xml:space="preserve"> </w:t>
            </w:r>
            <w:r>
              <w:rPr>
                <w:rFonts w:ascii="Helvetica Neue LT 75 Kindle Bold" w:cs="Helvetica Neue LT 75 Kindle Bold" w:eastAsia="Helvetica Neue LT 75 Kindle Bold" w:hAnsi="Helvetica Neue LT 75 Kindle Bold" w:hint="default"/>
                <w:sz w:val="36"/>
                <w:szCs w:val="36"/>
                <w:lang w:val="en-GB"/>
              </w:rPr>
              <w:t>27001103@student.uwtsd.ac.uk</w:t>
            </w:r>
          </w:p>
        </w:tc>
      </w:tr>
      <w:tr>
        <w:tblPrEx/>
        <w:trPr>
          <w:gridAfter w:val="1"/>
          <w:wBefore w:w="0" w:type="dxa"/>
          <w:wAfter w:w="0" w:type="dxa"/>
          <w:cantSplit w:val="false"/>
          <w:trHeight w:val="849" w:hRule="atLeast"/>
          <w:tblHeader w:val="false"/>
          <w:jc w:val="left"/>
        </w:trPr>
        <w:tc>
          <w:tcPr>
            <w:tcW w:w="4788" w:type="dxa"/>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code:</w:t>
            </w:r>
          </w:p>
          <w:p>
            <w:pPr>
              <w:spacing w:before="0" w:after="0"/>
              <w:ind w:right="34"/>
              <w:rPr/>
            </w:pPr>
            <w:r>
              <w:rPr>
                <w:rFonts w:ascii="Helvetica Neue LT 75 Kindle Bold" w:cs="Helvetica Neue LT 75 Kindle Bold" w:eastAsia="Helvetica Neue LT 75 Kindle Bold" w:hAnsi="Helvetica Neue LT 75 Kindle Bold" w:hint="default"/>
                <w:sz w:val="36"/>
                <w:szCs w:val="36"/>
                <w:lang w:val="en-GB"/>
              </w:rPr>
              <w:t>HPCA7015</w:t>
            </w:r>
          </w:p>
          <w:p>
            <w:pPr>
              <w:spacing w:before="0" w:after="0"/>
              <w:ind w:right="34"/>
              <w:rPr/>
            </w:pPr>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title:</w:t>
            </w:r>
          </w:p>
          <w:p>
            <w:pPr>
              <w:spacing w:before="0" w:after="0"/>
              <w:ind w:right="34"/>
              <w:rPr/>
            </w:pPr>
            <w:r>
              <w:rPr>
                <w:rFonts w:ascii="Helvetica Neue LT 75 Kindle Bold" w:cs="Helvetica Neue LT 75 Kindle Bold" w:eastAsia="Helvetica Neue LT 75 Kindle Bold" w:hAnsi="Helvetica Neue LT 75 Kindle Bold" w:hint="default"/>
                <w:sz w:val="36"/>
                <w:szCs w:val="36"/>
                <w:lang w:val="en-GB"/>
              </w:rPr>
              <w:t>Foundations</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in</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Cultural</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Astronomy</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and</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Astrology</w:t>
            </w:r>
          </w:p>
          <w:p>
            <w:pPr>
              <w:spacing w:before="0" w:after="0"/>
              <w:ind w:right="34"/>
              <w:rPr/>
            </w:pPr>
          </w:p>
        </w:tc>
        <w:tc>
          <w:tcPr>
            <w:tcW w:w="2265" w:type="dxa"/>
            <w:gridSpan w:val="3"/>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Student</w:t>
            </w:r>
            <w:r>
              <w:rPr>
                <w:rFonts w:ascii="Arial" w:cs="Arial" w:hAnsi="Arial" w:hint="default"/>
                <w:sz w:val="22"/>
                <w:szCs w:val="22"/>
              </w:rPr>
              <w:t xml:space="preserve"> </w:t>
            </w:r>
            <w:r>
              <w:rPr>
                <w:rFonts w:ascii="Arial" w:cs="Arial" w:hAnsi="Arial" w:hint="default"/>
                <w:sz w:val="22"/>
                <w:szCs w:val="22"/>
              </w:rPr>
              <w:t>ID</w:t>
            </w:r>
            <w:r>
              <w:rPr>
                <w:rFonts w:ascii="Arial" w:cs="Arial" w:hAnsi="Arial" w:hint="default"/>
                <w:sz w:val="22"/>
                <w:szCs w:val="22"/>
              </w:rPr>
              <w:t xml:space="preserve"> </w:t>
            </w:r>
            <w:r>
              <w:rPr>
                <w:rFonts w:ascii="Arial" w:cs="Arial" w:hAnsi="Arial" w:hint="default"/>
                <w:sz w:val="22"/>
                <w:szCs w:val="22"/>
              </w:rPr>
              <w:t>number:</w:t>
            </w:r>
          </w:p>
          <w:p>
            <w:pPr>
              <w:spacing w:before="0" w:after="0"/>
              <w:ind w:right="34"/>
              <w:rPr/>
            </w:pPr>
            <w:r>
              <w:rPr>
                <w:rFonts w:ascii="Helvetica Neue LT 75 Kindle Bold" w:cs="Helvetica Neue LT 75 Kindle Bold" w:eastAsia="Helvetica Neue LT 75 Kindle Bold" w:hAnsi="Helvetica Neue LT 75 Kindle Bold" w:hint="default"/>
                <w:sz w:val="36"/>
                <w:szCs w:val="36"/>
                <w:lang w:val="en-GB"/>
              </w:rPr>
              <w:t>27001103</w:t>
            </w:r>
          </w:p>
        </w:tc>
        <w:tc>
          <w:tcPr>
            <w:tcW w:w="1802" w:type="dxa"/>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Educational</w:t>
            </w:r>
            <w:r>
              <w:rPr>
                <w:rFonts w:ascii="Arial" w:cs="Arial" w:hAnsi="Arial" w:hint="default"/>
                <w:sz w:val="22"/>
                <w:szCs w:val="22"/>
              </w:rPr>
              <w:t xml:space="preserve"> </w:t>
            </w:r>
            <w:r>
              <w:rPr>
                <w:rFonts w:ascii="Arial" w:cs="Arial" w:hAnsi="Arial" w:hint="default"/>
                <w:sz w:val="22"/>
                <w:szCs w:val="22"/>
              </w:rPr>
              <w:t>support</w:t>
            </w:r>
            <w:r>
              <w:rPr>
                <w:rFonts w:ascii="Arial" w:cs="Arial" w:hAnsi="Arial" w:hint="default"/>
                <w:sz w:val="22"/>
                <w:szCs w:val="22"/>
              </w:rPr>
              <w:t xml:space="preserve"> </w:t>
            </w:r>
            <w:r>
              <w:rPr>
                <w:rFonts w:ascii="Arial" w:cs="Arial" w:hAnsi="Arial" w:hint="default"/>
                <w:sz w:val="22"/>
                <w:szCs w:val="22"/>
              </w:rPr>
              <w:t>needs:</w:t>
            </w:r>
          </w:p>
          <w:p>
            <w:pPr>
              <w:spacing w:before="0" w:after="0"/>
              <w:ind w:right="34"/>
              <w:rPr/>
            </w:pPr>
            <w:r>
              <w:rPr>
                <w:rFonts w:ascii="Arial" w:cs="Arial" w:hAnsi="Arial" w:hint="default"/>
                <w:sz w:val="22"/>
                <w:szCs w:val="22"/>
              </w:rPr>
              <w:t>Yes/</w:t>
            </w:r>
          </w:p>
        </w:tc>
      </w:tr>
      <w:tr>
        <w:tblPrEx/>
        <w:trPr>
          <w:wBefore w:w="0" w:type="dxa"/>
          <w:wAfter w:w="0" w:type="dxa"/>
          <w:cantSplit w:val="false"/>
          <w:trHeight w:val="1139"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4"/>
              <w:rPr/>
            </w:pP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title:</w:t>
            </w:r>
          </w:p>
          <w:p>
            <w:pPr>
              <w:spacing w:before="0" w:after="0"/>
              <w:ind w:right="34"/>
              <w:rPr/>
            </w:pPr>
            <w:r>
              <w:rPr>
                <w:rFonts w:ascii="Helvetica Neue LT 75 Kindle Bold" w:cs="Helvetica Neue LT 75 Kindle Bold" w:eastAsia="Helvetica Neue LT 75 Kindle Bold" w:hAnsi="Helvetica Neue LT 75 Kindle Bold" w:hint="default"/>
                <w:sz w:val="36"/>
                <w:szCs w:val="36"/>
                <w:lang w:val="en-GB"/>
              </w:rPr>
              <w:t>Compare</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and</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Contrast</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Two</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Sky</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Myths</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From</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Two</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Different</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Cultures</w:t>
            </w:r>
          </w:p>
          <w:p>
            <w:pPr>
              <w:spacing w:before="0" w:after="0"/>
              <w:ind w:right="34"/>
              <w:rPr/>
            </w:pPr>
          </w:p>
          <w:p>
            <w:pPr>
              <w:spacing w:before="0" w:after="0"/>
              <w:ind w:right="34"/>
              <w:rPr/>
            </w:pP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due</w:t>
            </w:r>
            <w:r>
              <w:rPr>
                <w:rFonts w:ascii="Arial" w:cs="Arial" w:hAnsi="Arial" w:hint="default"/>
                <w:sz w:val="22"/>
                <w:szCs w:val="22"/>
              </w:rPr>
              <w:t xml:space="preserve"> </w:t>
            </w:r>
            <w:r>
              <w:rPr>
                <w:rFonts w:ascii="Arial" w:cs="Arial" w:hAnsi="Arial" w:hint="default"/>
                <w:sz w:val="22"/>
                <w:szCs w:val="22"/>
              </w:rPr>
              <w:t>date:</w:t>
            </w:r>
            <w:r>
              <w:rPr>
                <w:rFonts w:ascii="Helvetica Neue LT 75 Kindle Bold" w:cs="Helvetica Neue LT 75 Kindle Bold" w:eastAsia="Helvetica Neue LT 75 Kindle Bold" w:hAnsi="Helvetica Neue LT 75 Kindle Bold" w:hint="default"/>
                <w:sz w:val="36"/>
                <w:szCs w:val="36"/>
                <w:lang w:val="en-GB"/>
              </w:rPr>
              <w:t xml:space="preserve"> </w:t>
            </w:r>
            <w:r>
              <w:rPr>
                <w:rFonts w:ascii="Helvetica Neue LT 75 Kindle Bold" w:cs="Helvetica Neue LT 75 Kindle Bold" w:eastAsia="Helvetica Neue LT 75 Kindle Bold" w:hAnsi="Helvetica Neue LT 75 Kindle Bold" w:hint="default"/>
                <w:sz w:val="36"/>
                <w:szCs w:val="36"/>
                <w:lang w:val="en-GB"/>
              </w:rPr>
              <w:t>29/4/2024</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This</w:t>
            </w:r>
            <w:r>
              <w:rPr>
                <w:rFonts w:ascii="Arial" w:cs="Arial" w:hAnsi="Arial" w:hint="default"/>
                <w:sz w:val="22"/>
                <w:szCs w:val="22"/>
              </w:rPr>
              <w:t xml:space="preserve"> </w:t>
            </w:r>
            <w:r>
              <w:rPr>
                <w:rFonts w:ascii="Arial" w:cs="Arial" w:hAnsi="Arial" w:hint="default"/>
                <w:sz w:val="22"/>
                <w:szCs w:val="22"/>
              </w:rPr>
              <w:t>assignment</w:t>
            </w:r>
            <w:r>
              <w:rPr>
                <w:rFonts w:ascii="Arial" w:cs="Arial" w:hAnsi="Arial" w:hint="default"/>
                <w:sz w:val="22"/>
                <w:szCs w:val="22"/>
              </w:rPr>
              <w:t xml:space="preserve"> </w:t>
            </w:r>
            <w:r>
              <w:rPr>
                <w:rFonts w:ascii="Arial" w:cs="Arial" w:hAnsi="Arial" w:hint="default"/>
                <w:sz w:val="22"/>
                <w:szCs w:val="22"/>
              </w:rPr>
              <w:t>is</w:t>
            </w:r>
            <w:r>
              <w:rPr>
                <w:rFonts w:ascii="Arial" w:cs="Arial" w:hAnsi="Arial" w:hint="default"/>
                <w:sz w:val="22"/>
                <w:szCs w:val="22"/>
              </w:rPr>
              <w:t xml:space="preserve"> </w:t>
            </w:r>
            <w:r>
              <w:rPr>
                <w:rFonts w:ascii="Arial" w:cs="Arial" w:hAnsi="Arial" w:hint="default"/>
                <w:sz w:val="22"/>
                <w:szCs w:val="22"/>
              </w:rPr>
              <w:t>for</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1</w:t>
            </w:r>
            <w:r>
              <w:rPr>
                <w:rFonts w:ascii="Arial" w:cs="Arial" w:hAnsi="Arial" w:hint="default"/>
                <w:sz w:val="22"/>
                <w:szCs w:val="22"/>
                <w:vertAlign w:val="superscript"/>
              </w:rPr>
              <w:t>st</w:t>
            </w:r>
            <w:r>
              <w:rPr>
                <w:rFonts w:ascii="Arial" w:cs="Arial" w:hAnsi="Arial" w:hint="default"/>
                <w:sz w:val="22"/>
                <w:szCs w:val="22"/>
                <w:vertAlign w:val="superscript"/>
              </w:rPr>
              <w:t xml:space="preserve"> </w:t>
            </w:r>
            <w:bookmarkStart w:id="0" w:name="Check13"/>
            <w:r>
              <w:rPr>
                <w:rFonts w:ascii="Arial" w:cs="Arial" w:hAnsi="Arial" w:hint="default"/>
                <w:sz w:val="22"/>
                <w:szCs w:val="22"/>
              </w:rPr>
              <w:t xml:space="preserve">    </w:t>
            </w:r>
            <w:bookmarkEnd w:id="0"/>
            <w:r>
              <w:rPr>
                <w:rFonts w:ascii="Arial" w:cs="Arial" w:hAnsi="Arial" w:hint="default"/>
                <w:sz w:val="22"/>
                <w:szCs w:val="22"/>
              </w:rPr>
              <w:t>2</w:t>
            </w:r>
            <w:r>
              <w:rPr>
                <w:rFonts w:ascii="Arial" w:cs="Arial" w:hAnsi="Arial" w:hint="default"/>
                <w:sz w:val="22"/>
                <w:szCs w:val="22"/>
                <w:vertAlign w:val="superscript"/>
              </w:rPr>
              <w:t>nd</w:t>
            </w:r>
            <w:r>
              <w:rPr>
                <w:rFonts w:ascii="Helvetica Neue LT 75 Kindle Bold" w:cs="Helvetica Neue LT 75 Kindle Bold" w:eastAsia="Helvetica Neue LT 75 Kindle Bold" w:hAnsi="Helvetica Neue LT 75 Kindle Bold" w:hint="default"/>
                <w:sz w:val="36"/>
                <w:szCs w:val="36"/>
                <w:vertAlign w:val="superscript"/>
                <w:lang w:val="en-GB"/>
              </w:rPr>
              <w:t>X</w:t>
            </w:r>
            <w:r>
              <w:rPr>
                <w:rFonts w:ascii="Arial" w:cs="Arial" w:hAnsi="Arial" w:hint="default"/>
                <w:sz w:val="22"/>
                <w:szCs w:val="22"/>
              </w:rPr>
              <w:t xml:space="preserve">  </w:t>
            </w:r>
            <w:bookmarkStart w:id="1" w:name="Check14"/>
            <w:r>
              <w:rPr>
                <w:rFonts w:ascii="Arial" w:cs="Arial" w:hAnsi="Arial" w:hint="default"/>
                <w:sz w:val="22"/>
                <w:szCs w:val="22"/>
              </w:rPr>
              <w:t xml:space="preserve">     </w:t>
            </w:r>
            <w:bookmarkEnd w:id="1"/>
            <w:r>
              <w:rPr>
                <w:rFonts w:ascii="Arial" w:cs="Arial" w:hAnsi="Arial" w:hint="default"/>
                <w:sz w:val="22"/>
                <w:szCs w:val="22"/>
              </w:rPr>
              <w:t>3</w:t>
            </w:r>
            <w:r>
              <w:rPr>
                <w:rFonts w:ascii="Arial" w:cs="Arial" w:hAnsi="Arial" w:hint="default"/>
                <w:sz w:val="22"/>
                <w:szCs w:val="22"/>
                <w:vertAlign w:val="superscript"/>
              </w:rPr>
              <w:t>rd</w:t>
            </w:r>
            <w:r>
              <w:rPr>
                <w:rFonts w:ascii="Arial" w:cs="Arial" w:hAnsi="Arial" w:hint="default"/>
                <w:sz w:val="22"/>
                <w:szCs w:val="22"/>
              </w:rPr>
              <w:t xml:space="preserve">  </w:t>
            </w:r>
            <w:bookmarkStart w:id="2" w:name="Check15"/>
            <w:r>
              <w:rPr>
                <w:rFonts w:ascii="Arial" w:cs="Arial" w:hAnsi="Arial" w:hint="default"/>
                <w:sz w:val="22"/>
                <w:szCs w:val="22"/>
              </w:rPr>
              <w:t xml:space="preserve">      </w:t>
            </w:r>
            <w:bookmarkEnd w:id="2"/>
            <w:r>
              <w:rPr>
                <w:rFonts w:ascii="Arial" w:cs="Arial" w:hAnsi="Arial" w:hint="default"/>
                <w:sz w:val="22"/>
                <w:szCs w:val="22"/>
              </w:rPr>
              <w:t>4</w:t>
            </w:r>
            <w:r>
              <w:rPr>
                <w:rFonts w:ascii="Arial" w:cs="Arial" w:hAnsi="Arial" w:hint="default"/>
                <w:sz w:val="22"/>
                <w:szCs w:val="22"/>
                <w:vertAlign w:val="superscript"/>
              </w:rPr>
              <w:t>th</w:t>
            </w:r>
            <w:r>
              <w:rPr>
                <w:rFonts w:ascii="Arial" w:cs="Arial" w:hAnsi="Arial" w:hint="default"/>
                <w:sz w:val="22"/>
                <w:szCs w:val="22"/>
              </w:rPr>
              <w:t xml:space="preserve"> </w:t>
            </w:r>
            <w:bookmarkStart w:id="3" w:name="Check16"/>
            <w:r>
              <w:rPr>
                <w:rFonts w:ascii="Arial" w:cs="Arial" w:hAnsi="Arial" w:hint="default"/>
                <w:sz w:val="22"/>
                <w:szCs w:val="22"/>
              </w:rPr>
              <w:t xml:space="preserve">      </w:t>
            </w:r>
            <w:bookmarkEnd w:id="3"/>
            <w:r>
              <w:rPr>
                <w:rFonts w:ascii="Arial" w:cs="Arial" w:hAnsi="Arial" w:hint="default"/>
                <w:sz w:val="22"/>
                <w:szCs w:val="22"/>
              </w:rPr>
              <w:t>5</w:t>
            </w:r>
            <w:r>
              <w:rPr>
                <w:rFonts w:ascii="Arial" w:cs="Arial" w:hAnsi="Arial" w:hint="default"/>
                <w:sz w:val="22"/>
                <w:szCs w:val="22"/>
                <w:vertAlign w:val="superscript"/>
              </w:rPr>
              <w:t>th</w:t>
            </w:r>
            <w:r>
              <w:rPr>
                <w:rFonts w:ascii="Arial" w:cs="Arial" w:hAnsi="Arial" w:hint="default"/>
                <w:sz w:val="22"/>
                <w:szCs w:val="22"/>
              </w:rPr>
              <w:t xml:space="preserve"> </w:t>
            </w:r>
            <w:bookmarkStart w:id="4" w:name="Check17"/>
            <w:r>
              <w:rPr>
                <w:rFonts w:ascii="Arial" w:cs="Arial" w:hAnsi="Arial" w:hint="default"/>
                <w:sz w:val="22"/>
                <w:szCs w:val="22"/>
              </w:rPr>
              <w:t xml:space="preserve">      </w:t>
            </w:r>
            <w:bookmarkEnd w:id="4"/>
            <w:r>
              <w:rPr>
                <w:rFonts w:ascii="Arial" w:cs="Arial" w:hAnsi="Arial" w:hint="default"/>
                <w:sz w:val="22"/>
                <w:szCs w:val="22"/>
              </w:rPr>
              <w:t>6</w:t>
            </w:r>
            <w:r>
              <w:rPr>
                <w:rFonts w:ascii="Arial" w:cs="Arial" w:hAnsi="Arial" w:hint="default"/>
                <w:sz w:val="22"/>
                <w:szCs w:val="22"/>
                <w:vertAlign w:val="superscript"/>
              </w:rPr>
              <w:t>th</w:t>
            </w:r>
            <w:r>
              <w:rPr>
                <w:rFonts w:ascii="Arial" w:cs="Arial" w:hAnsi="Arial" w:hint="default"/>
                <w:sz w:val="22"/>
                <w:szCs w:val="22"/>
              </w:rPr>
              <w:t xml:space="preserve"> </w:t>
            </w:r>
            <w:bookmarkStart w:id="5" w:name="Check18"/>
            <w:r>
              <w:rPr>
                <w:rFonts w:ascii="Arial" w:cs="Arial" w:hAnsi="Arial" w:hint="default"/>
                <w:b/>
                <w:bCs/>
                <w:sz w:val="22"/>
                <w:szCs w:val="22"/>
              </w:rPr>
              <w:t xml:space="preserve">   </w:t>
            </w:r>
            <w:bookmarkEnd w:id="5"/>
            <w:r>
              <w:rPr>
                <w:rFonts w:ascii="Arial" w:cs="Arial" w:hAnsi="Arial" w:hint="default"/>
                <w:sz w:val="22"/>
                <w:szCs w:val="22"/>
              </w:rPr>
              <w:t>module</w:t>
            </w:r>
            <w:r>
              <w:rPr>
                <w:rFonts w:ascii="Arial" w:cs="Arial" w:hAnsi="Arial" w:hint="default"/>
                <w:sz w:val="22"/>
                <w:szCs w:val="22"/>
              </w:rPr>
              <w:t xml:space="preserve"> </w:t>
            </w:r>
            <w:r>
              <w:rPr>
                <w:rFonts w:ascii="Arial" w:cs="Arial" w:hAnsi="Arial" w:hint="default"/>
                <w:sz w:val="22"/>
                <w:szCs w:val="22"/>
              </w:rPr>
              <w:t>of</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degre</w:t>
            </w:r>
            <w:r>
              <w:rPr>
                <w:rFonts w:ascii="Arial" w:cs="Arial" w:hAnsi="Arial" w:hint="default"/>
                <w:sz w:val="22"/>
                <w:szCs w:val="22"/>
              </w:rPr>
              <w:t>e</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shd w:val="clear" w:color="ffffff" w:fill="d9d9d9"/>
          </w:tcPr>
          <w:p>
            <w:pPr>
              <w:spacing w:before="0" w:after="0"/>
              <w:ind w:right="34"/>
              <w:rPr/>
            </w:pPr>
            <w:r>
              <w:rPr>
                <w:rFonts w:ascii="Arial" w:cs="Arial" w:hAnsi="Arial" w:hint="default"/>
                <w:sz w:val="22"/>
                <w:szCs w:val="22"/>
              </w:rPr>
              <w:t>I</w:t>
            </w:r>
            <w:r>
              <w:rPr>
                <w:rFonts w:ascii="Arial" w:cs="Arial" w:hAnsi="Arial" w:hint="default"/>
                <w:sz w:val="22"/>
                <w:szCs w:val="22"/>
              </w:rPr>
              <w:t xml:space="preserve"> </w:t>
            </w:r>
            <w:r>
              <w:rPr>
                <w:rFonts w:ascii="Arial" w:cs="Arial" w:hAnsi="Arial" w:hint="default"/>
                <w:sz w:val="22"/>
                <w:szCs w:val="22"/>
              </w:rPr>
              <w:t>confirm</w:t>
            </w:r>
            <w:r>
              <w:rPr>
                <w:rFonts w:ascii="Arial" w:cs="Arial" w:hAnsi="Arial" w:hint="default"/>
                <w:sz w:val="22"/>
                <w:szCs w:val="22"/>
              </w:rPr>
              <w:t xml:space="preserve"> </w:t>
            </w:r>
            <w:r>
              <w:rPr>
                <w:rFonts w:ascii="Arial" w:cs="Arial" w:hAnsi="Arial" w:hint="default"/>
                <w:sz w:val="22"/>
                <w:szCs w:val="22"/>
              </w:rPr>
              <w:t>that</w:t>
            </w:r>
            <w:r>
              <w:rPr>
                <w:rFonts w:ascii="Arial" w:cs="Arial" w:hAnsi="Arial" w:hint="default"/>
                <w:sz w:val="22"/>
                <w:szCs w:val="22"/>
              </w:rPr>
              <w:t xml:space="preserve"> </w:t>
            </w:r>
            <w:r>
              <w:rPr>
                <w:rFonts w:ascii="Arial" w:cs="Arial" w:hAnsi="Arial" w:hint="default"/>
                <w:sz w:val="22"/>
                <w:szCs w:val="22"/>
              </w:rPr>
              <w:t>this</w:t>
            </w:r>
            <w:r>
              <w:rPr>
                <w:rFonts w:ascii="Arial" w:cs="Arial" w:hAnsi="Arial" w:hint="default"/>
                <w:sz w:val="22"/>
                <w:szCs w:val="22"/>
              </w:rPr>
              <w:t xml:space="preserve"> </w:t>
            </w:r>
            <w:r>
              <w:rPr>
                <w:rFonts w:ascii="Arial" w:cs="Arial" w:hAnsi="Arial" w:hint="default"/>
                <w:sz w:val="22"/>
                <w:szCs w:val="22"/>
              </w:rPr>
              <w:t>is</w:t>
            </w:r>
            <w:r>
              <w:rPr>
                <w:rFonts w:ascii="Arial" w:cs="Arial" w:hAnsi="Arial" w:hint="default"/>
                <w:sz w:val="22"/>
                <w:szCs w:val="22"/>
              </w:rPr>
              <w:t xml:space="preserve"> </w:t>
            </w:r>
            <w:r>
              <w:rPr>
                <w:rFonts w:ascii="Arial" w:cs="Arial" w:hAnsi="Arial" w:hint="default"/>
                <w:sz w:val="22"/>
                <w:szCs w:val="22"/>
              </w:rPr>
              <w:t>my</w:t>
            </w:r>
            <w:r>
              <w:rPr>
                <w:rFonts w:ascii="Arial" w:cs="Arial" w:hAnsi="Arial" w:hint="default"/>
                <w:sz w:val="22"/>
                <w:szCs w:val="22"/>
              </w:rPr>
              <w:t xml:space="preserve"> </w:t>
            </w:r>
            <w:r>
              <w:rPr>
                <w:rFonts w:ascii="Arial" w:cs="Arial" w:hAnsi="Arial" w:hint="default"/>
                <w:sz w:val="22"/>
                <w:szCs w:val="22"/>
              </w:rPr>
              <w:t>original</w:t>
            </w:r>
            <w:r>
              <w:rPr>
                <w:rFonts w:ascii="Arial" w:cs="Arial" w:hAnsi="Arial" w:hint="default"/>
                <w:sz w:val="22"/>
                <w:szCs w:val="22"/>
              </w:rPr>
              <w:t xml:space="preserve"> </w:t>
            </w:r>
            <w:r>
              <w:rPr>
                <w:rFonts w:ascii="Arial" w:cs="Arial" w:hAnsi="Arial" w:hint="default"/>
                <w:sz w:val="22"/>
                <w:szCs w:val="22"/>
              </w:rPr>
              <w:t>work</w:t>
            </w:r>
            <w:r>
              <w:rPr>
                <w:rFonts w:ascii="Arial" w:cs="Arial" w:hAnsi="Arial" w:hint="default"/>
                <w:sz w:val="22"/>
                <w:szCs w:val="22"/>
              </w:rPr>
              <w:t xml:space="preserve"> </w:t>
            </w:r>
            <w:r>
              <w:rPr>
                <w:rFonts w:ascii="Arial" w:cs="Arial" w:hAnsi="Arial" w:hint="default"/>
                <w:sz w:val="22"/>
                <w:szCs w:val="22"/>
              </w:rPr>
              <w:t>and</w:t>
            </w:r>
            <w:r>
              <w:rPr>
                <w:rFonts w:ascii="Arial" w:cs="Arial" w:hAnsi="Arial" w:hint="default"/>
                <w:sz w:val="22"/>
                <w:szCs w:val="22"/>
              </w:rPr>
              <w:t xml:space="preserve"> </w:t>
            </w:r>
            <w:r>
              <w:rPr>
                <w:rFonts w:ascii="Arial" w:cs="Arial" w:hAnsi="Arial" w:hint="default"/>
                <w:sz w:val="22"/>
                <w:szCs w:val="22"/>
              </w:rPr>
              <w:t>that</w:t>
            </w:r>
            <w:r>
              <w:rPr>
                <w:rFonts w:ascii="Arial" w:cs="Arial" w:hAnsi="Arial" w:hint="default"/>
                <w:sz w:val="22"/>
                <w:szCs w:val="22"/>
              </w:rPr>
              <w:t xml:space="preserve"> </w:t>
            </w:r>
            <w:r>
              <w:rPr>
                <w:rFonts w:ascii="Arial" w:cs="Arial" w:hAnsi="Arial" w:hint="default"/>
                <w:sz w:val="22"/>
                <w:szCs w:val="22"/>
              </w:rPr>
              <w:t>I</w:t>
            </w:r>
            <w:r>
              <w:rPr>
                <w:rFonts w:ascii="Arial" w:cs="Arial" w:hAnsi="Arial" w:hint="default"/>
                <w:sz w:val="22"/>
                <w:szCs w:val="22"/>
              </w:rPr>
              <w:t xml:space="preserve"> </w:t>
            </w:r>
            <w:r>
              <w:rPr>
                <w:rFonts w:ascii="Arial" w:cs="Arial" w:hAnsi="Arial" w:hint="default"/>
                <w:sz w:val="22"/>
                <w:szCs w:val="22"/>
              </w:rPr>
              <w:t>have</w:t>
            </w:r>
            <w:r>
              <w:rPr>
                <w:rFonts w:ascii="Arial" w:cs="Arial" w:hAnsi="Arial" w:hint="default"/>
                <w:sz w:val="22"/>
                <w:szCs w:val="22"/>
              </w:rPr>
              <w:t xml:space="preserve"> </w:t>
            </w:r>
            <w:r>
              <w:rPr>
                <w:rFonts w:ascii="Arial" w:cs="Arial" w:hAnsi="Arial" w:hint="default"/>
                <w:sz w:val="22"/>
                <w:szCs w:val="22"/>
              </w:rPr>
              <w:t>adhered</w:t>
            </w:r>
            <w:r>
              <w:rPr>
                <w:rFonts w:ascii="Arial" w:cs="Arial" w:hAnsi="Arial" w:hint="default"/>
                <w:sz w:val="22"/>
                <w:szCs w:val="22"/>
              </w:rPr>
              <w:t xml:space="preserve"> </w:t>
            </w:r>
            <w:r>
              <w:rPr>
                <w:rFonts w:ascii="Arial" w:cs="Arial" w:hAnsi="Arial" w:hint="default"/>
                <w:sz w:val="22"/>
                <w:szCs w:val="22"/>
              </w:rPr>
              <w:t>to</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University</w:t>
            </w:r>
            <w:r>
              <w:rPr>
                <w:rFonts w:ascii="Arial" w:cs="Arial" w:hAnsi="Arial" w:hint="default"/>
                <w:sz w:val="22"/>
                <w:szCs w:val="22"/>
              </w:rPr>
              <w:t xml:space="preserve"> </w:t>
            </w:r>
            <w:r>
              <w:rPr>
                <w:rFonts w:ascii="Arial" w:cs="Arial" w:hAnsi="Arial" w:hint="default"/>
                <w:sz w:val="22"/>
                <w:szCs w:val="22"/>
              </w:rPr>
              <w:t>policy</w:t>
            </w:r>
            <w:r>
              <w:rPr>
                <w:rFonts w:ascii="Arial" w:cs="Arial" w:hAnsi="Arial" w:hint="default"/>
                <w:sz w:val="22"/>
                <w:szCs w:val="22"/>
              </w:rPr>
              <w:t xml:space="preserve"> </w:t>
            </w:r>
            <w:r>
              <w:rPr>
                <w:rFonts w:ascii="Arial" w:cs="Arial" w:hAnsi="Arial" w:hint="default"/>
                <w:sz w:val="22"/>
                <w:szCs w:val="22"/>
              </w:rPr>
              <w:t>on</w:t>
            </w:r>
            <w:r>
              <w:rPr>
                <w:rFonts w:ascii="Arial" w:cs="Arial" w:hAnsi="Arial" w:hint="default"/>
                <w:sz w:val="22"/>
                <w:szCs w:val="22"/>
              </w:rPr>
              <w:t xml:space="preserve"> </w:t>
            </w:r>
            <w:r>
              <w:rPr>
                <w:rFonts w:ascii="Arial" w:cs="Arial" w:hAnsi="Arial" w:hint="default"/>
                <w:sz w:val="22"/>
                <w:szCs w:val="22"/>
              </w:rPr>
              <w:t>plagiarism.</w:t>
            </w:r>
          </w:p>
          <w:p>
            <w:pPr>
              <w:spacing w:before="0" w:after="0"/>
              <w:ind w:right="34"/>
              <w:rPr/>
            </w:pPr>
            <w:r>
              <w:rPr>
                <w:rFonts w:ascii="Arial" w:cs="Arial" w:hAnsi="Arial" w:hint="default"/>
                <w:sz w:val="22"/>
                <w:szCs w:val="22"/>
              </w:rPr>
              <w:t>Signed</w:t>
            </w:r>
            <w:r>
              <w:rPr>
                <w:rFonts w:ascii="Arial" w:cs="Arial" w:hAnsi="Arial" w:hint="default"/>
                <w:sz w:val="22"/>
                <w:szCs w:val="22"/>
              </w:rPr>
              <w:t xml:space="preserve"> </w:t>
            </w:r>
            <w:r>
              <w:rPr>
                <w:rFonts w:ascii="Arial" w:cs="Arial" w:hAnsi="Arial" w:hint="default"/>
                <w:sz w:val="22"/>
                <w:szCs w:val="22"/>
              </w:rPr>
              <w:t></w:t>
            </w:r>
            <w:r>
              <w:rPr>
                <w:rFonts w:ascii="Arial" w:cs="Arial" w:hAnsi="Arial" w:hint="default"/>
                <w:sz w:val="36"/>
                <w:szCs w:val="36"/>
                <w:lang w:val="en-GB"/>
              </w:rPr>
              <w:t>C.</w:t>
            </w:r>
            <w:r>
              <w:rPr>
                <w:rFonts w:ascii="Arial" w:cs="Arial" w:hAnsi="Arial" w:hint="default"/>
                <w:sz w:val="36"/>
                <w:szCs w:val="36"/>
                <w:lang w:val="en-GB"/>
              </w:rPr>
              <w:t xml:space="preserve"> </w:t>
            </w:r>
            <w:r>
              <w:rPr>
                <w:rFonts w:ascii="Arial" w:cs="Arial" w:hAnsi="Arial" w:hint="default"/>
                <w:sz w:val="36"/>
                <w:szCs w:val="36"/>
                <w:lang w:val="en-GB"/>
              </w:rPr>
              <w:t>Hornby</w:t>
            </w:r>
            <w:r>
              <w:rPr>
                <w:rFonts w:ascii="Arial" w:cs="Arial" w:hAnsi="Arial" w:hint="default"/>
                <w:sz w:val="22"/>
                <w:szCs w:val="22"/>
              </w:rPr>
              <w:t></w:t>
            </w:r>
            <w:r>
              <w:rPr>
                <w:rFonts w:ascii="Arial" w:cs="Arial" w:hAnsi="Arial" w:hint="default"/>
                <w:sz w:val="22"/>
                <w:szCs w:val="22"/>
              </w:rPr>
              <w:t></w:t>
            </w:r>
          </w:p>
          <w:p>
            <w:pPr>
              <w:spacing w:before="0" w:after="0"/>
              <w:ind w:right="34"/>
              <w:rPr/>
            </w:pPr>
            <w:r>
              <w:rPr>
                <w:rFonts w:ascii="Calibri" w:cs="Tahoma" w:hAnsi="Calibri" w:hint="default"/>
                <w:b/>
                <w:bCs/>
                <w:sz w:val="24"/>
                <w:szCs w:val="24"/>
              </w:rPr>
              <w:t>Email</w:t>
            </w:r>
            <w:r>
              <w:rPr>
                <w:rFonts w:ascii="Calibri" w:cs="Tahoma" w:hAnsi="Calibri" w:hint="default"/>
                <w:b/>
                <w:bCs/>
                <w:sz w:val="24"/>
                <w:szCs w:val="24"/>
              </w:rPr>
              <w:t xml:space="preserve"> </w:t>
            </w:r>
            <w:r>
              <w:rPr>
                <w:rFonts w:ascii="Calibri" w:cs="Tahoma" w:hAnsi="Calibri" w:hint="default"/>
                <w:b/>
                <w:bCs/>
                <w:sz w:val="24"/>
                <w:szCs w:val="24"/>
              </w:rPr>
              <w:t>submission:</w:t>
            </w:r>
            <w:r>
              <w:rPr>
                <w:rFonts w:ascii="Calibri" w:cs="Tahoma" w:hAnsi="Calibri" w:hint="default"/>
                <w:b/>
                <w:bCs/>
                <w:sz w:val="24"/>
                <w:szCs w:val="24"/>
              </w:rPr>
              <w:t>if</w:t>
            </w:r>
            <w:r>
              <w:rPr>
                <w:rFonts w:ascii="Calibri" w:cs="Tahoma" w:hAnsi="Calibri" w:hint="default"/>
                <w:b/>
                <w:bCs/>
                <w:sz w:val="24"/>
                <w:szCs w:val="24"/>
              </w:rPr>
              <w:t xml:space="preserve"> </w:t>
            </w:r>
            <w:r>
              <w:rPr>
                <w:rFonts w:ascii="Calibri" w:cs="Tahoma" w:hAnsi="Calibri" w:hint="default"/>
                <w:b/>
                <w:bCs/>
                <w:sz w:val="24"/>
                <w:szCs w:val="24"/>
              </w:rPr>
              <w:t>you</w:t>
            </w:r>
            <w:r>
              <w:rPr>
                <w:rFonts w:ascii="Calibri" w:cs="Tahoma" w:hAnsi="Calibri" w:hint="default"/>
                <w:b/>
                <w:bCs/>
                <w:sz w:val="24"/>
                <w:szCs w:val="24"/>
              </w:rPr>
              <w:t xml:space="preserve"> </w:t>
            </w:r>
            <w:r>
              <w:rPr>
                <w:rFonts w:ascii="Calibri" w:cs="Tahoma" w:hAnsi="Calibri" w:hint="default"/>
                <w:b/>
                <w:bCs/>
                <w:sz w:val="24"/>
                <w:szCs w:val="24"/>
              </w:rPr>
              <w:t>are</w:t>
            </w:r>
            <w:r>
              <w:rPr>
                <w:rFonts w:ascii="Calibri" w:cs="Tahoma" w:hAnsi="Calibri" w:hint="default"/>
                <w:b/>
                <w:bCs/>
                <w:sz w:val="24"/>
                <w:szCs w:val="24"/>
              </w:rPr>
              <w:t xml:space="preserve"> </w:t>
            </w:r>
            <w:r>
              <w:rPr>
                <w:rFonts w:ascii="Calibri" w:cs="Tahoma" w:hAnsi="Calibri" w:hint="default"/>
                <w:b/>
                <w:bCs/>
                <w:sz w:val="24"/>
                <w:szCs w:val="24"/>
              </w:rPr>
              <w:t>submitting</w:t>
            </w:r>
            <w:r>
              <w:rPr>
                <w:rFonts w:ascii="Calibri" w:cs="Tahoma" w:hAnsi="Calibri" w:hint="default"/>
                <w:b/>
                <w:bCs/>
                <w:sz w:val="24"/>
                <w:szCs w:val="24"/>
              </w:rPr>
              <w:t xml:space="preserve"> </w:t>
            </w:r>
            <w:r>
              <w:rPr>
                <w:rFonts w:ascii="Calibri" w:cs="Tahoma" w:hAnsi="Calibri" w:hint="default"/>
                <w:b/>
                <w:bCs/>
                <w:sz w:val="24"/>
                <w:szCs w:val="24"/>
              </w:rPr>
              <w:t>this</w:t>
            </w:r>
            <w:r>
              <w:rPr>
                <w:rFonts w:ascii="Calibri" w:cs="Tahoma" w:hAnsi="Calibri" w:hint="default"/>
                <w:b/>
                <w:bCs/>
                <w:sz w:val="24"/>
                <w:szCs w:val="24"/>
              </w:rPr>
              <w:t xml:space="preserve"> </w:t>
            </w:r>
            <w:r>
              <w:rPr>
                <w:rFonts w:ascii="Calibri" w:cs="Tahoma" w:hAnsi="Calibri" w:hint="default"/>
                <w:b/>
                <w:bCs/>
                <w:sz w:val="24"/>
                <w:szCs w:val="24"/>
              </w:rPr>
              <w:t>form</w:t>
            </w:r>
            <w:r>
              <w:rPr>
                <w:rFonts w:ascii="Calibri" w:cs="Tahoma" w:hAnsi="Calibri" w:hint="default"/>
                <w:b/>
                <w:bCs/>
                <w:sz w:val="24"/>
                <w:szCs w:val="24"/>
              </w:rPr>
              <w:t xml:space="preserve"> </w:t>
            </w:r>
            <w:r>
              <w:rPr>
                <w:rFonts w:ascii="Calibri" w:cs="Tahoma" w:hAnsi="Calibri" w:hint="default"/>
                <w:b/>
                <w:bCs/>
                <w:sz w:val="24"/>
                <w:szCs w:val="24"/>
              </w:rPr>
              <w:t>via</w:t>
            </w:r>
            <w:r>
              <w:rPr>
                <w:rFonts w:ascii="Calibri" w:cs="Tahoma" w:hAnsi="Calibri" w:hint="default"/>
                <w:b/>
                <w:bCs/>
                <w:sz w:val="24"/>
                <w:szCs w:val="24"/>
              </w:rPr>
              <w:t xml:space="preserve"> </w:t>
            </w:r>
            <w:r>
              <w:rPr>
                <w:rFonts w:ascii="Calibri" w:cs="Tahoma" w:hAnsi="Calibri" w:hint="default"/>
                <w:b/>
                <w:bCs/>
                <w:sz w:val="24"/>
                <w:szCs w:val="24"/>
              </w:rPr>
              <w:t>email,</w:t>
            </w:r>
            <w:r>
              <w:rPr>
                <w:rFonts w:ascii="Calibri" w:cs="Tahoma" w:hAnsi="Calibri" w:hint="default"/>
                <w:b/>
                <w:bCs/>
                <w:sz w:val="24"/>
                <w:szCs w:val="24"/>
              </w:rPr>
              <w:t xml:space="preserve"> </w:t>
            </w:r>
            <w:r>
              <w:rPr>
                <w:rFonts w:ascii="Calibri" w:cs="Tahoma" w:hAnsi="Calibri" w:hint="default"/>
                <w:b/>
                <w:bCs/>
                <w:sz w:val="24"/>
                <w:szCs w:val="24"/>
              </w:rPr>
              <w:t>please</w:t>
            </w:r>
            <w:r>
              <w:rPr>
                <w:rFonts w:ascii="Calibri" w:cs="Tahoma" w:hAnsi="Calibri" w:hint="default"/>
                <w:b/>
                <w:bCs/>
                <w:sz w:val="24"/>
                <w:szCs w:val="24"/>
              </w:rPr>
              <w:t xml:space="preserve"> </w:t>
            </w:r>
            <w:r>
              <w:rPr>
                <w:rFonts w:ascii="Calibri" w:cs="Tahoma" w:hAnsi="Calibri" w:hint="default"/>
                <w:b/>
                <w:bCs/>
                <w:sz w:val="24"/>
                <w:szCs w:val="24"/>
              </w:rPr>
              <w:t>tick</w:t>
            </w:r>
            <w:r>
              <w:rPr>
                <w:rFonts w:ascii="Calibri" w:cs="Tahoma" w:hAnsi="Calibri" w:hint="default"/>
                <w:b/>
                <w:bCs/>
                <w:sz w:val="24"/>
                <w:szCs w:val="24"/>
              </w:rPr>
              <w:t xml:space="preserve"> </w:t>
            </w:r>
            <w:r>
              <w:rPr>
                <w:rFonts w:ascii="Calibri" w:cs="Tahoma" w:hAnsi="Calibri" w:hint="default"/>
                <w:b/>
                <w:bCs/>
                <w:sz w:val="24"/>
                <w:szCs w:val="24"/>
              </w:rPr>
              <w:t>this</w:t>
            </w:r>
            <w:r>
              <w:rPr>
                <w:rFonts w:ascii="Calibri" w:cs="Tahoma" w:hAnsi="Calibri" w:hint="default"/>
                <w:b/>
                <w:bCs/>
                <w:sz w:val="24"/>
                <w:szCs w:val="24"/>
              </w:rPr>
              <w:t xml:space="preserve"> </w:t>
            </w:r>
            <w:r>
              <w:rPr>
                <w:rFonts w:ascii="Calibri" w:cs="Tahoma" w:hAnsi="Calibri" w:hint="default"/>
                <w:b/>
                <w:bCs/>
                <w:sz w:val="24"/>
                <w:szCs w:val="24"/>
              </w:rPr>
              <w:t>box</w:t>
            </w:r>
            <w:r>
              <w:rPr>
                <w:rFonts w:ascii="Calibri" w:cs="Tahoma" w:hAnsi="Calibri" w:hint="default"/>
                <w:b/>
                <w:bCs/>
                <w:sz w:val="24"/>
                <w:szCs w:val="24"/>
              </w:rPr>
              <w:t xml:space="preserve"> </w:t>
            </w:r>
            <w:r>
              <w:rPr>
                <w:rFonts w:ascii="Calibri" w:cs="Calibri" w:hAnsi="Calibri" w:hint="default"/>
                <w:b/>
                <w:bCs/>
                <w:sz w:val="44"/>
                <w:szCs w:val="44"/>
              </w:rPr>
              <w:t>□</w:t>
            </w:r>
            <w:r>
              <w:rPr>
                <w:rFonts w:ascii="Calibri" w:cs="Calibri" w:hAnsi="Calibri" w:hint="default"/>
                <w:b/>
                <w:bCs/>
                <w:sz w:val="44"/>
                <w:szCs w:val="44"/>
                <w:lang w:val="en-GB"/>
              </w:rPr>
              <w:t>X</w:t>
            </w:r>
          </w:p>
          <w:p>
            <w:pPr>
              <w:spacing w:before="0" w:after="0"/>
              <w:ind w:right="34"/>
              <w:rPr/>
            </w:pPr>
            <w:r>
              <w:rPr>
                <w:rFonts w:ascii="Calibri" w:cs="Tahoma" w:hAnsi="Calibri" w:hint="default"/>
                <w:b/>
                <w:bCs/>
                <w:sz w:val="24"/>
                <w:szCs w:val="24"/>
              </w:rPr>
              <w:t>(as</w:t>
            </w:r>
            <w:r>
              <w:rPr>
                <w:rFonts w:ascii="Calibri" w:cs="Tahoma" w:hAnsi="Calibri" w:hint="default"/>
                <w:b/>
                <w:bCs/>
                <w:sz w:val="24"/>
                <w:szCs w:val="24"/>
              </w:rPr>
              <w:t xml:space="preserve"> </w:t>
            </w:r>
            <w:r>
              <w:rPr>
                <w:rFonts w:ascii="Calibri" w:cs="Tahoma" w:hAnsi="Calibri" w:hint="default"/>
                <w:b/>
                <w:bCs/>
                <w:sz w:val="24"/>
                <w:szCs w:val="24"/>
              </w:rPr>
              <w:t>a</w:t>
            </w:r>
            <w:r>
              <w:rPr>
                <w:rFonts w:ascii="Calibri" w:cs="Tahoma" w:hAnsi="Calibri" w:hint="default"/>
                <w:b/>
                <w:bCs/>
                <w:sz w:val="24"/>
                <w:szCs w:val="24"/>
              </w:rPr>
              <w:t xml:space="preserve"> </w:t>
            </w:r>
            <w:r>
              <w:rPr>
                <w:rFonts w:ascii="Calibri" w:cs="Tahoma" w:hAnsi="Calibri" w:hint="default"/>
                <w:b/>
                <w:bCs/>
                <w:sz w:val="24"/>
                <w:szCs w:val="24"/>
              </w:rPr>
              <w:t>substitute</w:t>
            </w:r>
            <w:r>
              <w:rPr>
                <w:rFonts w:ascii="Calibri" w:cs="Tahoma" w:hAnsi="Calibri" w:hint="default"/>
                <w:b/>
                <w:bCs/>
                <w:sz w:val="24"/>
                <w:szCs w:val="24"/>
              </w:rPr>
              <w:t xml:space="preserve"> </w:t>
            </w:r>
            <w:r>
              <w:rPr>
                <w:rFonts w:ascii="Calibri" w:cs="Tahoma" w:hAnsi="Calibri" w:hint="default"/>
                <w:b/>
                <w:bCs/>
                <w:sz w:val="24"/>
                <w:szCs w:val="24"/>
              </w:rPr>
              <w:t>for</w:t>
            </w:r>
            <w:r>
              <w:rPr>
                <w:rFonts w:ascii="Calibri" w:cs="Tahoma" w:hAnsi="Calibri" w:hint="default"/>
                <w:b/>
                <w:bCs/>
                <w:sz w:val="24"/>
                <w:szCs w:val="24"/>
              </w:rPr>
              <w:t xml:space="preserve"> </w:t>
            </w:r>
            <w:r>
              <w:rPr>
                <w:rFonts w:ascii="Calibri" w:cs="Tahoma" w:hAnsi="Calibri" w:hint="default"/>
                <w:b/>
                <w:bCs/>
                <w:sz w:val="24"/>
                <w:szCs w:val="24"/>
              </w:rPr>
              <w:t>your</w:t>
            </w:r>
            <w:r>
              <w:rPr>
                <w:rFonts w:ascii="Calibri" w:cs="Tahoma" w:hAnsi="Calibri" w:hint="default"/>
                <w:b/>
                <w:bCs/>
                <w:sz w:val="24"/>
                <w:szCs w:val="24"/>
              </w:rPr>
              <w:t xml:space="preserve"> </w:t>
            </w:r>
            <w:r>
              <w:rPr>
                <w:rFonts w:ascii="Calibri" w:cs="Tahoma" w:hAnsi="Calibri" w:hint="default"/>
                <w:b/>
                <w:bCs/>
                <w:sz w:val="24"/>
                <w:szCs w:val="24"/>
              </w:rPr>
              <w:t>signature)</w:t>
            </w:r>
            <w:r>
              <w:rPr>
                <w:rFonts w:ascii="Calibri" w:cs="Tahoma" w:hAnsi="Calibri" w:hint="default"/>
                <w:b/>
                <w:bCs/>
                <w:sz w:val="24"/>
                <w:szCs w:val="24"/>
              </w:rPr>
              <w:t xml:space="preserve"> </w:t>
            </w:r>
            <w:r>
              <w:rPr>
                <w:rFonts w:ascii="Calibri" w:cs="Tahoma" w:hAnsi="Calibri" w:hint="default"/>
                <w:b/>
                <w:bCs/>
                <w:sz w:val="24"/>
                <w:szCs w:val="24"/>
              </w:rPr>
              <w:t>to</w:t>
            </w:r>
            <w:r>
              <w:rPr>
                <w:rFonts w:ascii="Calibri" w:cs="Tahoma" w:hAnsi="Calibri" w:hint="default"/>
                <w:b/>
                <w:bCs/>
                <w:sz w:val="24"/>
                <w:szCs w:val="24"/>
              </w:rPr>
              <w:t xml:space="preserve"> </w:t>
            </w:r>
            <w:r>
              <w:rPr>
                <w:rFonts w:ascii="Calibri" w:cs="Tahoma" w:hAnsi="Calibri" w:hint="default"/>
                <w:b/>
                <w:bCs/>
                <w:sz w:val="24"/>
                <w:szCs w:val="24"/>
              </w:rPr>
              <w:t>confirm</w:t>
            </w:r>
            <w:r>
              <w:rPr>
                <w:rFonts w:ascii="Calibri" w:cs="Tahoma" w:hAnsi="Calibri" w:hint="default"/>
                <w:b/>
                <w:bCs/>
                <w:sz w:val="24"/>
                <w:szCs w:val="24"/>
              </w:rPr>
              <w:t xml:space="preserve"> </w:t>
            </w:r>
            <w:r>
              <w:rPr>
                <w:rFonts w:ascii="Calibri" w:cs="Tahoma" w:hAnsi="Calibri" w:hint="default"/>
                <w:b/>
                <w:bCs/>
                <w:sz w:val="24"/>
                <w:szCs w:val="24"/>
              </w:rPr>
              <w:t>that</w:t>
            </w:r>
            <w:r>
              <w:rPr>
                <w:rFonts w:ascii="Calibri" w:cs="Tahoma" w:hAnsi="Calibri" w:hint="default"/>
                <w:b/>
                <w:bCs/>
                <w:sz w:val="24"/>
                <w:szCs w:val="24"/>
              </w:rPr>
              <w:t xml:space="preserve"> </w:t>
            </w:r>
            <w:r>
              <w:rPr>
                <w:rFonts w:ascii="Calibri" w:cs="Tahoma" w:hAnsi="Calibri" w:hint="default"/>
                <w:b/>
                <w:bCs/>
                <w:sz w:val="24"/>
                <w:szCs w:val="24"/>
              </w:rPr>
              <w:t>you</w:t>
            </w:r>
            <w:r>
              <w:rPr>
                <w:rFonts w:ascii="Calibri" w:cs="Tahoma" w:hAnsi="Calibri" w:hint="default"/>
                <w:b/>
                <w:bCs/>
                <w:sz w:val="24"/>
                <w:szCs w:val="24"/>
              </w:rPr>
              <w:t xml:space="preserve"> </w:t>
            </w:r>
            <w:r>
              <w:rPr>
                <w:rFonts w:ascii="Calibri" w:cs="Tahoma" w:hAnsi="Calibri" w:hint="default"/>
                <w:b/>
                <w:bCs/>
                <w:sz w:val="24"/>
                <w:szCs w:val="24"/>
              </w:rPr>
              <w:t>agree</w:t>
            </w:r>
            <w:r>
              <w:rPr>
                <w:rFonts w:ascii="Calibri" w:cs="Tahoma" w:hAnsi="Calibri" w:hint="default"/>
                <w:b/>
                <w:bCs/>
                <w:sz w:val="24"/>
                <w:szCs w:val="24"/>
              </w:rPr>
              <w:t xml:space="preserve"> </w:t>
            </w:r>
            <w:r>
              <w:rPr>
                <w:rFonts w:ascii="Calibri" w:cs="Tahoma" w:hAnsi="Calibri" w:hint="default"/>
                <w:b/>
                <w:bCs/>
                <w:sz w:val="24"/>
                <w:szCs w:val="24"/>
              </w:rPr>
              <w:t>to</w:t>
            </w:r>
            <w:r>
              <w:rPr>
                <w:rFonts w:ascii="Calibri" w:cs="Tahoma" w:hAnsi="Calibri" w:hint="default"/>
                <w:b/>
                <w:bCs/>
                <w:sz w:val="24"/>
                <w:szCs w:val="24"/>
              </w:rPr>
              <w:t xml:space="preserve"> </w:t>
            </w:r>
            <w:r>
              <w:rPr>
                <w:rFonts w:ascii="Calibri" w:cs="Tahoma" w:hAnsi="Calibri" w:hint="default"/>
                <w:b/>
                <w:bCs/>
                <w:sz w:val="24"/>
                <w:szCs w:val="24"/>
              </w:rPr>
              <w:t>the</w:t>
            </w:r>
            <w:r>
              <w:rPr>
                <w:rFonts w:ascii="Calibri" w:cs="Tahoma" w:hAnsi="Calibri" w:hint="default"/>
                <w:b/>
                <w:bCs/>
                <w:sz w:val="24"/>
                <w:szCs w:val="24"/>
              </w:rPr>
              <w:t xml:space="preserve"> </w:t>
            </w:r>
            <w:r>
              <w:rPr>
                <w:rFonts w:ascii="Calibri" w:cs="Tahoma" w:hAnsi="Calibri" w:hint="default"/>
                <w:b/>
                <w:bCs/>
                <w:sz w:val="24"/>
                <w:szCs w:val="24"/>
              </w:rPr>
              <w:t>above</w:t>
            </w:r>
            <w:r>
              <w:rPr>
                <w:rFonts w:ascii="Calibri" w:cs="Tahoma" w:hAnsi="Calibri" w:hint="default"/>
                <w:b/>
                <w:bCs/>
                <w:sz w:val="24"/>
                <w:szCs w:val="24"/>
              </w:rPr>
              <w:t xml:space="preserve"> </w:t>
            </w:r>
            <w:r>
              <w:rPr>
                <w:rFonts w:ascii="Calibri" w:cs="Tahoma" w:hAnsi="Calibri" w:hint="default"/>
                <w:b/>
                <w:bCs/>
                <w:sz w:val="24"/>
                <w:szCs w:val="24"/>
              </w:rPr>
              <w:t>declaration.</w:t>
            </w:r>
          </w:p>
        </w:tc>
      </w:tr>
      <w:tr>
        <w:tblPrEx/>
        <w:trPr>
          <w:wBefore w:w="0" w:type="dxa"/>
          <w:wAfter w:w="0" w:type="dxa"/>
          <w:cantSplit w:val="false"/>
          <w:trHeight w:val="3972"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b/>
              </w:rPr>
              <w:t>Assignment</w:t>
            </w:r>
            <w:r>
              <w:rPr>
                <w:rFonts w:ascii="Arial" w:hAnsi="Arial" w:hint="default"/>
                <w:b/>
              </w:rPr>
              <w:t xml:space="preserve"> </w:t>
            </w:r>
            <w:r>
              <w:rPr>
                <w:rFonts w:ascii="Arial" w:hAnsi="Arial" w:hint="default"/>
                <w:b/>
              </w:rPr>
              <w:t>Mark</w:t>
            </w:r>
          </w:p>
          <w:tbl>
            <w:tblPr>
              <w:jc w:val="left"/>
              <w:tblInd w:w="0" w:type="dxa"/>
              <w:tblCellMar>
                <w:top w:w="0" w:type="dxa"/>
                <w:left w:w="108" w:type="dxa"/>
                <w:bottom w:w="0" w:type="dxa"/>
                <w:right w:w="108" w:type="dxa"/>
              </w:tblCellMar>
            </w:tblPr>
            <w:tblGrid>
              <w:gridCol w:w="6970"/>
              <w:gridCol w:w="1660"/>
            </w:tblGrid>
            <w:tr>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1</w:t>
                  </w:r>
                  <w:r>
                    <w:rPr>
                      <w:rFonts w:ascii="Arial" w:hAnsi="Arial" w:hint="default"/>
                      <w:sz w:val="20"/>
                      <w:szCs w:val="20"/>
                      <w:vertAlign w:val="superscript"/>
                    </w:rPr>
                    <w:t>st</w:t>
                  </w:r>
                  <w:r>
                    <w:rPr>
                      <w:rFonts w:ascii="Arial" w:hAnsi="Arial" w:hint="default"/>
                      <w:sz w:val="20"/>
                      <w:szCs w:val="20"/>
                    </w:rPr>
                    <w:t xml:space="preserve"> </w:t>
                  </w:r>
                  <w:r>
                    <w:rPr>
                      <w:rFonts w:ascii="Arial" w:hAnsi="Arial" w:hint="default"/>
                      <w:sz w:val="20"/>
                      <w:szCs w:val="20"/>
                    </w:rPr>
                    <w:t>Marker’s</w:t>
                  </w:r>
                  <w:r>
                    <w:rPr>
                      <w:rFonts w:ascii="Arial" w:hAnsi="Arial" w:hint="default"/>
                      <w:sz w:val="20"/>
                      <w:szCs w:val="20"/>
                    </w:rPr>
                    <w:t xml:space="preserve"> </w:t>
                  </w:r>
                  <w:r>
                    <w:rPr>
                      <w:rFonts w:ascii="Arial" w:hAnsi="Arial" w:hint="default"/>
                      <w:sz w:val="20"/>
                      <w:szCs w:val="20"/>
                    </w:rPr>
                    <w:t>Provisional</w:t>
                  </w:r>
                  <w:r>
                    <w:rPr>
                      <w:rFonts w:ascii="Arial" w:hAnsi="Arial" w:hint="default"/>
                      <w:sz w:val="20"/>
                      <w:szCs w:val="20"/>
                    </w:rPr>
                    <w:t xml:space="preserve"> </w:t>
                  </w:r>
                  <w:r>
                    <w:rPr>
                      <w:rFonts w:ascii="Arial" w:hAnsi="Arial" w:hint="default"/>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2</w:t>
                  </w:r>
                  <w:r>
                    <w:rPr>
                      <w:rFonts w:ascii="Arial" w:hAnsi="Arial" w:hint="default"/>
                      <w:sz w:val="20"/>
                      <w:szCs w:val="20"/>
                      <w:vertAlign w:val="superscript"/>
                    </w:rPr>
                    <w:t>nd</w:t>
                  </w:r>
                  <w:r>
                    <w:rPr>
                      <w:rFonts w:ascii="Arial" w:hAnsi="Arial" w:hint="default"/>
                      <w:sz w:val="20"/>
                      <w:szCs w:val="20"/>
                    </w:rPr>
                    <w:t xml:space="preserve"> </w:t>
                  </w:r>
                  <w:r>
                    <w:rPr>
                      <w:rFonts w:ascii="Arial" w:hAnsi="Arial" w:hint="default"/>
                      <w:sz w:val="20"/>
                      <w:szCs w:val="20"/>
                    </w:rPr>
                    <w:t>Marker</w:t>
                  </w:r>
                  <w:r>
                    <w:rPr>
                      <w:rFonts w:ascii="Arial" w:hAnsi="Arial" w:hint="default"/>
                      <w:sz w:val="20"/>
                      <w:szCs w:val="20"/>
                    </w:rPr>
                    <w:t>’s/Moderator’s</w:t>
                  </w:r>
                  <w:r>
                    <w:rPr>
                      <w:rFonts w:ascii="Arial" w:hAnsi="Arial" w:hint="default"/>
                      <w:sz w:val="20"/>
                      <w:szCs w:val="20"/>
                    </w:rPr>
                    <w:t xml:space="preserve"> </w:t>
                  </w:r>
                  <w:r>
                    <w:rPr>
                      <w:rFonts w:ascii="Arial" w:hAnsi="Arial" w:hint="default"/>
                      <w:sz w:val="20"/>
                      <w:szCs w:val="20"/>
                    </w:rPr>
                    <w:t>provisional</w:t>
                  </w:r>
                  <w:r>
                    <w:rPr>
                      <w:rFonts w:ascii="Arial" w:hAnsi="Arial" w:hint="default"/>
                      <w:sz w:val="20"/>
                      <w:szCs w:val="20"/>
                    </w:rPr>
                    <w:t xml:space="preserve"> </w:t>
                  </w:r>
                  <w:r>
                    <w:rPr>
                      <w:rFonts w:ascii="Arial" w:hAnsi="Arial" w:hint="default"/>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sz w:val="20"/>
                      <w:szCs w:val="20"/>
                    </w:rPr>
                    <w:t>External</w:t>
                  </w:r>
                  <w:r>
                    <w:rPr>
                      <w:rFonts w:ascii="Arial" w:hAnsi="Arial" w:hint="default"/>
                      <w:sz w:val="20"/>
                      <w:szCs w:val="20"/>
                    </w:rPr>
                    <w:t xml:space="preserve"> </w:t>
                  </w:r>
                  <w:r>
                    <w:rPr>
                      <w:rFonts w:ascii="Arial" w:hAnsi="Arial" w:hint="default"/>
                      <w:sz w:val="20"/>
                      <w:szCs w:val="20"/>
                    </w:rPr>
                    <w:t>Examiner’s</w:t>
                  </w:r>
                  <w:r>
                    <w:rPr>
                      <w:rFonts w:ascii="Arial" w:hAnsi="Arial" w:hint="default"/>
                      <w:sz w:val="20"/>
                      <w:szCs w:val="20"/>
                    </w:rPr>
                    <w:t xml:space="preserve"> </w:t>
                  </w:r>
                  <w:r>
                    <w:rPr>
                      <w:rFonts w:ascii="Arial" w:hAnsi="Arial" w:hint="default"/>
                      <w:sz w:val="20"/>
                      <w:szCs w:val="20"/>
                    </w:rPr>
                    <w:t>mark</w:t>
                  </w:r>
                  <w:r>
                    <w:rPr>
                      <w:rFonts w:ascii="Arial" w:hAnsi="Arial" w:hint="default"/>
                      <w:sz w:val="20"/>
                      <w:szCs w:val="20"/>
                    </w:rPr>
                    <w:t xml:space="preserve"> </w:t>
                  </w:r>
                  <w:r>
                    <w:rPr>
                      <w:rFonts w:ascii="Arial" w:hAnsi="Arial" w:hint="default"/>
                      <w:sz w:val="20"/>
                      <w:szCs w:val="20"/>
                    </w:rPr>
                    <w:t>(if</w:t>
                  </w:r>
                  <w:r>
                    <w:rPr>
                      <w:rFonts w:ascii="Arial" w:hAnsi="Arial" w:hint="default"/>
                      <w:sz w:val="20"/>
                      <w:szCs w:val="20"/>
                    </w:rPr>
                    <w:t xml:space="preserve"> </w:t>
                  </w:r>
                  <w:r>
                    <w:rPr>
                      <w:rFonts w:ascii="Arial" w:hAnsi="Arial" w:hint="default"/>
                      <w:sz w:val="20"/>
                      <w:szCs w:val="20"/>
                    </w:rPr>
                    <w:t>relevant)</w:t>
                  </w:r>
                </w:p>
              </w:tc>
              <w:tc>
                <w:tcPr>
                  <w:tcW w:w="1660" w:type="dxa"/>
                  <w:tcBorders>
                    <w:top w:val="single" w:sz="4" w:space="0" w:color="auto"/>
                    <w:left w:val="single" w:sz="4" w:space="0" w:color="auto"/>
                    <w:bottom w:val="single" w:sz="4" w:space="0" w:color="auto"/>
                    <w:right w:val="single" w:sz="4" w:space="0" w:color="auto"/>
                  </w:tcBorders>
                </w:tcPr>
                <w:p>
                  <w:pPr>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rPr/>
                  </w:pPr>
                </w:p>
                <w:p>
                  <w:pPr>
                    <w:rPr/>
                  </w:pPr>
                  <w:r>
                    <w:rPr>
                      <w:rFonts w:ascii="Arial" w:hAnsi="Arial" w:hint="default"/>
                      <w:b/>
                      <w:sz w:val="20"/>
                      <w:szCs w:val="20"/>
                    </w:rPr>
                    <w:t>Final</w:t>
                  </w:r>
                  <w:r>
                    <w:rPr>
                      <w:rFonts w:ascii="Arial" w:hAnsi="Arial" w:hint="default"/>
                      <w:b/>
                      <w:sz w:val="20"/>
                      <w:szCs w:val="20"/>
                    </w:rPr>
                    <w:t xml:space="preserve"> </w:t>
                  </w:r>
                  <w:r>
                    <w:rPr>
                      <w:rFonts w:ascii="Arial" w:hAnsi="Arial" w:hint="default"/>
                      <w:b/>
                      <w:sz w:val="20"/>
                      <w:szCs w:val="20"/>
                    </w:rPr>
                    <w:t>Mark</w:t>
                  </w:r>
                </w:p>
                <w:p>
                  <w:pPr>
                    <w:rPr/>
                  </w:pPr>
                </w:p>
              </w:tc>
              <w:tc>
                <w:tcPr>
                  <w:tcW w:w="1660" w:type="dxa"/>
                  <w:tcBorders>
                    <w:top w:val="single" w:sz="4" w:space="0" w:color="auto"/>
                    <w:left w:val="single" w:sz="4" w:space="0" w:color="auto"/>
                    <w:bottom w:val="single" w:sz="4" w:space="0" w:color="auto"/>
                    <w:right w:val="single" w:sz="4" w:space="0" w:color="auto"/>
                  </w:tcBorders>
                </w:tcPr>
                <w:p>
                  <w:pPr>
                    <w:rPr/>
                  </w:pPr>
                </w:p>
              </w:tc>
            </w:tr>
          </w:tbl>
          <w:p>
            <w:pPr>
              <w:spacing w:before="0" w:after="0"/>
              <w:ind w:left="142" w:right="34"/>
              <w:rPr/>
            </w:pPr>
          </w:p>
          <w:p>
            <w:pPr>
              <w:spacing w:before="0" w:after="0"/>
              <w:ind w:left="142" w:right="34"/>
              <w:rPr/>
            </w:pPr>
            <w:r>
              <w:rPr>
                <w:rFonts w:ascii="Arial" w:cs="Arial" w:hAnsi="Arial" w:hint="default"/>
                <w:b/>
                <w:bCs/>
                <w:sz w:val="22"/>
                <w:szCs w:val="22"/>
              </w:rPr>
              <w:t>NB.</w:t>
            </w:r>
            <w:r>
              <w:rPr>
                <w:rFonts w:ascii="Arial" w:cs="Arial" w:hAnsi="Arial" w:hint="default"/>
                <w:sz w:val="22"/>
                <w:szCs w:val="22"/>
              </w:rPr>
              <w:t xml:space="preserve">  </w:t>
            </w:r>
            <w:r>
              <w:rPr>
                <w:rFonts w:ascii="Arial" w:cs="Arial" w:hAnsi="Arial" w:hint="default"/>
                <w:sz w:val="22"/>
                <w:szCs w:val="22"/>
              </w:rPr>
              <w:t>All</w:t>
            </w:r>
            <w:r>
              <w:rPr>
                <w:rFonts w:ascii="Arial" w:cs="Arial" w:hAnsi="Arial" w:hint="default"/>
                <w:sz w:val="22"/>
                <w:szCs w:val="22"/>
              </w:rPr>
              <w:t xml:space="preserve"> </w:t>
            </w:r>
            <w:r>
              <w:rPr>
                <w:rFonts w:ascii="Arial" w:cs="Arial" w:hAnsi="Arial" w:hint="default"/>
                <w:sz w:val="22"/>
                <w:szCs w:val="22"/>
              </w:rPr>
              <w:t>ma</w:t>
            </w:r>
            <w:r>
              <w:rPr>
                <w:rFonts w:ascii="Arial" w:cs="Arial" w:hAnsi="Arial" w:hint="default"/>
                <w:sz w:val="22"/>
                <w:szCs w:val="22"/>
              </w:rPr>
              <w:t>rks</w:t>
            </w:r>
            <w:r>
              <w:rPr>
                <w:rFonts w:ascii="Arial" w:cs="Arial" w:hAnsi="Arial" w:hint="default"/>
                <w:sz w:val="22"/>
                <w:szCs w:val="22"/>
              </w:rPr>
              <w:t xml:space="preserve"> </w:t>
            </w:r>
            <w:r>
              <w:rPr>
                <w:rFonts w:ascii="Arial" w:cs="Arial" w:hAnsi="Arial" w:hint="default"/>
                <w:sz w:val="22"/>
                <w:szCs w:val="22"/>
              </w:rPr>
              <w:t>are</w:t>
            </w:r>
            <w:r>
              <w:rPr>
                <w:rFonts w:ascii="Arial" w:cs="Arial" w:hAnsi="Arial" w:hint="default"/>
                <w:sz w:val="22"/>
                <w:szCs w:val="22"/>
              </w:rPr>
              <w:t xml:space="preserve"> </w:t>
            </w:r>
            <w:r>
              <w:rPr>
                <w:rFonts w:ascii="Arial" w:cs="Arial" w:hAnsi="Arial" w:hint="default"/>
                <w:sz w:val="22"/>
                <w:szCs w:val="22"/>
              </w:rPr>
              <w:t>provisional</w:t>
            </w:r>
            <w:r>
              <w:rPr>
                <w:rFonts w:ascii="Arial" w:cs="Arial" w:hAnsi="Arial" w:hint="default"/>
                <w:sz w:val="22"/>
                <w:szCs w:val="22"/>
              </w:rPr>
              <w:t xml:space="preserve"> </w:t>
            </w:r>
            <w:r>
              <w:rPr>
                <w:rFonts w:ascii="Arial" w:cs="Arial" w:hAnsi="Arial" w:hint="default"/>
                <w:sz w:val="22"/>
                <w:szCs w:val="22"/>
              </w:rPr>
              <w:t>until</w:t>
            </w:r>
            <w:r>
              <w:rPr>
                <w:rFonts w:ascii="Arial" w:cs="Arial" w:hAnsi="Arial" w:hint="default"/>
                <w:sz w:val="22"/>
                <w:szCs w:val="22"/>
              </w:rPr>
              <w:t xml:space="preserve"> </w:t>
            </w:r>
            <w:r>
              <w:rPr>
                <w:rFonts w:ascii="Arial" w:cs="Arial" w:hAnsi="Arial" w:hint="default"/>
                <w:sz w:val="22"/>
                <w:szCs w:val="22"/>
              </w:rPr>
              <w:t>confirmed</w:t>
            </w:r>
            <w:r>
              <w:rPr>
                <w:rFonts w:ascii="Arial" w:cs="Arial" w:hAnsi="Arial" w:hint="default"/>
                <w:sz w:val="22"/>
                <w:szCs w:val="22"/>
              </w:rPr>
              <w:t xml:space="preserve"> </w:t>
            </w:r>
            <w:r>
              <w:rPr>
                <w:rFonts w:ascii="Arial" w:cs="Arial" w:hAnsi="Arial" w:hint="default"/>
                <w:sz w:val="22"/>
                <w:szCs w:val="22"/>
              </w:rPr>
              <w:t>by</w:t>
            </w:r>
            <w:r>
              <w:rPr>
                <w:rFonts w:ascii="Arial" w:cs="Arial" w:hAnsi="Arial" w:hint="default"/>
                <w:sz w:val="22"/>
                <w:szCs w:val="22"/>
              </w:rPr>
              <w:t xml:space="preserve"> </w:t>
            </w:r>
            <w:r>
              <w:rPr>
                <w:rFonts w:ascii="Arial" w:cs="Arial" w:hAnsi="Arial" w:hint="default"/>
                <w:sz w:val="22"/>
                <w:szCs w:val="22"/>
              </w:rPr>
              <w:t>the</w:t>
            </w:r>
            <w:r>
              <w:rPr>
                <w:rFonts w:ascii="Arial" w:cs="Arial" w:hAnsi="Arial" w:hint="default"/>
                <w:sz w:val="22"/>
                <w:szCs w:val="22"/>
              </w:rPr>
              <w:t xml:space="preserve"> </w:t>
            </w:r>
            <w:r>
              <w:rPr>
                <w:rFonts w:ascii="Arial" w:cs="Arial" w:hAnsi="Arial" w:hint="default"/>
                <w:sz w:val="22"/>
                <w:szCs w:val="22"/>
              </w:rPr>
              <w:t>F</w:t>
            </w:r>
            <w:r>
              <w:rPr>
                <w:rFonts w:ascii="Arial" w:cs="Arial" w:hAnsi="Arial" w:hint="default"/>
                <w:sz w:val="22"/>
                <w:szCs w:val="22"/>
              </w:rPr>
              <w:t>inal</w:t>
            </w:r>
            <w:r>
              <w:rPr>
                <w:rFonts w:ascii="Arial" w:cs="Arial" w:hAnsi="Arial" w:hint="default"/>
                <w:sz w:val="22"/>
                <w:szCs w:val="22"/>
              </w:rPr>
              <w:t xml:space="preserve"> </w:t>
            </w:r>
            <w:r>
              <w:rPr>
                <w:rFonts w:ascii="Arial" w:cs="Arial" w:hAnsi="Arial" w:hint="default"/>
                <w:sz w:val="22"/>
                <w:szCs w:val="22"/>
              </w:rPr>
              <w:t>E</w:t>
            </w:r>
            <w:r>
              <w:rPr>
                <w:rFonts w:ascii="Arial" w:cs="Arial" w:hAnsi="Arial" w:hint="default"/>
                <w:sz w:val="22"/>
                <w:szCs w:val="22"/>
              </w:rPr>
              <w:t>xamination</w:t>
            </w:r>
            <w:r>
              <w:rPr>
                <w:rFonts w:ascii="Arial" w:cs="Arial" w:hAnsi="Arial" w:hint="default"/>
                <w:sz w:val="22"/>
                <w:szCs w:val="22"/>
              </w:rPr>
              <w:t xml:space="preserve"> </w:t>
            </w:r>
            <w:r>
              <w:rPr>
                <w:rFonts w:ascii="Arial" w:cs="Arial" w:hAnsi="Arial" w:hint="default"/>
                <w:sz w:val="22"/>
                <w:szCs w:val="22"/>
              </w:rPr>
              <w:t>Board.</w:t>
            </w:r>
          </w:p>
          <w:p>
            <w:pPr>
              <w:spacing w:before="0" w:after="0"/>
              <w:rPr/>
            </w:pPr>
          </w:p>
          <w:p>
            <w:pPr>
              <w:spacing w:before="0" w:after="0"/>
              <w:rPr/>
            </w:pPr>
          </w:p>
          <w:p>
            <w:pPr>
              <w:spacing w:before="0" w:after="0"/>
              <w:rPr/>
            </w:pPr>
          </w:p>
          <w:p>
            <w:pPr>
              <w:spacing w:before="0" w:after="0"/>
              <w:rPr/>
            </w:pPr>
          </w:p>
          <w:p>
            <w:pPr>
              <w:spacing w:before="0" w:after="0"/>
              <w:rPr/>
            </w:pPr>
          </w:p>
          <w:p>
            <w:pPr>
              <w:spacing w:before="0" w:after="0"/>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M</w:t>
            </w:r>
            <w:r>
              <w:rPr>
                <w:rFonts w:ascii="Arial" w:cs="Arial" w:hAnsi="Arial" w:hint="default"/>
                <w:b/>
                <w:bCs/>
                <w:sz w:val="22"/>
                <w:szCs w:val="22"/>
              </w:rPr>
              <w:t>arker</w:t>
            </w:r>
            <w:r>
              <w:rPr>
                <w:rFonts w:ascii="Arial" w:cs="Arial" w:hAnsi="Arial" w:hint="default"/>
                <w:b/>
                <w:bCs/>
                <w:sz w:val="22"/>
                <w:szCs w:val="22"/>
              </w:rPr>
              <w:t xml:space="preserve"> </w:t>
            </w:r>
            <w:r>
              <w:rPr>
                <w:rFonts w:ascii="Arial" w:cs="Arial" w:hAnsi="Arial" w:hint="default"/>
                <w:b/>
                <w:bCs/>
                <w:sz w:val="22"/>
                <w:szCs w:val="22"/>
              </w:rPr>
              <w:t>1</w:t>
            </w:r>
            <w:r>
              <w:rPr>
                <w:rFonts w:ascii="Arial" w:cs="Arial" w:hAnsi="Arial" w:hint="default"/>
                <w:b/>
                <w:bCs/>
                <w:sz w:val="22"/>
                <w:szCs w:val="22"/>
              </w:rPr>
              <w:t xml:space="preserve"> </w:t>
            </w:r>
            <w:r>
              <w:rPr>
                <w:rFonts w:ascii="Arial" w:cs="Arial" w:hAnsi="Arial" w:hint="default"/>
                <w:b/>
                <w:bCs/>
                <w:sz w:val="22"/>
                <w:szCs w:val="22"/>
              </w:rPr>
              <w:t>:</w:t>
            </w:r>
          </w:p>
          <w:p>
            <w:pPr>
              <w:rPr/>
            </w:pPr>
            <w:r>
              <w:rPr>
                <w:rFonts w:ascii="Arial" w:cs="Arial" w:hAnsi="Arial" w:hint="default"/>
                <w:sz w:val="22"/>
                <w:szCs w:val="22"/>
              </w:rPr>
              <w:t>Comments</w:t>
            </w:r>
            <w:r>
              <w:rPr>
                <w:rFonts w:ascii="Arial" w:cs="Arial" w:hAnsi="Arial" w:hint="default"/>
                <w:sz w:val="22"/>
                <w:szCs w:val="22"/>
              </w:rPr>
              <w:t>:</w:t>
            </w:r>
          </w:p>
          <w:p>
            <w:pPr>
              <w:rPr/>
            </w:pPr>
          </w:p>
        </w:tc>
      </w:tr>
      <w:tr>
        <w:tblPrEx/>
        <w:trPr>
          <w:wBefore w:w="0" w:type="dxa"/>
          <w:wAfter w:w="0" w:type="dxa"/>
          <w:cantSplit w:val="false"/>
          <w:trHeight w:val="492" w:hRule="atLeast"/>
          <w:tblHeader w:val="false"/>
          <w:jc w:val="left"/>
        </w:trPr>
        <w:tc>
          <w:tcPr>
            <w:tcW w:w="6768" w:type="dxa"/>
            <w:gridSpan w:val="3"/>
            <w:tcBorders>
              <w:top w:val="single" w:sz="4" w:space="0" w:color="auto"/>
              <w:left w:val="single" w:sz="4" w:space="0" w:color="auto"/>
              <w:bottom w:val="single" w:sz="4" w:space="0" w:color="auto"/>
              <w:right w:val="single" w:sz="4" w:space="0" w:color="auto"/>
            </w:tcBorders>
          </w:tcPr>
          <w:p>
            <w:pPr>
              <w:ind w:left="142" w:right="34"/>
              <w:rPr/>
            </w:pPr>
            <w:r>
              <w:rPr>
                <w:rFonts w:ascii="Arial" w:cs="Arial" w:hAnsi="Arial" w:hint="default"/>
                <w:sz w:val="22"/>
                <w:szCs w:val="22"/>
              </w:rPr>
              <w:t>M</w:t>
            </w:r>
            <w:r>
              <w:rPr>
                <w:rFonts w:ascii="Arial" w:cs="Arial" w:hAnsi="Arial" w:hint="default"/>
                <w:sz w:val="22"/>
                <w:szCs w:val="22"/>
              </w:rPr>
              <w:t>arker</w:t>
            </w:r>
            <w:r>
              <w:rPr>
                <w:rFonts w:ascii="Arial" w:cs="Arial" w:hAnsi="Arial" w:hint="default"/>
                <w:sz w:val="22"/>
                <w:szCs w:val="22"/>
              </w:rPr>
              <w:t>s</w:t>
            </w:r>
            <w:r>
              <w:rPr>
                <w:rFonts w:ascii="Arial" w:cs="Arial" w:hAnsi="Arial" w:hint="default"/>
                <w:sz w:val="22"/>
                <w:szCs w:val="22"/>
              </w:rPr>
              <w:t xml:space="preserve"> </w:t>
            </w:r>
            <w:r>
              <w:rPr>
                <w:rFonts w:ascii="Arial" w:cs="Arial" w:hAnsi="Arial" w:hint="default"/>
                <w:sz w:val="22"/>
                <w:szCs w:val="22"/>
              </w:rPr>
              <w:t>signatur</w:t>
            </w:r>
            <w:r>
              <w:rPr>
                <w:rFonts w:ascii="Arial" w:cs="Arial" w:hAnsi="Arial" w:hint="default"/>
                <w:sz w:val="22"/>
                <w:szCs w:val="22"/>
              </w:rPr>
              <w:t>e:</w:t>
            </w:r>
          </w:p>
        </w:tc>
        <w:tc>
          <w:tcPr>
            <w:tcW w:w="2088" w:type="dxa"/>
            <w:gridSpan w:val="3"/>
            <w:tcBorders>
              <w:top w:val="single" w:sz="4" w:space="0" w:color="auto"/>
              <w:left w:val="single" w:sz="4" w:space="0" w:color="auto"/>
              <w:bottom w:val="single" w:sz="4" w:space="0" w:color="auto"/>
              <w:right w:val="single" w:sz="4" w:space="0" w:color="auto"/>
            </w:tcBorders>
          </w:tcPr>
          <w:p>
            <w:pPr>
              <w:spacing w:after="0"/>
              <w:ind w:left="142" w:right="34"/>
              <w:rPr/>
            </w:pPr>
            <w:r>
              <w:rPr>
                <w:rFonts w:ascii="Arial" w:cs="Arial" w:hAnsi="Arial" w:hint="default"/>
                <w:sz w:val="22"/>
                <w:szCs w:val="22"/>
              </w:rPr>
              <w:t>D</w:t>
            </w:r>
            <w:r>
              <w:rPr>
                <w:rFonts w:ascii="Arial" w:cs="Arial" w:hAnsi="Arial" w:hint="default"/>
                <w:sz w:val="22"/>
                <w:szCs w:val="22"/>
              </w:rPr>
              <w:t>ate</w:t>
            </w:r>
            <w:r>
              <w:rPr>
                <w:rFonts w:ascii="Arial" w:cs="Arial" w:hAnsi="Arial" w:hint="default"/>
                <w:sz w:val="22"/>
                <w:szCs w:val="22"/>
              </w:rPr>
              <w:t>:</w:t>
            </w:r>
          </w:p>
        </w:tc>
      </w:tr>
      <w:tr>
        <w:tblPrEx/>
        <w:trPr>
          <w:wBefore w:w="0" w:type="dxa"/>
          <w:wAfter w:w="0" w:type="dxa"/>
          <w:cantSplit w:val="false"/>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spacing w:before="0" w:after="0"/>
              <w:ind w:right="-334"/>
              <w:rPr/>
            </w:pPr>
          </w:p>
          <w:p>
            <w:pPr>
              <w:spacing w:before="0" w:after="0"/>
              <w:ind w:right="-334"/>
              <w:rPr/>
            </w:pPr>
            <w:r>
              <w:rPr>
                <w:rFonts w:ascii="Arial" w:cs="Arial" w:hAnsi="Arial" w:hint="default"/>
                <w:b/>
                <w:bCs/>
                <w:sz w:val="22"/>
                <w:szCs w:val="22"/>
              </w:rPr>
              <w:t>For</w:t>
            </w:r>
            <w:r>
              <w:rPr>
                <w:rFonts w:ascii="Arial" w:cs="Arial" w:hAnsi="Arial" w:hint="default"/>
                <w:b/>
                <w:bCs/>
                <w:sz w:val="22"/>
                <w:szCs w:val="22"/>
              </w:rPr>
              <w:t xml:space="preserve"> </w:t>
            </w:r>
            <w:r>
              <w:rPr>
                <w:rFonts w:ascii="Arial" w:cs="Arial" w:hAnsi="Arial" w:hint="default"/>
                <w:b/>
                <w:bCs/>
                <w:sz w:val="22"/>
                <w:szCs w:val="22"/>
              </w:rPr>
              <w:t>completion</w:t>
            </w:r>
            <w:r>
              <w:rPr>
                <w:rFonts w:ascii="Arial" w:cs="Arial" w:hAnsi="Arial" w:hint="default"/>
                <w:b/>
                <w:bCs/>
                <w:sz w:val="22"/>
                <w:szCs w:val="22"/>
              </w:rPr>
              <w:t xml:space="preserve"> </w:t>
            </w:r>
            <w:r>
              <w:rPr>
                <w:rFonts w:ascii="Arial" w:cs="Arial" w:hAnsi="Arial" w:hint="default"/>
                <w:b/>
                <w:bCs/>
                <w:sz w:val="22"/>
                <w:szCs w:val="22"/>
              </w:rPr>
              <w:t>by</w:t>
            </w:r>
            <w:r>
              <w:rPr>
                <w:rFonts w:ascii="Arial" w:cs="Arial" w:hAnsi="Arial" w:hint="default"/>
                <w:b/>
                <w:bCs/>
                <w:sz w:val="22"/>
                <w:szCs w:val="22"/>
              </w:rPr>
              <w:t xml:space="preserve"> </w:t>
            </w:r>
            <w:r>
              <w:rPr>
                <w:rFonts w:ascii="Arial" w:cs="Arial" w:hAnsi="Arial" w:hint="default"/>
                <w:b/>
                <w:bCs/>
                <w:sz w:val="22"/>
                <w:szCs w:val="22"/>
              </w:rPr>
              <w:t>M</w:t>
            </w:r>
            <w:r>
              <w:rPr>
                <w:rFonts w:ascii="Arial" w:cs="Arial" w:hAnsi="Arial" w:hint="default"/>
                <w:b/>
                <w:bCs/>
                <w:sz w:val="22"/>
                <w:szCs w:val="22"/>
              </w:rPr>
              <w:t>arker</w:t>
            </w:r>
            <w:r>
              <w:rPr>
                <w:rFonts w:ascii="Arial" w:cs="Arial" w:hAnsi="Arial" w:hint="default"/>
                <w:b/>
                <w:bCs/>
                <w:sz w:val="22"/>
                <w:szCs w:val="22"/>
              </w:rPr>
              <w:t xml:space="preserve"> </w:t>
            </w:r>
            <w:r>
              <w:rPr>
                <w:rFonts w:ascii="Arial" w:cs="Arial" w:hAnsi="Arial" w:hint="default"/>
                <w:b/>
                <w:bCs/>
                <w:sz w:val="22"/>
                <w:szCs w:val="22"/>
              </w:rPr>
              <w:t>2</w:t>
            </w:r>
            <w:r>
              <w:rPr>
                <w:rFonts w:ascii="Arial" w:cs="Arial" w:hAnsi="Arial" w:hint="default"/>
                <w:b/>
                <w:bCs/>
                <w:sz w:val="22"/>
                <w:szCs w:val="22"/>
              </w:rPr>
              <w:t>/M</w:t>
            </w:r>
            <w:r>
              <w:rPr>
                <w:rFonts w:ascii="Arial" w:cs="Arial" w:hAnsi="Arial" w:hint="default"/>
                <w:b/>
                <w:bCs/>
                <w:sz w:val="22"/>
                <w:szCs w:val="22"/>
              </w:rPr>
              <w:t>oderator</w:t>
            </w:r>
            <w:r>
              <w:rPr>
                <w:rFonts w:ascii="Arial" w:cs="Arial" w:hAnsi="Arial" w:hint="default"/>
                <w:b/>
                <w:bCs/>
                <w:sz w:val="22"/>
                <w:szCs w:val="22"/>
              </w:rPr>
              <w:t>:</w:t>
            </w:r>
          </w:p>
          <w:p>
            <w:pPr>
              <w:spacing w:before="0" w:after="0"/>
              <w:ind w:right="-334"/>
              <w:rPr/>
            </w:pPr>
          </w:p>
          <w:p>
            <w:pPr>
              <w:spacing w:before="0" w:after="0"/>
              <w:ind w:right="-334"/>
              <w:rPr/>
            </w:pPr>
            <w:r>
              <w:rPr>
                <w:rFonts w:ascii="Arial" w:cs="Arial" w:hAnsi="Arial" w:hint="default"/>
                <w:sz w:val="22"/>
                <w:szCs w:val="22"/>
              </w:rPr>
              <w:t>Comments:</w:t>
            </w: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spacing w:before="0" w:after="0"/>
              <w:ind w:right="-334"/>
              <w:rPr/>
            </w:pPr>
            <w:r>
              <w:rPr>
                <w:rFonts w:ascii="Arial" w:cs="Arial" w:hAnsi="Arial" w:hint="default"/>
                <w:sz w:val="22"/>
                <w:szCs w:val="22"/>
              </w:rPr>
              <w:t>Markers</w:t>
            </w:r>
            <w:r>
              <w:rPr>
                <w:rFonts w:ascii="Arial" w:cs="Arial" w:hAnsi="Arial" w:hint="default"/>
                <w:sz w:val="22"/>
                <w:szCs w:val="22"/>
              </w:rPr>
              <w:t xml:space="preserve"> </w:t>
            </w:r>
            <w:r>
              <w:rPr>
                <w:rFonts w:ascii="Arial" w:cs="Arial" w:hAnsi="Arial" w:hint="default"/>
                <w:sz w:val="22"/>
                <w:szCs w:val="22"/>
              </w:rPr>
              <w:t>Signature</w:t>
            </w:r>
            <w:r>
              <w:rPr>
                <w:rFonts w:ascii="Arial" w:cs="Arial" w:hAnsi="Arial" w:hint="default"/>
                <w:sz w:val="22"/>
                <w:szCs w:val="22"/>
              </w:rPr>
              <w:t>:</w:t>
            </w:r>
          </w:p>
        </w:tc>
        <w:tc>
          <w:tcPr>
            <w:tcW w:w="3645" w:type="dxa"/>
            <w:gridSpan w:val="4"/>
            <w:tcBorders>
              <w:top w:val="single" w:sz="4" w:space="0" w:color="auto"/>
              <w:left w:val="single" w:sz="4" w:space="0" w:color="auto"/>
              <w:bottom w:val="single" w:sz="4" w:space="0" w:color="auto"/>
              <w:right w:val="single" w:sz="4" w:space="0" w:color="auto"/>
            </w:tcBorders>
          </w:tcPr>
          <w:p>
            <w:pPr>
              <w:spacing w:before="0" w:after="0"/>
              <w:ind w:right="-334"/>
              <w:rPr/>
            </w:pPr>
            <w:r>
              <w:rPr>
                <w:rFonts w:ascii="Arial" w:cs="Arial" w:hAnsi="Arial" w:hint="default"/>
                <w:sz w:val="22"/>
                <w:szCs w:val="22"/>
              </w:rPr>
              <w:t>Date:</w:t>
            </w:r>
          </w:p>
        </w:tc>
      </w:tr>
      <w:tr>
        <w:tblPrEx/>
        <w:trPr>
          <w:wBefore w:w="0" w:type="dxa"/>
          <w:wAfter w:w="0" w:type="dxa"/>
          <w:cantSplit w:val="false"/>
          <w:trHeight w:val="720"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rPr/>
            </w:pPr>
            <w:r>
              <w:rPr>
                <w:rFonts w:ascii="Arial" w:cs="Arial" w:hAnsi="Arial" w:hint="default"/>
                <w:b/>
                <w:bCs/>
                <w:sz w:val="22"/>
                <w:szCs w:val="22"/>
              </w:rPr>
              <w:t>External</w:t>
            </w:r>
            <w:r>
              <w:rPr>
                <w:rFonts w:ascii="Arial" w:cs="Arial" w:hAnsi="Arial" w:hint="default"/>
                <w:b/>
                <w:bCs/>
                <w:sz w:val="22"/>
                <w:szCs w:val="22"/>
              </w:rPr>
              <w:t xml:space="preserve"> </w:t>
            </w:r>
            <w:r>
              <w:rPr>
                <w:rFonts w:ascii="Arial" w:cs="Arial" w:hAnsi="Arial" w:hint="default"/>
                <w:b/>
                <w:bCs/>
                <w:sz w:val="22"/>
                <w:szCs w:val="22"/>
              </w:rPr>
              <w:t>Examiners</w:t>
            </w:r>
            <w:r>
              <w:rPr>
                <w:rFonts w:ascii="Arial" w:cs="Arial" w:hAnsi="Arial" w:hint="default"/>
                <w:b/>
                <w:bCs/>
                <w:sz w:val="22"/>
                <w:szCs w:val="22"/>
              </w:rPr>
              <w:t xml:space="preserve"> </w:t>
            </w:r>
            <w:r>
              <w:rPr>
                <w:rFonts w:ascii="Arial" w:cs="Arial" w:hAnsi="Arial" w:hint="default"/>
                <w:b/>
                <w:bCs/>
                <w:sz w:val="22"/>
                <w:szCs w:val="22"/>
              </w:rPr>
              <w:t>comments</w:t>
            </w:r>
            <w:r>
              <w:rPr>
                <w:rFonts w:ascii="Arial" w:cs="Arial" w:hAnsi="Arial" w:hint="default"/>
                <w:b/>
                <w:bCs/>
                <w:sz w:val="22"/>
                <w:szCs w:val="22"/>
              </w:rPr>
              <w:t xml:space="preserve"> </w:t>
            </w:r>
            <w:r>
              <w:rPr>
                <w:rFonts w:ascii="Arial" w:cs="Arial" w:hAnsi="Arial" w:hint="default"/>
                <w:b/>
                <w:bCs/>
                <w:sz w:val="22"/>
                <w:szCs w:val="22"/>
              </w:rPr>
              <w:t>(if</w:t>
            </w:r>
            <w:r>
              <w:rPr>
                <w:rFonts w:ascii="Arial" w:cs="Arial" w:hAnsi="Arial" w:hint="default"/>
                <w:b/>
                <w:bCs/>
                <w:sz w:val="22"/>
                <w:szCs w:val="22"/>
              </w:rPr>
              <w:t xml:space="preserve"> </w:t>
            </w:r>
            <w:r>
              <w:rPr>
                <w:rFonts w:ascii="Arial" w:cs="Arial" w:hAnsi="Arial" w:hint="default"/>
                <w:b/>
                <w:bCs/>
                <w:sz w:val="22"/>
                <w:szCs w:val="22"/>
              </w:rPr>
              <w:t>relevant)</w:t>
            </w: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p>
            <w:pPr>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External</w:t>
            </w:r>
            <w:r>
              <w:rPr>
                <w:rFonts w:ascii="Arial" w:cs="Arial" w:hAnsi="Arial" w:hint="default"/>
                <w:sz w:val="22"/>
                <w:szCs w:val="22"/>
              </w:rPr>
              <w:t xml:space="preserve"> </w:t>
            </w:r>
            <w:r>
              <w:rPr>
                <w:rFonts w:ascii="Arial" w:cs="Arial" w:hAnsi="Arial" w:hint="default"/>
                <w:sz w:val="22"/>
                <w:szCs w:val="22"/>
              </w:rPr>
              <w:t>Examiners</w:t>
            </w:r>
            <w:r>
              <w:rPr>
                <w:rFonts w:ascii="Arial" w:cs="Arial" w:hAnsi="Arial" w:hint="default"/>
                <w:sz w:val="22"/>
                <w:szCs w:val="22"/>
              </w:rPr>
              <w:t xml:space="preserve"> </w:t>
            </w:r>
            <w:r>
              <w:rPr>
                <w:rFonts w:ascii="Arial" w:cs="Arial" w:hAnsi="Arial" w:hint="default"/>
                <w:sz w:val="22"/>
                <w:szCs w:val="22"/>
              </w:rPr>
              <w:t>Signature:</w:t>
            </w:r>
          </w:p>
        </w:tc>
        <w:tc>
          <w:tcPr>
            <w:tcW w:w="3645" w:type="dxa"/>
            <w:gridSpan w:val="4"/>
            <w:tcBorders>
              <w:top w:val="single" w:sz="4" w:space="0" w:color="auto"/>
              <w:left w:val="single" w:sz="4" w:space="0" w:color="auto"/>
              <w:bottom w:val="single" w:sz="4" w:space="0" w:color="auto"/>
              <w:right w:val="single" w:sz="4" w:space="0" w:color="auto"/>
            </w:tcBorders>
          </w:tcPr>
          <w:p>
            <w:pPr>
              <w:rPr/>
            </w:pPr>
            <w:r>
              <w:rPr>
                <w:rFonts w:ascii="Arial" w:cs="Arial" w:hAnsi="Arial" w:hint="default"/>
                <w:sz w:val="22"/>
                <w:szCs w:val="22"/>
              </w:rPr>
              <w:t>Date:</w:t>
            </w:r>
          </w:p>
        </w:tc>
      </w:tr>
    </w:tbl>
    <w:p>
      <w:pPr>
        <w:spacing w:before="0" w:after="0"/>
        <w:ind w:right="-334"/>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Compare and Contrast Two Sky Myths From Two Different Cultures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This essay will compare and contrast the Greek myth of Orion, focusing on </w:t>
      </w:r>
      <w:r>
        <w:rPr>
          <w:rFonts w:ascii="Arial Rounded" w:cs="Arial Rounded" w:eastAsia="Arial Rounded" w:hAnsi="Arial Rounded"/>
          <w:b/>
          <w:sz w:val="36"/>
          <w:szCs w:val="36"/>
        </w:rPr>
        <w:t xml:space="preserve">the hunter’s </w:t>
      </w:r>
      <w:r>
        <w:rPr>
          <w:rFonts w:ascii="Arial Rounded" w:cs="Arial Rounded" w:eastAsia="Arial Rounded" w:hAnsi="Arial Rounded"/>
          <w:b/>
          <w:i w:val="false"/>
          <w:smallCaps w:val="false"/>
          <w:color w:val="000000"/>
          <w:sz w:val="36"/>
          <w:szCs w:val="36"/>
          <w:u w:val="none"/>
          <w:shd w:val="clear" w:color="auto" w:fill="auto"/>
          <w:vertAlign w:val="baseline"/>
        </w:rPr>
        <w:t>transformation from giant to constellation, and the Egyptian myth of Thoth gambling with the moon. The former is complex, with many variants, featuring across multiple sources. Th</w:t>
      </w:r>
      <w:r>
        <w:rPr>
          <w:rFonts w:ascii="Arial Rounded" w:cs="Arial Rounded" w:eastAsia="Arial Rounded" w:hAnsi="Arial Rounded"/>
          <w:b/>
          <w:sz w:val="36"/>
          <w:szCs w:val="36"/>
        </w:rPr>
        <w:t>e</w:t>
      </w:r>
      <w:r>
        <w:rPr>
          <w:rFonts w:ascii="Arial Rounded" w:cs="Arial Rounded" w:eastAsia="Arial Rounded" w:hAnsi="Arial Rounded"/>
          <w:b/>
          <w:i w:val="false"/>
          <w:smallCaps w:val="false"/>
          <w:color w:val="000000"/>
          <w:sz w:val="36"/>
          <w:szCs w:val="36"/>
          <w:u w:val="none"/>
          <w:shd w:val="clear" w:color="auto" w:fill="auto"/>
          <w:vertAlign w:val="baseline"/>
        </w:rPr>
        <w:t xml:space="preserve"> essay will focus chiefly on the works of Apollodoros and Istrus, due to</w:t>
      </w:r>
      <w:r>
        <w:rPr>
          <w:rFonts w:ascii="Arial Rounded" w:cs="Arial Rounded" w:eastAsia="Arial Rounded" w:hAnsi="Arial Rounded"/>
          <w:b/>
          <w:sz w:val="36"/>
          <w:szCs w:val="36"/>
        </w:rPr>
        <w:t xml:space="preserve"> limitations of </w:t>
      </w:r>
      <w:r>
        <w:rPr>
          <w:rFonts w:ascii="Arial Rounded" w:cs="Arial Rounded" w:eastAsia="Arial Rounded" w:hAnsi="Arial Rounded"/>
          <w:b/>
          <w:i w:val="false"/>
          <w:smallCaps w:val="false"/>
          <w:color w:val="000000"/>
          <w:sz w:val="36"/>
          <w:szCs w:val="36"/>
          <w:u w:val="none"/>
          <w:shd w:val="clear" w:color="auto" w:fill="auto"/>
          <w:vertAlign w:val="baseline"/>
        </w:rPr>
        <w:t>space. The latter, Thoth story</w:t>
      </w:r>
      <w:r>
        <w:rPr>
          <w:rFonts w:ascii="Arial Rounded" w:cs="Arial Rounded" w:eastAsia="Arial Rounded" w:hAnsi="Arial Rounded"/>
          <w:b/>
          <w:sz w:val="36"/>
          <w:szCs w:val="36"/>
        </w:rPr>
        <w:t>,</w:t>
      </w:r>
      <w:r>
        <w:rPr>
          <w:rFonts w:ascii="Arial Rounded" w:cs="Arial Rounded" w:eastAsia="Arial Rounded" w:hAnsi="Arial Rounded"/>
          <w:b/>
          <w:i w:val="false"/>
          <w:smallCaps w:val="false"/>
          <w:color w:val="000000"/>
          <w:sz w:val="36"/>
          <w:szCs w:val="36"/>
          <w:u w:val="none"/>
          <w:shd w:val="clear" w:color="auto" w:fill="auto"/>
          <w:vertAlign w:val="baseline"/>
        </w:rPr>
        <w:t xml:space="preserve"> is more straightforward, with </w:t>
      </w:r>
      <w:r>
        <w:rPr>
          <w:rFonts w:ascii="Arial Rounded" w:cs="Arial Rounded" w:eastAsia="Arial Rounded" w:hAnsi="Arial Rounded"/>
          <w:b/>
          <w:sz w:val="36"/>
          <w:szCs w:val="36"/>
        </w:rPr>
        <w:t>just</w:t>
      </w:r>
      <w:r>
        <w:rPr>
          <w:rFonts w:ascii="Arial Rounded" w:cs="Arial Rounded" w:eastAsia="Arial Rounded" w:hAnsi="Arial Rounded"/>
          <w:b/>
          <w:i w:val="false"/>
          <w:smallCaps w:val="false"/>
          <w:color w:val="000000"/>
          <w:sz w:val="36"/>
          <w:szCs w:val="36"/>
          <w:u w:val="none"/>
          <w:shd w:val="clear" w:color="auto" w:fill="auto"/>
          <w:vertAlign w:val="baseline"/>
        </w:rPr>
        <w:t xml:space="preserve"> one major source,</w:t>
      </w:r>
      <w:r>
        <w:rPr>
          <w:rFonts w:ascii="Arial Rounded" w:cs="Arial Rounded" w:eastAsia="Arial Rounded" w:hAnsi="Arial Rounded"/>
          <w:b/>
          <w:sz w:val="36"/>
          <w:szCs w:val="36"/>
        </w:rPr>
        <w:t xml:space="preserve"> </w:t>
      </w:r>
      <w:r>
        <w:rPr>
          <w:rFonts w:ascii="Arial Rounded" w:cs="Arial Rounded" w:eastAsia="Arial Rounded" w:hAnsi="Arial Rounded"/>
          <w:b/>
          <w:i w:val="false"/>
          <w:smallCaps w:val="false"/>
          <w:color w:val="000000"/>
          <w:sz w:val="36"/>
          <w:szCs w:val="36"/>
          <w:u w:val="none"/>
          <w:shd w:val="clear" w:color="auto" w:fill="auto"/>
          <w:vertAlign w:val="baseline"/>
        </w:rPr>
        <w:t xml:space="preserve">Plutarch’s </w:t>
      </w:r>
      <w:r>
        <w:rPr>
          <w:rFonts w:ascii="Arial Rounded" w:cs="Arial Rounded" w:eastAsia="Arial Rounded" w:hAnsi="Arial Rounded"/>
          <w:b/>
          <w:i/>
          <w:iCs/>
          <w:smallCaps w:val="false"/>
          <w:color w:val="000000"/>
          <w:sz w:val="36"/>
          <w:szCs w:val="36"/>
          <w:u w:val="none"/>
          <w:shd w:val="clear" w:color="auto" w:fill="auto"/>
          <w:vertAlign w:val="baseline"/>
        </w:rPr>
        <w:t>Moralia</w:t>
      </w:r>
      <w:r>
        <w:rPr>
          <w:rFonts w:ascii="Arial Rounded" w:cs="Arial Rounded" w:eastAsia="Arial Rounded" w:hAnsi="Arial Rounded"/>
          <w:b/>
          <w:i w:val="false"/>
          <w:smallCaps w:val="false"/>
          <w:color w:val="000000"/>
          <w:sz w:val="36"/>
          <w:szCs w:val="36"/>
          <w:u w:val="none"/>
          <w:shd w:val="clear" w:color="auto" w:fill="auto"/>
          <w:vertAlign w:val="baseline"/>
        </w:rPr>
        <w:t xml:space="preserve">. Both of these myths are the products of ancient societies and, as such, are recounted in ancient sources. It is therefore fitting to apply a quotation from the </w:t>
      </w:r>
      <w:r>
        <w:rPr>
          <w:rFonts w:ascii="Arial Rounded" w:cs="Arial Rounded" w:eastAsia="Arial Rounded" w:hAnsi="Arial Rounded"/>
          <w:b/>
          <w:i/>
          <w:iCs/>
          <w:smallCaps w:val="false"/>
          <w:color w:val="000000"/>
          <w:sz w:val="36"/>
          <w:szCs w:val="36"/>
          <w:u w:val="none"/>
          <w:shd w:val="clear" w:color="auto" w:fill="auto"/>
          <w:vertAlign w:val="baseline"/>
        </w:rPr>
        <w:t>New</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Larousse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Encyclopedia</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of</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Mythology</w:t>
      </w:r>
      <w:r>
        <w:rPr>
          <w:rFonts w:ascii="Arial Rounded" w:cs="Arial Rounded" w:eastAsia="Arial Rounded" w:hAnsi="Arial Rounded"/>
          <w:b/>
          <w:i w:val="false"/>
          <w:smallCaps w:val="false"/>
          <w:color w:val="000000"/>
          <w:sz w:val="36"/>
          <w:szCs w:val="36"/>
          <w:u w:val="none"/>
          <w:shd w:val="clear" w:color="auto" w:fill="auto"/>
          <w:vertAlign w:val="baseline"/>
        </w:rPr>
        <w:t xml:space="preserve">, specifically from the Introduction, which was penned by Robert Graves himself. Robert Graves is a prominent figure in the field of Classical Studies. He is sometimes considered to be the 'author' of the Greek myths in the modern sense, due to his own </w:t>
      </w:r>
      <w:r>
        <w:rPr>
          <w:rFonts w:ascii="Arial Rounded" w:cs="Arial Rounded" w:eastAsia="Arial Rounded" w:hAnsi="Arial Rounded"/>
          <w:b/>
          <w:sz w:val="36"/>
          <w:szCs w:val="36"/>
        </w:rPr>
        <w:t xml:space="preserve">extensive publications </w:t>
      </w:r>
      <w:r>
        <w:rPr>
          <w:rFonts w:ascii="Arial Rounded" w:cs="Arial Rounded" w:eastAsia="Arial Rounded" w:hAnsi="Arial Rounded"/>
          <w:b/>
          <w:i w:val="false"/>
          <w:smallCaps w:val="false"/>
          <w:color w:val="000000"/>
          <w:sz w:val="36"/>
          <w:szCs w:val="36"/>
          <w:u w:val="none"/>
          <w:shd w:val="clear" w:color="auto" w:fill="auto"/>
          <w:vertAlign w:val="baseline"/>
        </w:rPr>
        <w:t xml:space="preserve">of scholarly works, </w:t>
      </w:r>
      <w:r>
        <w:rPr>
          <w:rFonts w:ascii="Arial Rounded" w:cs="Arial Rounded" w:eastAsia="Arial Rounded" w:hAnsi="Arial Rounded"/>
          <w:b/>
          <w:sz w:val="36"/>
          <w:szCs w:val="36"/>
        </w:rPr>
        <w:t xml:space="preserve">notably </w:t>
      </w:r>
      <w:r>
        <w:rPr>
          <w:rFonts w:ascii="Arial Rounded" w:cs="Arial Rounded" w:eastAsia="Arial Rounded" w:hAnsi="Arial Rounded"/>
          <w:b/>
          <w:i w:val="false"/>
          <w:smallCaps w:val="false"/>
          <w:color w:val="000000"/>
          <w:sz w:val="36"/>
          <w:szCs w:val="36"/>
          <w:u w:val="none"/>
          <w:shd w:val="clear" w:color="auto" w:fill="auto"/>
          <w:vertAlign w:val="baseline"/>
        </w:rPr>
        <w:t>“</w:t>
      </w:r>
      <w:r>
        <w:rPr>
          <w:rFonts w:ascii="Arial Rounded" w:cs="Arial Rounded" w:eastAsia="Arial Rounded" w:hAnsi="Arial Rounded"/>
          <w:b/>
          <w:sz w:val="36"/>
          <w:szCs w:val="36"/>
        </w:rPr>
        <w:t>The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sz w:val="36"/>
          <w:szCs w:val="36"/>
        </w:rPr>
        <w:t>First</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sz w:val="36"/>
          <w:szCs w:val="36"/>
        </w:rPr>
        <w:t>Modern</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sz w:val="36"/>
          <w:szCs w:val="36"/>
        </w:rPr>
        <w:t>Dictionary</w:t>
      </w:r>
      <w:r>
        <w:rPr>
          <w:rFonts w:ascii="Arial Rounded" w:cs="Arial Rounded" w:eastAsia="Arial Rounded" w:hAnsi="Arial Rounded"/>
          <w:b/>
          <w:i w:val="false"/>
          <w:smallCaps w:val="false"/>
          <w:color w:val="000000"/>
          <w:sz w:val="36"/>
          <w:szCs w:val="36"/>
          <w:u w:val="none"/>
          <w:shd w:val="clear" w:color="auto" w:fill="auto"/>
          <w:vertAlign w:val="baseline"/>
        </w:rPr>
        <w:t xml:space="preserve"> of Greek </w:t>
      </w:r>
      <w:r>
        <w:rPr>
          <w:rFonts w:ascii="Arial Rounded" w:cs="Arial Rounded" w:eastAsia="Arial Rounded" w:hAnsi="Arial Rounded"/>
          <w:b/>
          <w:sz w:val="36"/>
          <w:szCs w:val="36"/>
        </w:rPr>
        <w:t>Mytholgy</w:t>
      </w:r>
      <w:r>
        <w:rPr>
          <w:rFonts w:ascii="Arial Rounded" w:cs="Arial Rounded" w:eastAsia="Arial Rounded" w:hAnsi="Arial Rounded"/>
          <w:b/>
          <w:i w:val="false"/>
          <w:smallCaps w:val="false"/>
          <w:color w:val="000000"/>
          <w:sz w:val="36"/>
          <w:szCs w:val="36"/>
          <w:u w:val="none"/>
          <w:shd w:val="clear" w:color="auto" w:fill="auto"/>
          <w:vertAlign w:val="baseline"/>
        </w:rPr>
        <w:t>, The Greek Myths.”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
      </w:r>
      <w:r>
        <w:rPr>
          <w:rFonts w:ascii="Arial Rounded" w:cs="Arial Rounded" w:eastAsia="Arial Rounded" w:hAnsi="Arial Rounded"/>
          <w:b/>
          <w:i w:val="false"/>
          <w:smallCaps w:val="false"/>
          <w:color w:val="000000"/>
          <w:sz w:val="36"/>
          <w:szCs w:val="36"/>
          <w:u w:val="none"/>
          <w:shd w:val="clear" w:color="auto" w:fill="auto"/>
          <w:vertAlign w:val="baseline"/>
        </w:rPr>
        <w:t xml:space="preserve"> Graves opens his Introduction with the following statement:</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“Mythology is the study of whatever religious or heroic legends are so foreign to a student’s experience that he cannot believe them to be true. Hence the English adjective ‘mythical’, meaning ‘incredible’”.</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Factoring in the notorious difficulty in defining the concept of ‘mythology’, Graves’ opening statement seems to be a reasonable starting point. He goes on to speculate on the functions of myth, stating that: </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“Myth has two main functions. The first is to answer the sort of awkward questions that children ask, such as: ‘Who made the world? How will it end? Who was the first man? Where do souls go after death?’ … The second function of myth is to justify an existing social system and account for traditional rites and customs.”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3"/>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Graves thus favours aetiology; the use of myths to explain phenomena; both physical and social. This approach certainly fits with sky myths, as they can be utilised to account for both the movements of the sky and the calendar that humans use in conjunction with it. Barry P. Powell also applies aetiology in his definitions of ‘myth’, indicating that this is a popular approach. Furthermore, he sub-divides myths into the three main categories of divine myth, legend and folktale.</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4"/>
      </w:r>
      <w:r>
        <w:rPr>
          <w:rFonts w:ascii="Arial Rounded" w:cs="Arial Rounded" w:eastAsia="Arial Rounded" w:hAnsi="Arial Rounded"/>
          <w:b/>
          <w:i w:val="false"/>
          <w:smallCaps w:val="false"/>
          <w:color w:val="000000"/>
          <w:sz w:val="36"/>
          <w:szCs w:val="36"/>
          <w:u w:val="none"/>
          <w:shd w:val="clear" w:color="auto" w:fill="auto"/>
          <w:vertAlign w:val="baseline"/>
        </w:rPr>
        <w:t xml:space="preserve"> The two myths focused on in this essay are both classified as divine myths, (as are some additional myths used for comparison), </w:t>
      </w:r>
      <w:r>
        <w:rPr>
          <w:rFonts w:ascii="Arial Rounded" w:cs="Arial Rounded" w:eastAsia="Arial Rounded" w:hAnsi="Arial Rounded"/>
          <w:b/>
          <w:sz w:val="36"/>
          <w:szCs w:val="36"/>
        </w:rPr>
        <w:t>as they</w:t>
      </w:r>
      <w:r>
        <w:rPr>
          <w:rFonts w:ascii="Arial Rounded" w:cs="Arial Rounded" w:eastAsia="Arial Rounded" w:hAnsi="Arial Rounded"/>
          <w:b/>
          <w:i w:val="false"/>
          <w:smallCaps w:val="false"/>
          <w:color w:val="000000"/>
          <w:sz w:val="36"/>
          <w:szCs w:val="36"/>
          <w:u w:val="none"/>
          <w:shd w:val="clear" w:color="auto" w:fill="auto"/>
          <w:vertAlign w:val="baseline"/>
        </w:rPr>
        <w:t xml:space="preserve"> featur</w:t>
      </w:r>
      <w:r>
        <w:rPr>
          <w:rFonts w:ascii="Arial Rounded" w:cs="Arial Rounded" w:eastAsia="Arial Rounded" w:hAnsi="Arial Rounded"/>
          <w:b/>
          <w:sz w:val="36"/>
          <w:szCs w:val="36"/>
        </w:rPr>
        <w:t xml:space="preserve">e </w:t>
      </w:r>
      <w:r>
        <w:rPr>
          <w:rFonts w:ascii="Arial Rounded" w:cs="Arial Rounded" w:eastAsia="Arial Rounded" w:hAnsi="Arial Rounded"/>
          <w:b/>
          <w:i w:val="false"/>
          <w:smallCaps w:val="false"/>
          <w:color w:val="000000"/>
          <w:sz w:val="36"/>
          <w:szCs w:val="36"/>
          <w:u w:val="none"/>
          <w:shd w:val="clear" w:color="auto" w:fill="auto"/>
          <w:vertAlign w:val="baseline"/>
        </w:rPr>
        <w:t>the gods as characters.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The main source for the myth of Thoth gambling with the moon is (as briefly mentioned) Plutarch's </w:t>
      </w:r>
      <w:r>
        <w:rPr>
          <w:rFonts w:ascii="Arial Rounded" w:cs="Arial Rounded" w:eastAsia="Arial Rounded" w:hAnsi="Arial Rounded"/>
          <w:b/>
          <w:i/>
          <w:iCs/>
          <w:smallCaps w:val="false"/>
          <w:color w:val="000000"/>
          <w:sz w:val="36"/>
          <w:szCs w:val="36"/>
          <w:u w:val="none"/>
          <w:shd w:val="clear" w:color="auto" w:fill="auto"/>
          <w:vertAlign w:val="baseline"/>
        </w:rPr>
        <w:t>Moralia</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sz w:val="36"/>
          <w:szCs w:val="36"/>
        </w:rPr>
        <w:t>The myth</w:t>
      </w:r>
      <w:r>
        <w:rPr>
          <w:rFonts w:ascii="Arial Rounded" w:cs="Arial Rounded" w:eastAsia="Arial Rounded" w:hAnsi="Arial Rounded"/>
          <w:b/>
          <w:i w:val="false"/>
          <w:smallCaps w:val="false"/>
          <w:color w:val="000000"/>
          <w:sz w:val="36"/>
          <w:szCs w:val="36"/>
          <w:u w:val="none"/>
          <w:shd w:val="clear" w:color="auto" w:fill="auto"/>
          <w:vertAlign w:val="baseline"/>
        </w:rPr>
        <w:t xml:space="preserve"> is located in Book V, in a section entitled "Isis and Osiris",which is the home of his Ancient Egyptian material. </w:t>
      </w:r>
      <w:r>
        <w:rPr>
          <w:rFonts w:ascii="Arial Rounded" w:cs="Arial Rounded" w:eastAsia="Arial Rounded" w:hAnsi="Arial Rounded"/>
          <w:b/>
          <w:i/>
          <w:iCs/>
          <w:smallCaps w:val="false"/>
          <w:color w:val="000000"/>
          <w:sz w:val="36"/>
          <w:szCs w:val="36"/>
          <w:u w:val="none"/>
          <w:shd w:val="clear" w:color="auto" w:fill="auto"/>
          <w:vertAlign w:val="baseline"/>
        </w:rPr>
        <w:t>The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Cambridge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Companion</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to</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Plutarch</w:t>
      </w:r>
      <w:r>
        <w:rPr>
          <w:rFonts w:ascii="Arial Rounded" w:cs="Arial Rounded" w:eastAsia="Arial Rounded" w:hAnsi="Arial Rounded"/>
          <w:b/>
          <w:i w:val="false"/>
          <w:smallCaps w:val="false"/>
          <w:color w:val="000000"/>
          <w:sz w:val="36"/>
          <w:szCs w:val="36"/>
          <w:u w:val="none"/>
          <w:shd w:val="clear" w:color="auto" w:fill="auto"/>
          <w:vertAlign w:val="baseline"/>
        </w:rPr>
        <w:t xml:space="preserve"> describes the </w:t>
      </w:r>
      <w:r>
        <w:rPr>
          <w:rFonts w:ascii="Arial Rounded" w:cs="Arial Rounded" w:eastAsia="Arial Rounded" w:hAnsi="Arial Rounded"/>
          <w:b/>
          <w:i/>
          <w:iCs/>
          <w:smallCaps w:val="false"/>
          <w:color w:val="000000"/>
          <w:sz w:val="36"/>
          <w:szCs w:val="36"/>
          <w:u w:val="none"/>
          <w:shd w:val="clear" w:color="auto" w:fill="auto"/>
          <w:vertAlign w:val="baseline"/>
        </w:rPr>
        <w:t>Moralia</w:t>
      </w:r>
      <w:r>
        <w:rPr>
          <w:rFonts w:ascii="Arial Rounded" w:cs="Arial Rounded" w:eastAsia="Arial Rounded" w:hAnsi="Arial Rounded"/>
          <w:b/>
          <w:i w:val="false"/>
          <w:smallCaps w:val="false"/>
          <w:color w:val="000000"/>
          <w:sz w:val="36"/>
          <w:szCs w:val="36"/>
          <w:u w:val="none"/>
          <w:shd w:val="clear" w:color="auto" w:fill="auto"/>
          <w:vertAlign w:val="baseline"/>
        </w:rPr>
        <w:t xml:space="preserve"> as: “the collection of over seventy-five essays that cover a wide spectrum of issues.”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5"/>
      </w:r>
      <w:r>
        <w:rPr>
          <w:rFonts w:ascii="Arial Rounded" w:cs="Arial Rounded" w:eastAsia="Arial Rounded" w:hAnsi="Arial Rounded"/>
          <w:b/>
          <w:i w:val="false"/>
          <w:smallCaps w:val="false"/>
          <w:color w:val="000000"/>
          <w:sz w:val="36"/>
          <w:szCs w:val="36"/>
          <w:u w:val="none"/>
          <w:shd w:val="clear" w:color="auto" w:fill="auto"/>
          <w:vertAlign w:val="baseline"/>
        </w:rPr>
        <w:t xml:space="preserve"> Plutarch was a Greek living under Roman rule. Due to the popular syncretism of his day, Plutarch applied Greek God names to the Egyptian Gods featured in the story. Thus, Nut and Geb, deities of the sky and earth respectively, are named as the titans Rhea and Cronus, while the Sun God Ra and Moon God Khonsu are simply the sun and moon. Thoth himself is equated with Hermes. This association seems to have been fairly culturally universal. Campion notes that:</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“there was considerable religious syncretism and, for example, both Egyptians and Greeks appeared to agree on the identification of the Egyptian god Thoth with the Greek Hermes.”.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6"/>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However, the new generation of gods, born during this story have their Egyptian names. For purposes of clarity and consistency, this essay will apply Egyptian names to the deities in th</w:t>
      </w:r>
      <w:r>
        <w:rPr>
          <w:rFonts w:ascii="Arial Rounded" w:cs="Arial Rounded" w:eastAsia="Arial Rounded" w:hAnsi="Arial Rounded"/>
          <w:b/>
          <w:sz w:val="36"/>
          <w:szCs w:val="36"/>
        </w:rPr>
        <w:t>e</w:t>
      </w:r>
      <w:r>
        <w:rPr>
          <w:rFonts w:ascii="Arial Rounded" w:cs="Arial Rounded" w:eastAsia="Arial Rounded" w:hAnsi="Arial Rounded"/>
          <w:b/>
          <w:i w:val="false"/>
          <w:smallCaps w:val="false"/>
          <w:color w:val="000000"/>
          <w:sz w:val="36"/>
          <w:szCs w:val="36"/>
          <w:u w:val="none"/>
          <w:shd w:val="clear" w:color="auto" w:fill="auto"/>
          <w:vertAlign w:val="baseline"/>
        </w:rPr>
        <w:t xml:space="preserve"> myth.</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 The essay has now reached the point where it is necessary to retell this myth, thus paraphrasing Plutarch. The story opens with the Sun God Ra objecting to the love affair between the Earth God Geb and the Sky Goddess Nut and her resulting pregnancy. Ra cursed Nut with a </w:t>
      </w:r>
      <w:r>
        <w:rPr>
          <w:rFonts w:ascii="Arial Rounded" w:cs="Arial Rounded" w:eastAsia="Arial Rounded" w:hAnsi="Arial Rounded"/>
          <w:b/>
          <w:sz w:val="36"/>
          <w:szCs w:val="36"/>
        </w:rPr>
        <w:t>unique</w:t>
      </w:r>
      <w:r>
        <w:rPr>
          <w:rFonts w:ascii="Arial Rounded" w:cs="Arial Rounded" w:eastAsia="Arial Rounded" w:hAnsi="Arial Rounded"/>
          <w:b/>
          <w:i w:val="false"/>
          <w:smallCaps w:val="false"/>
          <w:color w:val="000000"/>
          <w:sz w:val="36"/>
          <w:szCs w:val="36"/>
          <w:u w:val="none"/>
          <w:shd w:val="clear" w:color="auto" w:fill="auto"/>
          <w:vertAlign w:val="baseline"/>
        </w:rPr>
        <w:t xml:space="preserve"> form of barrenness, declaring that she would not give birth on any of the days of the year. At this point in mythical history, the year was 360 days long. It is significant that the supreme ruler of the gods in Ancient Egypt (possessing power and authority over the rest) was the Sun God. It exemplifies the importance the society placed upon the sun. In his chapter on Ancient Egypt in the book </w:t>
      </w:r>
      <w:r>
        <w:rPr>
          <w:rFonts w:ascii="Arial Rounded" w:cs="Arial Rounded" w:eastAsia="Arial Rounded" w:hAnsi="Arial Rounded"/>
          <w:b/>
          <w:i/>
          <w:iCs/>
          <w:smallCaps w:val="false"/>
          <w:color w:val="000000"/>
          <w:sz w:val="36"/>
          <w:szCs w:val="36"/>
          <w:u w:val="none"/>
          <w:shd w:val="clear" w:color="auto" w:fill="auto"/>
          <w:vertAlign w:val="baseline"/>
        </w:rPr>
        <w:t>Astrology</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and</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Cosmology</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in</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the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World</w:t>
      </w:r>
      <w:r>
        <w:rPr>
          <w:rFonts w:ascii="Arial Rounded" w:cs="Arial Rounded" w:eastAsia="Arial Rounded" w:hAnsi="Arial Rounded"/>
          <w:b/>
          <w:i w:val="false"/>
          <w:smallCaps w:val="false"/>
          <w:color w:val="000000"/>
          <w:sz w:val="36"/>
          <w:szCs w:val="36"/>
          <w:u w:val="none"/>
          <w:shd w:val="clear" w:color="auto" w:fill="auto"/>
          <w:vertAlign w:val="baseline"/>
        </w:rPr>
        <w:t>’</w:t>
      </w:r>
      <w:r>
        <w:rPr>
          <w:rFonts w:ascii="Arial Rounded" w:cs="Arial Rounded" w:eastAsia="Arial Rounded" w:hAnsi="Arial Rounded"/>
          <w:b/>
          <w:i/>
          <w:iCs/>
          <w:smallCaps w:val="false"/>
          <w:color w:val="000000"/>
          <w:sz w:val="36"/>
          <w:szCs w:val="36"/>
          <w:u w:val="none"/>
          <w:shd w:val="clear" w:color="auto" w:fill="auto"/>
          <w:vertAlign w:val="baseline"/>
        </w:rPr>
        <w:t>s</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Religions</w:t>
      </w:r>
      <w:r>
        <w:rPr>
          <w:rFonts w:ascii="Arial Rounded" w:cs="Arial Rounded" w:eastAsia="Arial Rounded" w:hAnsi="Arial Rounded"/>
          <w:b/>
          <w:i w:val="false"/>
          <w:smallCaps w:val="false"/>
          <w:color w:val="000000"/>
          <w:sz w:val="36"/>
          <w:szCs w:val="36"/>
          <w:u w:val="none"/>
          <w:shd w:val="clear" w:color="auto" w:fill="auto"/>
          <w:vertAlign w:val="baseline"/>
        </w:rPr>
        <w:t>, Campion names it as ‘The Solar Society’ in the heading, adding supporting secondary evidence.</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7"/>
      </w:r>
      <w:r>
        <w:rPr>
          <w:rFonts w:ascii="Arial Rounded" w:cs="Arial Rounded" w:eastAsia="Arial Rounded" w:hAnsi="Arial Rounded"/>
          <w:b/>
          <w:i w:val="false"/>
          <w:smallCaps w:val="false"/>
          <w:color w:val="000000"/>
          <w:sz w:val="36"/>
          <w:szCs w:val="36"/>
          <w:u w:val="none"/>
          <w:shd w:val="clear" w:color="auto" w:fill="auto"/>
          <w:vertAlign w:val="baseline"/>
        </w:rPr>
        <w:t xml:space="preserve"> As a solar deity, who was instrumental in creating the days, Ra presumably expected the curse to be fulfilled. However, he seemingly had not anticipated the intervention of Thoth, who was chiefly God of Wisdom.</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8"/>
      </w:r>
      <w:r>
        <w:rPr>
          <w:rFonts w:ascii="Arial Rounded" w:cs="Arial Rounded" w:eastAsia="Arial Rounded" w:hAnsi="Arial Rounded"/>
          <w:b/>
          <w:i w:val="false"/>
          <w:smallCaps w:val="false"/>
          <w:color w:val="000000"/>
          <w:sz w:val="36"/>
          <w:szCs w:val="36"/>
          <w:u w:val="none"/>
          <w:shd w:val="clear" w:color="auto" w:fill="auto"/>
          <w:vertAlign w:val="baseline"/>
        </w:rPr>
        <w:t xml:space="preserve"> He applied this attribute to determine that Nut, having run afoul of the Sun; one of the controllers of time, could conceivably be assisted by the Moon, the Sun's night time counterpart and the additional controller of time.  After all, as Campion notes, “The moon was only slightly less important than the sun.”.</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9"/>
      </w:r>
      <w:r>
        <w:rPr>
          <w:rFonts w:ascii="Arial Rounded" w:cs="Arial Rounded" w:eastAsia="Arial Rounded" w:hAnsi="Arial Rounded"/>
          <w:b/>
          <w:i w:val="false"/>
          <w:smallCaps w:val="false"/>
          <w:color w:val="000000"/>
          <w:sz w:val="36"/>
          <w:szCs w:val="36"/>
          <w:u w:val="none"/>
          <w:shd w:val="clear" w:color="auto" w:fill="auto"/>
          <w:vertAlign w:val="baseline"/>
        </w:rPr>
        <w:t xml:space="preserve">  This seems to have similarly occurred to Thoth. He accomplished the necessary lunar assistance by gambling with Khonsu the Moon deity for a share of moonlight. Ultimately, he won one seventieth of the moon's total illumination, which totalled five days. These were five new days, which had not been part of the pre-existing calendar. Th</w:t>
      </w:r>
      <w:r>
        <w:rPr>
          <w:rFonts w:ascii="Arial Rounded" w:cs="Arial Rounded" w:eastAsia="Arial Rounded" w:hAnsi="Arial Rounded"/>
          <w:b/>
          <w:sz w:val="36"/>
          <w:szCs w:val="36"/>
        </w:rPr>
        <w:t>us, the</w:t>
      </w:r>
      <w:r>
        <w:rPr>
          <w:rFonts w:ascii="Arial Rounded" w:cs="Arial Rounded" w:eastAsia="Arial Rounded" w:hAnsi="Arial Rounded"/>
          <w:b/>
          <w:i w:val="false"/>
          <w:smallCaps w:val="false"/>
          <w:color w:val="000000"/>
          <w:sz w:val="36"/>
          <w:szCs w:val="36"/>
          <w:u w:val="none"/>
          <w:shd w:val="clear" w:color="auto" w:fill="auto"/>
          <w:vertAlign w:val="baseline"/>
        </w:rPr>
        <w:t xml:space="preserve"> curse did not apply to them, and a loophole in time was created. It is noteworthy that: “The ancient Egyptians were in fact the earliest people to adjust their calendar to a length of 365 days.”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0"/>
      </w:r>
      <w:r>
        <w:rPr>
          <w:rFonts w:ascii="Arial Rounded" w:cs="Arial Rounded" w:eastAsia="Arial Rounded" w:hAnsi="Arial Rounded"/>
          <w:b/>
          <w:i w:val="false"/>
          <w:smallCaps w:val="false"/>
          <w:color w:val="000000"/>
          <w:sz w:val="36"/>
          <w:szCs w:val="36"/>
          <w:u w:val="none"/>
          <w:shd w:val="clear" w:color="auto" w:fill="auto"/>
          <w:vertAlign w:val="baseline"/>
        </w:rPr>
        <w:t xml:space="preserve"> They could therefore be viewed as progressive managers of their calendar, in spite of continuing to experience problems, due to not adjusting for leap years. The five new days enabled Nut to give birth to her five divine offspring, one on each successive day. Plutarch states that: “The Egyptians even now call these five days intercalated and celebrate them as the birthdays of the gods.”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1"/>
      </w:r>
      <w:r>
        <w:rPr>
          <w:rFonts w:ascii="Arial Rounded" w:cs="Arial Rounded" w:eastAsia="Arial Rounded" w:hAnsi="Arial Rounded"/>
          <w:b/>
          <w:i w:val="false"/>
          <w:smallCaps w:val="false"/>
          <w:color w:val="000000"/>
          <w:sz w:val="36"/>
          <w:szCs w:val="36"/>
          <w:u w:val="none"/>
          <w:shd w:val="clear" w:color="auto" w:fill="auto"/>
          <w:vertAlign w:val="baseline"/>
        </w:rPr>
        <w:t xml:space="preserve"> Janet and Stewart Ferrar name the aforementioned “five Egyptian intercalary days” as the Festival of Nut, dating them to the 24-28th of August.</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2"/>
      </w:r>
      <w:r>
        <w:rPr>
          <w:rFonts w:ascii="Arial Rounded" w:cs="Arial Rounded" w:eastAsia="Arial Rounded" w:hAnsi="Arial Rounded"/>
          <w:b/>
          <w:i w:val="false"/>
          <w:smallCaps w:val="false"/>
          <w:color w:val="000000"/>
          <w:sz w:val="36"/>
          <w:szCs w:val="36"/>
          <w:u w:val="none"/>
          <w:shd w:val="clear" w:color="auto" w:fill="auto"/>
          <w:vertAlign w:val="baseline"/>
        </w:rPr>
        <w:t xml:space="preserve"> The new days were between the harvest and the inundation period, allowing for a period of rest before the new year began.</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3"/>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Osiris was born on the first day, which seems fitting, as he was destined to become the first legendary King of Egypt and ultimately ruler of the Underworld. Plutarch emphasises the centrality of his male title character, declaring that:</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“on the first of these days Osiris was born, and at the hour of his birth a voice issued forth saying, ‘The Lord of All advances to the light’”</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4"/>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 The additional gods, born in succession over the remaining four days, were, in chronological order: Horus the Elder, Seth, Isis and Nephthys. Isis, in addition to being a major Egyptian goddess, is a character who features in the myth of Io. This story begins in Greece and ultimately ends in Egypt. It is therefore arguably both Greek and Egyptian. The myth of Io is therefore an example of a myth that contributes to bridging the gap between the two ancient cultures of Greece and Egypt. Plutarch himself did the same, as emphasised by his previously mentioned use of syncretism. Furthermore, he connected the two cultures purely by virtue of himself; both who he was and what he did. Plutarch was an Ancient Greek biographer and essayist, who lived in the first and second centuries A. D. In addition to his writings, he was known for his extensive travels, including to Egypt and for being a priest of Apollo at Delphi. David Sacks states that Plutarch:</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“lived in Greece but was also a Roman citizen, and may have held the local Roman post of procurator. He traveled, read, and wrote widely, and for the last 30 years of his life was a priest at the god Apollo’s shrine at Delphi. Plutarch embodies the Greek-Roman assimilation under the Roman Empire.”</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5"/>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sz w:val="36"/>
          <w:szCs w:val="36"/>
        </w:rPr>
        <w:t>In this way</w:t>
      </w:r>
      <w:r>
        <w:rPr>
          <w:rFonts w:ascii="Arial Rounded" w:cs="Arial Rounded" w:eastAsia="Arial Rounded" w:hAnsi="Arial Rounded"/>
          <w:b/>
          <w:i w:val="false"/>
          <w:smallCaps w:val="false"/>
          <w:color w:val="000000"/>
          <w:sz w:val="36"/>
          <w:szCs w:val="36"/>
          <w:u w:val="none"/>
          <w:shd w:val="clear" w:color="auto" w:fill="auto"/>
          <w:vertAlign w:val="baseline"/>
        </w:rPr>
        <w:t>, three major ancient cultures are united in the person of Plutarch, as he was arguably both Greek and Roman, and wrote about Egypt. Plutarch’s voyages abroad and subsequent writings about other cultures could classify him as a travel writer, in the manner of Pausanias. Although his travels in Egypt grant some credence to his written versions of their myths, the fact remains that Plutarch was Greek, and his nationality and background was bound to somewhat influence his tellings of them. This factor of Greek authors writing about Egypt could partially account for the apparent overlaps between the two mythologies.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The aetiology of the myth of Thoth gambling with the moon is to reconcile the lunar and solar calendars, accounting for their synchronicity in Ancient Egypt, in spite of the problematic five day discrepancy between them. It could therefore be considered a calendar myth as well as a sky myth, as its narrative contains and explains a change to the calendar. This myth is alternatively titled “The Days Upon the Year.”</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6"/>
      </w:r>
      <w:r>
        <w:rPr>
          <w:rFonts w:ascii="Arial Rounded" w:cs="Arial Rounded" w:eastAsia="Arial Rounded" w:hAnsi="Arial Rounded"/>
          <w:b/>
          <w:i w:val="false"/>
          <w:smallCaps w:val="false"/>
          <w:color w:val="000000"/>
          <w:sz w:val="36"/>
          <w:szCs w:val="36"/>
          <w:u w:val="none"/>
          <w:shd w:val="clear" w:color="auto" w:fill="auto"/>
          <w:vertAlign w:val="baseline"/>
        </w:rPr>
        <w:t xml:space="preserve"> Additional etiology occurs at the end of the story, when the Earth and Sky are divided forever by the Air, accounting for their relative positions to one another ever since. This is accomplished by Ra instructing the Air God Shu to physically separate Geb and Nut, using his own body. This was done and illustrations recur across ancient Egyptian art.</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7"/>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The overlap between Greek and Egyptian mythology of arguably the most relevance is the similarity between the Thoth gambling with the moon myth and the birth of Artemis and Apollo myth. Plutarch would certainly have known the latter, and his memories of it may well have influenced his telling of the Egyptian myth. Both stories involve a pregnant goddess who has restrictions placed on the matter of her giving birth, compelling her to find a loophole in order to accomplish the task. In Egypt, this was a loophole of time, requiring additional days, not part of the previous calendar to be created. In Greece, it is a loophole of place instead, as Leto was forbidden from giving birth on the mainland or on any island. The loophole place chosen was the </w:t>
      </w:r>
      <w:r>
        <w:rPr>
          <w:rFonts w:ascii="Arial Rounded" w:cs="Arial Rounded" w:eastAsia="Arial Rounded" w:hAnsi="Arial Rounded"/>
          <w:b/>
          <w:sz w:val="36"/>
          <w:szCs w:val="36"/>
        </w:rPr>
        <w:t>isle</w:t>
      </w:r>
      <w:r>
        <w:rPr>
          <w:rFonts w:ascii="Arial Rounded" w:cs="Arial Rounded" w:eastAsia="Arial Rounded" w:hAnsi="Arial Rounded"/>
          <w:b/>
          <w:i w:val="false"/>
          <w:smallCaps w:val="false"/>
          <w:color w:val="000000"/>
          <w:sz w:val="36"/>
          <w:szCs w:val="36"/>
          <w:u w:val="none"/>
          <w:shd w:val="clear" w:color="auto" w:fill="auto"/>
          <w:vertAlign w:val="baseline"/>
        </w:rPr>
        <w:t xml:space="preserve"> of Delos, not considered an island, due to not being connected to the ocean floor. Neither was it the mainland, being distinct from it.</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8"/>
      </w:r>
      <w:r>
        <w:rPr>
          <w:rFonts w:ascii="Arial Rounded" w:cs="Arial Rounded" w:eastAsia="Arial Rounded" w:hAnsi="Arial Rounded"/>
          <w:b/>
          <w:i w:val="false"/>
          <w:smallCaps w:val="false"/>
          <w:color w:val="000000"/>
          <w:sz w:val="36"/>
          <w:szCs w:val="36"/>
          <w:u w:val="none"/>
          <w:shd w:val="clear" w:color="auto" w:fill="auto"/>
          <w:vertAlign w:val="baseline"/>
        </w:rPr>
        <w:t xml:space="preserve"> The aforementioned David Sacks states in his summary of this myth that:</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“Leto fled from… Hera and found refuge on the island of Delos. There she gave birth to the divine twins, Artemis and Apollo.”.</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19"/>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In addition to its comparative interest, the birth of the divine twins myth is worth considering in order to bring Artemis into focus. As with Thoth in the previous myth, Artemis is also a lunar deity. Furthermore, she is a co-protagonist in the latter part of the myth of Orion, alongside the eponymous figure himself, at least in some versions. Interestingly, the isle of Delos; birthplace of Artemis and Apollo, also features in some tellings of the myth of Orion. March states that Eos, Goddess of the Dawn:</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“fell in love with the giant hunter Orion and carried him off to Ortygia (Delos), but the gods were jealous of his favoured status and he was killed by Artemis.”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0"/>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Additionally, Delos (also called Ortygia, according to March) may have been the site of Orion’s death, according to some tellings. This brings an interesting circularity to the story; as his killer is often Artemis; thus, ending his life in the place where hers began. This circularity is further compounded in the version where her twin, Apollo, also plays a role in the death. In this case, Orion is killed by the divine twins at the place of their birth. The previously mentioned </w:t>
      </w:r>
      <w:r>
        <w:rPr>
          <w:rFonts w:ascii="Arial Rounded" w:cs="Arial Rounded" w:eastAsia="Arial Rounded" w:hAnsi="Arial Rounded"/>
          <w:b/>
          <w:i/>
          <w:iCs/>
          <w:smallCaps w:val="false"/>
          <w:color w:val="000000"/>
          <w:sz w:val="36"/>
          <w:szCs w:val="36"/>
          <w:u w:val="none"/>
          <w:shd w:val="clear" w:color="auto" w:fill="auto"/>
          <w:vertAlign w:val="baseline"/>
        </w:rPr>
        <w:t>New</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Larousse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Encyclopedia</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of</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Mythology</w:t>
      </w:r>
      <w:r>
        <w:rPr>
          <w:rFonts w:ascii="Arial Rounded" w:cs="Arial Rounded" w:eastAsia="Arial Rounded" w:hAnsi="Arial Rounded"/>
          <w:b/>
          <w:i w:val="false"/>
          <w:smallCaps w:val="false"/>
          <w:color w:val="000000"/>
          <w:sz w:val="36"/>
          <w:szCs w:val="36"/>
          <w:u w:val="none"/>
          <w:shd w:val="clear" w:color="auto" w:fill="auto"/>
          <w:vertAlign w:val="baseline"/>
        </w:rPr>
        <w:t xml:space="preserve"> states that the goddess Eos: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“conceived a passion for the giant Orion, whom she carried off and kept with her, to the great annoyance of the gods. Artemis finally killed him by accident in the isle of Ortygia.”</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1"/>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Further on, the book additionally specifies that:</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“The end of Orion was attributed to Artemis, though there are various versions of how it occurred. Some said she struck him down on the isle of Ortygia after Eos had carried him off, others that she shot him by accident at Apollo’s instigation, or that she caused his death by a scorpion’s sting after he had attempted to ravish her, or, again, because he boasted of having destroyed all the wild beasts in Crete.”</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2"/>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Orion is chiefly referenced in the sources as a constellation. The ultimate outcome of his story is his final destination in the sky. As with the year culminating as 365 days long in the previous myth, the task of the Orion myth is to account for his appearance in the sky. Both myths are therefore at least partially aetiological, as they tell stories to account for, respectively, the calendar and the appearance of the night sky. They therefore conform to Robert Graves'</w:t>
      </w:r>
      <w:r>
        <w:rPr>
          <w:rFonts w:ascii="Arial Rounded" w:cs="Arial Rounded" w:eastAsia="Arial Rounded" w:hAnsi="Arial Rounded"/>
          <w:b/>
          <w:sz w:val="36"/>
          <w:szCs w:val="36"/>
        </w:rPr>
        <w:t xml:space="preserve"> </w:t>
      </w:r>
      <w:r>
        <w:rPr>
          <w:rFonts w:ascii="Arial Rounded" w:cs="Arial Rounded" w:eastAsia="Arial Rounded" w:hAnsi="Arial Rounded"/>
          <w:b/>
          <w:i w:val="false"/>
          <w:smallCaps w:val="false"/>
          <w:color w:val="000000"/>
          <w:sz w:val="36"/>
          <w:szCs w:val="36"/>
          <w:u w:val="none"/>
          <w:shd w:val="clear" w:color="auto" w:fill="auto"/>
          <w:vertAlign w:val="baseline"/>
        </w:rPr>
        <w:t xml:space="preserve">views on myth, due to the emphasis on </w:t>
      </w:r>
      <w:r>
        <w:rPr>
          <w:rFonts w:ascii="Arial Rounded" w:cs="Arial Rounded" w:eastAsia="Arial Rounded" w:hAnsi="Arial Rounded"/>
          <w:b/>
          <w:sz w:val="36"/>
          <w:szCs w:val="36"/>
        </w:rPr>
        <w:t xml:space="preserve">the attribution of the cause or reason.  </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Orion was one of the original 48 constellations identified by the ancient astronomer Ptolemy, which he drew from Greek mythology. Incidentally, Ptolemy is comparable with Plutarch, in that he too combined two ancient cultures within himself. In his case, it was Greece and Egypt. Like the royalty of the same name, who may or may not have been his relatives, Ptolemy was from a family that had originally been Greek, but were long settled in Egypt by the time he recorded his constellations.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The story of Thoth gambling with the moon is told in a prose narrative by Plutarch. Interestingly, some of the ancient sources featuring Orion are told in poetry form. Examples date all the way back to the earliest surviving poetry in existence. March states that: “Orion has been famous as a constellation from Homer onwards.”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3"/>
      </w:r>
      <w:r>
        <w:rPr>
          <w:rFonts w:ascii="Arial Rounded" w:cs="Arial Rounded" w:eastAsia="Arial Rounded" w:hAnsi="Arial Rounded"/>
          <w:b/>
          <w:i w:val="false"/>
          <w:smallCaps w:val="false"/>
          <w:color w:val="000000"/>
          <w:sz w:val="36"/>
          <w:szCs w:val="36"/>
          <w:u w:val="none"/>
          <w:shd w:val="clear" w:color="auto" w:fill="auto"/>
          <w:vertAlign w:val="baseline"/>
        </w:rPr>
        <w:t xml:space="preserve"> Being a constellation means that Orion is both dead and granted honour by the gods by being placed in the Heavens. Stories about him must therefore, reach this “foregone conclusion”, as Shakespeare puts it in Macbeth</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cs="Arial Rounded" w:eastAsia="Arial Rounded" w:hAnsi="Arial Rounded"/>
          <w:b/>
          <w:i w:val="false"/>
          <w:smallCaps w:val="false"/>
          <w:color w:val="000000"/>
          <w:sz w:val="36"/>
          <w:szCs w:val="36"/>
          <w:u w:val="none"/>
          <w:shd w:val="clear" w:color="auto" w:fill="auto"/>
          <w:vertAlign w:val="baseline"/>
          <w:lang w:val="en-GB"/>
        </w:rPr>
        <w:t>(</w:t>
      </w:r>
      <w:r>
        <w:rPr>
          <w:rFonts w:cs="Arial Rounded" w:eastAsia="Arial Rounded" w:hAnsi="Arial Rounded"/>
          <w:b/>
          <w:i w:val="false"/>
          <w:smallCaps w:val="false"/>
          <w:color w:val="000000"/>
          <w:sz w:val="36"/>
          <w:szCs w:val="36"/>
          <w:u w:val="none"/>
          <w:shd w:val="clear" w:color="auto" w:fill="auto"/>
          <w:vertAlign w:val="baseline"/>
          <w:lang w:val="en-GB"/>
        </w:rPr>
        <w:t xml:space="preserve">1606). </w:t>
      </w:r>
      <w:r>
        <w:rPr>
          <w:rFonts w:ascii="Arial Rounded" w:cs="Arial Rounded" w:eastAsia="Arial Rounded" w:hAnsi="Arial Rounded"/>
          <w:b/>
          <w:i w:val="false"/>
          <w:smallCaps w:val="false"/>
          <w:color w:val="000000"/>
          <w:sz w:val="36"/>
          <w:szCs w:val="36"/>
          <w:u w:val="none"/>
          <w:shd w:val="clear" w:color="auto" w:fill="auto"/>
          <w:vertAlign w:val="baseline"/>
        </w:rPr>
        <w:t xml:space="preserve">Shakespeare incidentally, used Plutarch in his research, indicating that he considered him a reliable source. </w:t>
      </w:r>
      <w:r>
        <w:rPr>
          <w:rFonts w:ascii="Arial Rounded" w:cs="Arial Rounded" w:eastAsia="Arial Rounded" w:hAnsi="Arial Rounded"/>
          <w:b/>
          <w:i/>
          <w:iCs/>
          <w:smallCaps w:val="false"/>
          <w:color w:val="000000"/>
          <w:sz w:val="36"/>
          <w:szCs w:val="36"/>
          <w:u w:val="none"/>
          <w:shd w:val="clear" w:color="auto" w:fill="auto"/>
          <w:vertAlign w:val="baseline"/>
        </w:rPr>
        <w:t>The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Cambridge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Companion</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to</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Plutarch</w:t>
      </w:r>
      <w:r>
        <w:rPr>
          <w:rFonts w:ascii="Arial Rounded" w:cs="Arial Rounded" w:eastAsia="Arial Rounded" w:hAnsi="Arial Rounded"/>
          <w:b/>
          <w:i w:val="false"/>
          <w:smallCaps w:val="false"/>
          <w:color w:val="000000"/>
          <w:sz w:val="36"/>
          <w:szCs w:val="36"/>
          <w:u w:val="none"/>
          <w:shd w:val="clear" w:color="auto" w:fill="auto"/>
          <w:vertAlign w:val="baseline"/>
        </w:rPr>
        <w:t xml:space="preserve"> devotes an entire chapter to the connections between these two authors, entitled: “Plutarch and Shakespeare: Reviving the Dead”.</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4"/>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Before Orion could die and be transmuted to the night sky; a place where he was equally recognisable to both the ancient Greeks and the modern world, he first had to be born. There are two main accounts of this event</w:t>
      </w:r>
      <w:r>
        <w:rPr>
          <w:rFonts w:ascii="Arial Rounded" w:cs="Arial Rounded" w:eastAsia="Arial Rounded" w:hAnsi="Arial Rounded"/>
          <w:b/>
          <w:sz w:val="36"/>
          <w:szCs w:val="36"/>
        </w:rPr>
        <w:t xml:space="preserve">: </w:t>
      </w:r>
      <w:r>
        <w:rPr>
          <w:rFonts w:ascii="Arial Rounded" w:cs="Arial Rounded" w:eastAsia="Arial Rounded" w:hAnsi="Arial Rounded"/>
          <w:b/>
          <w:i w:val="false"/>
          <w:smallCaps w:val="false"/>
          <w:color w:val="000000"/>
          <w:sz w:val="36"/>
          <w:szCs w:val="36"/>
          <w:u w:val="none"/>
          <w:shd w:val="clear" w:color="auto" w:fill="auto"/>
          <w:vertAlign w:val="baseline"/>
        </w:rPr>
        <w:t>The first names him as a son of Poseidon, the Sea God, and a consort of his, Euryale. This version makes Orion a direct descendant of Zeus, through his mother. The alternative telling assigns three divine fathers to him</w:t>
      </w:r>
      <w:r>
        <w:rPr>
          <w:rFonts w:ascii="Arial Rounded" w:cs="Arial Rounded" w:eastAsia="Arial Rounded" w:hAnsi="Arial Rounded"/>
          <w:b/>
          <w:sz w:val="36"/>
          <w:szCs w:val="36"/>
        </w:rPr>
        <w:t xml:space="preserve">: </w:t>
      </w:r>
      <w:r>
        <w:rPr>
          <w:rFonts w:ascii="Arial Rounded" w:cs="Arial Rounded" w:eastAsia="Arial Rounded" w:hAnsi="Arial Rounded"/>
          <w:b/>
          <w:i w:val="false"/>
          <w:smallCaps w:val="false"/>
          <w:color w:val="000000"/>
          <w:sz w:val="36"/>
          <w:szCs w:val="36"/>
          <w:u w:val="none"/>
          <w:shd w:val="clear" w:color="auto" w:fill="auto"/>
          <w:vertAlign w:val="baseline"/>
        </w:rPr>
        <w:t>Zeus, Hermes and Poseidon, with the last one interestingly remaining a constant. All three were said to have urinated on the hide of a heifer</w:t>
      </w:r>
      <w:r>
        <w:rPr>
          <w:rFonts w:ascii="Arial Rounded" w:cs="Arial Rounded" w:eastAsia="Arial Rounded" w:hAnsi="Arial Rounded"/>
          <w:b/>
          <w:sz w:val="36"/>
          <w:szCs w:val="36"/>
        </w:rPr>
        <w:t>, then</w:t>
      </w:r>
      <w:r>
        <w:rPr>
          <w:rFonts w:ascii="Arial Rounded" w:cs="Arial Rounded" w:eastAsia="Arial Rounded" w:hAnsi="Arial Rounded"/>
          <w:b/>
          <w:i w:val="false"/>
          <w:smallCaps w:val="false"/>
          <w:color w:val="000000"/>
          <w:sz w:val="36"/>
          <w:szCs w:val="36"/>
          <w:u w:val="none"/>
          <w:shd w:val="clear" w:color="auto" w:fill="auto"/>
          <w:vertAlign w:val="baseline"/>
        </w:rPr>
        <w:t xml:space="preserve"> buried it underground. Orion emerged from the ground some nine months later, and became the adopted son of an unmarried king, Hyrieus, King of Hyria in Boeotia, who had requested a son from the three gods after helping them.</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5"/>
      </w:r>
      <w:r>
        <w:rPr>
          <w:rFonts w:ascii="Arial Rounded" w:cs="Arial Rounded" w:eastAsia="Arial Rounded" w:hAnsi="Arial Rounded"/>
          <w:b/>
          <w:i w:val="false"/>
          <w:smallCaps w:val="false"/>
          <w:color w:val="000000"/>
          <w:sz w:val="36"/>
          <w:szCs w:val="36"/>
          <w:u w:val="none"/>
          <w:shd w:val="clear" w:color="auto" w:fill="auto"/>
          <w:vertAlign w:val="baseline"/>
        </w:rPr>
        <w:t xml:space="preserve"> Both these origin stories can be found in the works of Apollodoros. In the former case, Orion adds to Poseidon’s family of giants, as he had at least two other sons who are described as giants, in addition to fathering the </w:t>
      </w:r>
      <w:r>
        <w:rPr>
          <w:rFonts w:ascii="Arial Rounded" w:cs="Arial Rounded" w:eastAsia="Arial Rounded" w:hAnsi="Arial Rounded"/>
          <w:b/>
          <w:sz w:val="36"/>
          <w:szCs w:val="36"/>
        </w:rPr>
        <w:t>Cyclopes</w:t>
      </w:r>
      <w:r>
        <w:rPr>
          <w:rFonts w:ascii="Arial Rounded" w:cs="Arial Rounded" w:eastAsia="Arial Rounded" w:hAnsi="Arial Rounded"/>
          <w:b/>
          <w:i w:val="false"/>
          <w:smallCaps w:val="false"/>
          <w:color w:val="000000"/>
          <w:sz w:val="36"/>
          <w:szCs w:val="36"/>
          <w:u w:val="none"/>
          <w:shd w:val="clear" w:color="auto" w:fill="auto"/>
          <w:vertAlign w:val="baseline"/>
        </w:rPr>
        <w:t>. In the latter case, the aetiology of the origin story appears to be the similarity between the Ancient Greek words for ‘Orion’ and ‘urine’; forming a kind of pun. The second version of Orion’s background features a curious and conspicuous lack of maternal figures. This draws him into a parallel with the Greek Goddess of Wisdom, Athena (who, by virtue of her specialism, also rivals Hermes for paralleling the Egyptian God Thoth), who was born from the head of Zeus, and seemingly lacked a mother. The titan Metis had conceived her with Zeus, but had been swallowed by him, prior to the end of her pregnancy. Zeus had transferred the unborn Athena to his own head. Following Zeus experiencing a severe headache, Athena had sprung, fully formed from the head of Zeus, reportedly in full armour</w:t>
      </w:r>
      <w:r>
        <w:rPr>
          <w:rFonts w:ascii="Arial Rounded" w:cs="Arial Rounded" w:eastAsia="Arial Rounded" w:hAnsi="Arial Rounded"/>
          <w:b/>
          <w:sz w:val="36"/>
          <w:szCs w:val="36"/>
        </w:rPr>
        <w:t xml:space="preserve">, no less! </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It is interesting to consider Orion’s apparent lack of a mother or mother</w:t>
      </w:r>
      <w:r>
        <w:rPr>
          <w:rFonts w:ascii="Arial Rounded" w:cs="Arial Rounded" w:eastAsia="Arial Rounded" w:hAnsi="Arial Rounded"/>
          <w:b/>
          <w:sz w:val="36"/>
          <w:szCs w:val="36"/>
        </w:rPr>
        <w:t>-</w:t>
      </w:r>
      <w:r>
        <w:rPr>
          <w:rFonts w:ascii="Arial Rounded" w:cs="Arial Rounded" w:eastAsia="Arial Rounded" w:hAnsi="Arial Rounded"/>
          <w:b/>
          <w:i w:val="false"/>
          <w:smallCaps w:val="false"/>
          <w:color w:val="000000"/>
          <w:sz w:val="36"/>
          <w:szCs w:val="36"/>
          <w:u w:val="none"/>
          <w:shd w:val="clear" w:color="auto" w:fill="auto"/>
          <w:vertAlign w:val="baseline"/>
        </w:rPr>
        <w:t>type figure. His life seemed to involve constant conflict and trauma, due mainly to his dealings with women; mortal and goddess alike. He therefore appears to be the kind of character who would really have benefitted from a mother’s care. Potentially, a mother could have kept him safe, maintained a positive influence over his behaviour and endeavoured to ensure that he died in his bed, if he had to pre-decease her at all. The stars however, seemingly had a different fate in mind for him, and were eager for him to join them.</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As has been previously referred to, there are a number of versions of Orion’s death. A common factor among them is that they are all violent. His life was equally violent; being fraught with incidents. He </w:t>
      </w:r>
      <w:r>
        <w:rPr>
          <w:rFonts w:ascii="Arial Rounded" w:cs="Arial Rounded" w:eastAsia="Arial Rounded" w:hAnsi="Arial Rounded"/>
          <w:b/>
          <w:i w:val="false"/>
          <w:smallCaps w:val="false"/>
          <w:color w:val="000000"/>
          <w:sz w:val="36"/>
          <w:szCs w:val="36"/>
          <w:u w:val="none"/>
          <w:shd w:val="clear" w:color="auto" w:fill="auto"/>
          <w:vertAlign w:val="baseline"/>
        </w:rPr>
        <w:t>is frequently described as being both a giant and a great hunter. These two factors comprise his main mythological role. Furthermore, he is attributed with having some kind of dominance over the sea; the domain of his father, Poseidon. This constitutes either being a strong swimmer or having the ability to walk on water. Some accounts, chiefly that of Apollodoros, state that Orion:</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“had married Side who, because she boasted that she was more beautiful than Hera, was cast by that goddess into Tartarus.”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6"/>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While this may not have been the fault of Orion, it does represent an example of trauma in his life involving women. Furthermore, it left him free to marry, leading to his disastrous courtship of “Merope, daughter of Oenopion, ruler of Chios”.</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7"/>
      </w:r>
      <w:r>
        <w:rPr>
          <w:rFonts w:ascii="Arial Rounded" w:cs="Arial Rounded" w:eastAsia="Arial Rounded" w:hAnsi="Arial Rounded"/>
          <w:b/>
          <w:i w:val="false"/>
          <w:smallCaps w:val="false"/>
          <w:color w:val="000000"/>
          <w:sz w:val="36"/>
          <w:szCs w:val="36"/>
          <w:u w:val="none"/>
          <w:shd w:val="clear" w:color="auto" w:fill="auto"/>
          <w:vertAlign w:val="baseline"/>
        </w:rPr>
        <w:t xml:space="preserve"> Orion demonstrated his hunting prowess by killing all the wild beasts on the island. This was, however, in vain, as his suit was rejected by Oenopion. Orion reacted by taking the girl by violence, leading to her father blinding him as he slept. An oracle informed Orion that he could regain his sight by </w:t>
      </w:r>
      <w:r>
        <w:rPr>
          <w:rFonts w:ascii="Arial Rounded" w:cs="Arial Rounded" w:eastAsia="Arial Rounded" w:hAnsi="Arial Rounded"/>
          <w:b/>
          <w:sz w:val="36"/>
          <w:szCs w:val="36"/>
        </w:rPr>
        <w:t>traveling</w:t>
      </w:r>
      <w:r>
        <w:rPr>
          <w:rFonts w:ascii="Arial Rounded" w:cs="Arial Rounded" w:eastAsia="Arial Rounded" w:hAnsi="Arial Rounded"/>
          <w:b/>
          <w:i w:val="false"/>
          <w:smallCaps w:val="false"/>
          <w:color w:val="000000"/>
          <w:sz w:val="36"/>
          <w:szCs w:val="36"/>
          <w:u w:val="none"/>
          <w:shd w:val="clear" w:color="auto" w:fill="auto"/>
          <w:vertAlign w:val="baseline"/>
        </w:rPr>
        <w:t xml:space="preserve"> towards the sun. He therefore journeyed to Lemnos, guided by Cedalion, son of Hephaestus, and recovered his sight by staring into the sun. Orion’s direct encounter with the sun is another factor besides becoming a constellation that makes his story a sky myth. Furthermore, it also leads to more direct comparison with the previous myth of Thoth gambling with the moon. In both cases, the sun is an important character in the story, playing either an antagonistic role as in Egypt, or a more helpful one, as in Greece. Following the restoration of his sight, Orion was left to his very latest adventures: being carried off by Eos, hunting with Artemis on Crete, and of course his death and transmutation to constellation.</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The most tragic and romantic version of the end of Orion’s life story is told by an Ancient Greek writer known as Istros the Callimachean. He was likely to have been from Paphos, and was a pupil of Callimachus (c.310. - c.240 BC) and therefore contemporary with him. The Suda, a 10th-century Encyclopedia states that he wrote in both prose and verse. </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 xml:space="preserve">In Istros’s telling, during her period of hunting with Orion, Artemis fell in love with him, which was noteworthy as the only time she experienced romantic love. She intended to marry him and could not be dissuaded by her twin, Apollo. Fearing for his sister’s honour, Apollo decided to trick her into killing Orion. He challenged her to hit a barely perceptible speck on the horizon with an arrow. Not one to back down from a challenge, and eager to demonstrate her archery skills, Artemis agreed and shot the mark, which turned out to be Orion in the sea, unbeknownst to Artemis, but known to Apollo. The shot killed Orion, leaving Artemis grief-stricken. To honour his memory, she placed him among the stars as the constellation Orion. This final detail also features in other texts, including </w:t>
      </w:r>
      <w:r>
        <w:rPr>
          <w:rFonts w:ascii="Arial Rounded" w:cs="Arial Rounded" w:eastAsia="Arial Rounded" w:hAnsi="Arial Rounded"/>
          <w:b/>
          <w:i/>
          <w:iCs/>
          <w:smallCaps w:val="false"/>
          <w:color w:val="000000"/>
          <w:sz w:val="36"/>
          <w:szCs w:val="36"/>
          <w:u w:val="none"/>
          <w:shd w:val="clear" w:color="auto" w:fill="auto"/>
          <w:vertAlign w:val="baseline"/>
        </w:rPr>
        <w:t>De</w:t>
      </w:r>
      <w:r>
        <w:rPr>
          <w:rFonts w:ascii="Arial Rounded" w:cs="Arial Rounded" w:eastAsia="Arial Rounded" w:hAnsi="Arial Rounded"/>
          <w:b/>
          <w:i w:val="false"/>
          <w:smallCaps w:val="false"/>
          <w:color w:val="000000"/>
          <w:sz w:val="36"/>
          <w:szCs w:val="36"/>
          <w:u w:val="none"/>
          <w:shd w:val="clear" w:color="auto" w:fill="auto"/>
          <w:vertAlign w:val="baseline"/>
        </w:rPr>
        <w:t xml:space="preserve"> </w:t>
      </w:r>
      <w:r>
        <w:rPr>
          <w:rFonts w:ascii="Arial Rounded" w:cs="Arial Rounded" w:eastAsia="Arial Rounded" w:hAnsi="Arial Rounded"/>
          <w:b/>
          <w:i/>
          <w:iCs/>
          <w:smallCaps w:val="false"/>
          <w:color w:val="000000"/>
          <w:sz w:val="36"/>
          <w:szCs w:val="36"/>
          <w:u w:val="none"/>
          <w:shd w:val="clear" w:color="auto" w:fill="auto"/>
          <w:vertAlign w:val="baseline"/>
        </w:rPr>
        <w:t>Astronomica</w:t>
      </w:r>
      <w:r>
        <w:rPr>
          <w:rFonts w:ascii="Arial Rounded" w:cs="Arial Rounded" w:eastAsia="Arial Rounded" w:hAnsi="Arial Rounded"/>
          <w:b/>
          <w:i w:val="false"/>
          <w:smallCaps w:val="false"/>
          <w:color w:val="000000"/>
          <w:sz w:val="36"/>
          <w:szCs w:val="36"/>
          <w:u w:val="none"/>
          <w:shd w:val="clear" w:color="auto" w:fill="auto"/>
          <w:vertAlign w:val="baseline"/>
        </w:rPr>
        <w:t xml:space="preserve"> by Hyginus.</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Modern critics are sometimes sceptical of Istros’s telling of the myth. Robert Parker, writing in The Classical Review about J. Fontenrose’s Orion: The Myth of the Hunter and the Huntress (University of California Publications in Classical Studies, 23, 1981) states that: “Artemis’ intention of marrying Orion, known from Istrus only, has sometimes been seen as a romantic Hellenistic invention”.</w:t>
      </w:r>
      <w:r>
        <w:rPr>
          <w:rFonts w:ascii="Arial Rounded" w:cs="Arial Rounded" w:eastAsia="Arial Rounded" w:hAnsi="Arial Rounded"/>
          <w:b/>
          <w:i w:val="false"/>
          <w:smallCaps w:val="false"/>
          <w:color w:val="000000"/>
          <w:sz w:val="36"/>
          <w:szCs w:val="36"/>
          <w:u w:val="none"/>
          <w:shd w:val="clear" w:color="auto" w:fill="auto"/>
          <w:vertAlign w:val="superscript"/>
        </w:rPr>
        <w:footnoteReference w:id="28"/>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r>
        <w:rPr>
          <w:rFonts w:ascii="Arial Rounded" w:cs="Arial Rounded" w:eastAsia="Arial Rounded" w:hAnsi="Arial Rounded"/>
          <w:b/>
          <w:i w:val="false"/>
          <w:smallCaps w:val="false"/>
          <w:color w:val="000000"/>
          <w:sz w:val="36"/>
          <w:szCs w:val="36"/>
          <w:u w:val="none"/>
          <w:shd w:val="clear" w:color="auto" w:fill="auto"/>
          <w:vertAlign w:val="baseline"/>
        </w:rPr>
        <w:t>The fact that the version of the myth told by Istros is not found in any earlier surviving texts, does suggest that it may indeed be the author’s invention. Alternatively, it could have been derived from oral tellings from his own time. Furthermore, the fact that his version does not feature in any later surviving texts, suggests that it was not popular in its own day, and subsequent authors had no desire to retell it. Nevertheless, it has survived into the modern era, as evidenced by its presence in secondary sources, including those quoted here.</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sz w:val="36"/>
          <w:szCs w:val="36"/>
        </w:rPr>
      </w:pPr>
      <w:r>
        <w:rPr>
          <w:rFonts w:ascii="Arial Rounded" w:cs="Arial Rounded" w:eastAsia="Arial Rounded" w:hAnsi="Arial Rounded"/>
          <w:b/>
          <w:i w:val="false"/>
          <w:smallCaps w:val="false"/>
          <w:color w:val="000000"/>
          <w:sz w:val="36"/>
          <w:szCs w:val="36"/>
          <w:u w:val="none"/>
          <w:shd w:val="clear" w:color="auto" w:fill="auto"/>
          <w:vertAlign w:val="baseline"/>
        </w:rPr>
        <w:t>In conclusion, the myth of Thoth gambling with the moon and that of Orion (eventually) dying and becoming a constellation are both sky myths that conform to Robert Graves’s identified etiological functions of myth. Arguably Orion represents physical etiology, as his myth explains the presence of a large, hunter-shaped constellation in the sky, which, positioned on the equator, is visible the world over, at least on clear nights. This seems fitting, as, in one version of his story, he died due to not being visible enough</w:t>
      </w:r>
      <w:r>
        <w:rPr>
          <w:rFonts w:ascii="Arial Rounded" w:cs="Arial Rounded" w:eastAsia="Arial Rounded" w:hAnsi="Arial Rounded"/>
          <w:b/>
          <w:sz w:val="36"/>
          <w:szCs w:val="36"/>
        </w:rPr>
        <w:t xml:space="preserve"> </w:t>
      </w:r>
      <w:r>
        <w:rPr>
          <w:rFonts w:ascii="Arial Rounded" w:cs="Arial Rounded" w:eastAsia="Arial Rounded" w:hAnsi="Arial Rounded"/>
          <w:b/>
          <w:i w:val="false"/>
          <w:smallCaps w:val="false"/>
          <w:color w:val="000000"/>
          <w:sz w:val="36"/>
          <w:szCs w:val="36"/>
          <w:u w:val="none"/>
          <w:shd w:val="clear" w:color="auto" w:fill="auto"/>
          <w:vertAlign w:val="baseline"/>
        </w:rPr>
        <w:t xml:space="preserve">to the moon goddess, across a great distance. Thoth also had a high stakes encounter with the moon in his story, but in his case he won the extra light and therefore new days that he sought. This enabled him to improve his society’s calendar, and additionally, represent cultural etiology, in the context of this essay. The myth in question, among others, contributed to Thoth becoming associated with the moon, and subsequently, often depicted with a moon-shaped headdress in art and iconography. There are also some interesting contrasts between the two myths, </w:t>
      </w:r>
      <w:r>
        <w:rPr>
          <w:rFonts w:ascii="Arial Rounded" w:cs="Arial Rounded" w:eastAsia="Arial Rounded" w:hAnsi="Arial Rounded"/>
          <w:b/>
          <w:sz w:val="36"/>
          <w:szCs w:val="36"/>
        </w:rPr>
        <w:t>in that</w:t>
      </w:r>
      <w:r>
        <w:rPr>
          <w:rFonts w:ascii="Arial Rounded" w:cs="Arial Rounded" w:eastAsia="Arial Rounded" w:hAnsi="Arial Rounded"/>
          <w:b/>
          <w:i w:val="false"/>
          <w:smallCaps w:val="false"/>
          <w:color w:val="000000"/>
          <w:sz w:val="36"/>
          <w:szCs w:val="36"/>
          <w:u w:val="none"/>
          <w:shd w:val="clear" w:color="auto" w:fill="auto"/>
          <w:vertAlign w:val="baseline"/>
        </w:rPr>
        <w:t xml:space="preserve"> one</w:t>
      </w:r>
      <w:r>
        <w:rPr>
          <w:rFonts w:ascii="Arial Rounded" w:cs="Arial Rounded" w:eastAsia="Arial Rounded" w:hAnsi="Arial Rounded"/>
          <w:b/>
          <w:sz w:val="36"/>
          <w:szCs w:val="36"/>
        </w:rPr>
        <w:t xml:space="preserve"> is</w:t>
      </w:r>
      <w:r>
        <w:rPr>
          <w:rFonts w:ascii="Arial Rounded" w:cs="Arial Rounded" w:eastAsia="Arial Rounded" w:hAnsi="Arial Rounded"/>
          <w:b/>
          <w:i w:val="false"/>
          <w:smallCaps w:val="false"/>
          <w:color w:val="000000"/>
          <w:sz w:val="36"/>
          <w:szCs w:val="36"/>
          <w:u w:val="none"/>
          <w:shd w:val="clear" w:color="auto" w:fill="auto"/>
          <w:vertAlign w:val="baseline"/>
        </w:rPr>
        <w:t xml:space="preserve"> strongly concerned with motherhood, and the other </w:t>
      </w:r>
      <w:r>
        <w:rPr>
          <w:rFonts w:ascii="Arial Rounded" w:cs="Arial Rounded" w:eastAsia="Arial Rounded" w:hAnsi="Arial Rounded"/>
          <w:b/>
          <w:sz w:val="36"/>
          <w:szCs w:val="36"/>
        </w:rPr>
        <w:t xml:space="preserve">focuses </w:t>
      </w:r>
      <w:r>
        <w:rPr>
          <w:rFonts w:ascii="Arial Rounded" w:cs="Arial Rounded" w:eastAsia="Arial Rounded" w:hAnsi="Arial Rounded"/>
          <w:b/>
          <w:i w:val="false"/>
          <w:smallCaps w:val="false"/>
          <w:color w:val="000000"/>
          <w:sz w:val="36"/>
          <w:szCs w:val="36"/>
          <w:u w:val="none"/>
          <w:shd w:val="clear" w:color="auto" w:fill="auto"/>
          <w:vertAlign w:val="baseline"/>
        </w:rPr>
        <w:t>on a character who, in at least one version, has no mother at all, but multiple fathers. Another contrast is that the Egyptian myth is all about birth and the Greek is more about death, due to the story’s focus on its inevitable outcome. Still though, in a sky myth, even a dead character can make his mark on the sky. Furthermore, an Egyptian God; a character beyond life and death and outside of time, can give life to other gods and grant more precious time to his society. The fact that the other calendars subsequently also changed to 365 days a year would seem to endorse the actions of Thoth</w:t>
      </w:r>
      <w:r>
        <w:rPr>
          <w:rFonts w:ascii="Arial Rounded" w:cs="Arial Rounded" w:eastAsia="Arial Rounded" w:hAnsi="Arial Rounded"/>
          <w:b/>
          <w:sz w:val="36"/>
          <w:szCs w:val="36"/>
        </w:rPr>
        <w:t xml:space="preserve"> and help them to be remembered. </w:t>
      </w: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jc w:val="center"/>
        <w:rPr/>
      </w:pPr>
      <w:r>
        <w:rPr>
          <w:rFonts w:ascii="Helvetica Neue LT 75 Kindle Bold" w:cs="Helvetica Neue LT 75 Kindle Bold" w:eastAsia="Arial Rounded MT Bold" w:hAnsi="Helvetica Neue LT 75 Kindle Bold" w:hint="default"/>
          <w:sz w:val="36"/>
          <w:szCs w:val="36"/>
          <w:lang w:val="en-GB"/>
        </w:rPr>
        <w:t>Bibliography</w:t>
      </w:r>
    </w:p>
    <w:p>
      <w:pPr>
        <w:pStyle w:val="style0"/>
        <w:jc w:val="center"/>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Aggarwal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Ancient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Astronomy</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(Cambridge: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Cosmology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Science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Pub</w:t>
      </w:r>
      <w:r>
        <w:rPr>
          <w:rFonts w:ascii="Helvetica Neue LT 75 Kindle Bold" w:cs="Helvetica Neue LT 75 Kindle Bold" w:eastAsia="Arial Rounded MT Bold" w:hAnsi="Helvetica Neue LT 75 Kindle Bold" w:hint="default"/>
          <w:sz w:val="36"/>
          <w:szCs w:val="36"/>
          <w:lang w:val="en-GB"/>
        </w:rPr>
        <w:t>lishers,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2011,</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Aldington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Ames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translators,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New</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Larousse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Encyclopedia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Mythology</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(Hamlyn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Publishing</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Group,</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1959)</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B</w:t>
      </w:r>
      <w:r>
        <w:rPr>
          <w:rFonts w:ascii="Helvetica Neue LT 75 Kindle Bold" w:cs="Helvetica Neue LT 75 Kindle Bold" w:eastAsia="Arial Rounded MT Bold" w:hAnsi="Helvetica Neue LT 75 Kindle Bold" w:hint="default"/>
          <w:sz w:val="36"/>
          <w:szCs w:val="36"/>
          <w:lang w:val="en-GB"/>
        </w:rPr>
        <w:t>ecker,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Shield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Achilles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Poetics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Ekphrasis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(London: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Rowman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&amp;</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Littlefield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Publishers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Inc.,</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1995,</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Campion,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Astrology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Cosmology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in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World</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i/>
          <w:iCs/>
          <w:sz w:val="36"/>
          <w:szCs w:val="36"/>
          <w:lang w:val="en-GB"/>
        </w:rPr>
        <w:t>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Religions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(New</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York</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University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Press,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2012,</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Farrar,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J.</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Witches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Goddess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(Phoenix</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Publishing</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Inc,</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1987)</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Gahlin,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Egypt</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Gods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Myths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Religion</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(Lorenz</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Books,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2001)</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Graves,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Greek</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Myths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Complete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Definitive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(Penguin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Books,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1998,</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G.</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Hart,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British</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Museum</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Pocket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Dictionary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Ancient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Egyptian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Gods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Goddesses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London: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British</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Museum</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Press,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2001)</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K.</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Kerenyi,</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Gods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Greeks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(1951)</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March,</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J.,</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Dictionary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Classical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Mythology</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(Oxford: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Oxbow</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Books,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1998,</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rFonts w:ascii="Helvetica Neue LT 75 Kindle Bold" w:cs="Helvetica Neue LT 75 Kindle Bold" w:eastAsia="Arial Rounded MT Bold" w:hAnsi="Helvetica Neue LT 75 Kindle Bold" w:hint="default"/>
          <w:sz w:val="36"/>
          <w:szCs w:val="36"/>
          <w:lang w:val="en-GB"/>
        </w:rPr>
      </w:pPr>
      <w:r>
        <w:rPr>
          <w:rFonts w:ascii="Helvetica Neue LT 75 Kindle Bold" w:cs="Helvetica Neue LT 75 Kindle Bold" w:eastAsia="Arial Rounded MT Bold" w:hAnsi="Helvetica Neue LT 75 Kindle Bold" w:hint="default"/>
          <w:sz w:val="36"/>
          <w:szCs w:val="36"/>
          <w:lang w:val="en-GB"/>
        </w:rPr>
        <w:t>Parker,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Classical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Review</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(1981)</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Plutarch,</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Moralia</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Complete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Works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Plutarch</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ebook</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Powell,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Classical</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Myth</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(Pearson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Education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Limited,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2015,</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Sacks,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Encyclopedia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Ancient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Greek</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World</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(London: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Constable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Company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Limited,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1995)</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Stadler,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M.</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UCLA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Encyclopedia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of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Egyptology</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(2012)</w:t>
      </w:r>
    </w:p>
    <w:p>
      <w:pPr>
        <w:pStyle w:val="style0"/>
        <w:jc w:val="left"/>
        <w:rPr/>
      </w:pPr>
    </w:p>
    <w:p>
      <w:pPr>
        <w:pStyle w:val="style0"/>
        <w:jc w:val="left"/>
        <w:rPr/>
      </w:pPr>
      <w:r>
        <w:rPr>
          <w:rFonts w:ascii="Helvetica Neue LT 75 Kindle Bold" w:cs="Helvetica Neue LT 75 Kindle Bold" w:eastAsia="Arial Rounded MT Bold" w:hAnsi="Helvetica Neue LT 75 Kindle Bold" w:hint="default"/>
          <w:sz w:val="36"/>
          <w:szCs w:val="36"/>
          <w:lang w:val="en-GB"/>
        </w:rPr>
        <w:t>Titchener,</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F.</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B.</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and</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A.</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V.</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Zadorojnyi</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(eds)</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The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Cambridge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Companion</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to</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i/>
          <w:iCs/>
          <w:sz w:val="36"/>
          <w:szCs w:val="36"/>
          <w:lang w:val="en-GB"/>
        </w:rPr>
        <w:t>Plutarch</w:t>
      </w:r>
      <w:r>
        <w:rPr>
          <w:rFonts w:ascii="Helvetica Neue LT 75 Kindle Bold" w:cs="Helvetica Neue LT 75 Kindle Bold" w:eastAsia="Arial Rounded MT Bold" w:hAnsi="Helvetica Neue LT 75 Kindle Bold" w:hint="default"/>
          <w:sz w:val="36"/>
          <w:szCs w:val="36"/>
          <w:lang w:val="en-GB"/>
        </w:rPr>
        <w:t>,</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(Cambridge: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Cambridge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University</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Press,</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2023,</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Kindle</w:t>
      </w:r>
      <w:r>
        <w:rPr>
          <w:rFonts w:ascii="Helvetica Neue LT 75 Kindle Bold" w:cs="Helvetica Neue LT 75 Kindle Bold" w:eastAsia="Arial Rounded MT Bold" w:hAnsi="Helvetica Neue LT 75 Kindle Bold" w:hint="default"/>
          <w:sz w:val="36"/>
          <w:szCs w:val="36"/>
          <w:lang w:val="en-GB"/>
        </w:rPr>
        <w:t xml:space="preserve"> </w:t>
      </w:r>
      <w:r>
        <w:rPr>
          <w:rFonts w:ascii="Helvetica Neue LT 75 Kindle Bold" w:cs="Helvetica Neue LT 75 Kindle Bold" w:eastAsia="Arial Rounded MT Bold" w:hAnsi="Helvetica Neue LT 75 Kindle Bold" w:hint="default"/>
          <w:sz w:val="36"/>
          <w:szCs w:val="36"/>
          <w:lang w:val="en-GB"/>
        </w:rPr>
        <w:t>Edition)</w:t>
      </w:r>
    </w:p>
    <w:p>
      <w:pPr>
        <w:pStyle w:val="style0"/>
        <w:jc w:val="center"/>
        <w:rPr/>
      </w:pPr>
    </w:p>
    <w:p>
      <w:pPr>
        <w:pStyle w:val="style0"/>
        <w:jc w:val="left"/>
        <w:rPr/>
      </w:pPr>
    </w:p>
    <w:p>
      <w:pPr>
        <w:pStyle w:val="style0"/>
        <w:rPr/>
      </w:pPr>
    </w:p>
    <w:p>
      <w:pPr>
        <w:pStyle w:val="style0"/>
        <w:jc w:val="left"/>
        <w:rPr/>
      </w:pPr>
    </w:p>
    <w:p>
      <w:pPr>
        <w:pStyle w:val="style0"/>
        <w:jc w:val="left"/>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Arial Rounded" w:cs="Arial Rounded" w:eastAsia="Arial Rounded" w:hAnsi="Arial Rounded"/>
          <w:b/>
          <w:i w:val="false"/>
          <w:smallCaps w:val="false"/>
          <w:color w:val="000000"/>
          <w:sz w:val="36"/>
          <w:szCs w:val="36"/>
          <w:u w:val="none"/>
          <w:shd w:val="clear" w:color="auto" w:fill="auto"/>
          <w:vertAlign w:val="baseline"/>
        </w:rPr>
      </w:pPr>
    </w:p>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left"/>
        <w:rPr>
          <w:rFonts w:ascii="Calibri" w:cs="Calibri" w:eastAsia="Calibri" w:hAnsi="Calibri"/>
          <w:b w:val="false"/>
          <w:i w:val="false"/>
          <w:smallCaps w:val="false"/>
          <w:color w:val="000000"/>
          <w:sz w:val="22"/>
          <w:szCs w:val="22"/>
          <w:u w:val="none"/>
          <w:shd w:val="clear" w:color="auto" w:fill="auto"/>
          <w:vertAlign w:val="baseline"/>
        </w:rPr>
      </w:pPr>
    </w:p>
    <w:sectPr>
      <w:headerReference w:type="default" r:id="rId3"/>
      <w:footerReference w:type="default" r:id="rId4"/>
      <w:pgSz w:w="12240" w:h="15840" w:orient="portrait"/>
      <w:pgMar w:top="1440" w:right="1440" w:bottom="1440" w:left="1440" w:header="720" w:footer="720"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Neue LT 75 Kindle Bold">
    <w:altName w:val="Times New Roman"/>
    <w:panose1 w:val="02020603050000020304"/>
    <w:charset w:val="00"/>
    <w:family w:val="roman"/>
    <w:pitch w:val="variable"/>
    <w:sig w:usb0="20007A87" w:usb1="80000000" w:usb2="00000008" w:usb3="00000000" w:csb0="000001FF" w:csb1="00000000"/>
  </w:font>
  <w:font w:name="Arial Rounded MT Bold">
    <w:altName w:val="Times New Roman"/>
    <w:panose1 w:val="02020603050000020304"/>
    <w:charset w:val="00"/>
    <w:family w:val="roman"/>
    <w:pitch w:val="variable"/>
    <w:sig w:usb0="20007A87" w:usb1="80000000" w:usb2="00000008" w:usb3="00000000" w:csb0="000001FF" w:csb1="00000000"/>
  </w:font>
  <w:font w:name="Arial">
    <w:altName w:val="Arial"/>
    <w:panose1 w:val="020b0604020002020204"/>
    <w:charset w:val="01"/>
    <w:family w:val="swiss"/>
    <w:pitch w:val="default"/>
    <w:sig w:usb0="00007A87" w:usb1="80000000" w:usb2="00000008" w:usb3="00000000" w:csb0="400001FF" w:csb1="FFFF0000"/>
  </w:font>
  <w:font w:name="Trebuchet MS">
    <w:altName w:val="Times New Roman"/>
    <w:panose1 w:val="02020603050005020304"/>
    <w:charset w:val="00"/>
    <w:family w:val="roman"/>
    <w:pitch w:val="variable"/>
    <w:sig w:usb0="20007A87" w:usb1="80000000" w:usb2="00000008" w:usb3="00000000" w:csb0="000001FF" w:csb1="00000000"/>
  </w:font>
  <w:font w:name="Calibri">
    <w:altName w:val="Calibri"/>
    <w:panose1 w:val="020f0502020004030204"/>
    <w:charset w:val="7a"/>
    <w:family w:val="swiss"/>
    <w:pitch w:val="default"/>
    <w:sig w:usb0="E10002FF" w:usb1="4000ACFF" w:usb2="00000009" w:usb3="00000000" w:csb0="2000019F" w:csb1="00000000"/>
  </w:font>
  <w:font w:name="Tahoma">
    <w:altName w:val="Times New Roman"/>
    <w:panose1 w:val="02020603050005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keepNext w:val="false"/>
      <w:keepLines w:val="false"/>
      <w:pageBreakBefore w:val="false"/>
      <w:widowControl/>
      <w:pBdr>
        <w:left w:val="nil"/>
        <w:right w:val="nil"/>
        <w:top w:val="nil"/>
        <w:bottom w:val="nil"/>
        <w:between w:val="nil"/>
      </w:pBdr>
      <w:shd w:val="clear" w:color="auto" w:fill="auto"/>
      <w:tabs>
        <w:tab w:val="center" w:leader="none" w:pos="4320"/>
        <w:tab w:val="right" w:leader="none" w:pos="8640"/>
      </w:tabs>
      <w:spacing w:before="0" w:after="0" w:lineRule="auto" w:line="240"/>
      <w:ind w:left="0" w:right="0" w:firstLine="0"/>
      <w:jc w:val="right"/>
      <w:rPr>
        <w:rFonts w:ascii="Calibri" w:cs="Calibri" w:eastAsia="Calibri" w:hAnsi="Calibri"/>
        <w:b w:val="false"/>
        <w:i w:val="false"/>
        <w:smallCaps w:val="false"/>
        <w:color w:val="000000"/>
        <w:sz w:val="22"/>
        <w:szCs w:val="22"/>
        <w:u w:val="none"/>
        <w:shd w:val="clear" w:color="auto" w:fill="auto"/>
        <w:vertAlign w:val="baseline"/>
      </w:rPr>
    </w:pPr>
    <w:r>
      <w:rPr>
        <w:rFonts w:ascii="Calibri" w:cs="Calibri" w:eastAsia="Calibri" w:hAnsi="Calibri"/>
        <w:b w:val="false"/>
        <w:i w:val="false"/>
        <w:smallCaps w:val="false"/>
        <w:color w:val="000000"/>
        <w:sz w:val="22"/>
        <w:szCs w:val="22"/>
        <w:u w:val="none"/>
        <w:shd w:val="clear" w:color="auto" w:fill="auto"/>
        <w:vertAlign w:val="baseline"/>
      </w:rPr>
      <w:fldChar w:fldCharType="begin"/>
    </w:r>
    <w:r>
      <w:rPr>
        <w:rFonts w:ascii="Calibri" w:cs="Calibri" w:eastAsia="Calibri" w:hAnsi="Calibri"/>
        <w:b w:val="false"/>
        <w:i w:val="false"/>
        <w:smallCaps w:val="false"/>
        <w:color w:val="000000"/>
        <w:sz w:val="22"/>
        <w:szCs w:val="22"/>
        <w:u w:val="none"/>
        <w:shd w:val="clear" w:color="auto" w:fill="auto"/>
        <w:vertAlign w:val="baseline"/>
      </w:rPr>
      <w:instrText>PAGE</w:instrText>
    </w:r>
    <w:r>
      <w:rPr>
        <w:rFonts w:ascii="Calibri" w:cs="Calibri" w:eastAsia="Calibri" w:hAnsi="Calibri"/>
        <w:b w:val="false"/>
        <w:i w:val="false"/>
        <w:smallCaps w:val="false"/>
        <w:color w:val="000000"/>
        <w:sz w:val="22"/>
        <w:szCs w:val="22"/>
        <w:u w:val="none"/>
        <w:shd w:val="clear" w:color="auto" w:fill="auto"/>
        <w:vertAlign w:val="baseline"/>
      </w:rPr>
      <w:fldChar w:fldCharType="separate"/>
    </w:r>
    <w:r>
      <w:rPr>
        <w:rFonts w:ascii="Calibri" w:cs="Calibri" w:eastAsia="Calibri" w:hAnsi="Calibri"/>
        <w:b w:val="false"/>
        <w:i w:val="false"/>
        <w:smallCaps w:val="false"/>
        <w:color w:val="000000"/>
        <w:sz w:val="22"/>
        <w:szCs w:val="22"/>
        <w:u w:val="none"/>
        <w:shd w:val="clear" w:color="auto" w:fill="auto"/>
        <w:vertAlign w:val="baseline"/>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Arial Rounded" w:cs="Arial Rounded" w:eastAsia="Arial Rounded" w:hAnsi="Arial Rounded"/>
          <w:b/>
          <w:i w:val="false"/>
          <w:smallCaps w:val="false"/>
          <w:color w:val="000000"/>
          <w:sz w:val="28"/>
          <w:szCs w:val="28"/>
          <w:u w:val="none"/>
          <w:shd w:val="clear" w:color="auto" w:fill="auto"/>
          <w:vertAlign w:val="baseline"/>
        </w:rPr>
        <w:t xml:space="preserve">Introduction, R. Graves, </w:t>
      </w:r>
      <w:r>
        <w:rPr>
          <w:rFonts w:ascii="Arial Rounded" w:cs="Arial Rounded" w:eastAsia="Arial Rounded" w:hAnsi="Arial Rounded"/>
          <w:b/>
          <w:i/>
          <w:iCs/>
          <w:smallCaps w:val="false"/>
          <w:color w:val="000000"/>
          <w:sz w:val="28"/>
          <w:szCs w:val="28"/>
          <w:u w:val="none"/>
          <w:shd w:val="clear" w:color="auto" w:fill="auto"/>
          <w:vertAlign w:val="baseline"/>
        </w:rPr>
        <w:t>The</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Greek</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Myths</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The</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Complete</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and</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Definitive</w:t>
      </w:r>
      <w:r>
        <w:rPr>
          <w:rFonts w:ascii="Arial Rounded" w:cs="Arial Rounded" w:eastAsia="Arial Rounded" w:hAnsi="Arial Rounded"/>
          <w:b/>
          <w:i w:val="false"/>
          <w:smallCaps w:val="false"/>
          <w:color w:val="000000"/>
          <w:sz w:val="28"/>
          <w:szCs w:val="28"/>
          <w:u w:val="none"/>
          <w:shd w:val="clear" w:color="auto" w:fill="auto"/>
          <w:vertAlign w:val="baseline"/>
        </w:rPr>
        <w:t xml:space="preserve"> </w:t>
      </w:r>
      <w:r>
        <w:rPr>
          <w:rFonts w:ascii="Arial Rounded" w:cs="Arial Rounded" w:eastAsia="Arial Rounded" w:hAnsi="Arial Rounded"/>
          <w:b/>
          <w:i/>
          <w:iCs/>
          <w:smallCaps w:val="false"/>
          <w:color w:val="000000"/>
          <w:sz w:val="28"/>
          <w:szCs w:val="28"/>
          <w:u w:val="none"/>
          <w:shd w:val="clear" w:color="auto" w:fill="auto"/>
          <w:vertAlign w:val="baseline"/>
        </w:rPr>
        <w:t>Edition</w:t>
      </w:r>
      <w:r>
        <w:rPr>
          <w:rFonts w:ascii="Arial Rounded" w:cs="Arial Rounded" w:eastAsia="Arial Rounded" w:hAnsi="Arial Rounded"/>
          <w:b/>
          <w:i w:val="false"/>
          <w:smallCaps w:val="false"/>
          <w:color w:val="000000"/>
          <w:sz w:val="28"/>
          <w:szCs w:val="28"/>
          <w:u w:val="none"/>
          <w:shd w:val="clear" w:color="auto" w:fill="auto"/>
          <w:vertAlign w:val="baseline"/>
        </w:rPr>
        <w:t>, (Penguin Books, 1992, Kindle Edition)</w:t>
      </w:r>
    </w:p>
  </w:footnote>
  <w:footnote w:id="2">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R. Aldington and D. Ames translators, </w:t>
      </w:r>
      <w:r>
        <w:rPr>
          <w:rFonts w:ascii="Helvetica Neue" w:cs="Helvetica Neue" w:eastAsia="Helvetica Neue" w:hAnsi="Helvetica Neue"/>
          <w:b w:val="false"/>
          <w:i/>
          <w:iCs/>
          <w:smallCaps w:val="false"/>
          <w:color w:val="000000"/>
          <w:sz w:val="28"/>
          <w:szCs w:val="28"/>
          <w:u w:val="none"/>
          <w:shd w:val="clear" w:color="auto" w:fill="auto"/>
          <w:vertAlign w:val="baseline"/>
        </w:rPr>
        <w:t>New</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Larousse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(London: Hamlyn Publishing Group, 1959)</w:t>
      </w:r>
    </w:p>
  </w:footnote>
  <w:footnote w:id="3">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Ibid</w:t>
      </w:r>
    </w:p>
  </w:footnote>
  <w:footnote w:id="4">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B. B. Powell, </w:t>
      </w:r>
      <w:r>
        <w:rPr>
          <w:rFonts w:ascii="Helvetica Neue" w:cs="Helvetica Neue" w:eastAsia="Helvetica Neue" w:hAnsi="Helvetica Neue"/>
          <w:b w:val="false"/>
          <w:i/>
          <w:iCs/>
          <w:smallCaps w:val="false"/>
          <w:color w:val="000000"/>
          <w:sz w:val="28"/>
          <w:szCs w:val="28"/>
          <w:u w:val="none"/>
          <w:shd w:val="clear" w:color="auto" w:fill="auto"/>
          <w:vertAlign w:val="baseline"/>
        </w:rPr>
        <w:t>Classical</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w:t>
      </w:r>
      <w:r>
        <w:rPr>
          <w:rFonts w:ascii="Helvetica Neue" w:cs="Helvetica Neue" w:eastAsia="Helvetica Neue" w:hAnsi="Helvetica Neue"/>
          <w:b w:val="false"/>
          <w:i w:val="false"/>
          <w:smallCaps w:val="false"/>
          <w:color w:val="000000"/>
          <w:sz w:val="28"/>
          <w:szCs w:val="28"/>
          <w:u w:val="none"/>
          <w:shd w:val="clear" w:color="auto" w:fill="auto"/>
          <w:vertAlign w:val="baseline"/>
        </w:rPr>
        <w:t>, (Pearson Education Limited, 2015, Kindle Edition)</w:t>
      </w:r>
    </w:p>
  </w:footnote>
  <w:footnote w:id="5">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F. B. Titchener and A. V. Zaforojnyi (eds),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Cambridge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Companion</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to</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Plutarch</w:t>
      </w:r>
      <w:r>
        <w:rPr>
          <w:rFonts w:ascii="Helvetica Neue" w:cs="Helvetica Neue" w:eastAsia="Helvetica Neue" w:hAnsi="Helvetica Neue"/>
          <w:b w:val="false"/>
          <w:i w:val="false"/>
          <w:smallCaps w:val="false"/>
          <w:color w:val="000000"/>
          <w:sz w:val="28"/>
          <w:szCs w:val="28"/>
          <w:u w:val="none"/>
          <w:shd w:val="clear" w:color="auto" w:fill="auto"/>
          <w:vertAlign w:val="baseline"/>
        </w:rPr>
        <w:t>, (Cambridge: Cambridge University Press, 2023, Kindle Edition)</w:t>
      </w:r>
    </w:p>
  </w:footnote>
  <w:footnote w:id="6">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N. Campion, “Was There a Ptolemaic Revolution in Ancient Egyptian Astronomy? Souls, Stars and Cosmology”, in Y. P. Aggarwal et al, </w:t>
      </w:r>
      <w:r>
        <w:rPr>
          <w:rFonts w:ascii="Helvetica Neue" w:cs="Helvetica Neue" w:eastAsia="Helvetica Neue" w:hAnsi="Helvetica Neue"/>
          <w:b w:val="false"/>
          <w:i/>
          <w:iCs/>
          <w:smallCaps w:val="false"/>
          <w:color w:val="000000"/>
          <w:sz w:val="28"/>
          <w:szCs w:val="28"/>
          <w:u w:val="none"/>
          <w:shd w:val="clear" w:color="auto" w:fill="auto"/>
          <w:vertAlign w:val="baseline"/>
        </w:rPr>
        <w:t>Ancient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Astronomy</w:t>
      </w:r>
      <w:r>
        <w:rPr>
          <w:rFonts w:ascii="Helvetica Neue" w:cs="Helvetica Neue" w:eastAsia="Helvetica Neue" w:hAnsi="Helvetica Neue"/>
          <w:b w:val="false"/>
          <w:i w:val="false"/>
          <w:smallCaps w:val="false"/>
          <w:color w:val="000000"/>
          <w:sz w:val="28"/>
          <w:szCs w:val="28"/>
          <w:u w:val="none"/>
          <w:shd w:val="clear" w:color="auto" w:fill="auto"/>
          <w:vertAlign w:val="baseline"/>
        </w:rPr>
        <w:t>, (Cambridge: Cosmology Science Publishers, 2011, Kindle Edition)</w:t>
      </w:r>
    </w:p>
  </w:footnote>
  <w:footnote w:id="7">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N. Campion, </w:t>
      </w:r>
      <w:r>
        <w:rPr>
          <w:rFonts w:ascii="Helvetica Neue" w:cs="Helvetica Neue" w:eastAsia="Helvetica Neue" w:hAnsi="Helvetica Neue"/>
          <w:b w:val="false"/>
          <w:i/>
          <w:iCs/>
          <w:smallCaps w:val="false"/>
          <w:color w:val="000000"/>
          <w:sz w:val="28"/>
          <w:szCs w:val="28"/>
          <w:u w:val="none"/>
          <w:shd w:val="clear" w:color="auto" w:fill="auto"/>
          <w:vertAlign w:val="baseline"/>
        </w:rPr>
        <w:t>Astrology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Cosmology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in</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World</w:t>
      </w:r>
      <w:r>
        <w:rPr>
          <w:rFonts w:ascii="Helvetica Neue" w:cs="Helvetica Neue" w:eastAsia="Helvetica Neue" w:hAnsi="Helvetica Neue"/>
          <w:b w:val="false"/>
          <w:i w:val="false"/>
          <w:smallCaps w:val="false"/>
          <w:color w:val="000000"/>
          <w:sz w:val="28"/>
          <w:szCs w:val="28"/>
          <w:u w:val="none"/>
          <w:shd w:val="clear" w:color="auto" w:fill="auto"/>
          <w:vertAlign w:val="baseline"/>
        </w:rPr>
        <w:t>’</w:t>
      </w:r>
      <w:r>
        <w:rPr>
          <w:rFonts w:ascii="Helvetica Neue" w:cs="Helvetica Neue" w:eastAsia="Helvetica Neue" w:hAnsi="Helvetica Neue"/>
          <w:b w:val="false"/>
          <w:i/>
          <w:iCs/>
          <w:smallCaps w:val="false"/>
          <w:color w:val="000000"/>
          <w:sz w:val="28"/>
          <w:szCs w:val="28"/>
          <w:u w:val="none"/>
          <w:shd w:val="clear" w:color="auto" w:fill="auto"/>
          <w:vertAlign w:val="baseline"/>
        </w:rPr>
        <w:t>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Religions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(New York University Press, 2012, Kindle Edition)</w:t>
      </w:r>
    </w:p>
  </w:footnote>
  <w:footnote w:id="8">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M. A. Stadler, </w:t>
      </w:r>
      <w:r>
        <w:rPr>
          <w:rFonts w:ascii="Helvetica Neue" w:cs="Helvetica Neue" w:eastAsia="Helvetica Neue" w:hAnsi="Helvetica Neue"/>
          <w:b w:val="false"/>
          <w:i/>
          <w:iCs/>
          <w:smallCaps w:val="false"/>
          <w:color w:val="000000"/>
          <w:sz w:val="28"/>
          <w:szCs w:val="28"/>
          <w:u w:val="none"/>
          <w:shd w:val="clear" w:color="auto" w:fill="auto"/>
          <w:vertAlign w:val="baseline"/>
        </w:rPr>
        <w:t>UCLA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Egyptology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2012</w:t>
      </w:r>
    </w:p>
  </w:footnote>
  <w:footnote w:id="9">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N. Campion, </w:t>
      </w:r>
      <w:r>
        <w:rPr>
          <w:rFonts w:ascii="Helvetica Neue" w:cs="Helvetica Neue" w:eastAsia="Helvetica Neue" w:hAnsi="Helvetica Neue"/>
          <w:b w:val="false"/>
          <w:i/>
          <w:iCs/>
          <w:smallCaps w:val="false"/>
          <w:color w:val="000000"/>
          <w:sz w:val="28"/>
          <w:szCs w:val="28"/>
          <w:u w:val="none"/>
          <w:shd w:val="clear" w:color="auto" w:fill="auto"/>
          <w:vertAlign w:val="baseline"/>
        </w:rPr>
        <w:t>Astrology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Cosmology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in</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World</w:t>
      </w:r>
      <w:r>
        <w:rPr>
          <w:rFonts w:ascii="Helvetica Neue" w:cs="Helvetica Neue" w:eastAsia="Helvetica Neue" w:hAnsi="Helvetica Neue"/>
          <w:b w:val="false"/>
          <w:i w:val="false"/>
          <w:smallCaps w:val="false"/>
          <w:color w:val="000000"/>
          <w:sz w:val="28"/>
          <w:szCs w:val="28"/>
          <w:u w:val="none"/>
          <w:shd w:val="clear" w:color="auto" w:fill="auto"/>
          <w:vertAlign w:val="baseline"/>
        </w:rPr>
        <w:t>’</w:t>
      </w:r>
      <w:r>
        <w:rPr>
          <w:rFonts w:ascii="Helvetica Neue" w:cs="Helvetica Neue" w:eastAsia="Helvetica Neue" w:hAnsi="Helvetica Neue"/>
          <w:b w:val="false"/>
          <w:i/>
          <w:iCs/>
          <w:smallCaps w:val="false"/>
          <w:color w:val="000000"/>
          <w:sz w:val="28"/>
          <w:szCs w:val="28"/>
          <w:u w:val="none"/>
          <w:shd w:val="clear" w:color="auto" w:fill="auto"/>
          <w:vertAlign w:val="baseline"/>
        </w:rPr>
        <w:t>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Religions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(New York University Press, 2012, Kindle Edition)</w:t>
      </w:r>
    </w:p>
  </w:footnote>
  <w:footnote w:id="10">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L. Gahlin, </w:t>
      </w:r>
      <w:r>
        <w:rPr>
          <w:rFonts w:ascii="Helvetica Neue" w:cs="Helvetica Neue" w:eastAsia="Helvetica Neue" w:hAnsi="Helvetica Neue"/>
          <w:b w:val="false"/>
          <w:i/>
          <w:iCs/>
          <w:smallCaps w:val="false"/>
          <w:color w:val="000000"/>
          <w:sz w:val="28"/>
          <w:szCs w:val="28"/>
          <w:u w:val="none"/>
          <w:shd w:val="clear" w:color="auto" w:fill="auto"/>
          <w:vertAlign w:val="baseline"/>
        </w:rPr>
        <w:t>Egypt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Religion</w:t>
      </w:r>
      <w:r>
        <w:rPr>
          <w:rFonts w:ascii="Helvetica Neue" w:cs="Helvetica Neue" w:eastAsia="Helvetica Neue" w:hAnsi="Helvetica Neue"/>
          <w:b w:val="false"/>
          <w:i w:val="false"/>
          <w:smallCaps w:val="false"/>
          <w:color w:val="000000"/>
          <w:sz w:val="28"/>
          <w:szCs w:val="28"/>
          <w:u w:val="none"/>
          <w:shd w:val="clear" w:color="auto" w:fill="auto"/>
          <w:vertAlign w:val="baseline"/>
        </w:rPr>
        <w:t>, (Lorenz Books, 2001)</w:t>
      </w:r>
    </w:p>
  </w:footnote>
  <w:footnote w:id="11">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Plutarch, </w:t>
      </w:r>
      <w:r>
        <w:rPr>
          <w:rFonts w:ascii="Helvetica Neue" w:cs="Helvetica Neue" w:eastAsia="Helvetica Neue" w:hAnsi="Helvetica Neue"/>
          <w:b w:val="false"/>
          <w:i/>
          <w:iCs/>
          <w:smallCaps w:val="false"/>
          <w:color w:val="000000"/>
          <w:sz w:val="28"/>
          <w:szCs w:val="28"/>
          <w:u w:val="none"/>
          <w:shd w:val="clear" w:color="auto" w:fill="auto"/>
          <w:vertAlign w:val="baseline"/>
        </w:rPr>
        <w:t>Moralia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Complete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Works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Plutarch</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ebook </w:t>
      </w:r>
    </w:p>
  </w:footnote>
  <w:footnote w:id="12">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Farrar, J. and S.,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Witches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Goddess</w:t>
      </w:r>
      <w:r>
        <w:rPr>
          <w:rFonts w:ascii="Helvetica Neue" w:cs="Helvetica Neue" w:eastAsia="Helvetica Neue" w:hAnsi="Helvetica Neue"/>
          <w:b w:val="false"/>
          <w:i w:val="false"/>
          <w:smallCaps w:val="false"/>
          <w:color w:val="000000"/>
          <w:sz w:val="28"/>
          <w:szCs w:val="28"/>
          <w:u w:val="none"/>
          <w:shd w:val="clear" w:color="auto" w:fill="auto"/>
          <w:vertAlign w:val="baseline"/>
        </w:rPr>
        <w:t>, (Phoenix Publishing Inc, 1987</w:t>
      </w:r>
    </w:p>
  </w:footnote>
  <w:footnote w:id="13">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L. Gahlin, </w:t>
      </w:r>
      <w:r>
        <w:rPr>
          <w:rFonts w:ascii="Helvetica Neue" w:cs="Helvetica Neue" w:eastAsia="Helvetica Neue" w:hAnsi="Helvetica Neue"/>
          <w:b w:val="false"/>
          <w:i/>
          <w:iCs/>
          <w:smallCaps w:val="false"/>
          <w:color w:val="000000"/>
          <w:sz w:val="28"/>
          <w:szCs w:val="28"/>
          <w:u w:val="none"/>
          <w:shd w:val="clear" w:color="auto" w:fill="auto"/>
          <w:vertAlign w:val="baseline"/>
        </w:rPr>
        <w:t>Egypt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Religion</w:t>
      </w:r>
      <w:r>
        <w:rPr>
          <w:rFonts w:ascii="Helvetica Neue" w:cs="Helvetica Neue" w:eastAsia="Helvetica Neue" w:hAnsi="Helvetica Neue"/>
          <w:b w:val="false"/>
          <w:i w:val="false"/>
          <w:smallCaps w:val="false"/>
          <w:color w:val="000000"/>
          <w:sz w:val="28"/>
          <w:szCs w:val="28"/>
          <w:u w:val="none"/>
          <w:shd w:val="clear" w:color="auto" w:fill="auto"/>
          <w:vertAlign w:val="baseline"/>
        </w:rPr>
        <w:t>, (2001, Lorenz Books)</w:t>
      </w:r>
    </w:p>
  </w:footnote>
  <w:footnote w:id="14">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Plutarch, </w:t>
      </w:r>
      <w:r>
        <w:rPr>
          <w:rFonts w:ascii="Helvetica Neue" w:cs="Helvetica Neue" w:eastAsia="Helvetica Neue" w:hAnsi="Helvetica Neue"/>
          <w:b w:val="false"/>
          <w:i/>
          <w:iCs/>
          <w:smallCaps w:val="false"/>
          <w:color w:val="000000"/>
          <w:sz w:val="28"/>
          <w:szCs w:val="28"/>
          <w:u w:val="none"/>
          <w:shd w:val="clear" w:color="auto" w:fill="auto"/>
          <w:vertAlign w:val="baseline"/>
        </w:rPr>
        <w:t>Moralia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Complete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Works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Plutarch</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ebook </w:t>
      </w:r>
    </w:p>
  </w:footnote>
  <w:footnote w:id="15">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D. Sacks,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Ancient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Greek</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World</w:t>
      </w:r>
      <w:r>
        <w:rPr>
          <w:rFonts w:ascii="Helvetica Neue" w:cs="Helvetica Neue" w:eastAsia="Helvetica Neue" w:hAnsi="Helvetica Neue"/>
          <w:b w:val="false"/>
          <w:i w:val="false"/>
          <w:smallCaps w:val="false"/>
          <w:color w:val="000000"/>
          <w:sz w:val="28"/>
          <w:szCs w:val="28"/>
          <w:u w:val="none"/>
          <w:shd w:val="clear" w:color="auto" w:fill="auto"/>
          <w:vertAlign w:val="baseline"/>
        </w:rPr>
        <w:t>, p.190, (London: Constable and Company Limited, 1995)</w:t>
      </w:r>
    </w:p>
  </w:footnote>
  <w:footnote w:id="16">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L. Gahlin, </w:t>
      </w:r>
      <w:r>
        <w:rPr>
          <w:rFonts w:ascii="Helvetica Neue" w:cs="Helvetica Neue" w:eastAsia="Helvetica Neue" w:hAnsi="Helvetica Neue"/>
          <w:b w:val="false"/>
          <w:i/>
          <w:iCs/>
          <w:smallCaps w:val="false"/>
          <w:color w:val="000000"/>
          <w:sz w:val="28"/>
          <w:szCs w:val="28"/>
          <w:u w:val="none"/>
          <w:shd w:val="clear" w:color="auto" w:fill="auto"/>
          <w:vertAlign w:val="baseline"/>
        </w:rPr>
        <w:t>Egypt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Religion</w:t>
      </w:r>
      <w:r>
        <w:rPr>
          <w:rFonts w:ascii="Helvetica Neue" w:cs="Helvetica Neue" w:eastAsia="Helvetica Neue" w:hAnsi="Helvetica Neue"/>
          <w:b w:val="false"/>
          <w:i w:val="false"/>
          <w:smallCaps w:val="false"/>
          <w:color w:val="000000"/>
          <w:sz w:val="28"/>
          <w:szCs w:val="28"/>
          <w:u w:val="none"/>
          <w:shd w:val="clear" w:color="auto" w:fill="auto"/>
          <w:vertAlign w:val="baseline"/>
        </w:rPr>
        <w:t>, (Lorenz Books, 2001)</w:t>
      </w:r>
    </w:p>
  </w:footnote>
  <w:footnote w:id="17">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G. Hart,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British</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Museum</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Pocket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Dictionary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Ancient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Egyptian</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and</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Goddesses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(London: British Museum Press, 2001)</w:t>
      </w:r>
    </w:p>
  </w:footnote>
  <w:footnote w:id="18">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K. Kerenyi,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Gods</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Greeks</w:t>
      </w:r>
      <w:r>
        <w:rPr>
          <w:rFonts w:ascii="Helvetica Neue" w:cs="Helvetica Neue" w:eastAsia="Helvetica Neue" w:hAnsi="Helvetica Neue"/>
          <w:b w:val="false"/>
          <w:i w:val="false"/>
          <w:smallCaps w:val="false"/>
          <w:color w:val="000000"/>
          <w:sz w:val="28"/>
          <w:szCs w:val="28"/>
          <w:u w:val="none"/>
          <w:shd w:val="clear" w:color="auto" w:fill="auto"/>
          <w:vertAlign w:val="baseline"/>
        </w:rPr>
        <w:t>, (1951)</w:t>
      </w:r>
    </w:p>
  </w:footnote>
  <w:footnote w:id="19">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D. Sacks,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Ancient</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Greek</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World</w:t>
      </w:r>
      <w:r>
        <w:rPr>
          <w:rFonts w:ascii="Helvetica Neue" w:cs="Helvetica Neue" w:eastAsia="Helvetica Neue" w:hAnsi="Helvetica Neue"/>
          <w:b w:val="false"/>
          <w:i w:val="false"/>
          <w:smallCaps w:val="false"/>
          <w:color w:val="000000"/>
          <w:sz w:val="28"/>
          <w:szCs w:val="28"/>
          <w:u w:val="none"/>
          <w:shd w:val="clear" w:color="auto" w:fill="auto"/>
          <w:vertAlign w:val="baseline"/>
        </w:rPr>
        <w:t>, (London: Constable and Company Limited, 1995)</w:t>
      </w:r>
    </w:p>
  </w:footnote>
  <w:footnote w:id="20">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J. March, </w:t>
      </w:r>
      <w:r>
        <w:rPr>
          <w:rFonts w:ascii="Helvetica Neue" w:cs="Helvetica Neue" w:eastAsia="Helvetica Neue" w:hAnsi="Helvetica Neue"/>
          <w:b w:val="false"/>
          <w:i/>
          <w:iCs/>
          <w:smallCaps w:val="false"/>
          <w:color w:val="000000"/>
          <w:sz w:val="28"/>
          <w:szCs w:val="28"/>
          <w:u w:val="none"/>
          <w:shd w:val="clear" w:color="auto" w:fill="auto"/>
          <w:vertAlign w:val="baseline"/>
        </w:rPr>
        <w:t>Dictionary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Classical</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(London: Cassell &amp; Co., 1998)</w:t>
      </w:r>
    </w:p>
  </w:footnote>
  <w:footnote w:id="21">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R. Aldington and D. Ames translators, </w:t>
      </w:r>
      <w:r>
        <w:rPr>
          <w:rFonts w:ascii="Helvetica Neue" w:cs="Helvetica Neue" w:eastAsia="Helvetica Neue" w:hAnsi="Helvetica Neue"/>
          <w:b w:val="false"/>
          <w:i/>
          <w:iCs/>
          <w:smallCaps w:val="false"/>
          <w:color w:val="000000"/>
          <w:sz w:val="28"/>
          <w:szCs w:val="28"/>
          <w:u w:val="none"/>
          <w:shd w:val="clear" w:color="auto" w:fill="auto"/>
          <w:vertAlign w:val="baseline"/>
        </w:rPr>
        <w:t>New</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Larousse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(London: Hamlyn Publishing Group, 1959)</w:t>
      </w:r>
    </w:p>
  </w:footnote>
  <w:footnote w:id="22">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Ibid </w:t>
      </w:r>
    </w:p>
  </w:footnote>
  <w:footnote w:id="23">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J. March, </w:t>
      </w:r>
      <w:r>
        <w:rPr>
          <w:rFonts w:ascii="Helvetica Neue" w:cs="Helvetica Neue" w:eastAsia="Helvetica Neue" w:hAnsi="Helvetica Neue"/>
          <w:b w:val="false"/>
          <w:i/>
          <w:iCs/>
          <w:smallCaps w:val="false"/>
          <w:color w:val="000000"/>
          <w:sz w:val="28"/>
          <w:szCs w:val="28"/>
          <w:u w:val="none"/>
          <w:shd w:val="clear" w:color="auto" w:fill="auto"/>
          <w:vertAlign w:val="baseline"/>
        </w:rPr>
        <w:t>Dictionary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Classical</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(London: Cassell &amp; Co., 1999)</w:t>
      </w:r>
    </w:p>
  </w:footnote>
  <w:footnote w:id="24">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F. B. Titchener and A. V. Zadorojnyi, </w:t>
      </w:r>
      <w:r>
        <w:rPr>
          <w:rFonts w:ascii="Helvetica Neue" w:cs="Helvetica Neue" w:eastAsia="Helvetica Neue" w:hAnsi="Helvetica Neue"/>
          <w:b w:val="false"/>
          <w:i/>
          <w:iCs/>
          <w:smallCaps w:val="false"/>
          <w:color w:val="000000"/>
          <w:sz w:val="28"/>
          <w:szCs w:val="28"/>
          <w:u w:val="none"/>
          <w:shd w:val="clear" w:color="auto" w:fill="auto"/>
          <w:vertAlign w:val="baseline"/>
        </w:rPr>
        <w:t>The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Cambridge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Companion</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to</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Plutarch</w:t>
      </w:r>
      <w:r>
        <w:rPr>
          <w:rFonts w:ascii="Helvetica Neue" w:cs="Helvetica Neue" w:eastAsia="Helvetica Neue" w:hAnsi="Helvetica Neue"/>
          <w:b w:val="false"/>
          <w:i w:val="false"/>
          <w:smallCaps w:val="false"/>
          <w:color w:val="000000"/>
          <w:sz w:val="28"/>
          <w:szCs w:val="28"/>
          <w:u w:val="none"/>
          <w:shd w:val="clear" w:color="auto" w:fill="auto"/>
          <w:vertAlign w:val="baseline"/>
        </w:rPr>
        <w:t>, (Cambridge: Cambridge University Press, 2023, Kindle Edition)</w:t>
      </w:r>
    </w:p>
  </w:footnote>
  <w:footnote w:id="25">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New</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Larousse</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Encyclopedia</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of</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r>
        <w:rPr>
          <w:rFonts w:ascii="Helvetica Neue" w:cs="Helvetica Neue" w:eastAsia="Helvetica Neue" w:hAnsi="Helvetica Neue"/>
          <w:b w:val="false"/>
          <w:i/>
          <w:iCs/>
          <w:smallCaps w:val="false"/>
          <w:color w:val="000000"/>
          <w:sz w:val="28"/>
          <w:szCs w:val="28"/>
          <w:u w:val="none"/>
          <w:shd w:val="clear" w:color="auto" w:fill="auto"/>
          <w:vertAlign w:val="baseline"/>
        </w:rPr>
        <w:t>Mythology</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 </w:t>
      </w:r>
    </w:p>
  </w:footnote>
  <w:footnote w:id="26">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Ibid </w:t>
      </w:r>
    </w:p>
  </w:footnote>
  <w:footnote w:id="27">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 xml:space="preserve">Ibid </w:t>
      </w:r>
    </w:p>
  </w:footnote>
  <w:footnote w:id="28">
    <w:p>
      <w:pPr>
        <w:pStyle w:val="style0"/>
        <w:keepNext w:val="false"/>
        <w:keepLines w:val="false"/>
        <w:pageBreakBefore w:val="false"/>
        <w:widowControl/>
        <w:pBdr>
          <w:left w:val="nil"/>
          <w:right w:val="nil"/>
          <w:top w:val="nil"/>
          <w:bottom w:val="nil"/>
          <w:between w:val="nil"/>
        </w:pBdr>
        <w:shd w:val="clear" w:color="auto" w:fill="auto"/>
        <w:spacing w:before="0" w:after="0" w:lineRule="auto" w:line="240"/>
        <w:ind w:left="0" w:right="0" w:firstLine="0"/>
        <w:jc w:val="left"/>
        <w:rPr>
          <w:rFonts w:ascii="Helvetica Neue" w:cs="Helvetica Neue" w:eastAsia="Helvetica Neue" w:hAnsi="Helvetica Neue"/>
          <w:b w:val="false"/>
          <w:i w:val="false"/>
          <w:smallCaps w:val="false"/>
          <w:color w:val="000000"/>
          <w:sz w:val="22"/>
          <w:szCs w:val="22"/>
          <w:u w:val="none"/>
          <w:shd w:val="clear" w:color="auto" w:fill="auto"/>
          <w:vertAlign w:val="baseline"/>
        </w:rPr>
      </w:pPr>
      <w:r>
        <w:rPr>
          <w:vertAlign w:val="superscript"/>
        </w:rPr>
        <w:footnoteRef/>
      </w:r>
      <w:r>
        <w:rPr>
          <w:rFonts w:ascii="Helvetica Neue" w:cs="Helvetica Neue" w:eastAsia="Helvetica Neue" w:hAnsi="Helvetica Neue"/>
          <w:b w:val="false"/>
          <w:i w:val="false"/>
          <w:smallCaps w:val="false"/>
          <w:color w:val="000000"/>
          <w:sz w:val="22"/>
          <w:szCs w:val="22"/>
          <w:u w:val="none"/>
          <w:shd w:val="clear" w:color="auto" w:fill="auto"/>
          <w:vertAlign w:val="baseline"/>
        </w:rPr>
        <w:t xml:space="preserve"> </w:t>
      </w:r>
      <w:r>
        <w:rPr>
          <w:rFonts w:ascii="Helvetica Neue" w:cs="Helvetica Neue" w:eastAsia="Helvetica Neue" w:hAnsi="Helvetica Neue"/>
          <w:b w:val="false"/>
          <w:i w:val="false"/>
          <w:smallCaps w:val="false"/>
          <w:color w:val="000000"/>
          <w:sz w:val="28"/>
          <w:szCs w:val="28"/>
          <w:u w:val="none"/>
          <w:shd w:val="clear" w:color="auto" w:fill="auto"/>
          <w:vertAlign w:val="baseline"/>
        </w:rPr>
        <w:t>R. Parker, The Classical Review, 1981</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keepNext w:val="false"/>
      <w:keepLines w:val="false"/>
      <w:pageBreakBefore w:val="false"/>
      <w:widowControl/>
      <w:pBdr>
        <w:left w:val="nil"/>
        <w:right w:val="nil"/>
        <w:top w:val="nil"/>
        <w:bottom w:val="nil"/>
        <w:between w:val="nil"/>
      </w:pBdr>
      <w:shd w:val="clear" w:color="auto" w:fill="auto"/>
      <w:spacing w:before="0" w:after="200" w:lineRule="auto" w:line="276"/>
      <w:ind w:left="0" w:right="0" w:firstLine="0"/>
      <w:jc w:val="center"/>
      <w:rPr>
        <w:rFonts w:ascii="Calibri" w:cs="Calibri" w:eastAsia="Calibri" w:hAnsi="Calibri"/>
        <w:b w:val="false"/>
        <w:i w:val="false"/>
        <w:smallCaps w:val="false"/>
        <w:color w:val="000000"/>
        <w:sz w:val="22"/>
        <w:szCs w:val="22"/>
        <w:u w:val="none"/>
        <w:shd w:val="clear" w:color="auto" w:fill="auto"/>
        <w:vertAlign w:val="baseline"/>
      </w:rPr>
    </w:pPr>
    <w:r>
      <w:rPr>
        <w:rFonts w:ascii="Times New Roman" w:cs="Times New Roman" w:eastAsia="Times New Roman" w:hAnsi="Times New Roman"/>
        <w:b w:val="false"/>
        <w:i w:val="false"/>
        <w:smallCaps w:val="false"/>
        <w:color w:val="000000"/>
        <w:sz w:val="28"/>
        <w:szCs w:val="28"/>
        <w:u w:val="none"/>
        <w:shd w:val="clear" w:color="auto" w:fill="auto"/>
        <w:vertAlign w:val="baseline"/>
      </w:rPr>
      <w:t>Catherine Hornby - 27001103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sz w:val="24"/>
        <w:szCs w:val="24"/>
        <w:lang w:val="en-US"/>
      </w:rPr>
    </w:rPrDefault>
    <w:pPrDefault>
      <w:pPr/>
    </w:pPrDefault>
  </w:docDefaults>
  <w:style w:type="paragraph" w:default="1" w:styleId="style0">
    <w:name w:val="Normal"/>
    <w:next w:val="style0"/>
    <w:pPr>
      <w:keepNext w:val="false"/>
      <w:keepLines w:val="false"/>
      <w:pageBreakBefore w:val="false"/>
      <w:widowControl/>
      <w:shd w:val="clear" w:color="auto" w:fill="auto"/>
      <w:suppressAutoHyphens w:val="false"/>
      <w:bidi w:val="false"/>
      <w:spacing w:before="0" w:after="200" w:lineRule="auto" w:line="276"/>
      <w:ind w:left="0" w:right="0" w:firstLine="0"/>
      <w:jc w:val="left"/>
      <w:outlineLvl w:val="9"/>
    </w:pPr>
    <w:rPr>
      <w:rFonts w:ascii="Calibri" w:cs="Arial Unicode MS" w:eastAsia="Arial Unicode MS" w:hAnsi="Calibri"/>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14:textOutline>
        <w14:noFill/>
      </w14:textOutline>
    </w:rPr>
  </w:style>
  <w:style w:type="table" w:customStyle="1" w:styleId="style4097">
    <w:name w:val="Table Normal"/>
    <w:next w:val="style4097"/>
    <w:pPr/>
    <w:tcPr>
      <w:tcBorders/>
    </w:tcPr>
  </w:style>
  <w:style w:type="paragraph" w:styleId="style1">
    <w:name w:val="heading 1"/>
    <w:basedOn w:val="style0"/>
    <w:next w:val="style0"/>
    <w:pPr>
      <w:keepNext/>
      <w:keepLines/>
      <w:pageBreakBefore w:val="false"/>
      <w:spacing w:before="480" w:after="120"/>
    </w:pPr>
    <w:rPr>
      <w:b/>
      <w:sz w:val="48"/>
      <w:szCs w:val="48"/>
    </w:rPr>
  </w:style>
  <w:style w:type="paragraph" w:styleId="style2">
    <w:name w:val="heading 2"/>
    <w:basedOn w:val="style0"/>
    <w:next w:val="style0"/>
    <w:pPr>
      <w:keepNext/>
      <w:keepLines/>
      <w:pageBreakBefore w:val="false"/>
      <w:spacing w:before="360" w:after="80"/>
    </w:pPr>
    <w:rPr>
      <w:b/>
      <w:sz w:val="36"/>
      <w:szCs w:val="36"/>
    </w:rPr>
  </w:style>
  <w:style w:type="paragraph" w:styleId="style3">
    <w:name w:val="heading 3"/>
    <w:basedOn w:val="style0"/>
    <w:next w:val="style0"/>
    <w:pPr>
      <w:keepNext/>
      <w:keepLines/>
      <w:pageBreakBefore w:val="false"/>
      <w:spacing w:before="280" w:after="80"/>
    </w:pPr>
    <w:rPr>
      <w:b/>
      <w:sz w:val="28"/>
      <w:szCs w:val="28"/>
    </w:rPr>
  </w:style>
  <w:style w:type="paragraph" w:styleId="style4">
    <w:name w:val="heading 4"/>
    <w:basedOn w:val="style0"/>
    <w:next w:val="style0"/>
    <w:pPr>
      <w:keepNext/>
      <w:keepLines/>
      <w:pageBreakBefore w:val="false"/>
      <w:spacing w:before="240" w:after="40"/>
    </w:pPr>
    <w:rPr>
      <w:b/>
      <w:sz w:val="24"/>
      <w:szCs w:val="24"/>
    </w:rPr>
  </w:style>
  <w:style w:type="paragraph" w:styleId="style5">
    <w:name w:val="heading 5"/>
    <w:basedOn w:val="style0"/>
    <w:next w:val="style0"/>
    <w:pPr>
      <w:keepNext/>
      <w:keepLines/>
      <w:pageBreakBefore w:val="false"/>
      <w:spacing w:before="220" w:after="40"/>
    </w:pPr>
    <w:rPr>
      <w:b/>
      <w:sz w:val="22"/>
      <w:szCs w:val="22"/>
    </w:rPr>
  </w:style>
  <w:style w:type="paragraph" w:styleId="style6">
    <w:name w:val="heading 6"/>
    <w:basedOn w:val="style0"/>
    <w:next w:val="style0"/>
    <w:pPr>
      <w:keepNext/>
      <w:keepLines/>
      <w:pageBreakBefore w:val="false"/>
      <w:spacing w:before="200" w:after="40"/>
    </w:pPr>
    <w:rPr>
      <w:b/>
      <w:sz w:val="20"/>
      <w:szCs w:val="20"/>
    </w:rPr>
  </w:style>
  <w:style w:type="paragraph" w:styleId="style62">
    <w:name w:val="Title"/>
    <w:basedOn w:val="style0"/>
    <w:next w:val="style0"/>
    <w:pPr>
      <w:keepNext/>
      <w:keepLines/>
      <w:pageBreakBefore w:val="false"/>
      <w:spacing w:before="480" w:after="120"/>
    </w:pPr>
    <w:rPr>
      <w:b/>
      <w:sz w:val="72"/>
      <w:szCs w:val="72"/>
    </w:rPr>
  </w:style>
  <w:style w:type="character" w:default="1" w:styleId="style65">
    <w:name w:val="Default Paragraph Font"/>
    <w:next w:val="style65"/>
  </w:style>
  <w:style w:type="character" w:styleId="style85">
    <w:name w:val="Hyperlink"/>
    <w:next w:val="style85"/>
    <w:rPr>
      <w:u w:val="single"/>
    </w:rPr>
  </w:style>
  <w:style w:type="table" w:customStyle="1" w:styleId="style4098">
    <w:name w:val="Table Normal"/>
    <w:next w:val="style4098"/>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styleId="style31">
    <w:name w:val="header"/>
    <w:next w:val="style31"/>
    <w:pPr>
      <w:keepNext w:val="false"/>
      <w:keepLines w:val="false"/>
      <w:pageBreakBefore w:val="false"/>
      <w:widowControl/>
      <w:shd w:val="clear" w:color="auto" w:fill="auto"/>
      <w:tabs>
        <w:tab w:val="center" w:leader="none" w:pos="4320"/>
        <w:tab w:val="right" w:leader="none" w:pos="8640"/>
      </w:tabs>
      <w:suppressAutoHyphens w:val="false"/>
      <w:bidi w:val="false"/>
      <w:spacing w:before="0" w:after="0" w:lineRule="auto" w:line="240"/>
      <w:ind w:left="0" w:right="0" w:firstLine="0"/>
      <w:jc w:val="left"/>
      <w:outlineLvl w:val="9"/>
    </w:pPr>
    <w:rPr>
      <w:rFonts w:ascii="Calibri" w:cs="Calibri" w:eastAsia="Calibri" w:hAnsi="Calibri"/>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rPr>
  </w:style>
  <w:style w:type="paragraph" w:customStyle="1" w:styleId="style4099">
    <w:name w:val="Footnote"/>
    <w:next w:val="style4099"/>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14:textOutline>
        <w14:noFill/>
      </w14:textOutline>
    </w:rPr>
  </w:style>
  <w:style w:type="paragraph" w:styleId="style74">
    <w:name w:val="Subtitle"/>
    <w:basedOn w:val="style0"/>
    <w:next w:val="style0"/>
    <w:pPr>
      <w:keepNext/>
      <w:keepLines/>
      <w:pageBreakBefore w:val="false"/>
      <w:spacing w:before="360" w:after="80"/>
    </w:pPr>
    <w:rPr>
      <w:rFonts w:ascii="Georgia" w:cs="Georgia" w:eastAsia="Georgia" w:hAnsi="Georgia"/>
      <w:i/>
      <w:color w:val="666666"/>
      <w:sz w:val="48"/>
      <w:szCs w:val="4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theme" Target="theme/theme1.xml"/><Relationship Id="rId5"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4552</Words>
  <Characters>23066</Characters>
  <Application>WPS Office</Application>
  <Paragraphs>281</Paragraphs>
  <CharactersWithSpaces>27580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2024-04-29T21:39:24Z</dcterms:created>
  <dc:creator>WPS Office</dc:creator>
  <lastModifiedBy>KFMUWI</lastModifiedBy>
  <dcterms:modified xsi:type="dcterms:W3CDTF">2024-04-29T21:39:25Z</dcterms:modified>
</coreProperties>
</file>

<file path=docProps/custom.xml><?xml version="1.0" encoding="utf-8"?>
<Properties xmlns="http://schemas.openxmlformats.org/officeDocument/2006/custom-properties" xmlns:vt="http://schemas.openxmlformats.org/officeDocument/2006/docPropsVTypes"/>
</file>