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A59B3" w:rsidRDefault="009A59B3"/>
    <w:p w:rsidR="009A59B3" w:rsidRDefault="009A59B3"/>
    <w:p w:rsidR="009A59B3" w:rsidRDefault="009A59B3"/>
    <w:p w:rsidR="009A59B3" w:rsidRDefault="009A59B3" w:rsidP="009A59B3">
      <w:pPr>
        <w:jc w:val="center"/>
        <w:rPr>
          <w:rFonts w:cs="Times New Roman"/>
          <w:sz w:val="36"/>
          <w:szCs w:val="36"/>
        </w:rPr>
      </w:pPr>
      <w:r>
        <w:rPr>
          <w:rFonts w:cs="Times New Roman"/>
          <w:sz w:val="36"/>
          <w:szCs w:val="36"/>
        </w:rPr>
        <w:t xml:space="preserve">Yaqoob </w:t>
      </w:r>
      <w:proofErr w:type="spellStart"/>
      <w:r>
        <w:rPr>
          <w:rFonts w:cs="Times New Roman"/>
          <w:sz w:val="36"/>
          <w:szCs w:val="36"/>
        </w:rPr>
        <w:t>Talukdaar</w:t>
      </w:r>
      <w:proofErr w:type="spellEnd"/>
    </w:p>
    <w:p w:rsidR="009A59B3" w:rsidRDefault="009A59B3" w:rsidP="009A59B3">
      <w:pPr>
        <w:jc w:val="center"/>
        <w:rPr>
          <w:rFonts w:cs="Times New Roman"/>
          <w:sz w:val="36"/>
          <w:szCs w:val="36"/>
        </w:rPr>
      </w:pPr>
    </w:p>
    <w:p w:rsidR="009A59B3" w:rsidRPr="00617FD7" w:rsidRDefault="009A59B3" w:rsidP="009A59B3">
      <w:pPr>
        <w:rPr>
          <w:rFonts w:ascii="Arial" w:hAnsi="Arial" w:cs="Arial"/>
          <w:szCs w:val="24"/>
        </w:rPr>
      </w:pPr>
      <w:r>
        <w:rPr>
          <w:rFonts w:cs="Times New Roman"/>
          <w:sz w:val="36"/>
          <w:szCs w:val="36"/>
        </w:rPr>
        <w:t xml:space="preserve">              </w:t>
      </w:r>
      <w:proofErr w:type="gramStart"/>
      <w:r w:rsidRPr="00617FD7">
        <w:rPr>
          <w:rFonts w:ascii="Arial" w:hAnsi="Arial" w:cs="Arial"/>
          <w:szCs w:val="24"/>
        </w:rPr>
        <w:t>Student :</w:t>
      </w:r>
      <w:proofErr w:type="gramEnd"/>
      <w:r w:rsidRPr="00617FD7">
        <w:rPr>
          <w:rFonts w:ascii="Arial" w:hAnsi="Arial" w:cs="Arial"/>
          <w:szCs w:val="24"/>
        </w:rPr>
        <w:t xml:space="preserve"> 212672</w:t>
      </w:r>
      <w:r>
        <w:rPr>
          <w:rFonts w:ascii="Arial" w:hAnsi="Arial" w:cs="Arial"/>
          <w:szCs w:val="24"/>
        </w:rPr>
        <w:t>2</w:t>
      </w:r>
    </w:p>
    <w:p w:rsidR="009A59B3" w:rsidRPr="00BE3621" w:rsidRDefault="009A59B3" w:rsidP="009A59B3">
      <w:pPr>
        <w:rPr>
          <w:rFonts w:ascii="Arial" w:hAnsi="Arial" w:cs="Arial"/>
          <w:szCs w:val="24"/>
        </w:rPr>
      </w:pPr>
      <w:r w:rsidRPr="00617FD7">
        <w:rPr>
          <w:rFonts w:ascii="Arial" w:hAnsi="Arial" w:cs="Arial"/>
          <w:szCs w:val="24"/>
        </w:rPr>
        <w:t xml:space="preserve">                   Module Title:</w:t>
      </w:r>
      <w:r w:rsidRPr="00617FD7">
        <w:rPr>
          <w:rFonts w:ascii="Arial" w:hAnsi="Arial" w:cs="Arial"/>
          <w:b/>
          <w:bCs/>
          <w:szCs w:val="24"/>
        </w:rPr>
        <w:t xml:space="preserve"> </w:t>
      </w:r>
      <w:r>
        <w:rPr>
          <w:rFonts w:ascii="Arial" w:hAnsi="Arial" w:cs="Arial"/>
          <w:b/>
          <w:bCs/>
          <w:szCs w:val="24"/>
        </w:rPr>
        <w:t xml:space="preserve"> Feasibility plan (MICE)</w:t>
      </w:r>
    </w:p>
    <w:p w:rsidR="009A59B3" w:rsidRPr="00617FD7" w:rsidRDefault="009A59B3" w:rsidP="009A59B3">
      <w:pPr>
        <w:rPr>
          <w:rFonts w:ascii="Arial" w:hAnsi="Arial" w:cs="Arial"/>
          <w:szCs w:val="24"/>
        </w:rPr>
      </w:pPr>
      <w:r w:rsidRPr="00617FD7">
        <w:rPr>
          <w:rFonts w:ascii="Arial" w:hAnsi="Arial" w:cs="Arial"/>
          <w:b/>
          <w:bCs/>
          <w:szCs w:val="24"/>
        </w:rPr>
        <w:t xml:space="preserve">                   </w:t>
      </w:r>
      <w:r w:rsidRPr="00617FD7">
        <w:rPr>
          <w:rFonts w:ascii="Arial" w:hAnsi="Arial" w:cs="Arial"/>
          <w:szCs w:val="24"/>
        </w:rPr>
        <w:t>Modul</w:t>
      </w:r>
      <w:r>
        <w:rPr>
          <w:rFonts w:ascii="Arial" w:hAnsi="Arial" w:cs="Arial"/>
          <w:szCs w:val="24"/>
        </w:rPr>
        <w:t>e</w:t>
      </w:r>
      <w:r w:rsidRPr="00617FD7">
        <w:rPr>
          <w:rFonts w:ascii="Arial" w:hAnsi="Arial" w:cs="Arial"/>
          <w:szCs w:val="24"/>
        </w:rPr>
        <w:t xml:space="preserve"> code:  BMIH</w:t>
      </w:r>
      <w:r>
        <w:rPr>
          <w:rFonts w:ascii="Arial" w:hAnsi="Arial" w:cs="Arial"/>
          <w:szCs w:val="24"/>
        </w:rPr>
        <w:t>6007</w:t>
      </w:r>
    </w:p>
    <w:p w:rsidR="009A59B3" w:rsidRPr="00617FD7" w:rsidRDefault="009A59B3" w:rsidP="009A59B3">
      <w:pPr>
        <w:rPr>
          <w:rFonts w:ascii="Arial" w:hAnsi="Arial" w:cs="Arial"/>
          <w:szCs w:val="24"/>
        </w:rPr>
      </w:pPr>
      <w:r w:rsidRPr="00617FD7">
        <w:rPr>
          <w:rFonts w:ascii="Arial" w:hAnsi="Arial" w:cs="Arial"/>
          <w:szCs w:val="24"/>
        </w:rPr>
        <w:t xml:space="preserve">             </w:t>
      </w:r>
      <w:r>
        <w:rPr>
          <w:rFonts w:ascii="Arial" w:hAnsi="Arial" w:cs="Arial"/>
          <w:szCs w:val="24"/>
        </w:rPr>
        <w:t xml:space="preserve">    </w:t>
      </w:r>
      <w:r w:rsidRPr="00617FD7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 xml:space="preserve"> </w:t>
      </w:r>
      <w:r w:rsidRPr="00617FD7">
        <w:rPr>
          <w:rFonts w:ascii="Arial" w:hAnsi="Arial" w:cs="Arial"/>
          <w:szCs w:val="24"/>
        </w:rPr>
        <w:t xml:space="preserve">Tutor: </w:t>
      </w:r>
      <w:r>
        <w:rPr>
          <w:rFonts w:ascii="Arial" w:hAnsi="Arial" w:cs="Arial"/>
          <w:szCs w:val="24"/>
        </w:rPr>
        <w:t>Chris Wilkin</w:t>
      </w:r>
    </w:p>
    <w:p w:rsidR="009A59B3" w:rsidRPr="00617FD7" w:rsidRDefault="009A59B3" w:rsidP="009A59B3">
      <w:pPr>
        <w:rPr>
          <w:rFonts w:ascii="Arial" w:hAnsi="Arial" w:cs="Arial"/>
          <w:szCs w:val="24"/>
        </w:rPr>
      </w:pPr>
      <w:r w:rsidRPr="00617FD7">
        <w:rPr>
          <w:rFonts w:ascii="Arial" w:hAnsi="Arial" w:cs="Arial"/>
          <w:szCs w:val="24"/>
        </w:rPr>
        <w:t xml:space="preserve">              </w:t>
      </w:r>
      <w:r>
        <w:rPr>
          <w:rFonts w:ascii="Arial" w:hAnsi="Arial" w:cs="Arial"/>
          <w:szCs w:val="24"/>
        </w:rPr>
        <w:t xml:space="preserve">    </w:t>
      </w:r>
    </w:p>
    <w:p w:rsidR="009A59B3" w:rsidRPr="00397F16" w:rsidRDefault="009A59B3" w:rsidP="009A59B3">
      <w:pPr>
        <w:ind w:left="2880" w:firstLine="720"/>
        <w:rPr>
          <w:b/>
        </w:rPr>
      </w:pPr>
    </w:p>
    <w:p w:rsidR="009A59B3" w:rsidRPr="009A59B3" w:rsidRDefault="009A59B3" w:rsidP="009A59B3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  <w14:ligatures w14:val="none"/>
        </w:rPr>
      </w:pPr>
      <w:r w:rsidRPr="00744CBB">
        <w:rPr>
          <w:rFonts w:ascii="Arial" w:eastAsia="Times New Roman" w:hAnsi="Arial" w:cs="Arial"/>
          <w:lang w:eastAsia="en-GB"/>
          <w14:ligatures w14:val="none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009A59B3" w:rsidRDefault="009A59B3"/>
    <w:p w:rsidR="009A59B3" w:rsidRDefault="009D72B4">
      <w:r w:rsidRPr="009D72B4">
        <w:lastRenderedPageBreak/>
        <w:drawing>
          <wp:inline distT="0" distB="0" distL="0" distR="0" wp14:anchorId="0CEE7485" wp14:editId="4BE87F45">
            <wp:extent cx="5943600" cy="3343275"/>
            <wp:effectExtent l="0" t="0" r="0" b="0"/>
            <wp:docPr id="785892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8921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59B3" w:rsidRDefault="009A59B3"/>
    <w:p w:rsidR="008B6CE5" w:rsidRDefault="008B6CE5"/>
    <w:p w:rsidR="00714D01" w:rsidRPr="00714D01" w:rsidRDefault="00714D01" w:rsidP="00714D01">
      <w:r w:rsidRPr="00714D01">
        <w:rPr>
          <w:lang w:val="en-US"/>
        </w:rPr>
        <w:t xml:space="preserve">Welcome to this presentation on Equality, Diversity, and Inclusion. </w:t>
      </w:r>
    </w:p>
    <w:p w:rsidR="00714D01" w:rsidRDefault="003E0399">
      <w:r>
        <w:rPr>
          <w:noProof/>
        </w:rPr>
        <w:drawing>
          <wp:inline distT="0" distB="0" distL="0" distR="0" wp14:anchorId="79293A20" wp14:editId="0B5CC7F0">
            <wp:extent cx="5943600" cy="3343275"/>
            <wp:effectExtent l="0" t="0" r="0" b="9525"/>
            <wp:docPr id="3086703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670376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E0399" w:rsidRPr="003E0399" w:rsidRDefault="003E0399" w:rsidP="003E0399">
      <w:r w:rsidRPr="003E0399">
        <w:rPr>
          <w:b/>
          <w:bCs/>
        </w:rPr>
        <w:lastRenderedPageBreak/>
        <w:t>Nature of Event</w:t>
      </w:r>
      <w:r w:rsidRPr="003E0399">
        <w:t>: A multi-sport event to be held at Alexander Stadium, Birmingham aimed at promoting equality, diversity, and inclusion within the local sports community.</w:t>
      </w:r>
    </w:p>
    <w:p w:rsidR="003E0399" w:rsidRPr="003E0399" w:rsidRDefault="003E0399" w:rsidP="003E0399">
      <w:r w:rsidRPr="003E0399">
        <w:rPr>
          <w:b/>
          <w:bCs/>
        </w:rPr>
        <w:t>Type of Event</w:t>
      </w:r>
      <w:r w:rsidRPr="003E0399">
        <w:t xml:space="preserve">: This is a sports event that encourages participation from a diverse range of communities and showcases the role of sports in fostering inclusivity (Parent and Ruetsch, 2022). A football match between </w:t>
      </w:r>
      <w:r w:rsidRPr="003E0399">
        <w:rPr>
          <w:lang w:val="en-US"/>
        </w:rPr>
        <w:t>Birmingham City Football Club and Aston Villa Football Club</w:t>
      </w:r>
    </w:p>
    <w:p w:rsidR="003E0399" w:rsidRPr="003E0399" w:rsidRDefault="003E0399" w:rsidP="003E0399">
      <w:r w:rsidRPr="003E0399">
        <w:rPr>
          <w:b/>
          <w:bCs/>
        </w:rPr>
        <w:t>Proposed Activities</w:t>
      </w:r>
      <w:r w:rsidRPr="003E0399">
        <w:t xml:space="preserve">: The event will feature competitions in a football match, workshops on EDI in sports, and panel discussions with influential figures in sports, local leaders, and diversity advocates (Lawrence </w:t>
      </w:r>
      <w:r w:rsidRPr="003E0399">
        <w:rPr>
          <w:i/>
          <w:iCs/>
        </w:rPr>
        <w:t>et al.</w:t>
      </w:r>
      <w:r w:rsidRPr="003E0399">
        <w:t>, 2024).</w:t>
      </w:r>
    </w:p>
    <w:p w:rsidR="003E0399" w:rsidRPr="003E0399" w:rsidRDefault="003E0399" w:rsidP="003E0399">
      <w:r w:rsidRPr="003E0399">
        <w:rPr>
          <w:b/>
          <w:bCs/>
        </w:rPr>
        <w:t>Target Audience</w:t>
      </w:r>
      <w:r w:rsidRPr="003E0399">
        <w:t>: The local Birmingham community, with a special focus on marginalized groups and those underrepresented in sports (Staurowsky and Hart, 2022).</w:t>
      </w:r>
    </w:p>
    <w:p w:rsidR="003E0399" w:rsidRDefault="003E0399">
      <w:r w:rsidRPr="003E0399">
        <w:rPr>
          <w:b/>
          <w:bCs/>
        </w:rPr>
        <w:t>Goal</w:t>
      </w:r>
      <w:r w:rsidRPr="003E0399">
        <w:t>: To create a more inclusive environment in the sports community and promote diversity and equality in athletics.</w:t>
      </w:r>
    </w:p>
    <w:p w:rsidR="003E0399" w:rsidRDefault="003E0399">
      <w:r>
        <w:rPr>
          <w:noProof/>
        </w:rPr>
        <w:lastRenderedPageBreak/>
        <w:drawing>
          <wp:inline distT="0" distB="0" distL="0" distR="0" wp14:anchorId="7FDE55CA" wp14:editId="0F8E1BCC">
            <wp:extent cx="5943600" cy="5103571"/>
            <wp:effectExtent l="0" t="0" r="0" b="1905"/>
            <wp:docPr id="1779517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51035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14D01" w:rsidRDefault="00714D01">
      <w:r>
        <w:rPr>
          <w:noProof/>
        </w:rPr>
        <w:lastRenderedPageBreak/>
        <w:drawing>
          <wp:inline distT="0" distB="0" distL="0" distR="0" wp14:anchorId="24F1832A" wp14:editId="27DC3708">
            <wp:extent cx="5943600" cy="3343275"/>
            <wp:effectExtent l="0" t="0" r="0" b="9525"/>
            <wp:docPr id="14107642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0764253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49B1" w:rsidRDefault="00AE49B1" w:rsidP="00AE49B1">
      <w:pPr>
        <w:rPr>
          <w:b/>
          <w:bCs/>
          <w:lang w:val="en-US"/>
        </w:rPr>
      </w:pPr>
      <w:r w:rsidRPr="006E1A85">
        <w:rPr>
          <w:b/>
          <w:bCs/>
          <w:lang w:val="en-US"/>
        </w:rPr>
        <w:t>Target Market</w:t>
      </w:r>
    </w:p>
    <w:p w:rsidR="00AE49B1" w:rsidRPr="006E1A85" w:rsidRDefault="00AE49B1" w:rsidP="00AE49B1">
      <w:r w:rsidRPr="006E1A85">
        <w:rPr>
          <w:b/>
          <w:bCs/>
        </w:rPr>
        <w:t>Primary Audience</w:t>
      </w:r>
      <w:r w:rsidRPr="006E1A85">
        <w:t xml:space="preserve">: Local residents of Birmingham, including ethnic minorities, women, LGBTQ+ individuals, and people with disabilities (Greenwell </w:t>
      </w:r>
      <w:r w:rsidRPr="006E1A85">
        <w:rPr>
          <w:i/>
          <w:iCs/>
        </w:rPr>
        <w:t>et al.,</w:t>
      </w:r>
      <w:r w:rsidRPr="006E1A85">
        <w:t xml:space="preserve"> 2024).</w:t>
      </w:r>
    </w:p>
    <w:p w:rsidR="00AE49B1" w:rsidRDefault="00AE49B1" w:rsidP="00AE49B1">
      <w:r w:rsidRPr="006E1A85">
        <w:rPr>
          <w:b/>
          <w:bCs/>
        </w:rPr>
        <w:t>Secondary Audience</w:t>
      </w:r>
      <w:r w:rsidRPr="006E1A85">
        <w:t>: National and international participants, sports fans, and diversity advocates.</w:t>
      </w:r>
    </w:p>
    <w:p w:rsidR="00AE49B1" w:rsidRDefault="00AE49B1" w:rsidP="00AE49B1">
      <w:pPr>
        <w:rPr>
          <w:b/>
          <w:bCs/>
          <w:lang w:val="en-US"/>
        </w:rPr>
      </w:pPr>
      <w:r w:rsidRPr="006E1A85">
        <w:rPr>
          <w:b/>
          <w:bCs/>
          <w:lang w:val="en-US"/>
        </w:rPr>
        <w:t>Demand</w:t>
      </w:r>
    </w:p>
    <w:p w:rsidR="00AE49B1" w:rsidRDefault="00AE49B1" w:rsidP="00AE49B1">
      <w:r w:rsidRPr="006E1A85">
        <w:rPr>
          <w:b/>
          <w:bCs/>
        </w:rPr>
        <w:t>Primary Audience</w:t>
      </w:r>
      <w:r>
        <w:rPr>
          <w:b/>
          <w:bCs/>
        </w:rPr>
        <w:t>:</w:t>
      </w:r>
      <w:r w:rsidRPr="006E1A85">
        <w:t xml:space="preserve"> Increased interest in diversity and inclusion, especially post-pandemic, where more focus has been put on equal opportunities and representation in various sectors, including sports (</w:t>
      </w:r>
      <w:proofErr w:type="spellStart"/>
      <w:r w:rsidRPr="006E1A85">
        <w:t>Orunbayev</w:t>
      </w:r>
      <w:proofErr w:type="spellEnd"/>
      <w:r w:rsidRPr="006E1A85">
        <w:t>, 2023).</w:t>
      </w:r>
    </w:p>
    <w:p w:rsidR="00AE49B1" w:rsidRDefault="00AE49B1" w:rsidP="00AE49B1">
      <w:r w:rsidRPr="006E1A85">
        <w:rPr>
          <w:b/>
          <w:bCs/>
        </w:rPr>
        <w:t>Secondary Audience</w:t>
      </w:r>
      <w:r>
        <w:rPr>
          <w:b/>
          <w:bCs/>
        </w:rPr>
        <w:t>:</w:t>
      </w:r>
      <w:r w:rsidRPr="006E1A85">
        <w:t xml:space="preserve"> Growing emphasis from local government and national sports bodies on EDI initiatives</w:t>
      </w:r>
      <w:r>
        <w:t>.</w:t>
      </w:r>
    </w:p>
    <w:p w:rsidR="00AE49B1" w:rsidRDefault="00AE49B1" w:rsidP="00AE49B1">
      <w:pPr>
        <w:rPr>
          <w:b/>
          <w:bCs/>
          <w:lang w:val="en-US"/>
        </w:rPr>
      </w:pPr>
      <w:r w:rsidRPr="006E1A85">
        <w:rPr>
          <w:b/>
          <w:bCs/>
          <w:lang w:val="en-US"/>
        </w:rPr>
        <w:t>Supply</w:t>
      </w:r>
    </w:p>
    <w:p w:rsidR="00AE49B1" w:rsidRDefault="00AE49B1" w:rsidP="00AE49B1">
      <w:pPr>
        <w:rPr>
          <w:lang w:val="en-US"/>
        </w:rPr>
      </w:pPr>
      <w:r w:rsidRPr="006E1A85">
        <w:rPr>
          <w:b/>
          <w:bCs/>
        </w:rPr>
        <w:t>Primary Audience</w:t>
      </w:r>
      <w:r>
        <w:rPr>
          <w:b/>
          <w:bCs/>
        </w:rPr>
        <w:t>:</w:t>
      </w:r>
      <w:r w:rsidRPr="006E1A85">
        <w:rPr>
          <w:lang w:val="en-US"/>
        </w:rPr>
        <w:t xml:space="preserve"> Birmingham is rich with sporting infrastructure, including venues such as the Alexander Stadium, Birmingham Arena, and Villa Park (Harris, 2021).</w:t>
      </w:r>
    </w:p>
    <w:p w:rsidR="00AE49B1" w:rsidRDefault="00AE49B1" w:rsidP="00AE49B1">
      <w:r w:rsidRPr="006E1A85">
        <w:rPr>
          <w:b/>
          <w:bCs/>
        </w:rPr>
        <w:t>Secondary Audience</w:t>
      </w:r>
      <w:r>
        <w:rPr>
          <w:b/>
          <w:bCs/>
        </w:rPr>
        <w:t xml:space="preserve">: </w:t>
      </w:r>
      <w:r w:rsidRPr="006E1A85">
        <w:t xml:space="preserve">Availability of local sports clubs, diversity organizations, and local influencers willing to collaborate (Greenwell </w:t>
      </w:r>
      <w:r w:rsidRPr="006E1A85">
        <w:rPr>
          <w:i/>
          <w:iCs/>
        </w:rPr>
        <w:t>et al.,</w:t>
      </w:r>
      <w:r w:rsidRPr="006E1A85">
        <w:t xml:space="preserve"> 2024).</w:t>
      </w:r>
    </w:p>
    <w:p w:rsidR="00AE49B1" w:rsidRDefault="00AE49B1" w:rsidP="00AE49B1">
      <w:pPr>
        <w:rPr>
          <w:b/>
          <w:bCs/>
          <w:lang w:val="en-US"/>
        </w:rPr>
      </w:pPr>
      <w:r w:rsidRPr="006E1A85">
        <w:rPr>
          <w:b/>
          <w:bCs/>
          <w:lang w:val="en-US"/>
        </w:rPr>
        <w:lastRenderedPageBreak/>
        <w:t>Competition</w:t>
      </w:r>
    </w:p>
    <w:p w:rsidR="00AE49B1" w:rsidRDefault="00AE49B1" w:rsidP="00AE49B1">
      <w:r w:rsidRPr="006E1A85">
        <w:rPr>
          <w:b/>
          <w:bCs/>
        </w:rPr>
        <w:t>Primary Audience</w:t>
      </w:r>
      <w:r>
        <w:rPr>
          <w:b/>
          <w:bCs/>
        </w:rPr>
        <w:t>:</w:t>
      </w:r>
      <w:r w:rsidRPr="006E1A85">
        <w:t xml:space="preserve"> Other major sporting events in the region, such as the </w:t>
      </w:r>
      <w:r w:rsidRPr="006E1A85">
        <w:rPr>
          <w:b/>
          <w:bCs/>
        </w:rPr>
        <w:t>Birmingham Commonwealth Games</w:t>
      </w:r>
      <w:r w:rsidRPr="006E1A85">
        <w:t>, and sports-focused festivals (</w:t>
      </w:r>
      <w:proofErr w:type="spellStart"/>
      <w:r w:rsidRPr="006E1A85">
        <w:t>Orunbayev</w:t>
      </w:r>
      <w:proofErr w:type="spellEnd"/>
      <w:r w:rsidRPr="006E1A85">
        <w:t>, 2023).</w:t>
      </w:r>
    </w:p>
    <w:p w:rsidR="00AE49B1" w:rsidRDefault="00AE49B1" w:rsidP="00AE49B1">
      <w:r w:rsidRPr="006E1A85">
        <w:rPr>
          <w:b/>
          <w:bCs/>
        </w:rPr>
        <w:t>Secondary Audience</w:t>
      </w:r>
      <w:r>
        <w:rPr>
          <w:b/>
          <w:bCs/>
        </w:rPr>
        <w:t xml:space="preserve">: </w:t>
      </w:r>
      <w:r w:rsidRPr="006E1A85">
        <w:t>Larger, more established events may attract participants with bigger budgets, but the focus on EDI is a niche yet important aspect.</w:t>
      </w:r>
    </w:p>
    <w:p w:rsidR="00AE49B1" w:rsidRDefault="00AE49B1" w:rsidP="00AE49B1">
      <w:pPr>
        <w:rPr>
          <w:b/>
          <w:bCs/>
          <w:lang w:val="en-US"/>
        </w:rPr>
      </w:pPr>
      <w:r w:rsidRPr="006E1A85">
        <w:rPr>
          <w:b/>
          <w:bCs/>
          <w:lang w:val="en-US"/>
        </w:rPr>
        <w:t>Marketing Activities</w:t>
      </w:r>
    </w:p>
    <w:p w:rsidR="00AE49B1" w:rsidRDefault="00AE49B1" w:rsidP="00AE49B1">
      <w:r w:rsidRPr="006E1A85">
        <w:rPr>
          <w:b/>
          <w:bCs/>
        </w:rPr>
        <w:t>Primary Audience</w:t>
      </w:r>
      <w:r>
        <w:rPr>
          <w:b/>
          <w:bCs/>
        </w:rPr>
        <w:t xml:space="preserve">: </w:t>
      </w:r>
      <w:r w:rsidRPr="006E1A85">
        <w:t>Local marketing campaigns leveraging social media platforms, partnerships with local community organizations, and outreach through schools and universities (Okonkwo </w:t>
      </w:r>
      <w:r w:rsidRPr="006E1A85">
        <w:rPr>
          <w:i/>
          <w:iCs/>
        </w:rPr>
        <w:t>et al.</w:t>
      </w:r>
      <w:r w:rsidRPr="006E1A85">
        <w:t>, 2023).</w:t>
      </w:r>
    </w:p>
    <w:p w:rsidR="003E0399" w:rsidRDefault="00AE49B1">
      <w:r w:rsidRPr="006E1A85">
        <w:rPr>
          <w:b/>
          <w:bCs/>
        </w:rPr>
        <w:t>Secondary Audience</w:t>
      </w:r>
      <w:r>
        <w:rPr>
          <w:b/>
          <w:bCs/>
        </w:rPr>
        <w:t xml:space="preserve">: </w:t>
      </w:r>
      <w:r w:rsidRPr="006E1A85">
        <w:t>Media coverage through local newspapers, radio stations, and TV channels highlighting the significance of EDI in sports (Schultz and Arke, 2023).</w:t>
      </w:r>
      <w:r>
        <w:t xml:space="preserve"> </w:t>
      </w:r>
    </w:p>
    <w:p w:rsidR="00714D01" w:rsidRDefault="00714D01">
      <w:r>
        <w:rPr>
          <w:noProof/>
        </w:rPr>
        <w:drawing>
          <wp:anchor distT="0" distB="0" distL="114300" distR="114300" simplePos="0" relativeHeight="251658240" behindDoc="0" locked="0" layoutInCell="1" allowOverlap="1" wp14:anchorId="1B45282E">
            <wp:simplePos x="914400" y="4415246"/>
            <wp:positionH relativeFrom="column">
              <wp:align>left</wp:align>
            </wp:positionH>
            <wp:positionV relativeFrom="paragraph">
              <wp:align>top</wp:align>
            </wp:positionV>
            <wp:extent cx="5943600" cy="3343275"/>
            <wp:effectExtent l="0" t="0" r="0" b="0"/>
            <wp:wrapSquare wrapText="bothSides"/>
            <wp:docPr id="4131786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178604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A754F">
        <w:br w:type="textWrapping" w:clear="all"/>
      </w:r>
    </w:p>
    <w:p w:rsidR="00AE49B1" w:rsidRPr="00AE49B1" w:rsidRDefault="00AE49B1" w:rsidP="00AE49B1">
      <w:pPr>
        <w:numPr>
          <w:ilvl w:val="0"/>
          <w:numId w:val="1"/>
        </w:numPr>
      </w:pPr>
      <w:r w:rsidRPr="00AE49B1">
        <w:rPr>
          <w:b/>
          <w:bCs/>
        </w:rPr>
        <w:t>Raise Awareness</w:t>
      </w:r>
      <w:r w:rsidRPr="00AE49B1">
        <w:t xml:space="preserve"> about the importance of Equality, Diversity, and Inclusion in sports.</w:t>
      </w:r>
    </w:p>
    <w:p w:rsidR="00AE49B1" w:rsidRPr="00AE49B1" w:rsidRDefault="00AE49B1" w:rsidP="00AE49B1">
      <w:pPr>
        <w:numPr>
          <w:ilvl w:val="0"/>
          <w:numId w:val="1"/>
        </w:numPr>
      </w:pPr>
      <w:r w:rsidRPr="00AE49B1">
        <w:rPr>
          <w:b/>
          <w:bCs/>
        </w:rPr>
        <w:t>Encourage Participation</w:t>
      </w:r>
      <w:r w:rsidRPr="00AE49B1">
        <w:t xml:space="preserve"> from underrepresented communities and marginalized groups.</w:t>
      </w:r>
    </w:p>
    <w:p w:rsidR="00AE49B1" w:rsidRPr="00AE49B1" w:rsidRDefault="00AE49B1" w:rsidP="00AE49B1">
      <w:pPr>
        <w:numPr>
          <w:ilvl w:val="0"/>
          <w:numId w:val="1"/>
        </w:numPr>
      </w:pPr>
      <w:r w:rsidRPr="00AE49B1">
        <w:rPr>
          <w:b/>
          <w:bCs/>
        </w:rPr>
        <w:lastRenderedPageBreak/>
        <w:t>Provide Platforms</w:t>
      </w:r>
      <w:r w:rsidRPr="00AE49B1">
        <w:t xml:space="preserve"> for people of all backgrounds to showcase their athletic abilities (Greenwell </w:t>
      </w:r>
      <w:r w:rsidRPr="00AE49B1">
        <w:rPr>
          <w:i/>
          <w:iCs/>
        </w:rPr>
        <w:t>et al.,</w:t>
      </w:r>
      <w:r w:rsidRPr="00AE49B1">
        <w:t xml:space="preserve"> 2024).</w:t>
      </w:r>
    </w:p>
    <w:p w:rsidR="00AE49B1" w:rsidRPr="00AE49B1" w:rsidRDefault="00AE49B1" w:rsidP="00AE49B1">
      <w:pPr>
        <w:numPr>
          <w:ilvl w:val="0"/>
          <w:numId w:val="1"/>
        </w:numPr>
      </w:pPr>
      <w:r w:rsidRPr="00AE49B1">
        <w:rPr>
          <w:b/>
          <w:bCs/>
        </w:rPr>
        <w:t>Collaborate</w:t>
      </w:r>
      <w:r w:rsidRPr="00AE49B1">
        <w:t xml:space="preserve"> with local businesses, government agencies, and sports clubs to build a more inclusive sports culture.</w:t>
      </w:r>
    </w:p>
    <w:p w:rsidR="00AE49B1" w:rsidRDefault="00AE49B1" w:rsidP="00AE49B1">
      <w:pPr>
        <w:numPr>
          <w:ilvl w:val="0"/>
          <w:numId w:val="1"/>
        </w:numPr>
      </w:pPr>
      <w:r w:rsidRPr="00AE49B1">
        <w:rPr>
          <w:b/>
          <w:bCs/>
        </w:rPr>
        <w:t>Promote Social Cohesion</w:t>
      </w:r>
      <w:r w:rsidRPr="00AE49B1">
        <w:t xml:space="preserve"> and unity through sports and collective action.</w:t>
      </w:r>
    </w:p>
    <w:p w:rsidR="00714D01" w:rsidRDefault="00714D01">
      <w:r>
        <w:rPr>
          <w:noProof/>
        </w:rPr>
        <w:drawing>
          <wp:inline distT="0" distB="0" distL="0" distR="0" wp14:anchorId="273E08BB" wp14:editId="193B94D4">
            <wp:extent cx="5943600" cy="3343275"/>
            <wp:effectExtent l="0" t="0" r="0" b="9525"/>
            <wp:docPr id="7341174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117465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49B1" w:rsidRPr="00AE49B1" w:rsidRDefault="00AE49B1" w:rsidP="00AE49B1">
      <w:pPr>
        <w:numPr>
          <w:ilvl w:val="0"/>
          <w:numId w:val="6"/>
        </w:numPr>
      </w:pPr>
      <w:r w:rsidRPr="00AE49B1">
        <w:rPr>
          <w:b/>
          <w:bCs/>
        </w:rPr>
        <w:t>Venue</w:t>
      </w:r>
      <w:r w:rsidRPr="00AE49B1">
        <w:t xml:space="preserve">: </w:t>
      </w:r>
      <w:r w:rsidRPr="00AE49B1">
        <w:rPr>
          <w:b/>
          <w:bCs/>
        </w:rPr>
        <w:t>Alexander Stadium, Birmingham</w:t>
      </w:r>
    </w:p>
    <w:p w:rsidR="00AE49B1" w:rsidRPr="00AE49B1" w:rsidRDefault="00AE49B1" w:rsidP="00AE49B1">
      <w:pPr>
        <w:numPr>
          <w:ilvl w:val="0"/>
          <w:numId w:val="6"/>
        </w:numPr>
      </w:pPr>
      <w:r w:rsidRPr="00AE49B1">
        <w:t xml:space="preserve">A football match between </w:t>
      </w:r>
      <w:r w:rsidRPr="00AE49B1">
        <w:rPr>
          <w:b/>
          <w:bCs/>
          <w:lang w:val="en-US"/>
        </w:rPr>
        <w:t>Birmingham City Football Club and Aston Villa Football Club</w:t>
      </w:r>
    </w:p>
    <w:p w:rsidR="00AE49B1" w:rsidRPr="00AE49B1" w:rsidRDefault="00AE49B1" w:rsidP="00AE49B1">
      <w:pPr>
        <w:numPr>
          <w:ilvl w:val="0"/>
          <w:numId w:val="6"/>
        </w:numPr>
      </w:pPr>
      <w:r w:rsidRPr="00AE49B1">
        <w:t>This venue is ideal for large sporting events with facilities suitable for athletics, football, and outdoor events.</w:t>
      </w:r>
    </w:p>
    <w:p w:rsidR="00AE49B1" w:rsidRPr="00AE49B1" w:rsidRDefault="00AE49B1" w:rsidP="00AE49B1">
      <w:pPr>
        <w:numPr>
          <w:ilvl w:val="0"/>
          <w:numId w:val="6"/>
        </w:numPr>
      </w:pPr>
      <w:r w:rsidRPr="00AE49B1">
        <w:t>Known for its role in hosting significant national and international sports events.</w:t>
      </w:r>
    </w:p>
    <w:p w:rsidR="00AE49B1" w:rsidRPr="00AE49B1" w:rsidRDefault="00AE49B1" w:rsidP="00AE49B1">
      <w:pPr>
        <w:numPr>
          <w:ilvl w:val="0"/>
          <w:numId w:val="6"/>
        </w:numPr>
      </w:pPr>
      <w:r w:rsidRPr="00AE49B1">
        <w:rPr>
          <w:b/>
          <w:bCs/>
        </w:rPr>
        <w:t>Accessibility</w:t>
      </w:r>
      <w:r w:rsidRPr="00AE49B1">
        <w:t>: Easily accessible via public transport and fully equipped for disabled access.</w:t>
      </w:r>
    </w:p>
    <w:p w:rsidR="00AE49B1" w:rsidRPr="00AE49B1" w:rsidRDefault="00AE49B1" w:rsidP="00AE49B1">
      <w:pPr>
        <w:numPr>
          <w:ilvl w:val="0"/>
          <w:numId w:val="6"/>
        </w:numPr>
      </w:pPr>
      <w:r w:rsidRPr="00AE49B1">
        <w:rPr>
          <w:b/>
          <w:bCs/>
        </w:rPr>
        <w:t>Capacity</w:t>
      </w:r>
      <w:r w:rsidRPr="00AE49B1">
        <w:t>: Can accommodate up to 18,000 spectators, providing ample space for participants and fans.</w:t>
      </w:r>
    </w:p>
    <w:p w:rsidR="00AE49B1" w:rsidRDefault="00AE49B1" w:rsidP="00AE49B1">
      <w:pPr>
        <w:numPr>
          <w:ilvl w:val="0"/>
          <w:numId w:val="6"/>
        </w:numPr>
      </w:pPr>
      <w:r w:rsidRPr="00AE49B1">
        <w:rPr>
          <w:b/>
          <w:bCs/>
        </w:rPr>
        <w:lastRenderedPageBreak/>
        <w:t>Backup Venues</w:t>
      </w:r>
      <w:r w:rsidRPr="00AE49B1">
        <w:t xml:space="preserve">: Birmingham Arena (indoor sports), Villa Park (football matches), and other local community </w:t>
      </w:r>
      <w:proofErr w:type="spellStart"/>
      <w:r w:rsidRPr="00AE49B1">
        <w:t>centers</w:t>
      </w:r>
      <w:proofErr w:type="spellEnd"/>
      <w:r w:rsidRPr="00AE49B1">
        <w:t xml:space="preserve"> (Greenwell </w:t>
      </w:r>
      <w:r w:rsidRPr="00AE49B1">
        <w:rPr>
          <w:i/>
          <w:iCs/>
        </w:rPr>
        <w:t>et al.,</w:t>
      </w:r>
      <w:r w:rsidRPr="00AE49B1">
        <w:t xml:space="preserve"> 2024).</w:t>
      </w:r>
    </w:p>
    <w:p w:rsidR="00714D01" w:rsidRDefault="00714D01">
      <w:r>
        <w:rPr>
          <w:noProof/>
        </w:rPr>
        <w:drawing>
          <wp:inline distT="0" distB="0" distL="0" distR="0" wp14:anchorId="747E5206" wp14:editId="2D49DE69">
            <wp:extent cx="5943600" cy="3343275"/>
            <wp:effectExtent l="0" t="0" r="0" b="9525"/>
            <wp:docPr id="16532566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25661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49B1" w:rsidRDefault="00AE49B1" w:rsidP="00AE49B1">
      <w:r w:rsidRPr="00AE49B1">
        <w:rPr>
          <w:b/>
          <w:bCs/>
          <w:lang w:val="en-US"/>
        </w:rPr>
        <w:t>Logistics</w:t>
      </w:r>
      <w:r>
        <w:t>:</w:t>
      </w:r>
    </w:p>
    <w:p w:rsidR="00AE49B1" w:rsidRPr="00AE49B1" w:rsidRDefault="00AE49B1" w:rsidP="00AE49B1">
      <w:pPr>
        <w:numPr>
          <w:ilvl w:val="0"/>
          <w:numId w:val="13"/>
        </w:numPr>
      </w:pPr>
      <w:r w:rsidRPr="00AE49B1">
        <w:t xml:space="preserve">Event will span over 2 days, with sports tournaments in the first half and panel discussions/workshops in the second half. </w:t>
      </w:r>
    </w:p>
    <w:p w:rsidR="00AE49B1" w:rsidRPr="00AE49B1" w:rsidRDefault="00AE49B1" w:rsidP="00AE49B1">
      <w:pPr>
        <w:numPr>
          <w:ilvl w:val="0"/>
          <w:numId w:val="13"/>
        </w:numPr>
      </w:pPr>
      <w:r w:rsidRPr="00AE49B1">
        <w:t>Volunteers will be recruited from local communities to assist in event management, registrations, and guiding attendees (Crabtree and Zhang, 2022).</w:t>
      </w:r>
    </w:p>
    <w:p w:rsidR="00AE49B1" w:rsidRPr="00AE49B1" w:rsidRDefault="00AE49B1" w:rsidP="00AE49B1">
      <w:r w:rsidRPr="00AE49B1">
        <w:rPr>
          <w:b/>
          <w:bCs/>
        </w:rPr>
        <w:t>Staffing Needs</w:t>
      </w:r>
    </w:p>
    <w:p w:rsidR="00AE49B1" w:rsidRPr="00AE49B1" w:rsidRDefault="00AE49B1" w:rsidP="00AE49B1">
      <w:pPr>
        <w:numPr>
          <w:ilvl w:val="0"/>
          <w:numId w:val="13"/>
        </w:numPr>
      </w:pPr>
      <w:r w:rsidRPr="00AE49B1">
        <w:t>Event Managers &amp; Coordinators (3-5 people)</w:t>
      </w:r>
    </w:p>
    <w:p w:rsidR="00AE49B1" w:rsidRPr="00AE49B1" w:rsidRDefault="00AE49B1" w:rsidP="00AE49B1">
      <w:pPr>
        <w:numPr>
          <w:ilvl w:val="0"/>
          <w:numId w:val="13"/>
        </w:numPr>
      </w:pPr>
      <w:r w:rsidRPr="00AE49B1">
        <w:t>Tech &amp; AV Teams (Sound, Lighting, Streaming)</w:t>
      </w:r>
    </w:p>
    <w:p w:rsidR="00AE49B1" w:rsidRPr="00AE49B1" w:rsidRDefault="00AE49B1" w:rsidP="00AE49B1">
      <w:pPr>
        <w:numPr>
          <w:ilvl w:val="0"/>
          <w:numId w:val="13"/>
        </w:numPr>
      </w:pPr>
      <w:r w:rsidRPr="00AE49B1">
        <w:t>Catering Staff (Food &amp; Beverage Service)</w:t>
      </w:r>
    </w:p>
    <w:p w:rsidR="00AE49B1" w:rsidRPr="00AE49B1" w:rsidRDefault="00AE49B1" w:rsidP="00AE49B1">
      <w:pPr>
        <w:numPr>
          <w:ilvl w:val="0"/>
          <w:numId w:val="13"/>
        </w:numPr>
      </w:pPr>
      <w:r w:rsidRPr="00AE49B1">
        <w:t>Security &amp; Registration Staff</w:t>
      </w:r>
    </w:p>
    <w:p w:rsidR="00AE49B1" w:rsidRPr="00AE49B1" w:rsidRDefault="00AE49B1" w:rsidP="00AE49B1">
      <w:r w:rsidRPr="00AE49B1">
        <w:rPr>
          <w:b/>
          <w:bCs/>
          <w:lang w:val="en-US"/>
        </w:rPr>
        <w:t>Timeline</w:t>
      </w:r>
    </w:p>
    <w:p w:rsidR="00AE49B1" w:rsidRPr="00AE49B1" w:rsidRDefault="00AE49B1" w:rsidP="00AE49B1">
      <w:pPr>
        <w:numPr>
          <w:ilvl w:val="0"/>
          <w:numId w:val="18"/>
        </w:numPr>
      </w:pPr>
      <w:r w:rsidRPr="00AE49B1">
        <w:rPr>
          <w:b/>
          <w:bCs/>
        </w:rPr>
        <w:t>6 Months Before Event</w:t>
      </w:r>
      <w:r w:rsidRPr="00AE49B1">
        <w:t>: Finalize event details, secure sponsors, and confirm</w:t>
      </w:r>
    </w:p>
    <w:p w:rsidR="00AE49B1" w:rsidRPr="00AE49B1" w:rsidRDefault="00AE49B1" w:rsidP="00AE49B1">
      <w:pPr>
        <w:numPr>
          <w:ilvl w:val="0"/>
          <w:numId w:val="18"/>
        </w:numPr>
      </w:pPr>
      <w:r w:rsidRPr="00AE49B1">
        <w:lastRenderedPageBreak/>
        <w:t xml:space="preserve"> participants.</w:t>
      </w:r>
    </w:p>
    <w:p w:rsidR="00AE49B1" w:rsidRPr="00AE49B1" w:rsidRDefault="00AE49B1" w:rsidP="00AE49B1">
      <w:pPr>
        <w:numPr>
          <w:ilvl w:val="0"/>
          <w:numId w:val="18"/>
        </w:numPr>
      </w:pPr>
      <w:r w:rsidRPr="00AE49B1">
        <w:rPr>
          <w:b/>
          <w:bCs/>
        </w:rPr>
        <w:t>3 Months Before Event</w:t>
      </w:r>
      <w:r w:rsidRPr="00AE49B1">
        <w:t>: Begin marketing campaign, start ticket sales, recruit volunteers.</w:t>
      </w:r>
    </w:p>
    <w:p w:rsidR="00AE49B1" w:rsidRPr="00AE49B1" w:rsidRDefault="00AE49B1" w:rsidP="00AE49B1">
      <w:pPr>
        <w:numPr>
          <w:ilvl w:val="0"/>
          <w:numId w:val="18"/>
        </w:numPr>
      </w:pPr>
      <w:r w:rsidRPr="00AE49B1">
        <w:rPr>
          <w:b/>
          <w:bCs/>
        </w:rPr>
        <w:t>1 Month Before Event</w:t>
      </w:r>
      <w:r w:rsidRPr="00AE49B1">
        <w:t>: Finalize logistics, confirm speakers for panel discussions (</w:t>
      </w:r>
      <w:proofErr w:type="spellStart"/>
      <w:r w:rsidRPr="00AE49B1">
        <w:t>Supovitz</w:t>
      </w:r>
      <w:proofErr w:type="spellEnd"/>
      <w:r w:rsidRPr="00AE49B1">
        <w:t xml:space="preserve"> and Goldwater, 2024).</w:t>
      </w:r>
    </w:p>
    <w:p w:rsidR="00AE49B1" w:rsidRPr="00AE49B1" w:rsidRDefault="00AE49B1" w:rsidP="00AE49B1">
      <w:r w:rsidRPr="00AE49B1">
        <w:rPr>
          <w:b/>
          <w:bCs/>
        </w:rPr>
        <w:t>Resource Allocation</w:t>
      </w:r>
    </w:p>
    <w:p w:rsidR="00AE49B1" w:rsidRPr="00AE49B1" w:rsidRDefault="00AE49B1" w:rsidP="00AE49B1">
      <w:pPr>
        <w:numPr>
          <w:ilvl w:val="0"/>
          <w:numId w:val="18"/>
        </w:numPr>
      </w:pPr>
      <w:r w:rsidRPr="00AE49B1">
        <w:rPr>
          <w:b/>
          <w:bCs/>
        </w:rPr>
        <w:t>Catering</w:t>
      </w:r>
      <w:r w:rsidRPr="00AE49B1">
        <w:t>: Food vendors offering diverse options (£20,000).</w:t>
      </w:r>
    </w:p>
    <w:p w:rsidR="00AE49B1" w:rsidRPr="00AE49B1" w:rsidRDefault="00AE49B1" w:rsidP="00AE49B1">
      <w:pPr>
        <w:numPr>
          <w:ilvl w:val="0"/>
          <w:numId w:val="18"/>
        </w:numPr>
      </w:pPr>
      <w:r w:rsidRPr="00AE49B1">
        <w:rPr>
          <w:b/>
          <w:bCs/>
        </w:rPr>
        <w:t>Lighting &amp; Sound</w:t>
      </w:r>
      <w:r w:rsidRPr="00AE49B1">
        <w:t>: Stadium floodlights, PA systems, LED screens (£25,000).</w:t>
      </w:r>
    </w:p>
    <w:p w:rsidR="00AE49B1" w:rsidRPr="00AE49B1" w:rsidRDefault="00AE49B1" w:rsidP="00AE49B1">
      <w:pPr>
        <w:numPr>
          <w:ilvl w:val="0"/>
          <w:numId w:val="18"/>
        </w:numPr>
      </w:pPr>
      <w:r w:rsidRPr="00AE49B1">
        <w:rPr>
          <w:b/>
          <w:bCs/>
        </w:rPr>
        <w:t>Parking Facilities</w:t>
      </w:r>
      <w:r w:rsidRPr="00AE49B1">
        <w:t>: Dedicated spaces, VIP zones, shuttle services (£10,000).</w:t>
      </w:r>
    </w:p>
    <w:p w:rsidR="00AE49B1" w:rsidRPr="00AE49B1" w:rsidRDefault="00AE49B1" w:rsidP="00AE49B1">
      <w:pPr>
        <w:numPr>
          <w:ilvl w:val="0"/>
          <w:numId w:val="18"/>
        </w:numPr>
      </w:pPr>
      <w:r w:rsidRPr="00AE49B1">
        <w:rPr>
          <w:b/>
          <w:bCs/>
        </w:rPr>
        <w:t>Seating &amp; Accessibility</w:t>
      </w:r>
      <w:r w:rsidRPr="00AE49B1">
        <w:t>: Inclusive seating, wheelchair-friendly areas (£15,000).</w:t>
      </w:r>
    </w:p>
    <w:p w:rsidR="00AE49B1" w:rsidRDefault="00AE49B1"/>
    <w:p w:rsidR="00714D01" w:rsidRDefault="00714D01">
      <w:r>
        <w:rPr>
          <w:noProof/>
        </w:rPr>
        <w:drawing>
          <wp:inline distT="0" distB="0" distL="0" distR="0" wp14:anchorId="06D77770" wp14:editId="2ADB250B">
            <wp:extent cx="5943600" cy="3343275"/>
            <wp:effectExtent l="0" t="0" r="0" b="9525"/>
            <wp:docPr id="13879845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984569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49B1" w:rsidRDefault="00AE49B1">
      <w:r>
        <w:t xml:space="preserve">These are hypothetical </w:t>
      </w:r>
      <w:r w:rsidR="00275923">
        <w:t xml:space="preserve">cost and revenue figures that have been written here based on assumption. Assuming that each ticket will sell for </w:t>
      </w:r>
      <w:r w:rsidR="00275923" w:rsidRPr="00275923">
        <w:t>£</w:t>
      </w:r>
      <w:r w:rsidR="00275923">
        <w:t xml:space="preserve">10, 15,000 tickets are projected to be sold. So, the total ticket sales is </w:t>
      </w:r>
      <w:r w:rsidR="00275923" w:rsidRPr="00275923">
        <w:t>£</w:t>
      </w:r>
      <w:r w:rsidR="00275923">
        <w:t xml:space="preserve">150,000. Including sponsorship and other grants, the total revenue will be </w:t>
      </w:r>
      <w:r w:rsidR="00275923" w:rsidRPr="00275923">
        <w:t>£</w:t>
      </w:r>
      <w:r w:rsidR="00275923">
        <w:t xml:space="preserve">300,000 and profit projected as </w:t>
      </w:r>
      <w:r w:rsidR="00275923" w:rsidRPr="00275923">
        <w:t>£</w:t>
      </w:r>
      <w:r w:rsidR="00275923">
        <w:t xml:space="preserve">150,000 after deducting costs. </w:t>
      </w:r>
    </w:p>
    <w:p w:rsidR="00714D01" w:rsidRDefault="00714D01">
      <w:r>
        <w:rPr>
          <w:noProof/>
        </w:rPr>
        <w:lastRenderedPageBreak/>
        <w:drawing>
          <wp:inline distT="0" distB="0" distL="0" distR="0" wp14:anchorId="2CC9FCED" wp14:editId="2FEC271D">
            <wp:extent cx="5943600" cy="3343275"/>
            <wp:effectExtent l="0" t="0" r="0" b="9525"/>
            <wp:docPr id="14076530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653033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C3DEE" w:rsidRPr="002C3DEE" w:rsidRDefault="002C3DEE" w:rsidP="002C3DEE">
      <w:pPr>
        <w:numPr>
          <w:ilvl w:val="0"/>
          <w:numId w:val="21"/>
        </w:numPr>
      </w:pPr>
      <w:r w:rsidRPr="002C3DEE">
        <w:rPr>
          <w:b/>
          <w:bCs/>
        </w:rPr>
        <w:t>Local Government</w:t>
      </w:r>
      <w:r w:rsidRPr="002C3DEE">
        <w:t>: Partnership with Birmingham City Council for event promotion, funding support, and accessibility initiatives (Webb and Orr, 2024).</w:t>
      </w:r>
    </w:p>
    <w:p w:rsidR="002C3DEE" w:rsidRPr="002C3DEE" w:rsidRDefault="002C3DEE" w:rsidP="002C3DEE">
      <w:pPr>
        <w:numPr>
          <w:ilvl w:val="0"/>
          <w:numId w:val="21"/>
        </w:numPr>
      </w:pPr>
      <w:r w:rsidRPr="002C3DEE">
        <w:rPr>
          <w:b/>
          <w:bCs/>
        </w:rPr>
        <w:t>Sports Bodies</w:t>
      </w:r>
      <w:r w:rsidRPr="002C3DEE">
        <w:t>: Collaborations with National Governing Bodies (NGBs) like the Football Association (FA), England Athletics, and other relevant sports federations.</w:t>
      </w:r>
    </w:p>
    <w:p w:rsidR="002C3DEE" w:rsidRPr="002C3DEE" w:rsidRDefault="002C3DEE" w:rsidP="002C3DEE">
      <w:pPr>
        <w:numPr>
          <w:ilvl w:val="0"/>
          <w:numId w:val="21"/>
        </w:numPr>
      </w:pPr>
      <w:r w:rsidRPr="002C3DEE">
        <w:rPr>
          <w:b/>
          <w:bCs/>
        </w:rPr>
        <w:t>Fans</w:t>
      </w:r>
      <w:r w:rsidRPr="002C3DEE">
        <w:t>: Fans are influential stakeholders who can contribute to a club's revenue through their attendance, loyalty, and engagement (Mendizabal et al., 2020). </w:t>
      </w:r>
    </w:p>
    <w:p w:rsidR="002C3DEE" w:rsidRPr="002C3DEE" w:rsidRDefault="002C3DEE" w:rsidP="002C3DEE">
      <w:pPr>
        <w:numPr>
          <w:ilvl w:val="0"/>
          <w:numId w:val="21"/>
        </w:numPr>
      </w:pPr>
      <w:r w:rsidRPr="002C3DEE">
        <w:rPr>
          <w:b/>
          <w:bCs/>
        </w:rPr>
        <w:t>Community Organizations</w:t>
      </w:r>
      <w:r w:rsidRPr="002C3DEE">
        <w:t>: Engage local diversity advocacy groups to ensure the event is inclusive and represents the interests of marginalized communities.</w:t>
      </w:r>
    </w:p>
    <w:p w:rsidR="002C3DEE" w:rsidRDefault="002C3DEE" w:rsidP="002C3DEE">
      <w:pPr>
        <w:numPr>
          <w:ilvl w:val="0"/>
          <w:numId w:val="21"/>
        </w:numPr>
      </w:pPr>
      <w:r w:rsidRPr="002C3DEE">
        <w:rPr>
          <w:b/>
          <w:bCs/>
        </w:rPr>
        <w:t>Sponsors</w:t>
      </w:r>
      <w:r w:rsidRPr="002C3DEE">
        <w:t>: Approach brands with strong diversity initiatives, like Nike, Adidas, and local businesses who are committed to social responsibility (Webb and Orr, 2024).</w:t>
      </w:r>
    </w:p>
    <w:p w:rsidR="00714D01" w:rsidRDefault="00714D01">
      <w:r>
        <w:rPr>
          <w:noProof/>
        </w:rPr>
        <w:lastRenderedPageBreak/>
        <w:drawing>
          <wp:inline distT="0" distB="0" distL="0" distR="0" wp14:anchorId="03D2A9FB" wp14:editId="1D4BE020">
            <wp:extent cx="5943600" cy="3343275"/>
            <wp:effectExtent l="0" t="0" r="0" b="9525"/>
            <wp:docPr id="18794587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45873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C3DEE" w:rsidRPr="002C3DEE" w:rsidRDefault="002C3DEE" w:rsidP="002C3DEE">
      <w:r w:rsidRPr="002C3DEE">
        <w:rPr>
          <w:b/>
          <w:bCs/>
        </w:rPr>
        <w:t>Weather Disruptions</w:t>
      </w:r>
    </w:p>
    <w:p w:rsidR="002C3DEE" w:rsidRPr="002C3DEE" w:rsidRDefault="002C3DEE" w:rsidP="002C3DEE">
      <w:pPr>
        <w:numPr>
          <w:ilvl w:val="0"/>
          <w:numId w:val="26"/>
        </w:numPr>
      </w:pPr>
      <w:r w:rsidRPr="002C3DEE">
        <w:t xml:space="preserve"> Plan for potential weather issues, especially for outdoor events. Have indoor backup spaces and flexible event schedules (Paul, 2023).</w:t>
      </w:r>
    </w:p>
    <w:p w:rsidR="002C3DEE" w:rsidRPr="002C3DEE" w:rsidRDefault="002C3DEE" w:rsidP="002C3DEE">
      <w:r w:rsidRPr="002C3DEE">
        <w:rPr>
          <w:b/>
          <w:bCs/>
        </w:rPr>
        <w:t>Low Attendance</w:t>
      </w:r>
    </w:p>
    <w:p w:rsidR="002C3DEE" w:rsidRPr="002C3DEE" w:rsidRDefault="002C3DEE" w:rsidP="002C3DEE">
      <w:pPr>
        <w:numPr>
          <w:ilvl w:val="0"/>
          <w:numId w:val="26"/>
        </w:numPr>
      </w:pPr>
      <w:r w:rsidRPr="002C3DEE">
        <w:t xml:space="preserve"> Address through aggressive marketing strategies, partnerships, and discounts for early ticket buyers.</w:t>
      </w:r>
    </w:p>
    <w:p w:rsidR="002C3DEE" w:rsidRPr="002C3DEE" w:rsidRDefault="002C3DEE" w:rsidP="002C3DEE">
      <w:r w:rsidRPr="002C3DEE">
        <w:rPr>
          <w:b/>
          <w:bCs/>
        </w:rPr>
        <w:t>Health &amp; Safety</w:t>
      </w:r>
    </w:p>
    <w:p w:rsidR="002C3DEE" w:rsidRPr="002C3DEE" w:rsidRDefault="002C3DEE" w:rsidP="002C3DEE">
      <w:pPr>
        <w:numPr>
          <w:ilvl w:val="0"/>
          <w:numId w:val="26"/>
        </w:numPr>
      </w:pPr>
      <w:r w:rsidRPr="002C3DEE">
        <w:t xml:space="preserve"> Ensure COVID-19 protocols (if applicable) and general safety measures are in place. Secure first aid stations and emergency response teams (</w:t>
      </w:r>
      <w:proofErr w:type="spellStart"/>
      <w:r w:rsidRPr="002C3DEE">
        <w:t>Supovitz</w:t>
      </w:r>
      <w:proofErr w:type="spellEnd"/>
      <w:r w:rsidRPr="002C3DEE">
        <w:t xml:space="preserve"> and Goldwater, 2024).</w:t>
      </w:r>
    </w:p>
    <w:p w:rsidR="002C3DEE" w:rsidRPr="002C3DEE" w:rsidRDefault="002C3DEE" w:rsidP="002C3DEE">
      <w:r w:rsidRPr="002C3DEE">
        <w:rPr>
          <w:b/>
          <w:bCs/>
        </w:rPr>
        <w:t>Vendor Failures</w:t>
      </w:r>
    </w:p>
    <w:p w:rsidR="002C3DEE" w:rsidRPr="002C3DEE" w:rsidRDefault="002C3DEE" w:rsidP="002C3DEE">
      <w:pPr>
        <w:numPr>
          <w:ilvl w:val="0"/>
          <w:numId w:val="26"/>
        </w:numPr>
      </w:pPr>
      <w:r w:rsidRPr="002C3DEE">
        <w:t xml:space="preserve"> Vet vendors thoroughly before contracts are signed, and have contingency plans in place for alternative suppliers.</w:t>
      </w:r>
    </w:p>
    <w:p w:rsidR="002C3DEE" w:rsidRDefault="002C3DEE"/>
    <w:p w:rsidR="00714D01" w:rsidRDefault="00714D01">
      <w:r>
        <w:rPr>
          <w:noProof/>
        </w:rPr>
        <w:lastRenderedPageBreak/>
        <w:drawing>
          <wp:inline distT="0" distB="0" distL="0" distR="0" wp14:anchorId="5D6F5C1E" wp14:editId="5942BF70">
            <wp:extent cx="5943600" cy="3343275"/>
            <wp:effectExtent l="0" t="0" r="0" b="9525"/>
            <wp:docPr id="2485102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8510248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C3DEE" w:rsidRPr="002C3DEE" w:rsidRDefault="002C3DEE" w:rsidP="002C3DEE">
      <w:r w:rsidRPr="002C3DEE">
        <w:rPr>
          <w:b/>
          <w:bCs/>
        </w:rPr>
        <w:t>Targeted Campaigns</w:t>
      </w:r>
    </w:p>
    <w:p w:rsidR="002C3DEE" w:rsidRPr="002C3DEE" w:rsidRDefault="002C3DEE" w:rsidP="002C3DEE">
      <w:pPr>
        <w:numPr>
          <w:ilvl w:val="0"/>
          <w:numId w:val="30"/>
        </w:numPr>
      </w:pPr>
      <w:r w:rsidRPr="002C3DEE">
        <w:rPr>
          <w:b/>
          <w:bCs/>
        </w:rPr>
        <w:t>Social media</w:t>
      </w:r>
      <w:r w:rsidRPr="002C3DEE">
        <w:t>: Engage audiences via Instagram, Twitter, and Facebook, promoting athletes, EDI initiatives, and event updates.</w:t>
      </w:r>
    </w:p>
    <w:p w:rsidR="002C3DEE" w:rsidRPr="002C3DEE" w:rsidRDefault="002C3DEE" w:rsidP="002C3DEE">
      <w:pPr>
        <w:numPr>
          <w:ilvl w:val="0"/>
          <w:numId w:val="30"/>
        </w:numPr>
      </w:pPr>
      <w:r w:rsidRPr="002C3DEE">
        <w:rPr>
          <w:b/>
          <w:bCs/>
        </w:rPr>
        <w:t>Collaborations</w:t>
      </w:r>
      <w:r w:rsidRPr="002C3DEE">
        <w:t>: Partner with local influencers, community leaders, and sports stars to spread awareness (Wong and Hung, 2023).</w:t>
      </w:r>
    </w:p>
    <w:p w:rsidR="002C3DEE" w:rsidRPr="002C3DEE" w:rsidRDefault="002C3DEE" w:rsidP="002C3DEE">
      <w:pPr>
        <w:numPr>
          <w:ilvl w:val="0"/>
          <w:numId w:val="30"/>
        </w:numPr>
      </w:pPr>
      <w:r w:rsidRPr="002C3DEE">
        <w:rPr>
          <w:b/>
          <w:bCs/>
        </w:rPr>
        <w:t>Local Outreach</w:t>
      </w:r>
      <w:r w:rsidRPr="002C3DEE">
        <w:t xml:space="preserve">: Conduct events leading up to the main event in local schools, universities, and community </w:t>
      </w:r>
      <w:proofErr w:type="spellStart"/>
      <w:r w:rsidRPr="002C3DEE">
        <w:t>centers</w:t>
      </w:r>
      <w:proofErr w:type="spellEnd"/>
      <w:r w:rsidRPr="002C3DEE">
        <w:t xml:space="preserve"> to boost interest (Allen et al., 2022</w:t>
      </w:r>
      <w:proofErr w:type="gramStart"/>
      <w:r w:rsidRPr="002C3DEE">
        <w:t>)..</w:t>
      </w:r>
      <w:proofErr w:type="gramEnd"/>
    </w:p>
    <w:p w:rsidR="002C3DEE" w:rsidRPr="002C3DEE" w:rsidRDefault="002C3DEE" w:rsidP="002C3DEE">
      <w:r w:rsidRPr="002C3DEE">
        <w:rPr>
          <w:b/>
          <w:bCs/>
        </w:rPr>
        <w:t>Promotional Activities</w:t>
      </w:r>
    </w:p>
    <w:p w:rsidR="002C3DEE" w:rsidRPr="002C3DEE" w:rsidRDefault="002C3DEE" w:rsidP="002C3DEE">
      <w:pPr>
        <w:numPr>
          <w:ilvl w:val="0"/>
          <w:numId w:val="30"/>
        </w:numPr>
      </w:pPr>
      <w:r w:rsidRPr="002C3DEE">
        <w:t>Sponsorships from brands with a focus on inclusion (Schultz and Arke, 2023).</w:t>
      </w:r>
    </w:p>
    <w:p w:rsidR="002C3DEE" w:rsidRPr="002C3DEE" w:rsidRDefault="002C3DEE" w:rsidP="002C3DEE">
      <w:pPr>
        <w:numPr>
          <w:ilvl w:val="0"/>
          <w:numId w:val="30"/>
        </w:numPr>
      </w:pPr>
      <w:r w:rsidRPr="002C3DEE">
        <w:t>Special deals for groups (e.g., families, students, and people with disabilities).</w:t>
      </w:r>
    </w:p>
    <w:p w:rsidR="002C3DEE" w:rsidRDefault="002C3DEE"/>
    <w:p w:rsidR="00714D01" w:rsidRDefault="00714D01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353D6DE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943600" cy="3343275"/>
            <wp:effectExtent l="0" t="0" r="0" b="0"/>
            <wp:wrapSquare wrapText="bothSides"/>
            <wp:docPr id="20094460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9446046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5343">
        <w:br w:type="textWrapping" w:clear="all"/>
      </w:r>
    </w:p>
    <w:p w:rsidR="002C3DEE" w:rsidRDefault="002C3DEE" w:rsidP="002C3DEE">
      <w:r w:rsidRPr="002C3DEE">
        <w:t xml:space="preserve">The </w:t>
      </w:r>
      <w:r w:rsidRPr="002C3DEE">
        <w:rPr>
          <w:i/>
          <w:iCs/>
        </w:rPr>
        <w:t>Birmingham Unity Games</w:t>
      </w:r>
      <w:r w:rsidRPr="002C3DEE">
        <w:t xml:space="preserve"> is</w:t>
      </w:r>
      <w:r w:rsidR="009A59B3">
        <w:t xml:space="preserve"> based under the equality characteristics act 2010 of age,</w:t>
      </w:r>
      <w:r w:rsidR="00B75343">
        <w:t xml:space="preserve"> </w:t>
      </w:r>
      <w:r w:rsidR="009A59B3">
        <w:t>disability,</w:t>
      </w:r>
      <w:r w:rsidR="00B75343">
        <w:t xml:space="preserve"> </w:t>
      </w:r>
      <w:r w:rsidR="009A59B3">
        <w:t xml:space="preserve">gender and religion. The Birmingham Unity games </w:t>
      </w:r>
      <w:proofErr w:type="gramStart"/>
      <w:r w:rsidR="009A59B3">
        <w:t xml:space="preserve">is  </w:t>
      </w:r>
      <w:r w:rsidRPr="002C3DEE">
        <w:t>an</w:t>
      </w:r>
      <w:proofErr w:type="gramEnd"/>
      <w:r w:rsidRPr="002C3DEE">
        <w:t xml:space="preserve"> exciting opportunity to foster a culture of equality, diversity, and inclusion in sports. With a well-executed plan, the event is poised to attract a large audience and create long-lasting positive impact in the local sports community.</w:t>
      </w:r>
    </w:p>
    <w:p w:rsidR="00714D01" w:rsidRDefault="00714D01">
      <w:r>
        <w:rPr>
          <w:noProof/>
        </w:rPr>
        <w:lastRenderedPageBreak/>
        <w:drawing>
          <wp:inline distT="0" distB="0" distL="0" distR="0" wp14:anchorId="40D7F604" wp14:editId="79E5F161">
            <wp:extent cx="5943600" cy="3343275"/>
            <wp:effectExtent l="0" t="0" r="0" b="9525"/>
            <wp:docPr id="116288225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882252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14D01" w:rsidRDefault="00714D01">
      <w:r>
        <w:rPr>
          <w:noProof/>
        </w:rPr>
        <w:drawing>
          <wp:inline distT="0" distB="0" distL="0" distR="0" wp14:anchorId="7B17FF7E" wp14:editId="3F9DBBFC">
            <wp:extent cx="5943600" cy="3343275"/>
            <wp:effectExtent l="0" t="0" r="0" b="9525"/>
            <wp:docPr id="21269771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977173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14D01" w:rsidRDefault="00714D01"/>
    <w:sectPr w:rsidR="00714D01" w:rsidSect="00726A2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34D9B" w:rsidRDefault="00434D9B" w:rsidP="00744C33">
      <w:pPr>
        <w:spacing w:after="0" w:line="240" w:lineRule="auto"/>
      </w:pPr>
      <w:r>
        <w:separator/>
      </w:r>
    </w:p>
  </w:endnote>
  <w:endnote w:type="continuationSeparator" w:id="0">
    <w:p w:rsidR="00434D9B" w:rsidRDefault="00434D9B" w:rsidP="00744C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34D9B" w:rsidRDefault="00434D9B" w:rsidP="00744C33">
      <w:pPr>
        <w:spacing w:after="0" w:line="240" w:lineRule="auto"/>
      </w:pPr>
      <w:r>
        <w:separator/>
      </w:r>
    </w:p>
  </w:footnote>
  <w:footnote w:type="continuationSeparator" w:id="0">
    <w:p w:rsidR="00434D9B" w:rsidRDefault="00434D9B" w:rsidP="00744C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7616"/>
    <w:multiLevelType w:val="hybridMultilevel"/>
    <w:tmpl w:val="19AC381E"/>
    <w:lvl w:ilvl="0" w:tplc="2890A9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5CFF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A5E5B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9D669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EDA9E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D486F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AB69D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012A7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1F467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3A206D0"/>
    <w:multiLevelType w:val="hybridMultilevel"/>
    <w:tmpl w:val="2448322E"/>
    <w:lvl w:ilvl="0" w:tplc="75FE19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0DE8E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80611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6CA4D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96CE5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45A53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18AEC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4C4C5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0E6F6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042951EA"/>
    <w:multiLevelType w:val="hybridMultilevel"/>
    <w:tmpl w:val="A54A729A"/>
    <w:lvl w:ilvl="0" w:tplc="FB7A2E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D027A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9EA60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B304A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B643B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DA2FC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472B7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91402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662B0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06DE1947"/>
    <w:multiLevelType w:val="hybridMultilevel"/>
    <w:tmpl w:val="B7ACD9A2"/>
    <w:lvl w:ilvl="0" w:tplc="A04298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FA832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CBE3D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0F4D4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61843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79E8F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23A93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53440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B5876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0A076490"/>
    <w:multiLevelType w:val="hybridMultilevel"/>
    <w:tmpl w:val="887806D4"/>
    <w:lvl w:ilvl="0" w:tplc="36D27C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BDEE2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8F8DF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A102D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E3AE4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3AC27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FFEFC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C1C51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12624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118E1FA1"/>
    <w:multiLevelType w:val="hybridMultilevel"/>
    <w:tmpl w:val="496C275E"/>
    <w:lvl w:ilvl="0" w:tplc="C8D896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20269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B42AA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770D4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DAC78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B6437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060B1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DF810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81A9A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1B4271B2"/>
    <w:multiLevelType w:val="hybridMultilevel"/>
    <w:tmpl w:val="1360A980"/>
    <w:lvl w:ilvl="0" w:tplc="12FC9A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6AEB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FBC19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E06E6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B345C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2BC78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CCA08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93EF2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FEC18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1F2C071A"/>
    <w:multiLevelType w:val="hybridMultilevel"/>
    <w:tmpl w:val="64C07F08"/>
    <w:lvl w:ilvl="0" w:tplc="FCC814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77EF8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C58BE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DBCC5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B8C9B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8202A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2DC82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53455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1CA48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1F397B48"/>
    <w:multiLevelType w:val="hybridMultilevel"/>
    <w:tmpl w:val="874E42A2"/>
    <w:lvl w:ilvl="0" w:tplc="AE5A3C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0CEC2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710D2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17410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66C44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8BC3B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DEAB8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B0870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2F092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1F721497"/>
    <w:multiLevelType w:val="hybridMultilevel"/>
    <w:tmpl w:val="23DE60A8"/>
    <w:lvl w:ilvl="0" w:tplc="8D1AA6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ED821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95E71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EFE8F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F62F4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1D48C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FD643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17A63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056FE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20D82776"/>
    <w:multiLevelType w:val="hybridMultilevel"/>
    <w:tmpl w:val="0AB05860"/>
    <w:lvl w:ilvl="0" w:tplc="D04476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DDE23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E5C06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8C277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85ED0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7EE01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4BAA3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D4AA6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8B67C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20EC4219"/>
    <w:multiLevelType w:val="hybridMultilevel"/>
    <w:tmpl w:val="050AB88C"/>
    <w:lvl w:ilvl="0" w:tplc="62F0F8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FFED4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4A83E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068A3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C6A90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D3E37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06800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F366E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34C66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22C4027C"/>
    <w:multiLevelType w:val="hybridMultilevel"/>
    <w:tmpl w:val="FFB8D3D2"/>
    <w:lvl w:ilvl="0" w:tplc="DC1CC4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368C8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3A2A4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552BD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4C2CF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712A5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E5083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D52E3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A4CC8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2A790D75"/>
    <w:multiLevelType w:val="hybridMultilevel"/>
    <w:tmpl w:val="F9D27F7A"/>
    <w:lvl w:ilvl="0" w:tplc="01184A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6D4EC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90454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2A6E5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1A291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10843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93618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0AC03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3D0EF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32C26875"/>
    <w:multiLevelType w:val="hybridMultilevel"/>
    <w:tmpl w:val="474A77EC"/>
    <w:lvl w:ilvl="0" w:tplc="FFC4B8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44041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64E54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D605B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9827D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532CB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D8688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59EF9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BCC02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349B5E47"/>
    <w:multiLevelType w:val="hybridMultilevel"/>
    <w:tmpl w:val="29F4C3F2"/>
    <w:lvl w:ilvl="0" w:tplc="AF4C94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47C23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63819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DACDA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E082C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CCC0B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2464C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168BC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F4866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6" w15:restartNumberingAfterBreak="0">
    <w:nsid w:val="3DFB0CEC"/>
    <w:multiLevelType w:val="hybridMultilevel"/>
    <w:tmpl w:val="E326C18E"/>
    <w:lvl w:ilvl="0" w:tplc="E24622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EFED0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4E292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5322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BF451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0E0CF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4B664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77EAD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E300C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7" w15:restartNumberingAfterBreak="0">
    <w:nsid w:val="423665AB"/>
    <w:multiLevelType w:val="hybridMultilevel"/>
    <w:tmpl w:val="454E5294"/>
    <w:lvl w:ilvl="0" w:tplc="52C251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D290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5408A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22828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4EEE7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E0AE6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0886F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70A62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12E7A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8" w15:restartNumberingAfterBreak="0">
    <w:nsid w:val="4DDD6A62"/>
    <w:multiLevelType w:val="hybridMultilevel"/>
    <w:tmpl w:val="1F1856AA"/>
    <w:lvl w:ilvl="0" w:tplc="0C1E17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9389E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1F0C5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2A2D5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33C8C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8B604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B262E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33663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2A07B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52164D49"/>
    <w:multiLevelType w:val="hybridMultilevel"/>
    <w:tmpl w:val="7F207268"/>
    <w:lvl w:ilvl="0" w:tplc="5CF0DF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F4E27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E5A76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EC6ED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00466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43A89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130D9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042AF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45085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0" w15:restartNumberingAfterBreak="0">
    <w:nsid w:val="576B6726"/>
    <w:multiLevelType w:val="hybridMultilevel"/>
    <w:tmpl w:val="D31A285C"/>
    <w:lvl w:ilvl="0" w:tplc="DAC2F2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264FF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93E81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81CF3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F2A80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060B1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1A0A6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7D2C3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A0E38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1" w15:restartNumberingAfterBreak="0">
    <w:nsid w:val="59F552BF"/>
    <w:multiLevelType w:val="hybridMultilevel"/>
    <w:tmpl w:val="8170038A"/>
    <w:lvl w:ilvl="0" w:tplc="076E44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356A2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13EAA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9E3E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8DA71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C9C19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3C214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9647A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BC6B4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2" w15:restartNumberingAfterBreak="0">
    <w:nsid w:val="5A942B82"/>
    <w:multiLevelType w:val="hybridMultilevel"/>
    <w:tmpl w:val="AA4A4A3E"/>
    <w:lvl w:ilvl="0" w:tplc="A498F7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28676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69837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0B8C6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3482C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9B41D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BB872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B8853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08A15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3" w15:restartNumberingAfterBreak="0">
    <w:nsid w:val="5DF41A10"/>
    <w:multiLevelType w:val="hybridMultilevel"/>
    <w:tmpl w:val="1C625798"/>
    <w:lvl w:ilvl="0" w:tplc="F6780B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6FC8D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C483D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36428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69A54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A00A8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0AAEE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FCC1E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FDA16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4" w15:restartNumberingAfterBreak="0">
    <w:nsid w:val="5F115A39"/>
    <w:multiLevelType w:val="hybridMultilevel"/>
    <w:tmpl w:val="F036CFA2"/>
    <w:lvl w:ilvl="0" w:tplc="30AC9E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E5A4D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492C4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F5480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BA062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F2A77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47EF7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ED030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2B6BB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5" w15:restartNumberingAfterBreak="0">
    <w:nsid w:val="614567A3"/>
    <w:multiLevelType w:val="hybridMultilevel"/>
    <w:tmpl w:val="2A9E7E1A"/>
    <w:lvl w:ilvl="0" w:tplc="16E803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95071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A6E89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BF002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93E9D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706AE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5DE44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46843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6D624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6" w15:restartNumberingAfterBreak="0">
    <w:nsid w:val="644F6A3A"/>
    <w:multiLevelType w:val="hybridMultilevel"/>
    <w:tmpl w:val="0262EA2C"/>
    <w:lvl w:ilvl="0" w:tplc="61D47C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FCE45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9D87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BC2B1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D3284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1CA49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43ADA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A8230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21EFB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 w15:restartNumberingAfterBreak="0">
    <w:nsid w:val="65123868"/>
    <w:multiLevelType w:val="hybridMultilevel"/>
    <w:tmpl w:val="490A50A2"/>
    <w:lvl w:ilvl="0" w:tplc="C7AA6A44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0F4EA0AA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40406D4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3ABA845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57E8D1E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8A6B870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21B0A11E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6616F58C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9B0A6C36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8" w15:restartNumberingAfterBreak="0">
    <w:nsid w:val="69DE48A6"/>
    <w:multiLevelType w:val="hybridMultilevel"/>
    <w:tmpl w:val="805EFC5E"/>
    <w:lvl w:ilvl="0" w:tplc="3CBEB0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19A0E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E2C0E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E20CB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6369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6C65D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54AA6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6C0DD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25A93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9" w15:restartNumberingAfterBreak="0">
    <w:nsid w:val="72057F93"/>
    <w:multiLevelType w:val="hybridMultilevel"/>
    <w:tmpl w:val="FF4A6D8A"/>
    <w:lvl w:ilvl="0" w:tplc="D46A77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74EB8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EF031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EF60D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BAC4D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FD4FA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99EFB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6CA8F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D7205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0" w15:restartNumberingAfterBreak="0">
    <w:nsid w:val="72CF44EE"/>
    <w:multiLevelType w:val="hybridMultilevel"/>
    <w:tmpl w:val="1DDA86F0"/>
    <w:lvl w:ilvl="0" w:tplc="066CA7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F7669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3CE35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7EA76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C708A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A20CC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29A0D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1984F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1C005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1" w15:restartNumberingAfterBreak="0">
    <w:nsid w:val="7856451C"/>
    <w:multiLevelType w:val="hybridMultilevel"/>
    <w:tmpl w:val="289065C6"/>
    <w:lvl w:ilvl="0" w:tplc="E9921D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19000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CB8BD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8E04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FA69E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6187F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2F4B4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D84E1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8D293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2" w15:restartNumberingAfterBreak="0">
    <w:nsid w:val="785D5182"/>
    <w:multiLevelType w:val="hybridMultilevel"/>
    <w:tmpl w:val="838AA9FC"/>
    <w:lvl w:ilvl="0" w:tplc="D878279E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3B64E55A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58146C2C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68E8E52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161C7882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AE964F12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D61CB14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E7960F30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E9F4E3CA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33" w15:restartNumberingAfterBreak="0">
    <w:nsid w:val="79644748"/>
    <w:multiLevelType w:val="hybridMultilevel"/>
    <w:tmpl w:val="AC10780E"/>
    <w:lvl w:ilvl="0" w:tplc="3E7205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A7054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0E05D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BFA74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D1808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6E83B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5AAC8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DF05F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30A22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4" w15:restartNumberingAfterBreak="0">
    <w:nsid w:val="7FF4076D"/>
    <w:multiLevelType w:val="hybridMultilevel"/>
    <w:tmpl w:val="2D2C50E8"/>
    <w:lvl w:ilvl="0" w:tplc="6714E5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9E405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FECAD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4F2C5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7360F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C7C12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E8678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B9485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AAABC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566187831">
    <w:abstractNumId w:val="17"/>
  </w:num>
  <w:num w:numId="2" w16cid:durableId="1780220070">
    <w:abstractNumId w:val="6"/>
  </w:num>
  <w:num w:numId="3" w16cid:durableId="1373075370">
    <w:abstractNumId w:val="20"/>
  </w:num>
  <w:num w:numId="4" w16cid:durableId="408772257">
    <w:abstractNumId w:val="12"/>
  </w:num>
  <w:num w:numId="5" w16cid:durableId="299893523">
    <w:abstractNumId w:val="4"/>
  </w:num>
  <w:num w:numId="6" w16cid:durableId="1638728356">
    <w:abstractNumId w:val="2"/>
  </w:num>
  <w:num w:numId="7" w16cid:durableId="2109806173">
    <w:abstractNumId w:val="34"/>
  </w:num>
  <w:num w:numId="8" w16cid:durableId="1753891175">
    <w:abstractNumId w:val="9"/>
  </w:num>
  <w:num w:numId="9" w16cid:durableId="73817265">
    <w:abstractNumId w:val="0"/>
  </w:num>
  <w:num w:numId="10" w16cid:durableId="1752852672">
    <w:abstractNumId w:val="22"/>
  </w:num>
  <w:num w:numId="11" w16cid:durableId="663313979">
    <w:abstractNumId w:val="30"/>
  </w:num>
  <w:num w:numId="12" w16cid:durableId="123431031">
    <w:abstractNumId w:val="26"/>
  </w:num>
  <w:num w:numId="13" w16cid:durableId="585531100">
    <w:abstractNumId w:val="21"/>
  </w:num>
  <w:num w:numId="14" w16cid:durableId="353776068">
    <w:abstractNumId w:val="29"/>
  </w:num>
  <w:num w:numId="15" w16cid:durableId="929655485">
    <w:abstractNumId w:val="16"/>
  </w:num>
  <w:num w:numId="16" w16cid:durableId="1343127513">
    <w:abstractNumId w:val="11"/>
  </w:num>
  <w:num w:numId="17" w16cid:durableId="105780315">
    <w:abstractNumId w:val="14"/>
  </w:num>
  <w:num w:numId="18" w16cid:durableId="1297643916">
    <w:abstractNumId w:val="31"/>
  </w:num>
  <w:num w:numId="19" w16cid:durableId="1495484999">
    <w:abstractNumId w:val="7"/>
  </w:num>
  <w:num w:numId="20" w16cid:durableId="1263612093">
    <w:abstractNumId w:val="10"/>
  </w:num>
  <w:num w:numId="21" w16cid:durableId="1704861608">
    <w:abstractNumId w:val="3"/>
  </w:num>
  <w:num w:numId="22" w16cid:durableId="591358751">
    <w:abstractNumId w:val="1"/>
  </w:num>
  <w:num w:numId="23" w16cid:durableId="510727290">
    <w:abstractNumId w:val="18"/>
  </w:num>
  <w:num w:numId="24" w16cid:durableId="724526269">
    <w:abstractNumId w:val="5"/>
  </w:num>
  <w:num w:numId="25" w16cid:durableId="985473800">
    <w:abstractNumId w:val="19"/>
  </w:num>
  <w:num w:numId="26" w16cid:durableId="1887719939">
    <w:abstractNumId w:val="23"/>
  </w:num>
  <w:num w:numId="27" w16cid:durableId="1155874346">
    <w:abstractNumId w:val="28"/>
  </w:num>
  <w:num w:numId="28" w16cid:durableId="542061661">
    <w:abstractNumId w:val="15"/>
  </w:num>
  <w:num w:numId="29" w16cid:durableId="216943236">
    <w:abstractNumId w:val="8"/>
  </w:num>
  <w:num w:numId="30" w16cid:durableId="250433603">
    <w:abstractNumId w:val="24"/>
  </w:num>
  <w:num w:numId="31" w16cid:durableId="1572499741">
    <w:abstractNumId w:val="27"/>
  </w:num>
  <w:num w:numId="32" w16cid:durableId="1578517309">
    <w:abstractNumId w:val="13"/>
  </w:num>
  <w:num w:numId="33" w16cid:durableId="1859738427">
    <w:abstractNumId w:val="33"/>
  </w:num>
  <w:num w:numId="34" w16cid:durableId="867064392">
    <w:abstractNumId w:val="32"/>
  </w:num>
  <w:num w:numId="35" w16cid:durableId="1826970296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D01"/>
    <w:rsid w:val="00016FD7"/>
    <w:rsid w:val="000D5CEE"/>
    <w:rsid w:val="00120B8E"/>
    <w:rsid w:val="00243EB4"/>
    <w:rsid w:val="00275923"/>
    <w:rsid w:val="002C3DEE"/>
    <w:rsid w:val="0031620C"/>
    <w:rsid w:val="003724ED"/>
    <w:rsid w:val="003E0399"/>
    <w:rsid w:val="00416C11"/>
    <w:rsid w:val="00434D9B"/>
    <w:rsid w:val="005C1E19"/>
    <w:rsid w:val="00714D01"/>
    <w:rsid w:val="00726A2C"/>
    <w:rsid w:val="00740212"/>
    <w:rsid w:val="00744C33"/>
    <w:rsid w:val="007D6163"/>
    <w:rsid w:val="008B6CE5"/>
    <w:rsid w:val="00913273"/>
    <w:rsid w:val="009A59B3"/>
    <w:rsid w:val="009D58E6"/>
    <w:rsid w:val="009D72B4"/>
    <w:rsid w:val="00A70354"/>
    <w:rsid w:val="00AA6B6D"/>
    <w:rsid w:val="00AE49B1"/>
    <w:rsid w:val="00AF619F"/>
    <w:rsid w:val="00B75343"/>
    <w:rsid w:val="00D02A72"/>
    <w:rsid w:val="00D61A55"/>
    <w:rsid w:val="00D81A27"/>
    <w:rsid w:val="00DA754F"/>
    <w:rsid w:val="00DB0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8F6AC52-FCB6-4F99-B702-CB9FDC07B1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4D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4D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4D0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4D0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4D0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4D0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4D0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4D0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4D0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4D0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4D0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4D01"/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4D01"/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4D01"/>
    <w:rPr>
      <w:rFonts w:asciiTheme="minorHAnsi" w:eastAsiaTheme="majorEastAsia" w:hAnsiTheme="min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4D0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4D0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4D0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4D0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4D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4D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4D0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4D0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4D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4D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4D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4D0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4D0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4D0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4D01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44C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4C33"/>
  </w:style>
  <w:style w:type="paragraph" w:styleId="Footer">
    <w:name w:val="footer"/>
    <w:basedOn w:val="Normal"/>
    <w:link w:val="FooterChar"/>
    <w:uiPriority w:val="99"/>
    <w:unhideWhenUsed/>
    <w:rsid w:val="00744C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4C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0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0777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87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6812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5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67461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850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4115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325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0876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05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7544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521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7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8809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577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31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2355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2607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8683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2906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831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2276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11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44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4837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887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7215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48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7766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46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02051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794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486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8340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98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6792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8769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189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724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32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0575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80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0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7277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782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405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43905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805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9770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12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169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3442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350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0376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95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9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8839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702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0209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73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842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19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5206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353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7200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88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7560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828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92661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770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72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5316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182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0205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97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6615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640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29524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694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8151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241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5132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284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3747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823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47076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87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3851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1256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emf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sv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14</Pages>
  <Words>1211</Words>
  <Characters>6908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abdul hoque</cp:lastModifiedBy>
  <cp:revision>10</cp:revision>
  <dcterms:created xsi:type="dcterms:W3CDTF">2025-02-01T22:26:00Z</dcterms:created>
  <dcterms:modified xsi:type="dcterms:W3CDTF">2025-02-06T23:14:00Z</dcterms:modified>
</cp:coreProperties>
</file>