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B1C734" w14:textId="53552A54" w:rsidR="002E0F24" w:rsidRDefault="0035238A">
      <w:pPr>
        <w:rPr>
          <w:rFonts w:ascii="Georgia" w:hAnsi="Georgia"/>
          <w:sz w:val="28"/>
          <w:szCs w:val="28"/>
        </w:rPr>
      </w:pPr>
      <w:r>
        <w:rPr>
          <w:rFonts w:ascii="Georgia" w:hAnsi="Georgia"/>
          <w:sz w:val="28"/>
          <w:szCs w:val="28"/>
        </w:rPr>
        <w:t>In philosophy, when it comes to radical conversations, topics. We are often misled before we even start. Phenomenology is one of those topics, through that comes, perception, experiences etc. the word perception contrary to what we are taught and what we k</w:t>
      </w:r>
      <w:r>
        <w:rPr>
          <w:rFonts w:ascii="Georgia" w:hAnsi="Georgia"/>
          <w:sz w:val="28"/>
          <w:szCs w:val="28"/>
        </w:rPr>
        <w:t xml:space="preserve">now is not biological or a neurological process.  That is where we can be misled going into the topic, perception and experience are very sneaky words, they carry in a hidden metaphysics, the way is used in language </w:t>
      </w:r>
      <w:r w:rsidR="005E32D1">
        <w:rPr>
          <w:rFonts w:ascii="Georgia" w:hAnsi="Georgia"/>
          <w:sz w:val="28"/>
          <w:szCs w:val="28"/>
        </w:rPr>
        <w:t>imply that there is this materialism to it. However, that isn’t necessarily the case. That said, for one to perceive comes in three ways, we have the visual field, auditory field and body sensation. In this essay, I’m going to be talking about the body sensation through the thoughts of Merleau-Ponty and bringing out the confusion we have in philosophy.</w:t>
      </w:r>
    </w:p>
    <w:p w14:paraId="0545B6DB" w14:textId="3D63C6F8" w:rsidR="005E32D1" w:rsidRDefault="0035238A">
      <w:pPr>
        <w:rPr>
          <w:rFonts w:ascii="Georgia" w:hAnsi="Georgia"/>
          <w:sz w:val="28"/>
          <w:szCs w:val="28"/>
        </w:rPr>
      </w:pPr>
      <w:r>
        <w:rPr>
          <w:rFonts w:ascii="Georgia" w:hAnsi="Georgia"/>
          <w:sz w:val="28"/>
          <w:szCs w:val="28"/>
        </w:rPr>
        <w:t>Merleau-Ponty’s phenomenology of per</w:t>
      </w:r>
      <w:r w:rsidR="00F22138">
        <w:rPr>
          <w:rFonts w:ascii="Georgia" w:hAnsi="Georgia"/>
          <w:sz w:val="28"/>
          <w:szCs w:val="28"/>
        </w:rPr>
        <w:t xml:space="preserve">ception is a very good place to start if you want to have a very good understanding of what phenomenology is and also find out where the confusion comes from, in regards to other philosophers on the same topic. Especially people like Descartes. ''it is certain that I (that is, my mind, by which I am when I am) am entirely and truly distinct from my body, and may exist without it''. (Rene Descartes, Meditations on the first philosophy). </w:t>
      </w:r>
      <w:r w:rsidR="000C5D20">
        <w:rPr>
          <w:rFonts w:ascii="Georgia" w:hAnsi="Georgia"/>
          <w:sz w:val="28"/>
          <w:szCs w:val="28"/>
        </w:rPr>
        <w:t xml:space="preserve">In regards to phenomenology, and body sensations this statement from Descartes is completely misleading because when one hears that, one would automatically think he is talking about something completely different, furthermore, his statement needs explaining. First, how would one be able to exist without their body? If we weren't talking about an out-of-body experience which is a different matter, with that said, one wouldn't really exist without their body because even if you are away from your body, your bodies original post is who you sole and truly are. Descartes is not the only philosopher to try the justify our experiences with materialism. </w:t>
      </w:r>
      <w:r w:rsidR="00DD0F3C">
        <w:rPr>
          <w:rFonts w:ascii="Georgia" w:hAnsi="Georgia"/>
          <w:sz w:val="28"/>
          <w:szCs w:val="28"/>
        </w:rPr>
        <w:t>His view is that the mind comes first hence he can exist without it, I’m not sure how, but let’s see how this plays out as I go on.</w:t>
      </w:r>
    </w:p>
    <w:p w14:paraId="40A97BD6" w14:textId="6F2D108C" w:rsidR="002A5799" w:rsidRDefault="0035238A">
      <w:pPr>
        <w:rPr>
          <w:rFonts w:ascii="Georgia" w:hAnsi="Georgia"/>
          <w:sz w:val="28"/>
          <w:szCs w:val="28"/>
        </w:rPr>
      </w:pPr>
      <w:r>
        <w:rPr>
          <w:rFonts w:ascii="Georgia" w:hAnsi="Georgia"/>
          <w:sz w:val="28"/>
          <w:szCs w:val="28"/>
        </w:rPr>
        <w:t>Marcel Proust also has similar view, according to him ''It is in sickness that we are compelled to recognise that we do not live alone but are chained to a being from a different realm, from whom we are worlds apar</w:t>
      </w:r>
      <w:r>
        <w:rPr>
          <w:rFonts w:ascii="Georgia" w:hAnsi="Georgia"/>
          <w:sz w:val="28"/>
          <w:szCs w:val="28"/>
        </w:rPr>
        <w:t>t, who has no knowledge of us and by whom it is impossible to make ourselves underst</w:t>
      </w:r>
      <w:r w:rsidR="00831567">
        <w:rPr>
          <w:rFonts w:ascii="Georgia" w:hAnsi="Georgia"/>
          <w:sz w:val="28"/>
          <w:szCs w:val="28"/>
        </w:rPr>
        <w:t xml:space="preserve">ood: our body’’ (Proust, Vol 3, 341). </w:t>
      </w:r>
      <w:r>
        <w:rPr>
          <w:rFonts w:ascii="Georgia" w:hAnsi="Georgia"/>
          <w:sz w:val="28"/>
          <w:szCs w:val="28"/>
        </w:rPr>
        <w:t>This statement has some truth to it, certainly, we have at least once thought to ourselves separating from the part of our body that i</w:t>
      </w:r>
      <w:r>
        <w:rPr>
          <w:rFonts w:ascii="Georgia" w:hAnsi="Georgia"/>
          <w:sz w:val="28"/>
          <w:szCs w:val="28"/>
        </w:rPr>
        <w:t xml:space="preserve">s sick. That said, when one is sick, does one what to heal the being from a different realm or our body? I am not quite sure how Proust would respond to this question. </w:t>
      </w:r>
      <w:r>
        <w:rPr>
          <w:rFonts w:ascii="Georgia" w:hAnsi="Georgia"/>
          <w:sz w:val="28"/>
          <w:szCs w:val="28"/>
        </w:rPr>
        <w:lastRenderedPageBreak/>
        <w:t xml:space="preserve">However, based on the view of the body and mind being distinct, we would heal the being </w:t>
      </w:r>
      <w:r>
        <w:rPr>
          <w:rFonts w:ascii="Georgia" w:hAnsi="Georgia"/>
          <w:sz w:val="28"/>
          <w:szCs w:val="28"/>
        </w:rPr>
        <w:t xml:space="preserve">that we are chained to. Merleau-Ponty would probably respond to this by saying that in sickness we feel the body first, and anything is just a secondary thing. </w:t>
      </w:r>
      <w:r w:rsidR="00543B38">
        <w:rPr>
          <w:rFonts w:ascii="Georgia" w:hAnsi="Georgia"/>
          <w:sz w:val="28"/>
          <w:szCs w:val="28"/>
        </w:rPr>
        <w:t>If you look closely, you can see the similarities between Descartes and Proust. To them, sensations and anything else comes within then felt anywhere, like an inner man that feels sensations before releasing it to the body. It seems that they themselves are not entirely sure what this inner man, mind, and brain are. This is where the confusion comes in, they both see the body as a tool that the mind uses to complete actions, etc.</w:t>
      </w:r>
    </w:p>
    <w:p w14:paraId="26ECE694" w14:textId="30AAC11F" w:rsidR="00543B38" w:rsidRDefault="0035238A">
      <w:pPr>
        <w:rPr>
          <w:rFonts w:ascii="Georgia" w:hAnsi="Georgia"/>
          <w:sz w:val="28"/>
          <w:szCs w:val="28"/>
        </w:rPr>
      </w:pPr>
      <w:r>
        <w:rPr>
          <w:rFonts w:ascii="Georgia" w:hAnsi="Georgia"/>
          <w:sz w:val="28"/>
          <w:szCs w:val="28"/>
        </w:rPr>
        <w:t xml:space="preserve">Merleau-Ponty refutes this idea of the body being just a tool, he talks about a flat in the Phenomenology of perception '' my flat is for me, not a set of closely associated </w:t>
      </w:r>
      <w:r>
        <w:rPr>
          <w:rFonts w:ascii="Georgia" w:hAnsi="Georgia"/>
          <w:sz w:val="28"/>
          <w:szCs w:val="28"/>
        </w:rPr>
        <w:t xml:space="preserve">images. It remains a familiar domain round about me only as long as I still have 'in my hands' or 'in my legs' the main distances and directions involved, and as long as from my body intentional threads run towards it’’ (PP 1962, 150, 130). </w:t>
      </w:r>
      <w:r w:rsidR="0062121C">
        <w:rPr>
          <w:rFonts w:ascii="Georgia" w:hAnsi="Georgia"/>
          <w:sz w:val="28"/>
          <w:szCs w:val="28"/>
        </w:rPr>
        <w:t xml:space="preserve">Here Merleau-Ponty points out how our actions are not based on our mental image or mental commands, he says when one is in their personal place, be room or house, they know how to get to places in their houses or room without needing to have a mental image of where is you want to go is how you are going to get there. Descartes and Proust would probably respond to this by insisting one must have a mental image of where they are going for them to get there, which does not make sense at all. It doesn’t make sense because one can have a habitual action, for example, one can move a sofa in their living room and come back a few minutes later to where it was originally placed. Merleau-Ponty then goes on to support this claim ‘’but habit does not consist in interpreting the </w:t>
      </w:r>
      <w:r w:rsidR="003F0DB7">
        <w:rPr>
          <w:rFonts w:ascii="Georgia" w:hAnsi="Georgia"/>
          <w:sz w:val="28"/>
          <w:szCs w:val="28"/>
        </w:rPr>
        <w:t xml:space="preserve">pressures of the stick on the hand as indications of certain positions of the stick, and these are signs of an external object since it relieves us of the necessity of doing so. The pressures on the hand and the stick are no longer given; the stick is no longer an object perceived by the blind man, but an instrument with which he perceives'' (PP 1962, 176,152). Merleau-Ponty hits the nail no the head here, one who is blind is one with his stick, in this case, his stick becomes an instrument. Rather man a tool. </w:t>
      </w:r>
      <w:r w:rsidR="00D36101">
        <w:rPr>
          <w:rFonts w:ascii="Georgia" w:hAnsi="Georgia"/>
          <w:sz w:val="28"/>
          <w:szCs w:val="28"/>
        </w:rPr>
        <w:t xml:space="preserve">I like this because it defeats the whole idea of one's body being a tool. The blind man does not trust his stick when it hits a certain position but he trusts the stick when it is in this hand because that is how he perceives the world. </w:t>
      </w:r>
    </w:p>
    <w:p w14:paraId="64719645" w14:textId="755FCE1D" w:rsidR="00D36101" w:rsidRDefault="0035238A">
      <w:pPr>
        <w:rPr>
          <w:rFonts w:ascii="Georgia" w:hAnsi="Georgia"/>
          <w:sz w:val="28"/>
          <w:szCs w:val="28"/>
        </w:rPr>
      </w:pPr>
      <w:r>
        <w:rPr>
          <w:rFonts w:ascii="Georgia" w:hAnsi="Georgia"/>
          <w:sz w:val="28"/>
          <w:szCs w:val="28"/>
        </w:rPr>
        <w:t>In conclusion, the i</w:t>
      </w:r>
      <w:r>
        <w:rPr>
          <w:rFonts w:ascii="Georgia" w:hAnsi="Georgia"/>
          <w:sz w:val="28"/>
          <w:szCs w:val="28"/>
        </w:rPr>
        <w:t xml:space="preserve">dea of the body being a tool is completely bizarre, the body is an access point to our experiences in the world. One mustn’t </w:t>
      </w:r>
      <w:r>
        <w:rPr>
          <w:rFonts w:ascii="Georgia" w:hAnsi="Georgia"/>
          <w:sz w:val="28"/>
          <w:szCs w:val="28"/>
        </w:rPr>
        <w:lastRenderedPageBreak/>
        <w:t>begin with a materialistic thought, else they will be far misled to what really is.</w:t>
      </w:r>
    </w:p>
    <w:p w14:paraId="77733421" w14:textId="19A3D119" w:rsidR="00882253" w:rsidRDefault="00882253">
      <w:pPr>
        <w:rPr>
          <w:rFonts w:ascii="Georgia" w:hAnsi="Georgia"/>
          <w:sz w:val="28"/>
          <w:szCs w:val="28"/>
        </w:rPr>
      </w:pPr>
    </w:p>
    <w:p w14:paraId="3C997058" w14:textId="6577A5A6" w:rsidR="00882253" w:rsidRDefault="00882253">
      <w:pPr>
        <w:rPr>
          <w:rFonts w:ascii="Georgia" w:hAnsi="Georgia"/>
          <w:sz w:val="28"/>
          <w:szCs w:val="28"/>
        </w:rPr>
      </w:pPr>
    </w:p>
    <w:p w14:paraId="29C516DB" w14:textId="77777777" w:rsidR="00882253" w:rsidRDefault="0035238A">
      <w:pPr>
        <w:rPr>
          <w:rFonts w:ascii="Georgia" w:hAnsi="Georgia"/>
          <w:sz w:val="28"/>
          <w:szCs w:val="28"/>
        </w:rPr>
      </w:pPr>
      <w:r>
        <w:rPr>
          <w:rFonts w:ascii="Georgia" w:hAnsi="Georgia"/>
          <w:sz w:val="28"/>
          <w:szCs w:val="28"/>
        </w:rPr>
        <w:t xml:space="preserve">     References</w:t>
      </w:r>
    </w:p>
    <w:p w14:paraId="3A1ACEA9" w14:textId="7B40B4E8" w:rsidR="00882253" w:rsidRDefault="0035238A">
      <w:pPr>
        <w:rPr>
          <w:rFonts w:ascii="Georgia" w:hAnsi="Georgia"/>
          <w:sz w:val="28"/>
          <w:szCs w:val="28"/>
        </w:rPr>
      </w:pPr>
      <w:r>
        <w:rPr>
          <w:rFonts w:ascii="Georgia" w:hAnsi="Georgia"/>
          <w:sz w:val="28"/>
          <w:szCs w:val="28"/>
        </w:rPr>
        <w:t>C.K Scott Monceieff &amp; Terence</w:t>
      </w:r>
      <w:r w:rsidR="00484EAB">
        <w:rPr>
          <w:rFonts w:ascii="Georgia" w:hAnsi="Georgia"/>
          <w:sz w:val="28"/>
          <w:szCs w:val="28"/>
        </w:rPr>
        <w:t xml:space="preserve"> Kilmartin, D.J Enright, Proust, In search of lost time vol 3, 341.</w:t>
      </w:r>
    </w:p>
    <w:p w14:paraId="7C691C91" w14:textId="51721222" w:rsidR="00484EAB" w:rsidRDefault="0035238A">
      <w:pPr>
        <w:rPr>
          <w:rFonts w:ascii="Georgia" w:hAnsi="Georgia"/>
          <w:sz w:val="28"/>
          <w:szCs w:val="28"/>
        </w:rPr>
      </w:pPr>
      <w:r>
        <w:rPr>
          <w:rFonts w:ascii="Georgia" w:hAnsi="Georgia"/>
          <w:sz w:val="28"/>
          <w:szCs w:val="28"/>
        </w:rPr>
        <w:t>Merleau-Ponty, Phenomenology of Perception, Routledge 1962.</w:t>
      </w:r>
    </w:p>
    <w:p w14:paraId="202E8B7A" w14:textId="5C754259" w:rsidR="00484EAB" w:rsidRPr="00476CBC" w:rsidRDefault="0035238A">
      <w:pPr>
        <w:rPr>
          <w:rFonts w:ascii="Georgia" w:hAnsi="Georgia"/>
          <w:sz w:val="28"/>
          <w:szCs w:val="28"/>
        </w:rPr>
      </w:pPr>
      <w:r>
        <w:rPr>
          <w:rFonts w:ascii="Georgia" w:hAnsi="Georgia"/>
          <w:sz w:val="28"/>
          <w:szCs w:val="28"/>
        </w:rPr>
        <w:t>Rene Descartes, 1596-1650, Meditation</w:t>
      </w:r>
      <w:r w:rsidR="006A6DCA">
        <w:rPr>
          <w:rFonts w:ascii="Georgia" w:hAnsi="Georgia"/>
          <w:sz w:val="28"/>
          <w:szCs w:val="28"/>
        </w:rPr>
        <w:t xml:space="preserve">s on the First </w:t>
      </w:r>
      <w:r>
        <w:rPr>
          <w:rFonts w:ascii="Georgia" w:hAnsi="Georgia"/>
          <w:sz w:val="28"/>
          <w:szCs w:val="28"/>
        </w:rPr>
        <w:t>P</w:t>
      </w:r>
      <w:bookmarkStart w:id="0" w:name="_GoBack"/>
      <w:bookmarkEnd w:id="0"/>
      <w:r w:rsidR="006A6DCA">
        <w:rPr>
          <w:rFonts w:ascii="Georgia" w:hAnsi="Georgia"/>
          <w:sz w:val="28"/>
          <w:szCs w:val="28"/>
        </w:rPr>
        <w:t>hilosopher</w:t>
      </w:r>
      <w:r>
        <w:rPr>
          <w:rFonts w:ascii="Georgia" w:hAnsi="Georgia"/>
          <w:sz w:val="28"/>
          <w:szCs w:val="28"/>
        </w:rPr>
        <w:t>.</w:t>
      </w:r>
    </w:p>
    <w:sectPr w:rsidR="00484EAB" w:rsidRPr="00476C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6CBC"/>
    <w:rsid w:val="000C5D20"/>
    <w:rsid w:val="002A5799"/>
    <w:rsid w:val="002E0F24"/>
    <w:rsid w:val="0035238A"/>
    <w:rsid w:val="003F0DB7"/>
    <w:rsid w:val="00476CBC"/>
    <w:rsid w:val="0048261B"/>
    <w:rsid w:val="00484EAB"/>
    <w:rsid w:val="00543B38"/>
    <w:rsid w:val="005E32D1"/>
    <w:rsid w:val="0062121C"/>
    <w:rsid w:val="006A6DCA"/>
    <w:rsid w:val="0075242B"/>
    <w:rsid w:val="00831567"/>
    <w:rsid w:val="00882253"/>
    <w:rsid w:val="00D36101"/>
    <w:rsid w:val="00DD0F3C"/>
    <w:rsid w:val="00F2213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C43DA"/>
  <w15:chartTrackingRefBased/>
  <w15:docId w15:val="{0DD57242-4AFA-487A-A23B-5DA8BA07F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869</Words>
  <Characters>4956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Hamza Samasa</dc:creator>
  <cp:lastModifiedBy>Hamza Samasa</cp:lastModifiedBy>
  <cp:revision>2</cp:revision>
  <dcterms:created xsi:type="dcterms:W3CDTF">2019-12-18T04:58:00Z</dcterms:created>
  <dcterms:modified xsi:type="dcterms:W3CDTF">2019-12-18T04:58:00Z</dcterms:modified>
</cp:coreProperties>
</file>