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700D56" w:rsidRDefault="00700D56">
      <w:pPr>
        <w:jc w:val="center"/>
        <w:rPr>
          <w:rFonts w:ascii="Times New Roman" w:eastAsia="Times New Roman" w:hAnsi="Times New Roman" w:cs="Times New Roman"/>
          <w:b/>
          <w:sz w:val="40"/>
          <w:szCs w:val="40"/>
        </w:rPr>
      </w:pPr>
      <w:r>
        <w:rPr>
          <w:noProof/>
          <w:lang w:val="en-IN"/>
        </w:rPr>
        <w:drawing>
          <wp:anchor distT="19050" distB="19050" distL="19050" distR="19050" simplePos="0" relativeHeight="251658240" behindDoc="0" locked="0" layoutInCell="1" hidden="0" allowOverlap="1" wp14:anchorId="358144C4" wp14:editId="3B37EBFE">
            <wp:simplePos x="0" y="0"/>
            <wp:positionH relativeFrom="column">
              <wp:posOffset>4629150</wp:posOffset>
            </wp:positionH>
            <wp:positionV relativeFrom="paragraph">
              <wp:posOffset>-128270</wp:posOffset>
            </wp:positionV>
            <wp:extent cx="1315085" cy="525780"/>
            <wp:effectExtent l="0" t="0" r="0" b="7620"/>
            <wp:wrapNone/>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1315085" cy="525780"/>
                    </a:xfrm>
                    <a:prstGeom prst="rect">
                      <a:avLst/>
                    </a:prstGeom>
                    <a:ln/>
                  </pic:spPr>
                </pic:pic>
              </a:graphicData>
            </a:graphic>
          </wp:anchor>
        </w:drawing>
      </w:r>
    </w:p>
    <w:p w:rsidR="00700D56" w:rsidRDefault="00700D56">
      <w:pPr>
        <w:jc w:val="center"/>
        <w:rPr>
          <w:rFonts w:ascii="Times New Roman" w:eastAsia="Times New Roman" w:hAnsi="Times New Roman" w:cs="Times New Roman"/>
          <w:b/>
          <w:sz w:val="40"/>
          <w:szCs w:val="40"/>
        </w:rPr>
      </w:pPr>
    </w:p>
    <w:p w:rsidR="009C708F" w:rsidRDefault="001E195E">
      <w:pPr>
        <w:jc w:val="center"/>
        <w:rPr>
          <w:rFonts w:ascii="Times New Roman" w:eastAsia="Times New Roman" w:hAnsi="Times New Roman" w:cs="Times New Roman"/>
          <w:b/>
          <w:sz w:val="40"/>
          <w:szCs w:val="40"/>
        </w:rPr>
      </w:pPr>
      <w:r>
        <w:rPr>
          <w:rFonts w:ascii="Times New Roman" w:eastAsia="Times New Roman" w:hAnsi="Times New Roman" w:cs="Times New Roman"/>
          <w:b/>
          <w:sz w:val="40"/>
          <w:szCs w:val="40"/>
        </w:rPr>
        <w:t>Criminal law</w:t>
      </w:r>
    </w:p>
    <w:p w:rsidR="009C708F" w:rsidRDefault="001E195E">
      <w:pPr>
        <w:jc w:val="center"/>
        <w:rPr>
          <w:rFonts w:ascii="Times New Roman" w:eastAsia="Times New Roman" w:hAnsi="Times New Roman" w:cs="Times New Roman"/>
          <w:b/>
          <w:sz w:val="40"/>
          <w:szCs w:val="40"/>
        </w:rPr>
      </w:pPr>
      <w:r>
        <w:rPr>
          <w:rFonts w:ascii="Times New Roman" w:eastAsia="Times New Roman" w:hAnsi="Times New Roman" w:cs="Times New Roman"/>
          <w:b/>
          <w:sz w:val="40"/>
          <w:szCs w:val="40"/>
        </w:rPr>
        <w:t>Module code: BMPL4009</w:t>
      </w:r>
    </w:p>
    <w:p w:rsidR="00E80795" w:rsidRDefault="00E80795">
      <w:pPr>
        <w:jc w:val="center"/>
        <w:rPr>
          <w:rFonts w:ascii="Times New Roman" w:eastAsia="Times New Roman" w:hAnsi="Times New Roman" w:cs="Times New Roman"/>
          <w:b/>
          <w:sz w:val="40"/>
          <w:szCs w:val="40"/>
        </w:rPr>
      </w:pPr>
    </w:p>
    <w:p w:rsidR="009C708F" w:rsidRDefault="00BE67EF">
      <w:pPr>
        <w:jc w:val="center"/>
        <w:rPr>
          <w:rFonts w:ascii="Times New Roman" w:eastAsia="Times New Roman" w:hAnsi="Times New Roman" w:cs="Times New Roman"/>
          <w:b/>
          <w:sz w:val="40"/>
          <w:szCs w:val="40"/>
        </w:rPr>
      </w:pPr>
      <w:r>
        <w:rPr>
          <w:rFonts w:ascii="Times New Roman" w:eastAsia="Times New Roman" w:hAnsi="Times New Roman" w:cs="Times New Roman"/>
          <w:b/>
          <w:sz w:val="40"/>
          <w:szCs w:val="40"/>
        </w:rPr>
        <w:t xml:space="preserve">      </w:t>
      </w:r>
      <w:r w:rsidR="00BB4714">
        <w:rPr>
          <w:rFonts w:ascii="Times New Roman" w:eastAsia="Times New Roman" w:hAnsi="Times New Roman" w:cs="Times New Roman"/>
          <w:b/>
          <w:sz w:val="40"/>
          <w:szCs w:val="40"/>
        </w:rPr>
        <w:t xml:space="preserve">                     </w:t>
      </w:r>
      <w:r>
        <w:rPr>
          <w:rFonts w:ascii="Times New Roman" w:eastAsia="Times New Roman" w:hAnsi="Times New Roman" w:cs="Times New Roman"/>
          <w:b/>
          <w:sz w:val="40"/>
          <w:szCs w:val="40"/>
        </w:rPr>
        <w:t xml:space="preserve">Student </w:t>
      </w:r>
      <w:r w:rsidR="00575EC9">
        <w:rPr>
          <w:rFonts w:ascii="Times New Roman" w:eastAsia="Times New Roman" w:hAnsi="Times New Roman" w:cs="Times New Roman"/>
          <w:b/>
          <w:sz w:val="40"/>
          <w:szCs w:val="40"/>
        </w:rPr>
        <w:t>ID:2224081</w:t>
      </w:r>
    </w:p>
    <w:p w:rsidR="00016738" w:rsidRDefault="00016738">
      <w:pPr>
        <w:jc w:val="center"/>
        <w:rPr>
          <w:rFonts w:ascii="Times New Roman" w:eastAsia="Times New Roman" w:hAnsi="Times New Roman" w:cs="Times New Roman"/>
          <w:b/>
          <w:sz w:val="40"/>
          <w:szCs w:val="40"/>
        </w:rPr>
      </w:pPr>
      <w:r>
        <w:rPr>
          <w:rFonts w:ascii="Times New Roman" w:eastAsia="Times New Roman" w:hAnsi="Times New Roman" w:cs="Times New Roman"/>
          <w:b/>
          <w:sz w:val="40"/>
          <w:szCs w:val="40"/>
        </w:rPr>
        <w:t xml:space="preserve">                                           Student </w:t>
      </w:r>
      <w:proofErr w:type="spellStart"/>
      <w:r>
        <w:rPr>
          <w:rFonts w:ascii="Times New Roman" w:eastAsia="Times New Roman" w:hAnsi="Times New Roman" w:cs="Times New Roman"/>
          <w:b/>
          <w:sz w:val="40"/>
          <w:szCs w:val="40"/>
        </w:rPr>
        <w:t>Name:Daniel</w:t>
      </w:r>
      <w:proofErr w:type="spellEnd"/>
      <w:r>
        <w:rPr>
          <w:rFonts w:ascii="Times New Roman" w:eastAsia="Times New Roman" w:hAnsi="Times New Roman" w:cs="Times New Roman"/>
          <w:b/>
          <w:sz w:val="40"/>
          <w:szCs w:val="40"/>
        </w:rPr>
        <w:t xml:space="preserve"> </w:t>
      </w:r>
      <w:proofErr w:type="spellStart"/>
      <w:r>
        <w:rPr>
          <w:rFonts w:ascii="Times New Roman" w:eastAsia="Times New Roman" w:hAnsi="Times New Roman" w:cs="Times New Roman"/>
          <w:b/>
          <w:sz w:val="40"/>
          <w:szCs w:val="40"/>
        </w:rPr>
        <w:t>Anghel</w:t>
      </w:r>
      <w:proofErr w:type="spellEnd"/>
      <w:r>
        <w:rPr>
          <w:rFonts w:ascii="Times New Roman" w:eastAsia="Times New Roman" w:hAnsi="Times New Roman" w:cs="Times New Roman"/>
          <w:b/>
          <w:sz w:val="40"/>
          <w:szCs w:val="40"/>
        </w:rPr>
        <w:t xml:space="preserve">                        </w:t>
      </w:r>
    </w:p>
    <w:p w:rsidR="009C708F" w:rsidRDefault="009C708F">
      <w:pPr>
        <w:jc w:val="center"/>
        <w:rPr>
          <w:rFonts w:ascii="Times New Roman" w:eastAsia="Times New Roman" w:hAnsi="Times New Roman" w:cs="Times New Roman"/>
          <w:b/>
          <w:sz w:val="40"/>
          <w:szCs w:val="40"/>
        </w:rPr>
      </w:pPr>
    </w:p>
    <w:p w:rsidR="009C708F" w:rsidRDefault="009C708F">
      <w:pPr>
        <w:jc w:val="center"/>
        <w:rPr>
          <w:rFonts w:ascii="Times New Roman" w:eastAsia="Times New Roman" w:hAnsi="Times New Roman" w:cs="Times New Roman"/>
          <w:b/>
          <w:sz w:val="40"/>
          <w:szCs w:val="40"/>
        </w:rPr>
      </w:pPr>
    </w:p>
    <w:p w:rsidR="009C708F" w:rsidRDefault="009C708F">
      <w:pPr>
        <w:jc w:val="center"/>
        <w:rPr>
          <w:rFonts w:ascii="Times New Roman" w:eastAsia="Times New Roman" w:hAnsi="Times New Roman" w:cs="Times New Roman"/>
          <w:b/>
          <w:sz w:val="40"/>
          <w:szCs w:val="40"/>
        </w:rPr>
      </w:pPr>
    </w:p>
    <w:p w:rsidR="009C708F" w:rsidRDefault="009C708F">
      <w:pPr>
        <w:jc w:val="center"/>
        <w:rPr>
          <w:rFonts w:ascii="Times New Roman" w:eastAsia="Times New Roman" w:hAnsi="Times New Roman" w:cs="Times New Roman"/>
          <w:b/>
          <w:sz w:val="40"/>
          <w:szCs w:val="40"/>
        </w:rPr>
      </w:pPr>
    </w:p>
    <w:p w:rsidR="009C708F" w:rsidRDefault="009C708F">
      <w:pPr>
        <w:jc w:val="center"/>
        <w:rPr>
          <w:rFonts w:ascii="Times New Roman" w:eastAsia="Times New Roman" w:hAnsi="Times New Roman" w:cs="Times New Roman"/>
          <w:b/>
          <w:sz w:val="40"/>
          <w:szCs w:val="40"/>
        </w:rPr>
      </w:pPr>
    </w:p>
    <w:p w:rsidR="009C708F" w:rsidRDefault="009C708F">
      <w:pPr>
        <w:jc w:val="center"/>
        <w:rPr>
          <w:rFonts w:ascii="Times New Roman" w:eastAsia="Times New Roman" w:hAnsi="Times New Roman" w:cs="Times New Roman"/>
          <w:b/>
          <w:sz w:val="40"/>
          <w:szCs w:val="40"/>
        </w:rPr>
      </w:pPr>
    </w:p>
    <w:p w:rsidR="009C708F" w:rsidRDefault="009C708F">
      <w:pPr>
        <w:jc w:val="center"/>
        <w:rPr>
          <w:rFonts w:ascii="Times New Roman" w:eastAsia="Times New Roman" w:hAnsi="Times New Roman" w:cs="Times New Roman"/>
          <w:b/>
          <w:sz w:val="40"/>
          <w:szCs w:val="40"/>
        </w:rPr>
      </w:pPr>
    </w:p>
    <w:p w:rsidR="009C708F" w:rsidRDefault="009C708F">
      <w:pPr>
        <w:jc w:val="center"/>
        <w:rPr>
          <w:rFonts w:ascii="Times New Roman" w:eastAsia="Times New Roman" w:hAnsi="Times New Roman" w:cs="Times New Roman"/>
          <w:b/>
          <w:sz w:val="40"/>
          <w:szCs w:val="40"/>
        </w:rPr>
      </w:pPr>
    </w:p>
    <w:p w:rsidR="009C708F" w:rsidRDefault="009C708F">
      <w:pPr>
        <w:jc w:val="center"/>
        <w:rPr>
          <w:rFonts w:ascii="Times New Roman" w:eastAsia="Times New Roman" w:hAnsi="Times New Roman" w:cs="Times New Roman"/>
          <w:b/>
          <w:sz w:val="40"/>
          <w:szCs w:val="40"/>
        </w:rPr>
      </w:pPr>
    </w:p>
    <w:p w:rsidR="009C708F" w:rsidRDefault="009C708F">
      <w:pPr>
        <w:jc w:val="center"/>
        <w:rPr>
          <w:rFonts w:ascii="Times New Roman" w:eastAsia="Times New Roman" w:hAnsi="Times New Roman" w:cs="Times New Roman"/>
          <w:b/>
          <w:sz w:val="40"/>
          <w:szCs w:val="40"/>
        </w:rPr>
      </w:pPr>
    </w:p>
    <w:p w:rsidR="009C708F" w:rsidRDefault="009C708F">
      <w:pPr>
        <w:jc w:val="center"/>
        <w:rPr>
          <w:rFonts w:ascii="Times New Roman" w:eastAsia="Times New Roman" w:hAnsi="Times New Roman" w:cs="Times New Roman"/>
          <w:b/>
          <w:sz w:val="40"/>
          <w:szCs w:val="40"/>
        </w:rPr>
      </w:pPr>
    </w:p>
    <w:p w:rsidR="009C708F" w:rsidRDefault="009C708F">
      <w:pPr>
        <w:jc w:val="center"/>
        <w:rPr>
          <w:rFonts w:ascii="Times New Roman" w:eastAsia="Times New Roman" w:hAnsi="Times New Roman" w:cs="Times New Roman"/>
          <w:b/>
          <w:sz w:val="40"/>
          <w:szCs w:val="40"/>
        </w:rPr>
      </w:pPr>
    </w:p>
    <w:p w:rsidR="009C708F" w:rsidRDefault="009C708F">
      <w:pPr>
        <w:jc w:val="center"/>
        <w:rPr>
          <w:rFonts w:ascii="Times New Roman" w:eastAsia="Times New Roman" w:hAnsi="Times New Roman" w:cs="Times New Roman"/>
          <w:b/>
          <w:sz w:val="40"/>
          <w:szCs w:val="40"/>
        </w:rPr>
      </w:pPr>
    </w:p>
    <w:p w:rsidR="009C708F" w:rsidRDefault="009C708F">
      <w:pPr>
        <w:jc w:val="center"/>
        <w:rPr>
          <w:rFonts w:ascii="Times New Roman" w:eastAsia="Times New Roman" w:hAnsi="Times New Roman" w:cs="Times New Roman"/>
          <w:b/>
          <w:sz w:val="40"/>
          <w:szCs w:val="40"/>
        </w:rPr>
      </w:pPr>
    </w:p>
    <w:p w:rsidR="009C708F" w:rsidRDefault="009C708F">
      <w:pPr>
        <w:jc w:val="center"/>
        <w:rPr>
          <w:rFonts w:ascii="Times New Roman" w:eastAsia="Times New Roman" w:hAnsi="Times New Roman" w:cs="Times New Roman"/>
          <w:b/>
          <w:sz w:val="40"/>
          <w:szCs w:val="40"/>
        </w:rPr>
      </w:pPr>
    </w:p>
    <w:p w:rsidR="00700D56" w:rsidRDefault="00700D56">
      <w:pPr>
        <w:rPr>
          <w:rFonts w:ascii="Times New Roman" w:eastAsia="Times New Roman" w:hAnsi="Times New Roman" w:cs="Times New Roman"/>
          <w:b/>
          <w:sz w:val="40"/>
          <w:szCs w:val="40"/>
        </w:rPr>
      </w:pPr>
      <w:r>
        <w:rPr>
          <w:rFonts w:ascii="Times New Roman" w:eastAsia="Times New Roman" w:hAnsi="Times New Roman" w:cs="Times New Roman"/>
          <w:b/>
          <w:sz w:val="40"/>
          <w:szCs w:val="40"/>
        </w:rPr>
        <w:br w:type="page"/>
      </w:r>
    </w:p>
    <w:p w:rsidR="009C708F" w:rsidRDefault="001E195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fact of the case study is both the parties of the case have been husband and wife for 15 years. The husband Jamie one day after doing a party with his friends returned home intoxicated. The wife Carla was dealing with various marital problems after noticing her husband’s condition and started blaming him that he was negligent about their relationship and his excessive drinking nature created various difficulties in their relationship. A heated argument started between them and in aggressive mode the husband Jamie told about his extra-marital affair with one of his coworkers Emma for the last few months. After hearing the confession from the husband Carla expressed her feeling of anger and suddenly rushed to the kitchen took a knife from the kitchen and then stabbed her husband Jamie in his chest. As a result of the unexpected incident, the husband got seriously injured.</w:t>
      </w:r>
    </w:p>
    <w:p w:rsidR="009C708F" w:rsidRDefault="001E195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the Equality Act 2010, part 15 deals with family property. In section 198 point 622 it is mentioned that it is the common law duty of the husband to provide adequate necessities of life to his wife. It is the common statutory law that both spouses are required to maintain each other. Any party of the marriage can apply for financial support in a court of law against the other party on the ground that the other spouse has failed to maintain the other under the Domestic Proceedings and Magistrates’ Courts Act, 1978 or the Matrimonial Causes Act 1973 (Legislation, 2010). </w:t>
      </w:r>
    </w:p>
    <w:p w:rsidR="009C708F" w:rsidRDefault="001E195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case of</w:t>
      </w:r>
      <w:r>
        <w:rPr>
          <w:rFonts w:ascii="Times New Roman" w:eastAsia="Times New Roman" w:hAnsi="Times New Roman" w:cs="Times New Roman"/>
          <w:b/>
          <w:sz w:val="24"/>
          <w:szCs w:val="24"/>
        </w:rPr>
        <w:t xml:space="preserve"> Duxbury v Duxbury 1 FLR7,</w:t>
      </w:r>
      <w:r>
        <w:rPr>
          <w:rFonts w:ascii="Times New Roman" w:eastAsia="Times New Roman" w:hAnsi="Times New Roman" w:cs="Times New Roman"/>
          <w:sz w:val="24"/>
          <w:szCs w:val="24"/>
        </w:rPr>
        <w:t xml:space="preserve"> it was noticed by the court that the wife did not work after she was getting married. At first, the court mentioned that the wife had the right to enjoy her life comfortably and the right would be valid for the rest of her life. The court also mentioned that the husband must provide maintenance and award her a property and lump sump amount so that she can maintain herself throughout her life (</w:t>
      </w:r>
      <w:proofErr w:type="spellStart"/>
      <w:r>
        <w:rPr>
          <w:rFonts w:ascii="Times New Roman" w:eastAsia="Times New Roman" w:hAnsi="Times New Roman" w:cs="Times New Roman"/>
          <w:sz w:val="24"/>
          <w:szCs w:val="24"/>
        </w:rPr>
        <w:t>Vardags</w:t>
      </w:r>
      <w:proofErr w:type="spellEnd"/>
      <w:r>
        <w:rPr>
          <w:rFonts w:ascii="Times New Roman" w:eastAsia="Times New Roman" w:hAnsi="Times New Roman" w:cs="Times New Roman"/>
          <w:sz w:val="24"/>
          <w:szCs w:val="24"/>
        </w:rPr>
        <w:t xml:space="preserve">, 2024).  </w:t>
      </w:r>
    </w:p>
    <w:p w:rsidR="009C708F" w:rsidRDefault="001E195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United Kingdom, the extramarital affair was not considered a crime after passing the Matrimonial Causes Act in 1857. Previous in the 12th century it was considered as the punishable crime. According to the legislation of the UK, adultery means when a married woman has a sexual relationship with another person other than her husband or when a married husband has sexual relations with another woman outside of his marriage. However extra-marital affairs are not acceptable in the UK. The wife or husband can file litigation for divorce on the grounds of adultery by the other spouse. Adultery or extra-marital affair is considered as the ground of divorce out of five grounds of divorce in the UK. There are certain grounds on which the husband or wife is not considered as committing adultery with the other spouse when either party has an extramarital affair but does not commit any sexual intercourse. The other ground is a </w:t>
      </w:r>
      <w:r>
        <w:rPr>
          <w:rFonts w:ascii="Times New Roman" w:eastAsia="Times New Roman" w:hAnsi="Times New Roman" w:cs="Times New Roman"/>
          <w:sz w:val="24"/>
          <w:szCs w:val="24"/>
        </w:rPr>
        <w:lastRenderedPageBreak/>
        <w:t>party has committed sexual intercourse but with someone belonging to the same sex (</w:t>
      </w:r>
      <w:proofErr w:type="spellStart"/>
      <w:r>
        <w:rPr>
          <w:rFonts w:ascii="Times New Roman" w:eastAsia="Times New Roman" w:hAnsi="Times New Roman" w:cs="Times New Roman"/>
          <w:sz w:val="24"/>
          <w:szCs w:val="24"/>
        </w:rPr>
        <w:t>Navas</w:t>
      </w:r>
      <w:proofErr w:type="spellEnd"/>
      <w:r>
        <w:rPr>
          <w:rFonts w:ascii="Times New Roman" w:eastAsia="Times New Roman" w:hAnsi="Times New Roman" w:cs="Times New Roman"/>
          <w:sz w:val="24"/>
          <w:szCs w:val="24"/>
        </w:rPr>
        <w:t>, 2022).</w:t>
      </w:r>
    </w:p>
    <w:p w:rsidR="009C708F" w:rsidRDefault="001E195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Defense of provocation in case of adultery was criticized in the case of </w:t>
      </w:r>
      <w:r>
        <w:rPr>
          <w:rFonts w:ascii="Times New Roman" w:eastAsia="Times New Roman" w:hAnsi="Times New Roman" w:cs="Times New Roman"/>
          <w:b/>
          <w:sz w:val="24"/>
          <w:szCs w:val="24"/>
        </w:rPr>
        <w:t xml:space="preserve">Watts v Brains(1600), </w:t>
      </w:r>
      <w:proofErr w:type="spellStart"/>
      <w:r>
        <w:rPr>
          <w:rFonts w:ascii="Times New Roman" w:eastAsia="Times New Roman" w:hAnsi="Times New Roman" w:cs="Times New Roman"/>
          <w:b/>
          <w:color w:val="222222"/>
          <w:sz w:val="21"/>
          <w:szCs w:val="21"/>
          <w:highlight w:val="white"/>
        </w:rPr>
        <w:t>Cro</w:t>
      </w:r>
      <w:proofErr w:type="spellEnd"/>
      <w:r>
        <w:rPr>
          <w:rFonts w:ascii="Times New Roman" w:eastAsia="Times New Roman" w:hAnsi="Times New Roman" w:cs="Times New Roman"/>
          <w:b/>
          <w:color w:val="222222"/>
          <w:sz w:val="21"/>
          <w:szCs w:val="21"/>
          <w:highlight w:val="white"/>
        </w:rPr>
        <w:t>. Eliz. 778</w:t>
      </w:r>
      <w:r>
        <w:rPr>
          <w:b/>
          <w:color w:val="222222"/>
          <w:sz w:val="21"/>
          <w:szCs w:val="21"/>
          <w:highlight w:val="white"/>
        </w:rPr>
        <w:t>,</w:t>
      </w:r>
      <w:r>
        <w:rPr>
          <w:rFonts w:ascii="Times New Roman" w:eastAsia="Times New Roman" w:hAnsi="Times New Roman" w:cs="Times New Roman"/>
          <w:sz w:val="24"/>
          <w:szCs w:val="24"/>
        </w:rPr>
        <w:t xml:space="preserve"> by various legal scholars. The defense was successful and the punishment of murder was decreased to manslaughter. In this case, it was considered that human frailty was first considered as valid mitigation to murder. In 1707, the case of </w:t>
      </w:r>
      <w:proofErr w:type="spellStart"/>
      <w:r>
        <w:rPr>
          <w:rFonts w:ascii="Times New Roman" w:eastAsia="Times New Roman" w:hAnsi="Times New Roman" w:cs="Times New Roman"/>
          <w:b/>
          <w:sz w:val="24"/>
          <w:szCs w:val="24"/>
        </w:rPr>
        <w:t>Mawgridge</w:t>
      </w:r>
      <w:proofErr w:type="spellEnd"/>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was adopted the </w:t>
      </w:r>
      <w:proofErr w:type="spellStart"/>
      <w:r>
        <w:rPr>
          <w:rFonts w:ascii="Times New Roman" w:eastAsia="Times New Roman" w:hAnsi="Times New Roman" w:cs="Times New Roman"/>
          <w:sz w:val="24"/>
          <w:szCs w:val="24"/>
        </w:rPr>
        <w:t>precent</w:t>
      </w:r>
      <w:proofErr w:type="spellEnd"/>
      <w:r>
        <w:rPr>
          <w:rFonts w:ascii="Times New Roman" w:eastAsia="Times New Roman" w:hAnsi="Times New Roman" w:cs="Times New Roman"/>
          <w:sz w:val="24"/>
          <w:szCs w:val="24"/>
        </w:rPr>
        <w:t xml:space="preserve"> of the above-mentioned case. In this case, common law related to the doctrine of provocation was crystallized. According to Blackstone, the act is considered less punishable though what is mentioned in the criminal textbook depends upon human frailty. It can help the offender to realize the crime he had committed and accept the guilt (</w:t>
      </w:r>
      <w:proofErr w:type="spellStart"/>
      <w:r>
        <w:rPr>
          <w:rFonts w:ascii="Times New Roman" w:eastAsia="Times New Roman" w:hAnsi="Times New Roman" w:cs="Times New Roman"/>
          <w:color w:val="222222"/>
          <w:sz w:val="24"/>
          <w:szCs w:val="24"/>
          <w:highlight w:val="white"/>
        </w:rPr>
        <w:t>Menis</w:t>
      </w:r>
      <w:proofErr w:type="spellEnd"/>
      <w:r>
        <w:rPr>
          <w:rFonts w:ascii="Times New Roman" w:eastAsia="Times New Roman" w:hAnsi="Times New Roman" w:cs="Times New Roman"/>
          <w:color w:val="222222"/>
          <w:sz w:val="24"/>
          <w:szCs w:val="24"/>
          <w:highlight w:val="white"/>
        </w:rPr>
        <w:t>, 2023).</w:t>
      </w:r>
    </w:p>
    <w:p w:rsidR="009C708F" w:rsidRDefault="001E195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UK grievous hurt is considered a serious criminal offence. According to English law, grievous bodily harm occurs when a person intentionally and recklessly inflicts serious injury or bodily harm by causing disfigurement which can be visually noticed or striking a person with a blunt object or attacking a person with a sharp object or deliberately running a vehicle on someone or acid attacks. According to English law, there is a difference between actual bodily harm and grievous bodily harm. Actual bodily harm is serious but it cannot cause any permanent injuries to the victim.in case of grievous bodily hurt, it has a permanent impact on the body (</w:t>
      </w:r>
      <w:proofErr w:type="spellStart"/>
      <w:r>
        <w:rPr>
          <w:rFonts w:ascii="Times New Roman" w:eastAsia="Times New Roman" w:hAnsi="Times New Roman" w:cs="Times New Roman"/>
          <w:sz w:val="24"/>
          <w:szCs w:val="24"/>
        </w:rPr>
        <w:t>Navas</w:t>
      </w:r>
      <w:proofErr w:type="spellEnd"/>
      <w:r>
        <w:rPr>
          <w:rFonts w:ascii="Times New Roman" w:eastAsia="Times New Roman" w:hAnsi="Times New Roman" w:cs="Times New Roman"/>
          <w:sz w:val="24"/>
          <w:szCs w:val="24"/>
        </w:rPr>
        <w:t>, J. 2023). According to section 18 of the Offences Against the Person Act, of 1861, when an offender intentionally injures a victim it is considered grievous hurt.  The English law mentioned that for grievous bodily hurt, the offender will be imprisoned with life imprisonment. According to section 20 of the Offences Against the Person Act, of 1861, an offense is committed when the offender unintentionally injures the victim. The offender can be recklessly or willfully which means deliberate action that happened as an unintentional outcome (Legislation, 2024). The grievous bodily hurt can be lawful when the action was taken by the offender in self-defense, for the prevention of crime or defense of property, or for protecting another person to whom the victim has given consent. In this scenario, grievous bodily harm is not considered as the punishable offense under the legislation for a term of 7 years imprisonment (</w:t>
      </w:r>
      <w:proofErr w:type="spellStart"/>
      <w:r>
        <w:rPr>
          <w:rFonts w:ascii="Times New Roman" w:eastAsia="Times New Roman" w:hAnsi="Times New Roman" w:cs="Times New Roman"/>
          <w:sz w:val="24"/>
          <w:szCs w:val="24"/>
        </w:rPr>
        <w:t>Navas</w:t>
      </w:r>
      <w:proofErr w:type="spellEnd"/>
      <w:r>
        <w:rPr>
          <w:rFonts w:ascii="Times New Roman" w:eastAsia="Times New Roman" w:hAnsi="Times New Roman" w:cs="Times New Roman"/>
          <w:sz w:val="24"/>
          <w:szCs w:val="24"/>
        </w:rPr>
        <w:t xml:space="preserve">, J. 2023). According to section 47 of </w:t>
      </w:r>
      <w:r>
        <w:rPr>
          <w:rFonts w:ascii="Times New Roman" w:eastAsia="Times New Roman" w:hAnsi="Times New Roman" w:cs="Times New Roman"/>
          <w:color w:val="212529"/>
          <w:sz w:val="24"/>
          <w:szCs w:val="24"/>
          <w:highlight w:val="white"/>
        </w:rPr>
        <w:t>the Offences Against the Person Act 1861</w:t>
      </w:r>
      <w:r>
        <w:rPr>
          <w:rFonts w:ascii="Times New Roman" w:eastAsia="Times New Roman" w:hAnsi="Times New Roman" w:cs="Times New Roman"/>
          <w:sz w:val="24"/>
          <w:szCs w:val="24"/>
        </w:rPr>
        <w:t xml:space="preserve">, when a person intentionally or recklessly assaults another person and causes Actual bodily harm then it is considered an offense. In this section, the offense must result in causing bodily injury (Legislation, 2024). </w:t>
      </w:r>
    </w:p>
    <w:p w:rsidR="009C708F" w:rsidRDefault="001E195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In the case of</w:t>
      </w:r>
      <w:r>
        <w:rPr>
          <w:rFonts w:ascii="Times New Roman" w:eastAsia="Times New Roman" w:hAnsi="Times New Roman" w:cs="Times New Roman"/>
          <w:b/>
          <w:sz w:val="24"/>
          <w:szCs w:val="24"/>
        </w:rPr>
        <w:t xml:space="preserve"> R v Wilson (1993) 97 Cr. App. R. 44</w:t>
      </w:r>
      <w:r>
        <w:rPr>
          <w:rFonts w:ascii="Times New Roman" w:eastAsia="Times New Roman" w:hAnsi="Times New Roman" w:cs="Times New Roman"/>
          <w:sz w:val="24"/>
          <w:szCs w:val="24"/>
        </w:rPr>
        <w:t xml:space="preserve"> the husband was treated as the offender of committing assault. He injured his wife by hurting her buttocks with a hot knife. The first issue was raised that the consent by the other party to commit assault is considered as the defense of the offense of actual bodily harm under section 47 of the </w:t>
      </w:r>
      <w:r>
        <w:rPr>
          <w:rFonts w:ascii="Times New Roman" w:eastAsia="Times New Roman" w:hAnsi="Times New Roman" w:cs="Times New Roman"/>
          <w:color w:val="212529"/>
          <w:sz w:val="24"/>
          <w:szCs w:val="24"/>
          <w:highlight w:val="white"/>
        </w:rPr>
        <w:t>Offences Against the Person Act 1861. A criminal investigation is required where it is mentioned that both parties had done this consensual activity in their private place. The court mentioned that when consensual activity happens between couples in their private place is not treated as serious and extreme in nature. Defense on this ground is valid against section 47 of the Act. the court granted the appeal and dismissed the conviction (</w:t>
      </w:r>
      <w:r>
        <w:rPr>
          <w:rFonts w:ascii="Times New Roman" w:eastAsia="Times New Roman" w:hAnsi="Times New Roman" w:cs="Times New Roman"/>
          <w:sz w:val="24"/>
          <w:szCs w:val="24"/>
        </w:rPr>
        <w:t>Law Teacher, 2023).</w:t>
      </w:r>
    </w:p>
    <w:p w:rsidR="009C708F" w:rsidRDefault="001E195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12529"/>
          <w:sz w:val="24"/>
          <w:szCs w:val="24"/>
          <w:highlight w:val="white"/>
        </w:rPr>
        <w:t>In another case a retired accountant Penelope Jackson aged 66 found guilty of the murder of her husband David Jackson aged 78 at Bristol Crown Court. She stabbed her husband several times at their house. The defense lawyer mentioned that the incident happened because of a “loss of control” due to long-term intermittent abuse. The lawyer also mentioned that though there was tension in the marriage and the reason for the lockdown and other related occurs she had done this incident but the person is not like the judge's thoughts. The court mentioned that though there is domestic abuse she could control the anger with a “normal degree of tolerance and self-restraint” and the court also noticed inconsistency in her behaviour. The court also mentioned that the crime was a premeditated murder and there was no strong defense that the wife could raise for committing murder of the husband. The court announced imprisonment for 18 years and convicted her for murdering her husband who was a former army lieutenant colonel (</w:t>
      </w:r>
      <w:r>
        <w:rPr>
          <w:rFonts w:ascii="Times New Roman" w:eastAsia="Times New Roman" w:hAnsi="Times New Roman" w:cs="Times New Roman"/>
          <w:sz w:val="24"/>
          <w:szCs w:val="24"/>
        </w:rPr>
        <w:t>Hall, 2021).</w:t>
      </w:r>
    </w:p>
    <w:p w:rsidR="009C708F" w:rsidRDefault="001E195E">
      <w:pPr>
        <w:spacing w:line="360" w:lineRule="auto"/>
        <w:jc w:val="both"/>
        <w:rPr>
          <w:rFonts w:ascii="Times New Roman" w:eastAsia="Times New Roman" w:hAnsi="Times New Roman" w:cs="Times New Roman"/>
          <w:color w:val="212529"/>
          <w:sz w:val="24"/>
          <w:szCs w:val="24"/>
          <w:highlight w:val="white"/>
        </w:rPr>
      </w:pPr>
      <w:r>
        <w:rPr>
          <w:rFonts w:ascii="Times New Roman" w:eastAsia="Times New Roman" w:hAnsi="Times New Roman" w:cs="Times New Roman"/>
          <w:color w:val="212529"/>
          <w:sz w:val="24"/>
          <w:szCs w:val="24"/>
          <w:highlight w:val="white"/>
        </w:rPr>
        <w:t xml:space="preserve">After analyzing the provisions of various legislations and the case references it can be said that the husband though had confessed that he had an extramarital affair with his co-worker Emma, had not committed any offense according to the English law. Adultery can be proved when one person has sexual intercourse with the other. But the wife Carla has no evidence of that. Carla only can claim proper maintenance from her husband Jamie </w:t>
      </w:r>
      <w:r>
        <w:rPr>
          <w:rFonts w:ascii="Times New Roman" w:eastAsia="Times New Roman" w:hAnsi="Times New Roman" w:cs="Times New Roman"/>
          <w:sz w:val="24"/>
          <w:szCs w:val="24"/>
        </w:rPr>
        <w:t>according to the Equality Act 2010</w:t>
      </w:r>
      <w:r>
        <w:rPr>
          <w:rFonts w:ascii="Times New Roman" w:eastAsia="Times New Roman" w:hAnsi="Times New Roman" w:cs="Times New Roman"/>
          <w:color w:val="212529"/>
          <w:sz w:val="24"/>
          <w:szCs w:val="24"/>
          <w:highlight w:val="white"/>
        </w:rPr>
        <w:t xml:space="preserve">. Carla stabbed her husband in his chest after losing her control which is considered grievous bodily harm to the husband and caused serious injuries to him. But Carla performed, med the offense with the intention to cause damage to her husband. Carla is liable under section 18 of </w:t>
      </w:r>
      <w:r>
        <w:rPr>
          <w:rFonts w:ascii="Times New Roman" w:eastAsia="Times New Roman" w:hAnsi="Times New Roman" w:cs="Times New Roman"/>
          <w:sz w:val="24"/>
          <w:szCs w:val="24"/>
        </w:rPr>
        <w:t xml:space="preserve">the Offences Against the Person Act, of 1861 for causing grievous hurt to her husband. Section 47 of the </w:t>
      </w:r>
      <w:r>
        <w:rPr>
          <w:rFonts w:ascii="Times New Roman" w:eastAsia="Times New Roman" w:hAnsi="Times New Roman" w:cs="Times New Roman"/>
          <w:color w:val="212529"/>
          <w:sz w:val="24"/>
          <w:szCs w:val="24"/>
          <w:highlight w:val="white"/>
        </w:rPr>
        <w:t xml:space="preserve">Offences Against the Person Act 1861was also mentioned that if any harm is caused by the consensual activity of the husband and wife then it is not treated as an offense. In this case, Carla and </w:t>
      </w:r>
      <w:proofErr w:type="spellStart"/>
      <w:r>
        <w:rPr>
          <w:rFonts w:ascii="Times New Roman" w:eastAsia="Times New Roman" w:hAnsi="Times New Roman" w:cs="Times New Roman"/>
          <w:color w:val="212529"/>
          <w:sz w:val="24"/>
          <w:szCs w:val="24"/>
          <w:highlight w:val="white"/>
        </w:rPr>
        <w:t>Jammie</w:t>
      </w:r>
      <w:proofErr w:type="spellEnd"/>
      <w:r>
        <w:rPr>
          <w:rFonts w:ascii="Times New Roman" w:eastAsia="Times New Roman" w:hAnsi="Times New Roman" w:cs="Times New Roman"/>
          <w:color w:val="212529"/>
          <w:sz w:val="24"/>
          <w:szCs w:val="24"/>
          <w:highlight w:val="white"/>
        </w:rPr>
        <w:t xml:space="preserve"> did not have any permitted consensual activity. So Carla did the offense as no </w:t>
      </w:r>
      <w:r>
        <w:rPr>
          <w:rFonts w:ascii="Times New Roman" w:eastAsia="Times New Roman" w:hAnsi="Times New Roman" w:cs="Times New Roman"/>
          <w:color w:val="212529"/>
          <w:sz w:val="24"/>
          <w:szCs w:val="24"/>
          <w:highlight w:val="white"/>
        </w:rPr>
        <w:lastRenderedPageBreak/>
        <w:t xml:space="preserve">previous commitment was there regarding the harm. According to section 47, she can be convicted for 7 years. Though a heated argument had happened between Carla and Jamie then also she could control her anger with a “normal degree of tolerance and self-restraint”. But she could not control her anger and stabbed her husband. In Penelope Jackson’s case, the court said that the wife could control her anger though her mental condition was not good. The court did not take the disturbed mental condition of the wife into consideration. So Carla could not take the defense of her emotional state. She will be liable for committing grievous bodily harm and will get the punishment for causing harm to her husband.   </w:t>
      </w:r>
    </w:p>
    <w:p w:rsidR="009C708F" w:rsidRDefault="001E195E">
      <w:pPr>
        <w:spacing w:line="360" w:lineRule="auto"/>
        <w:jc w:val="both"/>
        <w:rPr>
          <w:rFonts w:ascii="Times New Roman" w:eastAsia="Times New Roman" w:hAnsi="Times New Roman" w:cs="Times New Roman"/>
          <w:b/>
          <w:sz w:val="24"/>
          <w:szCs w:val="24"/>
        </w:rPr>
      </w:pPr>
      <w:r>
        <w:br w:type="page"/>
      </w:r>
    </w:p>
    <w:p w:rsidR="009C708F" w:rsidRDefault="001E195E">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References </w:t>
      </w:r>
    </w:p>
    <w:p w:rsidR="00700D56" w:rsidRDefault="00700D56">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Hall, R. (2021) </w:t>
      </w:r>
      <w:r>
        <w:rPr>
          <w:rFonts w:ascii="Times New Roman" w:eastAsia="Times New Roman" w:hAnsi="Times New Roman" w:cs="Times New Roman"/>
          <w:i/>
          <w:sz w:val="24"/>
          <w:szCs w:val="24"/>
        </w:rPr>
        <w:t>Penelope Jackson jailed for minimum of 18 years for husband’s murder</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The Guardian</w:t>
      </w:r>
      <w:r>
        <w:rPr>
          <w:rFonts w:ascii="Times New Roman" w:eastAsia="Times New Roman" w:hAnsi="Times New Roman" w:cs="Times New Roman"/>
          <w:sz w:val="24"/>
          <w:szCs w:val="24"/>
        </w:rPr>
        <w:t>. Available at: https://www.theguardian.com/uk-news/2021/oct/29/penelope-jackson-guilty-stabbing-husband-death (Accessed: 11 January 2024).</w:t>
      </w:r>
    </w:p>
    <w:p w:rsidR="00700D56" w:rsidRDefault="00700D56">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Law Teacher, (2023) </w:t>
      </w:r>
      <w:r>
        <w:rPr>
          <w:rFonts w:ascii="Times New Roman" w:eastAsia="Times New Roman" w:hAnsi="Times New Roman" w:cs="Times New Roman"/>
          <w:i/>
          <w:sz w:val="24"/>
          <w:szCs w:val="24"/>
        </w:rPr>
        <w:t xml:space="preserve">R v </w:t>
      </w:r>
      <w:proofErr w:type="spellStart"/>
      <w:r>
        <w:rPr>
          <w:rFonts w:ascii="Times New Roman" w:eastAsia="Times New Roman" w:hAnsi="Times New Roman" w:cs="Times New Roman"/>
          <w:i/>
          <w:sz w:val="24"/>
          <w:szCs w:val="24"/>
        </w:rPr>
        <w:t>wilson</w:t>
      </w:r>
      <w:proofErr w:type="spellEnd"/>
      <w:r>
        <w:rPr>
          <w:rFonts w:ascii="Times New Roman" w:eastAsia="Times New Roman" w:hAnsi="Times New Roman" w:cs="Times New Roman"/>
          <w:i/>
          <w:sz w:val="24"/>
          <w:szCs w:val="24"/>
        </w:rPr>
        <w:t xml:space="preserve"> - 1996</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Law Teacher</w:t>
      </w:r>
      <w:r>
        <w:rPr>
          <w:rFonts w:ascii="Times New Roman" w:eastAsia="Times New Roman" w:hAnsi="Times New Roman" w:cs="Times New Roman"/>
          <w:sz w:val="24"/>
          <w:szCs w:val="24"/>
        </w:rPr>
        <w:t>. Available at: https://www.lawteacher.net/cases/r-v-wilson.php (Accessed: 11 January 2024).</w:t>
      </w:r>
    </w:p>
    <w:p w:rsidR="00700D56" w:rsidRDefault="00700D56">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Legislation, (2010) </w:t>
      </w:r>
      <w:r>
        <w:rPr>
          <w:rFonts w:ascii="Times New Roman" w:eastAsia="Times New Roman" w:hAnsi="Times New Roman" w:cs="Times New Roman"/>
          <w:i/>
          <w:sz w:val="24"/>
          <w:szCs w:val="24"/>
        </w:rPr>
        <w:t>Equality act 2010 explanatory notes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Equality Act 2010 - Explanatory Notes</w:t>
      </w:r>
      <w:r>
        <w:rPr>
          <w:rFonts w:ascii="Times New Roman" w:eastAsia="Times New Roman" w:hAnsi="Times New Roman" w:cs="Times New Roman"/>
          <w:sz w:val="24"/>
          <w:szCs w:val="24"/>
        </w:rPr>
        <w:t>. Available at: https://www.legislation.gov.uk/ukpga/2010/15/notes/division/3/15?view=plain#:~:text=622.,wife%20to%20maintain%20her%20husband. (Accessed: 11 January 2024).</w:t>
      </w:r>
    </w:p>
    <w:p w:rsidR="00700D56" w:rsidRDefault="00700D56">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Legislation, (2024) </w:t>
      </w:r>
      <w:r>
        <w:rPr>
          <w:rFonts w:ascii="Times New Roman" w:eastAsia="Times New Roman" w:hAnsi="Times New Roman" w:cs="Times New Roman"/>
          <w:i/>
          <w:sz w:val="24"/>
          <w:szCs w:val="24"/>
        </w:rPr>
        <w:t>Offences against the Person Act 1861 - legislation.gov.uk</w:t>
      </w:r>
      <w:r>
        <w:rPr>
          <w:rFonts w:ascii="Times New Roman" w:eastAsia="Times New Roman" w:hAnsi="Times New Roman" w:cs="Times New Roman"/>
          <w:sz w:val="24"/>
          <w:szCs w:val="24"/>
        </w:rPr>
        <w:t>. Available at: https://www.legislation.gov.uk/ukpga/Vict/24-25/100/enacted/data.pdf (Accessed: 11 January 2024).</w:t>
      </w:r>
    </w:p>
    <w:p w:rsidR="00700D56" w:rsidRDefault="00700D56">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Menis</w:t>
      </w:r>
      <w:proofErr w:type="spellEnd"/>
      <w:r>
        <w:rPr>
          <w:rFonts w:ascii="Times New Roman" w:eastAsia="Times New Roman" w:hAnsi="Times New Roman" w:cs="Times New Roman"/>
          <w:color w:val="222222"/>
          <w:sz w:val="24"/>
          <w:szCs w:val="24"/>
          <w:highlight w:val="white"/>
        </w:rPr>
        <w:t xml:space="preserve">, S., (2023). Adultery as a defence: the construction of a legally permissible violence, England 1810. </w:t>
      </w:r>
      <w:r>
        <w:rPr>
          <w:rFonts w:ascii="Times New Roman" w:eastAsia="Times New Roman" w:hAnsi="Times New Roman" w:cs="Times New Roman"/>
          <w:i/>
          <w:color w:val="222222"/>
          <w:sz w:val="24"/>
          <w:szCs w:val="24"/>
          <w:highlight w:val="white"/>
        </w:rPr>
        <w:t>Histories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w:t>
      </w:r>
      <w:r>
        <w:rPr>
          <w:rFonts w:ascii="Times New Roman" w:eastAsia="Times New Roman" w:hAnsi="Times New Roman" w:cs="Times New Roman"/>
          <w:color w:val="222222"/>
          <w:sz w:val="24"/>
          <w:szCs w:val="24"/>
          <w:highlight w:val="white"/>
        </w:rPr>
        <w:t xml:space="preserve">(2), pp.76-97. Link: </w:t>
      </w:r>
      <w:hyperlink r:id="rId8">
        <w:r>
          <w:rPr>
            <w:rFonts w:ascii="Times New Roman" w:eastAsia="Times New Roman" w:hAnsi="Times New Roman" w:cs="Times New Roman"/>
            <w:color w:val="1155CC"/>
            <w:sz w:val="24"/>
            <w:szCs w:val="24"/>
            <w:highlight w:val="white"/>
            <w:u w:val="single"/>
          </w:rPr>
          <w:t>https://www.mdpi.com/2409-9252/3/2/7</w:t>
        </w:r>
      </w:hyperlink>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sz w:val="24"/>
          <w:szCs w:val="24"/>
        </w:rPr>
        <w:t xml:space="preserve"> </w:t>
      </w:r>
    </w:p>
    <w:p w:rsidR="00700D56" w:rsidRDefault="00700D56">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Navas</w:t>
      </w:r>
      <w:proofErr w:type="spellEnd"/>
      <w:r>
        <w:rPr>
          <w:rFonts w:ascii="Times New Roman" w:eastAsia="Times New Roman" w:hAnsi="Times New Roman" w:cs="Times New Roman"/>
          <w:sz w:val="24"/>
          <w:szCs w:val="24"/>
        </w:rPr>
        <w:t xml:space="preserve">, J. (2022) </w:t>
      </w:r>
      <w:r>
        <w:rPr>
          <w:rFonts w:ascii="Times New Roman" w:eastAsia="Times New Roman" w:hAnsi="Times New Roman" w:cs="Times New Roman"/>
          <w:i/>
          <w:sz w:val="24"/>
          <w:szCs w:val="24"/>
        </w:rPr>
        <w:t>What is adultery and is it illegal? everything you need to know.</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Britton &amp; Time Solicitors</w:t>
      </w:r>
      <w:r>
        <w:rPr>
          <w:rFonts w:ascii="Times New Roman" w:eastAsia="Times New Roman" w:hAnsi="Times New Roman" w:cs="Times New Roman"/>
          <w:sz w:val="24"/>
          <w:szCs w:val="24"/>
        </w:rPr>
        <w:t xml:space="preserve">. Available at: https://brittontime.com/2021/06/21/what-is-adultery-and-is-it-illegal-everything-you-need-to-know/#:~:text=open%2024%2F7-,Is%20adultery%20a%20crime%3F,grounds%20to%20cite%20a%20divorce. (Accessed: 11 January 2024). </w:t>
      </w:r>
    </w:p>
    <w:p w:rsidR="00700D56" w:rsidRDefault="00700D56">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Navas</w:t>
      </w:r>
      <w:proofErr w:type="spellEnd"/>
      <w:r>
        <w:rPr>
          <w:rFonts w:ascii="Times New Roman" w:eastAsia="Times New Roman" w:hAnsi="Times New Roman" w:cs="Times New Roman"/>
          <w:sz w:val="24"/>
          <w:szCs w:val="24"/>
        </w:rPr>
        <w:t xml:space="preserve">, J. (2023) </w:t>
      </w:r>
      <w:r>
        <w:rPr>
          <w:rFonts w:ascii="Times New Roman" w:eastAsia="Times New Roman" w:hAnsi="Times New Roman" w:cs="Times New Roman"/>
          <w:i/>
          <w:sz w:val="24"/>
          <w:szCs w:val="24"/>
        </w:rPr>
        <w:t>What is grievous bodily harm (GBH)? everything you need to know.</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Britton &amp; Time Solicitors</w:t>
      </w:r>
      <w:r>
        <w:rPr>
          <w:rFonts w:ascii="Times New Roman" w:eastAsia="Times New Roman" w:hAnsi="Times New Roman" w:cs="Times New Roman"/>
          <w:sz w:val="24"/>
          <w:szCs w:val="24"/>
        </w:rPr>
        <w:t>. Available at: https://brittontime.com/2021/08/06/what-is-grievous-bodily-harm-gbh-everything-you-need-to-know/ (Accessed: 11 January 2024).</w:t>
      </w:r>
    </w:p>
    <w:p w:rsidR="009C708F" w:rsidRDefault="00700D56" w:rsidP="00F33C47">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Vardags</w:t>
      </w:r>
      <w:proofErr w:type="spellEnd"/>
      <w:r>
        <w:rPr>
          <w:rFonts w:ascii="Times New Roman" w:eastAsia="Times New Roman" w:hAnsi="Times New Roman" w:cs="Times New Roman"/>
          <w:sz w:val="24"/>
          <w:szCs w:val="24"/>
        </w:rPr>
        <w:t xml:space="preserve">, (2024) </w:t>
      </w:r>
      <w:r>
        <w:rPr>
          <w:rFonts w:ascii="Times New Roman" w:eastAsia="Times New Roman" w:hAnsi="Times New Roman" w:cs="Times New Roman"/>
          <w:i/>
          <w:sz w:val="24"/>
          <w:szCs w:val="24"/>
        </w:rPr>
        <w:t>Important cases about maintenance and income</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i/>
          <w:sz w:val="24"/>
          <w:szCs w:val="24"/>
        </w:rPr>
        <w:t>Vardags</w:t>
      </w:r>
      <w:proofErr w:type="spellEnd"/>
      <w:r>
        <w:rPr>
          <w:rFonts w:ascii="Times New Roman" w:eastAsia="Times New Roman" w:hAnsi="Times New Roman" w:cs="Times New Roman"/>
          <w:sz w:val="24"/>
          <w:szCs w:val="24"/>
        </w:rPr>
        <w:t xml:space="preserve">. Available at: https://vardags.com/family-law/important-cases-maintenance-income#:~:text=Duxbury%20v%20Duxbury%201%20FLR%207&amp;text=The%20wife%20had%20not%20worked%20during%20the%20marriage.,the%20rest%20of%20her%20life. (Accessed: 12 January 2024). </w:t>
      </w:r>
    </w:p>
    <w:sectPr w:rsidR="009C708F" w:rsidSect="002046D7">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2046D7" w:rsidRDefault="002046D7" w:rsidP="00700D56">
      <w:pPr>
        <w:spacing w:line="240" w:lineRule="auto"/>
      </w:pPr>
      <w:r>
        <w:separator/>
      </w:r>
    </w:p>
  </w:endnote>
  <w:endnote w:type="continuationSeparator" w:id="0">
    <w:p w:rsidR="002046D7" w:rsidRDefault="002046D7" w:rsidP="00700D5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48518372"/>
      <w:docPartObj>
        <w:docPartGallery w:val="Page Numbers (Bottom of Page)"/>
        <w:docPartUnique/>
      </w:docPartObj>
    </w:sdtPr>
    <w:sdtEndPr/>
    <w:sdtContent>
      <w:sdt>
        <w:sdtPr>
          <w:id w:val="860082579"/>
          <w:docPartObj>
            <w:docPartGallery w:val="Page Numbers (Top of Page)"/>
            <w:docPartUnique/>
          </w:docPartObj>
        </w:sdtPr>
        <w:sdtEndPr/>
        <w:sdtContent>
          <w:p w:rsidR="00700D56" w:rsidRDefault="00700D56">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6</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7</w:t>
            </w:r>
            <w:r>
              <w:rPr>
                <w:b/>
                <w:bCs/>
                <w:sz w:val="24"/>
                <w:szCs w:val="24"/>
              </w:rPr>
              <w:fldChar w:fldCharType="end"/>
            </w:r>
          </w:p>
        </w:sdtContent>
      </w:sdt>
    </w:sdtContent>
  </w:sdt>
  <w:p w:rsidR="00700D56" w:rsidRDefault="00700D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2046D7" w:rsidRDefault="002046D7" w:rsidP="00700D56">
      <w:pPr>
        <w:spacing w:line="240" w:lineRule="auto"/>
      </w:pPr>
      <w:r>
        <w:separator/>
      </w:r>
    </w:p>
  </w:footnote>
  <w:footnote w:type="continuationSeparator" w:id="0">
    <w:p w:rsidR="002046D7" w:rsidRDefault="002046D7" w:rsidP="00700D5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9C708F"/>
    <w:rsid w:val="00016738"/>
    <w:rsid w:val="001E195E"/>
    <w:rsid w:val="002046D7"/>
    <w:rsid w:val="00575EC9"/>
    <w:rsid w:val="006072DF"/>
    <w:rsid w:val="00700D56"/>
    <w:rsid w:val="009C708F"/>
    <w:rsid w:val="00BB4714"/>
    <w:rsid w:val="00BE67EF"/>
    <w:rsid w:val="00E80795"/>
    <w:rsid w:val="00F33C4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766E7C"/>
  <w15:docId w15:val="{9B936DAF-A4DE-7A45-92A5-FF5850B5C1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700D56"/>
    <w:pPr>
      <w:tabs>
        <w:tab w:val="center" w:pos="4513"/>
        <w:tab w:val="right" w:pos="9026"/>
      </w:tabs>
      <w:spacing w:line="240" w:lineRule="auto"/>
    </w:pPr>
  </w:style>
  <w:style w:type="character" w:customStyle="1" w:styleId="HeaderChar">
    <w:name w:val="Header Char"/>
    <w:basedOn w:val="DefaultParagraphFont"/>
    <w:link w:val="Header"/>
    <w:uiPriority w:val="99"/>
    <w:rsid w:val="00700D56"/>
  </w:style>
  <w:style w:type="paragraph" w:styleId="Footer">
    <w:name w:val="footer"/>
    <w:basedOn w:val="Normal"/>
    <w:link w:val="FooterChar"/>
    <w:uiPriority w:val="99"/>
    <w:unhideWhenUsed/>
    <w:rsid w:val="00700D56"/>
    <w:pPr>
      <w:tabs>
        <w:tab w:val="center" w:pos="4513"/>
        <w:tab w:val="right" w:pos="9026"/>
      </w:tabs>
      <w:spacing w:line="240" w:lineRule="auto"/>
    </w:pPr>
  </w:style>
  <w:style w:type="character" w:customStyle="1" w:styleId="FooterChar">
    <w:name w:val="Footer Char"/>
    <w:basedOn w:val="DefaultParagraphFont"/>
    <w:link w:val="Footer"/>
    <w:uiPriority w:val="99"/>
    <w:rsid w:val="00700D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mdpi.com/2409-9252/3/2/7" TargetMode="External"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CECB225-9CBD-49B9-9DF8-8289F038006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1714</Words>
  <Characters>9774</Characters>
  <Application>Microsoft Office Word</Application>
  <DocSecurity>0</DocSecurity>
  <Lines>81</Lines>
  <Paragraphs>22</Paragraphs>
  <ScaleCrop>false</ScaleCrop>
  <Company/>
  <LinksUpToDate>false</LinksUpToDate>
  <CharactersWithSpaces>11466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Daniel Ionut Anghel (2224081)</cp:lastModifiedBy>
  <cp:revision>2</cp:revision>
  <dcterms:created xsi:type="dcterms:W3CDTF">2024-01-12T11:55:00Z</dcterms:created>
  <dcterms:modified xsi:type="dcterms:W3CDTF">2024-01-12T11:55:00Z</dcterms:modified>
</cp:coreProperties>
</file>