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21FF67" w14:textId="66F8240B" w:rsidR="00B61EFC" w:rsidRPr="00997699" w:rsidRDefault="00B61EFC" w:rsidP="00B61EFC">
      <w:pPr>
        <w:spacing w:line="360" w:lineRule="auto"/>
        <w:jc w:val="center"/>
        <w:rPr>
          <w:rFonts w:asciiTheme="minorBidi" w:hAnsiTheme="minorBidi"/>
          <w:color w:val="156082" w:themeColor="accent1"/>
          <w:sz w:val="32"/>
          <w:szCs w:val="32"/>
        </w:rPr>
      </w:pPr>
      <w:r w:rsidRPr="00997699">
        <w:rPr>
          <w:rFonts w:asciiTheme="minorBidi" w:hAnsiTheme="minorBidi"/>
          <w:color w:val="156082" w:themeColor="accent1"/>
          <w:sz w:val="32"/>
          <w:szCs w:val="32"/>
        </w:rPr>
        <w:t xml:space="preserve">Assignment 1: </w:t>
      </w:r>
      <w:r w:rsidR="00D96EA9">
        <w:rPr>
          <w:rFonts w:asciiTheme="minorBidi" w:hAnsiTheme="minorBidi"/>
          <w:color w:val="156082" w:themeColor="accent1"/>
          <w:sz w:val="32"/>
          <w:szCs w:val="32"/>
        </w:rPr>
        <w:t>In</w:t>
      </w:r>
      <w:r w:rsidR="00BF2A4D">
        <w:rPr>
          <w:rFonts w:asciiTheme="minorBidi" w:hAnsiTheme="minorBidi"/>
          <w:color w:val="156082" w:themeColor="accent1"/>
          <w:sz w:val="32"/>
          <w:szCs w:val="32"/>
        </w:rPr>
        <w:t xml:space="preserve">correct </w:t>
      </w:r>
      <w:r w:rsidRPr="00997699">
        <w:rPr>
          <w:rFonts w:asciiTheme="minorBidi" w:hAnsiTheme="minorBidi"/>
          <w:color w:val="156082" w:themeColor="accent1"/>
          <w:sz w:val="32"/>
          <w:szCs w:val="32"/>
        </w:rPr>
        <w:t xml:space="preserve">Report Extract </w:t>
      </w:r>
    </w:p>
    <w:p w14:paraId="54DA9A41" w14:textId="77777777" w:rsidR="00044E8A" w:rsidRPr="00044E8A" w:rsidRDefault="00044E8A" w:rsidP="00044E8A">
      <w:pPr>
        <w:pStyle w:val="ListParagraph"/>
        <w:spacing w:line="360" w:lineRule="auto"/>
        <w:rPr>
          <w:rFonts w:asciiTheme="minorBidi" w:hAnsiTheme="minorBidi"/>
          <w:b/>
          <w:bCs/>
          <w:color w:val="156082" w:themeColor="accent1"/>
          <w:sz w:val="28"/>
          <w:szCs w:val="28"/>
        </w:rPr>
      </w:pPr>
      <w:r w:rsidRPr="00044E8A">
        <w:rPr>
          <w:rFonts w:asciiTheme="minorBidi" w:hAnsiTheme="minorBidi"/>
          <w:b/>
          <w:bCs/>
          <w:color w:val="156082" w:themeColor="accent1"/>
          <w:sz w:val="28"/>
          <w:szCs w:val="28"/>
        </w:rPr>
        <w:t>Report Extract (Marketing)</w:t>
      </w:r>
    </w:p>
    <w:p w14:paraId="615C9058" w14:textId="6448C191" w:rsidR="00044E8A" w:rsidRPr="00EF2001" w:rsidRDefault="00370723" w:rsidP="00044E8A">
      <w:pPr>
        <w:pStyle w:val="ListParagraph"/>
        <w:spacing w:line="360" w:lineRule="auto"/>
        <w:rPr>
          <w:rFonts w:asciiTheme="minorBidi" w:hAnsiTheme="minorBidi"/>
          <w:b/>
          <w:bCs/>
          <w:color w:val="156082" w:themeColor="accent1"/>
          <w:sz w:val="28"/>
          <w:szCs w:val="28"/>
        </w:rPr>
      </w:pPr>
      <w:r>
        <w:rPr>
          <w:rFonts w:asciiTheme="minorBidi" w:hAnsiTheme="minorBidi"/>
          <w:color w:val="156082" w:themeColor="accent1"/>
          <w:sz w:val="28"/>
          <w:szCs w:val="28"/>
        </w:rPr>
        <w:t xml:space="preserve">According to </w:t>
      </w:r>
      <w:r w:rsidRPr="00EF2001">
        <w:rPr>
          <w:rFonts w:asciiTheme="minorBidi" w:hAnsiTheme="minorBidi"/>
          <w:b/>
          <w:bCs/>
          <w:color w:val="156082" w:themeColor="accent1"/>
          <w:sz w:val="28"/>
          <w:szCs w:val="28"/>
        </w:rPr>
        <w:t>(Kotler, 2017)</w:t>
      </w:r>
      <w:r w:rsidR="00845220">
        <w:rPr>
          <w:rFonts w:asciiTheme="minorBidi" w:hAnsiTheme="minorBidi"/>
          <w:color w:val="156082" w:themeColor="accent1"/>
          <w:sz w:val="28"/>
          <w:szCs w:val="28"/>
        </w:rPr>
        <w:t xml:space="preserve"> m</w:t>
      </w:r>
      <w:r w:rsidR="00044E8A" w:rsidRPr="00044E8A">
        <w:rPr>
          <w:rFonts w:asciiTheme="minorBidi" w:hAnsiTheme="minorBidi"/>
          <w:color w:val="156082" w:themeColor="accent1"/>
          <w:sz w:val="28"/>
          <w:szCs w:val="28"/>
        </w:rPr>
        <w:t xml:space="preserve">arketing plays a central role in shaping how organisations understand and respond to customer needs, with effective strategies often grounded in clear value propositions, as argued by. Recent research </w:t>
      </w:r>
      <w:r>
        <w:rPr>
          <w:rFonts w:asciiTheme="minorBidi" w:hAnsiTheme="minorBidi"/>
          <w:color w:val="156082" w:themeColor="accent1"/>
          <w:sz w:val="28"/>
          <w:szCs w:val="28"/>
        </w:rPr>
        <w:t xml:space="preserve">by </w:t>
      </w:r>
      <w:r w:rsidRPr="00EF2001">
        <w:rPr>
          <w:rFonts w:asciiTheme="minorBidi" w:hAnsiTheme="minorBidi"/>
          <w:b/>
          <w:bCs/>
          <w:color w:val="156082" w:themeColor="accent1"/>
          <w:sz w:val="28"/>
          <w:szCs w:val="28"/>
        </w:rPr>
        <w:t xml:space="preserve">(Chen </w:t>
      </w:r>
      <w:r w:rsidR="00BE2958" w:rsidRPr="00EF2001">
        <w:rPr>
          <w:rFonts w:asciiTheme="minorBidi" w:hAnsiTheme="minorBidi"/>
          <w:b/>
          <w:bCs/>
          <w:color w:val="156082" w:themeColor="accent1"/>
          <w:sz w:val="28"/>
          <w:szCs w:val="28"/>
        </w:rPr>
        <w:t xml:space="preserve">&amp; </w:t>
      </w:r>
      <w:r w:rsidRPr="00EF2001">
        <w:rPr>
          <w:rFonts w:asciiTheme="minorBidi" w:hAnsiTheme="minorBidi"/>
          <w:b/>
          <w:bCs/>
          <w:color w:val="156082" w:themeColor="accent1"/>
          <w:sz w:val="28"/>
          <w:szCs w:val="28"/>
        </w:rPr>
        <w:t>Murray</w:t>
      </w:r>
      <w:r w:rsidR="00BE2958" w:rsidRPr="00EF2001">
        <w:rPr>
          <w:rFonts w:asciiTheme="minorBidi" w:hAnsiTheme="minorBidi"/>
          <w:b/>
          <w:bCs/>
          <w:color w:val="156082" w:themeColor="accent1"/>
          <w:sz w:val="28"/>
          <w:szCs w:val="28"/>
        </w:rPr>
        <w:t xml:space="preserve">, 2017) </w:t>
      </w:r>
      <w:r w:rsidR="00044E8A" w:rsidRPr="00044E8A">
        <w:rPr>
          <w:rFonts w:asciiTheme="minorBidi" w:hAnsiTheme="minorBidi"/>
          <w:color w:val="156082" w:themeColor="accent1"/>
          <w:sz w:val="28"/>
          <w:szCs w:val="28"/>
        </w:rPr>
        <w:t>highlights that digital engagement has become a critical driver of consumer behaviour, particularly through personalised content and data</w:t>
      </w:r>
      <w:r w:rsidR="00044E8A" w:rsidRPr="00044E8A">
        <w:rPr>
          <w:rFonts w:asciiTheme="minorBidi" w:hAnsiTheme="minorBidi"/>
          <w:color w:val="156082" w:themeColor="accent1"/>
          <w:sz w:val="28"/>
          <w:szCs w:val="28"/>
        </w:rPr>
        <w:noBreakHyphen/>
        <w:t>driven decision</w:t>
      </w:r>
      <w:r w:rsidR="00044E8A" w:rsidRPr="00044E8A">
        <w:rPr>
          <w:rFonts w:asciiTheme="minorBidi" w:hAnsiTheme="minorBidi"/>
          <w:color w:val="156082" w:themeColor="accent1"/>
          <w:sz w:val="28"/>
          <w:szCs w:val="28"/>
        </w:rPr>
        <w:noBreakHyphen/>
        <w:t>making</w:t>
      </w:r>
      <w:r w:rsidR="00BE2958">
        <w:rPr>
          <w:rFonts w:asciiTheme="minorBidi" w:hAnsiTheme="minorBidi"/>
          <w:color w:val="156082" w:themeColor="accent1"/>
          <w:sz w:val="28"/>
          <w:szCs w:val="28"/>
        </w:rPr>
        <w:t xml:space="preserve">. </w:t>
      </w:r>
      <w:r w:rsidR="00044E8A" w:rsidRPr="00044E8A">
        <w:rPr>
          <w:rFonts w:asciiTheme="minorBidi" w:hAnsiTheme="minorBidi"/>
          <w:color w:val="156082" w:themeColor="accent1"/>
          <w:sz w:val="28"/>
          <w:szCs w:val="28"/>
        </w:rPr>
        <w:t>Credible industry guidance also emphasises that strong brand positioning relies on consistent messaging across multiple touchpoints, supported by evidence</w:t>
      </w:r>
      <w:r w:rsidR="00044E8A" w:rsidRPr="00044E8A">
        <w:rPr>
          <w:rFonts w:asciiTheme="minorBidi" w:hAnsiTheme="minorBidi"/>
          <w:color w:val="156082" w:themeColor="accent1"/>
          <w:sz w:val="28"/>
          <w:szCs w:val="28"/>
        </w:rPr>
        <w:noBreakHyphen/>
        <w:t xml:space="preserve">based insights into audience expectations </w:t>
      </w:r>
      <w:proofErr w:type="spellStart"/>
      <w:r w:rsidR="00044E8A" w:rsidRPr="00EF2001">
        <w:rPr>
          <w:rFonts w:asciiTheme="minorBidi" w:hAnsiTheme="minorBidi"/>
          <w:b/>
          <w:bCs/>
          <w:color w:val="156082" w:themeColor="accent1"/>
          <w:sz w:val="28"/>
          <w:szCs w:val="28"/>
        </w:rPr>
        <w:t>MarketingWeek</w:t>
      </w:r>
      <w:proofErr w:type="spellEnd"/>
      <w:r w:rsidR="00BE2958" w:rsidRPr="00EF2001">
        <w:rPr>
          <w:rFonts w:asciiTheme="minorBidi" w:hAnsiTheme="minorBidi"/>
          <w:b/>
          <w:bCs/>
          <w:color w:val="156082" w:themeColor="accent1"/>
          <w:sz w:val="28"/>
          <w:szCs w:val="28"/>
        </w:rPr>
        <w:t xml:space="preserve"> </w:t>
      </w:r>
      <w:r w:rsidR="00044E8A" w:rsidRPr="00EF2001">
        <w:rPr>
          <w:rFonts w:asciiTheme="minorBidi" w:hAnsiTheme="minorBidi"/>
          <w:b/>
          <w:bCs/>
          <w:color w:val="156082" w:themeColor="accent1"/>
          <w:sz w:val="28"/>
          <w:szCs w:val="28"/>
        </w:rPr>
        <w:t>2024.</w:t>
      </w:r>
      <w:r w:rsidR="00044E8A" w:rsidRPr="00044E8A">
        <w:rPr>
          <w:rFonts w:asciiTheme="minorBidi" w:hAnsiTheme="minorBidi"/>
          <w:color w:val="156082" w:themeColor="accent1"/>
          <w:sz w:val="28"/>
          <w:szCs w:val="28"/>
        </w:rPr>
        <w:t xml:space="preserve"> Furthermore, organisational reports suggest that integrated marketing approaches</w:t>
      </w:r>
      <w:r w:rsidR="00044E8A">
        <w:rPr>
          <w:rFonts w:asciiTheme="minorBidi" w:hAnsiTheme="minorBidi"/>
          <w:color w:val="156082" w:themeColor="accent1"/>
          <w:sz w:val="28"/>
          <w:szCs w:val="28"/>
        </w:rPr>
        <w:t xml:space="preserve">, </w:t>
      </w:r>
      <w:r w:rsidR="00044E8A" w:rsidRPr="00044E8A">
        <w:rPr>
          <w:rFonts w:asciiTheme="minorBidi" w:hAnsiTheme="minorBidi"/>
          <w:color w:val="156082" w:themeColor="accent1"/>
          <w:sz w:val="28"/>
          <w:szCs w:val="28"/>
        </w:rPr>
        <w:t>combining analytics, customer feedback, and cross</w:t>
      </w:r>
      <w:r w:rsidR="00044E8A" w:rsidRPr="00044E8A">
        <w:rPr>
          <w:rFonts w:asciiTheme="minorBidi" w:hAnsiTheme="minorBidi"/>
          <w:color w:val="156082" w:themeColor="accent1"/>
          <w:sz w:val="28"/>
          <w:szCs w:val="28"/>
        </w:rPr>
        <w:noBreakHyphen/>
        <w:t>department collaboration</w:t>
      </w:r>
      <w:r w:rsidR="00044E8A">
        <w:rPr>
          <w:rFonts w:asciiTheme="minorBidi" w:hAnsiTheme="minorBidi"/>
          <w:color w:val="156082" w:themeColor="accent1"/>
          <w:sz w:val="28"/>
          <w:szCs w:val="28"/>
        </w:rPr>
        <w:t xml:space="preserve">, </w:t>
      </w:r>
      <w:r w:rsidR="00044E8A" w:rsidRPr="00044E8A">
        <w:rPr>
          <w:rFonts w:asciiTheme="minorBidi" w:hAnsiTheme="minorBidi"/>
          <w:color w:val="156082" w:themeColor="accent1"/>
          <w:sz w:val="28"/>
          <w:szCs w:val="28"/>
        </w:rPr>
        <w:t>lead to more sustainable long</w:t>
      </w:r>
      <w:r w:rsidR="00044E8A" w:rsidRPr="00044E8A">
        <w:rPr>
          <w:rFonts w:asciiTheme="minorBidi" w:hAnsiTheme="minorBidi"/>
          <w:color w:val="156082" w:themeColor="accent1"/>
          <w:sz w:val="28"/>
          <w:szCs w:val="28"/>
        </w:rPr>
        <w:noBreakHyphen/>
        <w:t xml:space="preserve">term growth </w:t>
      </w:r>
      <w:r w:rsidR="00044E8A" w:rsidRPr="00EF2001">
        <w:rPr>
          <w:rFonts w:asciiTheme="minorBidi" w:hAnsiTheme="minorBidi"/>
          <w:b/>
          <w:bCs/>
          <w:color w:val="156082" w:themeColor="accent1"/>
          <w:sz w:val="28"/>
          <w:szCs w:val="28"/>
        </w:rPr>
        <w:t>(Davies, Patel, Singh &amp; Romero, 2023).</w:t>
      </w:r>
    </w:p>
    <w:p w14:paraId="0E2B9199" w14:textId="77777777" w:rsidR="00044E8A" w:rsidRDefault="00044E8A" w:rsidP="00044E8A">
      <w:pPr>
        <w:spacing w:line="360" w:lineRule="auto"/>
        <w:rPr>
          <w:rFonts w:asciiTheme="minorBidi" w:hAnsiTheme="minorBidi"/>
          <w:b/>
          <w:bCs/>
          <w:color w:val="156082" w:themeColor="accent1"/>
          <w:sz w:val="28"/>
          <w:szCs w:val="28"/>
        </w:rPr>
      </w:pPr>
    </w:p>
    <w:p w14:paraId="3D55E286" w14:textId="77777777" w:rsidR="00044E8A" w:rsidRDefault="00044E8A" w:rsidP="00044E8A">
      <w:pPr>
        <w:spacing w:line="360" w:lineRule="auto"/>
        <w:rPr>
          <w:rFonts w:asciiTheme="minorBidi" w:hAnsiTheme="minorBidi"/>
          <w:b/>
          <w:bCs/>
          <w:color w:val="156082" w:themeColor="accent1"/>
          <w:sz w:val="28"/>
          <w:szCs w:val="28"/>
        </w:rPr>
      </w:pPr>
    </w:p>
    <w:p w14:paraId="05552348" w14:textId="77777777" w:rsidR="00044E8A" w:rsidRDefault="00044E8A" w:rsidP="00044E8A">
      <w:pPr>
        <w:spacing w:line="360" w:lineRule="auto"/>
        <w:rPr>
          <w:rFonts w:asciiTheme="minorBidi" w:hAnsiTheme="minorBidi"/>
          <w:b/>
          <w:bCs/>
          <w:color w:val="156082" w:themeColor="accent1"/>
          <w:sz w:val="28"/>
          <w:szCs w:val="28"/>
        </w:rPr>
      </w:pPr>
    </w:p>
    <w:p w14:paraId="14EE336B" w14:textId="77777777" w:rsidR="00044E8A" w:rsidRDefault="00044E8A" w:rsidP="00044E8A">
      <w:pPr>
        <w:spacing w:line="360" w:lineRule="auto"/>
        <w:rPr>
          <w:rFonts w:asciiTheme="minorBidi" w:hAnsiTheme="minorBidi"/>
          <w:b/>
          <w:bCs/>
          <w:color w:val="156082" w:themeColor="accent1"/>
          <w:sz w:val="28"/>
          <w:szCs w:val="28"/>
        </w:rPr>
      </w:pPr>
    </w:p>
    <w:p w14:paraId="10225EE1" w14:textId="77777777" w:rsidR="00044E8A" w:rsidRDefault="00044E8A" w:rsidP="00044E8A">
      <w:pPr>
        <w:spacing w:line="360" w:lineRule="auto"/>
        <w:rPr>
          <w:rFonts w:asciiTheme="minorBidi" w:hAnsiTheme="minorBidi"/>
          <w:b/>
          <w:bCs/>
          <w:color w:val="156082" w:themeColor="accent1"/>
          <w:sz w:val="28"/>
          <w:szCs w:val="28"/>
        </w:rPr>
      </w:pPr>
    </w:p>
    <w:p w14:paraId="0A86648B" w14:textId="77777777" w:rsidR="00044E8A" w:rsidRDefault="00044E8A" w:rsidP="00044E8A">
      <w:pPr>
        <w:spacing w:line="360" w:lineRule="auto"/>
        <w:rPr>
          <w:rFonts w:asciiTheme="minorBidi" w:hAnsiTheme="minorBidi"/>
          <w:b/>
          <w:bCs/>
          <w:color w:val="156082" w:themeColor="accent1"/>
          <w:sz w:val="28"/>
          <w:szCs w:val="28"/>
        </w:rPr>
      </w:pPr>
    </w:p>
    <w:p w14:paraId="0ADEED4F" w14:textId="77777777" w:rsidR="00044E8A" w:rsidRDefault="00044E8A" w:rsidP="00044E8A">
      <w:pPr>
        <w:spacing w:line="360" w:lineRule="auto"/>
        <w:rPr>
          <w:rFonts w:asciiTheme="minorBidi" w:hAnsiTheme="minorBidi"/>
          <w:b/>
          <w:bCs/>
          <w:color w:val="156082" w:themeColor="accent1"/>
          <w:sz w:val="28"/>
          <w:szCs w:val="28"/>
        </w:rPr>
      </w:pPr>
    </w:p>
    <w:p w14:paraId="09D0D7A2" w14:textId="77777777" w:rsidR="00044E8A" w:rsidRDefault="00044E8A" w:rsidP="00044E8A">
      <w:pPr>
        <w:spacing w:line="360" w:lineRule="auto"/>
        <w:rPr>
          <w:rFonts w:asciiTheme="minorBidi" w:hAnsiTheme="minorBidi"/>
          <w:b/>
          <w:bCs/>
          <w:color w:val="156082" w:themeColor="accent1"/>
          <w:sz w:val="28"/>
          <w:szCs w:val="28"/>
        </w:rPr>
      </w:pPr>
    </w:p>
    <w:p w14:paraId="371A6CEA" w14:textId="2BED1D32" w:rsidR="00044E8A" w:rsidRPr="00044E8A" w:rsidRDefault="00044E8A" w:rsidP="00044E8A">
      <w:pPr>
        <w:spacing w:line="360" w:lineRule="auto"/>
        <w:rPr>
          <w:rFonts w:asciiTheme="minorBidi" w:hAnsiTheme="minorBidi"/>
          <w:b/>
          <w:bCs/>
          <w:color w:val="156082" w:themeColor="accent1"/>
          <w:sz w:val="28"/>
          <w:szCs w:val="28"/>
        </w:rPr>
      </w:pPr>
      <w:r w:rsidRPr="00044E8A">
        <w:rPr>
          <w:rFonts w:asciiTheme="minorBidi" w:hAnsiTheme="minorBidi"/>
          <w:b/>
          <w:bCs/>
          <w:color w:val="156082" w:themeColor="accent1"/>
          <w:sz w:val="28"/>
          <w:szCs w:val="28"/>
        </w:rPr>
        <w:lastRenderedPageBreak/>
        <w:t xml:space="preserve"> Reference List (Harvard Style)</w:t>
      </w:r>
    </w:p>
    <w:p w14:paraId="3FA2C0C2" w14:textId="27443FA6" w:rsidR="00DA49F3" w:rsidRPr="00F51680" w:rsidRDefault="00DA49F3" w:rsidP="00DA49F3">
      <w:pPr>
        <w:pStyle w:val="ListParagraph"/>
        <w:numPr>
          <w:ilvl w:val="0"/>
          <w:numId w:val="2"/>
        </w:numPr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  <w:r w:rsidRPr="00F51680">
        <w:rPr>
          <w:rFonts w:asciiTheme="minorBidi" w:hAnsiTheme="minorBidi"/>
          <w:b/>
          <w:bCs/>
          <w:color w:val="156082" w:themeColor="accent1"/>
          <w:sz w:val="28"/>
          <w:szCs w:val="28"/>
        </w:rPr>
        <w:t>Kotler, P.</w:t>
      </w:r>
      <w:r w:rsidRPr="00F51680">
        <w:rPr>
          <w:rFonts w:asciiTheme="minorBidi" w:hAnsiTheme="minorBidi"/>
          <w:color w:val="156082" w:themeColor="accent1"/>
          <w:sz w:val="28"/>
          <w:szCs w:val="28"/>
        </w:rPr>
        <w:t xml:space="preserve"> 2017 </w:t>
      </w:r>
      <w:r w:rsidRPr="00F51680">
        <w:rPr>
          <w:rFonts w:asciiTheme="minorBidi" w:hAnsiTheme="minorBidi"/>
          <w:i/>
          <w:iCs/>
          <w:color w:val="156082" w:themeColor="accent1"/>
          <w:sz w:val="28"/>
          <w:szCs w:val="28"/>
        </w:rPr>
        <w:t>Marketing Management</w:t>
      </w:r>
      <w:r w:rsidRPr="00F51680">
        <w:rPr>
          <w:rFonts w:asciiTheme="minorBidi" w:hAnsiTheme="minorBidi"/>
          <w:color w:val="156082" w:themeColor="accent1"/>
          <w:sz w:val="28"/>
          <w:szCs w:val="28"/>
        </w:rPr>
        <w:t>. 15th ed. Pearson.</w:t>
      </w:r>
    </w:p>
    <w:p w14:paraId="61C99E87" w14:textId="46EE717C" w:rsidR="00DA49F3" w:rsidRPr="0032697C" w:rsidRDefault="00DA49F3" w:rsidP="00DA49F3">
      <w:pPr>
        <w:pStyle w:val="ListParagraph"/>
        <w:numPr>
          <w:ilvl w:val="0"/>
          <w:numId w:val="2"/>
        </w:numPr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  <w:r w:rsidRPr="0032697C">
        <w:rPr>
          <w:rFonts w:asciiTheme="minorBidi" w:hAnsiTheme="minorBidi"/>
          <w:b/>
          <w:bCs/>
          <w:color w:val="156082" w:themeColor="accent1"/>
          <w:sz w:val="28"/>
          <w:szCs w:val="28"/>
        </w:rPr>
        <w:t>Davies, R., Patel, S., Singh, A.  Romero, L.</w:t>
      </w:r>
      <w:r w:rsidRPr="0032697C">
        <w:rPr>
          <w:rFonts w:asciiTheme="minorBidi" w:hAnsiTheme="minorBidi"/>
          <w:color w:val="156082" w:themeColor="accent1"/>
          <w:sz w:val="28"/>
          <w:szCs w:val="28"/>
        </w:rPr>
        <w:t xml:space="preserve"> (2023) </w:t>
      </w:r>
      <w:r w:rsidRPr="0032697C">
        <w:rPr>
          <w:rFonts w:asciiTheme="minorBidi" w:hAnsiTheme="minorBidi"/>
          <w:i/>
          <w:iCs/>
          <w:color w:val="156082" w:themeColor="accent1"/>
          <w:sz w:val="28"/>
          <w:szCs w:val="28"/>
        </w:rPr>
        <w:t>Integrated Marketing Performance Report 2023</w:t>
      </w:r>
      <w:r w:rsidRPr="0032697C">
        <w:rPr>
          <w:rFonts w:asciiTheme="minorBidi" w:hAnsiTheme="minorBidi"/>
          <w:color w:val="156082" w:themeColor="accent1"/>
          <w:sz w:val="28"/>
          <w:szCs w:val="28"/>
        </w:rPr>
        <w:t>. Market Sphere Analytics</w:t>
      </w:r>
    </w:p>
    <w:p w14:paraId="0ED388E6" w14:textId="34E498EC" w:rsidR="00DA49F3" w:rsidRDefault="00097613" w:rsidP="00DA49F3">
      <w:pPr>
        <w:pStyle w:val="ListParagraph"/>
        <w:numPr>
          <w:ilvl w:val="0"/>
          <w:numId w:val="2"/>
        </w:numPr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  <w:r>
        <w:rPr>
          <w:rFonts w:asciiTheme="minorBidi" w:hAnsiTheme="minorBidi"/>
          <w:b/>
          <w:bCs/>
          <w:color w:val="156082" w:themeColor="accent1"/>
          <w:sz w:val="28"/>
          <w:szCs w:val="28"/>
        </w:rPr>
        <w:t>m</w:t>
      </w:r>
      <w:r w:rsidR="00DA49F3" w:rsidRPr="00044E8A">
        <w:rPr>
          <w:rFonts w:asciiTheme="minorBidi" w:hAnsiTheme="minorBidi"/>
          <w:b/>
          <w:bCs/>
          <w:color w:val="156082" w:themeColor="accent1"/>
          <w:sz w:val="28"/>
          <w:szCs w:val="28"/>
        </w:rPr>
        <w:t>arketing</w:t>
      </w:r>
      <w:r w:rsidR="00DA49F3">
        <w:rPr>
          <w:rFonts w:asciiTheme="minorBidi" w:hAnsiTheme="minorBidi"/>
          <w:b/>
          <w:bCs/>
          <w:color w:val="156082" w:themeColor="accent1"/>
          <w:sz w:val="28"/>
          <w:szCs w:val="28"/>
        </w:rPr>
        <w:t xml:space="preserve"> </w:t>
      </w:r>
      <w:r>
        <w:rPr>
          <w:rFonts w:asciiTheme="minorBidi" w:hAnsiTheme="minorBidi"/>
          <w:b/>
          <w:bCs/>
          <w:color w:val="156082" w:themeColor="accent1"/>
          <w:sz w:val="28"/>
          <w:szCs w:val="28"/>
        </w:rPr>
        <w:t>w</w:t>
      </w:r>
      <w:r w:rsidR="00DA49F3" w:rsidRPr="00044E8A">
        <w:rPr>
          <w:rFonts w:asciiTheme="minorBidi" w:hAnsiTheme="minorBidi"/>
          <w:b/>
          <w:bCs/>
          <w:color w:val="156082" w:themeColor="accent1"/>
          <w:sz w:val="28"/>
          <w:szCs w:val="28"/>
        </w:rPr>
        <w:t>eek</w:t>
      </w:r>
      <w:r w:rsidR="00DA49F3" w:rsidRPr="00044E8A">
        <w:rPr>
          <w:rFonts w:asciiTheme="minorBidi" w:hAnsiTheme="minorBidi"/>
          <w:color w:val="156082" w:themeColor="accent1"/>
          <w:sz w:val="28"/>
          <w:szCs w:val="28"/>
        </w:rPr>
        <w:t xml:space="preserve"> 2024) </w:t>
      </w:r>
      <w:r w:rsidR="00DA49F3" w:rsidRPr="001F2899">
        <w:rPr>
          <w:rFonts w:asciiTheme="minorBidi" w:hAnsiTheme="minorBidi"/>
          <w:color w:val="156082" w:themeColor="accent1"/>
          <w:sz w:val="28"/>
          <w:szCs w:val="28"/>
        </w:rPr>
        <w:t>What makes brand positioning effective?</w:t>
      </w:r>
      <w:r w:rsidR="00DA49F3" w:rsidRPr="00044E8A">
        <w:rPr>
          <w:rFonts w:asciiTheme="minorBidi" w:hAnsiTheme="minorBidi"/>
          <w:color w:val="156082" w:themeColor="accent1"/>
          <w:sz w:val="28"/>
          <w:szCs w:val="28"/>
        </w:rPr>
        <w:t xml:space="preserve"> Available at: </w:t>
      </w:r>
      <w:hyperlink r:id="rId7" w:history="1">
        <w:r w:rsidR="00DA49F3" w:rsidRPr="002C3108">
          <w:rPr>
            <w:rStyle w:val="Hyperlink"/>
            <w:rFonts w:asciiTheme="minorBidi" w:hAnsiTheme="minorBidi"/>
            <w:sz w:val="28"/>
            <w:szCs w:val="28"/>
          </w:rPr>
          <w:t>https://www.marketingweek.com/brand-positioning-effective</w:t>
        </w:r>
      </w:hyperlink>
      <w:r w:rsidR="00DA49F3">
        <w:rPr>
          <w:rFonts w:asciiTheme="minorBidi" w:hAnsiTheme="minorBidi"/>
          <w:color w:val="156082" w:themeColor="accent1"/>
          <w:sz w:val="28"/>
          <w:szCs w:val="28"/>
        </w:rPr>
        <w:t xml:space="preserve"> </w:t>
      </w:r>
      <w:r w:rsidR="00DA49F3" w:rsidRPr="00044E8A">
        <w:rPr>
          <w:rFonts w:asciiTheme="minorBidi" w:hAnsiTheme="minorBidi"/>
          <w:color w:val="156082" w:themeColor="accent1"/>
          <w:sz w:val="28"/>
          <w:szCs w:val="28"/>
        </w:rPr>
        <w:t>(Accessed: 10 July 2026).</w:t>
      </w:r>
    </w:p>
    <w:p w14:paraId="64378996" w14:textId="53A75890" w:rsidR="00DA49F3" w:rsidRDefault="00DA49F3" w:rsidP="00DA49F3">
      <w:pPr>
        <w:pStyle w:val="ListParagraph"/>
        <w:numPr>
          <w:ilvl w:val="0"/>
          <w:numId w:val="2"/>
        </w:numPr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  <w:r w:rsidRPr="00044E8A">
        <w:rPr>
          <w:rFonts w:asciiTheme="minorBidi" w:hAnsiTheme="minorBidi"/>
          <w:b/>
          <w:bCs/>
          <w:color w:val="156082" w:themeColor="accent1"/>
          <w:sz w:val="28"/>
          <w:szCs w:val="28"/>
        </w:rPr>
        <w:t xml:space="preserve">Chen, L. </w:t>
      </w:r>
      <w:r w:rsidR="001F2899">
        <w:rPr>
          <w:rFonts w:asciiTheme="minorBidi" w:hAnsiTheme="minorBidi"/>
          <w:b/>
          <w:bCs/>
          <w:color w:val="156082" w:themeColor="accent1"/>
          <w:sz w:val="28"/>
          <w:szCs w:val="28"/>
        </w:rPr>
        <w:t>&amp;</w:t>
      </w:r>
      <w:r>
        <w:rPr>
          <w:rFonts w:asciiTheme="minorBidi" w:hAnsiTheme="minorBidi"/>
          <w:b/>
          <w:bCs/>
          <w:color w:val="156082" w:themeColor="accent1"/>
          <w:sz w:val="28"/>
          <w:szCs w:val="28"/>
        </w:rPr>
        <w:t xml:space="preserve"> </w:t>
      </w:r>
      <w:r w:rsidRPr="00044E8A">
        <w:rPr>
          <w:rFonts w:asciiTheme="minorBidi" w:hAnsiTheme="minorBidi"/>
          <w:b/>
          <w:bCs/>
          <w:color w:val="156082" w:themeColor="accent1"/>
          <w:sz w:val="28"/>
          <w:szCs w:val="28"/>
        </w:rPr>
        <w:t>Murray, T.</w:t>
      </w:r>
      <w:r w:rsidRPr="00044E8A">
        <w:rPr>
          <w:rFonts w:asciiTheme="minorBidi" w:hAnsiTheme="minorBidi"/>
          <w:color w:val="156082" w:themeColor="accent1"/>
          <w:sz w:val="28"/>
          <w:szCs w:val="28"/>
        </w:rPr>
        <w:t xml:space="preserve"> (2021) ‘Digital personalisation and consumer response’, </w:t>
      </w:r>
      <w:r w:rsidRPr="00044E8A">
        <w:rPr>
          <w:rFonts w:asciiTheme="minorBidi" w:hAnsiTheme="minorBidi"/>
          <w:i/>
          <w:iCs/>
          <w:color w:val="156082" w:themeColor="accent1"/>
          <w:sz w:val="28"/>
          <w:szCs w:val="28"/>
        </w:rPr>
        <w:t>Journal of Marketing Insights</w:t>
      </w:r>
      <w:r w:rsidRPr="00044E8A">
        <w:rPr>
          <w:rFonts w:asciiTheme="minorBidi" w:hAnsiTheme="minorBidi"/>
          <w:color w:val="156082" w:themeColor="accent1"/>
          <w:sz w:val="28"/>
          <w:szCs w:val="28"/>
        </w:rPr>
        <w:t>, 12(3, p. 45–59.</w:t>
      </w:r>
      <w:r>
        <w:rPr>
          <w:rFonts w:asciiTheme="minorBidi" w:hAnsiTheme="minorBidi"/>
          <w:color w:val="156082" w:themeColor="accent1"/>
          <w:sz w:val="28"/>
          <w:szCs w:val="28"/>
        </w:rPr>
        <w:t xml:space="preserve"> https:doi.356748492837 </w:t>
      </w:r>
    </w:p>
    <w:p w14:paraId="4A1BE15B" w14:textId="77777777" w:rsidR="004B40DE" w:rsidRDefault="004B40DE" w:rsidP="00A90576">
      <w:pPr>
        <w:pStyle w:val="ListParagraph"/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</w:p>
    <w:p w14:paraId="0756714C" w14:textId="77777777" w:rsidR="004B40DE" w:rsidRDefault="004B40DE" w:rsidP="00A90576">
      <w:pPr>
        <w:pStyle w:val="ListParagraph"/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</w:p>
    <w:p w14:paraId="6AF0615E" w14:textId="77777777" w:rsidR="004B40DE" w:rsidRDefault="004B40DE" w:rsidP="00A90576">
      <w:pPr>
        <w:pStyle w:val="ListParagraph"/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</w:p>
    <w:p w14:paraId="436999A7" w14:textId="77777777" w:rsidR="004B40DE" w:rsidRDefault="004B40DE" w:rsidP="00A90576">
      <w:pPr>
        <w:pStyle w:val="ListParagraph"/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</w:p>
    <w:p w14:paraId="236DDD7A" w14:textId="77777777" w:rsidR="004B40DE" w:rsidRDefault="004B40DE" w:rsidP="00A90576">
      <w:pPr>
        <w:pStyle w:val="ListParagraph"/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</w:p>
    <w:p w14:paraId="6116E0E4" w14:textId="77777777" w:rsidR="004B40DE" w:rsidRDefault="004B40DE" w:rsidP="00A90576">
      <w:pPr>
        <w:pStyle w:val="ListParagraph"/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</w:p>
    <w:p w14:paraId="3403677A" w14:textId="77777777" w:rsidR="004B40DE" w:rsidRDefault="004B40DE" w:rsidP="00A90576">
      <w:pPr>
        <w:pStyle w:val="ListParagraph"/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</w:p>
    <w:p w14:paraId="2468B5B5" w14:textId="435ABC6A" w:rsidR="004B40DE" w:rsidRPr="00A24FBB" w:rsidRDefault="004B40DE" w:rsidP="00A24FBB">
      <w:pPr>
        <w:spacing w:line="360" w:lineRule="auto"/>
      </w:pPr>
    </w:p>
    <w:p w14:paraId="758C7305" w14:textId="77166761" w:rsidR="00B61EFC" w:rsidRPr="00D96EA9" w:rsidRDefault="00B61EFC" w:rsidP="00FF02DC">
      <w:pPr>
        <w:pStyle w:val="ListParagraph"/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  <w:r w:rsidRPr="00D96EA9">
        <w:rPr>
          <w:rFonts w:asciiTheme="minorBidi" w:hAnsiTheme="minorBidi"/>
          <w:color w:val="156082" w:themeColor="accent1"/>
          <w:sz w:val="28"/>
          <w:szCs w:val="28"/>
        </w:rPr>
        <w:t xml:space="preserve">. </w:t>
      </w:r>
    </w:p>
    <w:p w14:paraId="57F0399B" w14:textId="3F6202B1" w:rsidR="00726A92" w:rsidRPr="00CE4054" w:rsidRDefault="00726A92" w:rsidP="00CE4054">
      <w:pPr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</w:p>
    <w:sectPr w:rsidR="00726A92" w:rsidRPr="00CE40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10B1E2" w14:textId="77777777" w:rsidR="00B620CB" w:rsidRDefault="00B620CB" w:rsidP="00997699">
      <w:pPr>
        <w:spacing w:after="0" w:line="240" w:lineRule="auto"/>
      </w:pPr>
      <w:r>
        <w:separator/>
      </w:r>
    </w:p>
  </w:endnote>
  <w:endnote w:type="continuationSeparator" w:id="0">
    <w:p w14:paraId="06CEF74A" w14:textId="77777777" w:rsidR="00B620CB" w:rsidRDefault="00B620CB" w:rsidP="009976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23B537" w14:textId="77777777" w:rsidR="00B620CB" w:rsidRDefault="00B620CB" w:rsidP="00997699">
      <w:pPr>
        <w:spacing w:after="0" w:line="240" w:lineRule="auto"/>
      </w:pPr>
      <w:r>
        <w:separator/>
      </w:r>
    </w:p>
  </w:footnote>
  <w:footnote w:type="continuationSeparator" w:id="0">
    <w:p w14:paraId="79B34FED" w14:textId="77777777" w:rsidR="00B620CB" w:rsidRDefault="00B620CB" w:rsidP="0099769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3B44466"/>
    <w:multiLevelType w:val="multilevel"/>
    <w:tmpl w:val="B22235C0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asciiTheme="minorBidi" w:eastAsiaTheme="minorEastAsia" w:hAnsiTheme="minorBidi" w:cstheme="minorBidi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7D62B05"/>
    <w:multiLevelType w:val="hybridMultilevel"/>
    <w:tmpl w:val="42366F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67236042">
    <w:abstractNumId w:val="1"/>
  </w:num>
  <w:num w:numId="2" w16cid:durableId="19225667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1EFC"/>
    <w:rsid w:val="0003583A"/>
    <w:rsid w:val="00044E8A"/>
    <w:rsid w:val="00097613"/>
    <w:rsid w:val="000D5AC4"/>
    <w:rsid w:val="0018194F"/>
    <w:rsid w:val="001F2899"/>
    <w:rsid w:val="00347AF4"/>
    <w:rsid w:val="00370723"/>
    <w:rsid w:val="003E5581"/>
    <w:rsid w:val="004B40DE"/>
    <w:rsid w:val="00556ED4"/>
    <w:rsid w:val="00560CC2"/>
    <w:rsid w:val="00563E64"/>
    <w:rsid w:val="00564C14"/>
    <w:rsid w:val="00586D04"/>
    <w:rsid w:val="00591828"/>
    <w:rsid w:val="005B5A98"/>
    <w:rsid w:val="00717419"/>
    <w:rsid w:val="00726A92"/>
    <w:rsid w:val="00780A2B"/>
    <w:rsid w:val="007C49FC"/>
    <w:rsid w:val="007F399C"/>
    <w:rsid w:val="00845220"/>
    <w:rsid w:val="00863446"/>
    <w:rsid w:val="008756A9"/>
    <w:rsid w:val="00876993"/>
    <w:rsid w:val="00876C26"/>
    <w:rsid w:val="008C6F48"/>
    <w:rsid w:val="008D3A62"/>
    <w:rsid w:val="00955ABE"/>
    <w:rsid w:val="00995682"/>
    <w:rsid w:val="00997699"/>
    <w:rsid w:val="00A24FBB"/>
    <w:rsid w:val="00A90576"/>
    <w:rsid w:val="00B15354"/>
    <w:rsid w:val="00B61EFC"/>
    <w:rsid w:val="00B620CB"/>
    <w:rsid w:val="00B96143"/>
    <w:rsid w:val="00BC259F"/>
    <w:rsid w:val="00BE2958"/>
    <w:rsid w:val="00BF2A4D"/>
    <w:rsid w:val="00C67D0B"/>
    <w:rsid w:val="00C81865"/>
    <w:rsid w:val="00CD4307"/>
    <w:rsid w:val="00CE4054"/>
    <w:rsid w:val="00D160CF"/>
    <w:rsid w:val="00D969B8"/>
    <w:rsid w:val="00D96EA9"/>
    <w:rsid w:val="00DA49F3"/>
    <w:rsid w:val="00E25D59"/>
    <w:rsid w:val="00EB6445"/>
    <w:rsid w:val="00ED7AF5"/>
    <w:rsid w:val="00EF2001"/>
    <w:rsid w:val="00F53A05"/>
    <w:rsid w:val="00FB52C4"/>
    <w:rsid w:val="00FF02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E5C7CFE"/>
  <w15:chartTrackingRefBased/>
  <w15:docId w15:val="{F9D26897-0178-40ED-A409-E288DCC7AC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61EFC"/>
  </w:style>
  <w:style w:type="paragraph" w:styleId="Heading1">
    <w:name w:val="heading 1"/>
    <w:basedOn w:val="Normal"/>
    <w:next w:val="Normal"/>
    <w:link w:val="Heading1Char"/>
    <w:uiPriority w:val="9"/>
    <w:qFormat/>
    <w:rsid w:val="00B61E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1E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1E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1E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1E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1E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1E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1E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1E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1E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1E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1E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1E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1E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1E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1E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1E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1E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1E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1E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1E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1E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1E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1E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1E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1E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1E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1E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1EF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61EFC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976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7699"/>
  </w:style>
  <w:style w:type="paragraph" w:styleId="Footer">
    <w:name w:val="footer"/>
    <w:basedOn w:val="Normal"/>
    <w:link w:val="FooterChar"/>
    <w:uiPriority w:val="99"/>
    <w:unhideWhenUsed/>
    <w:rsid w:val="009976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7699"/>
  </w:style>
  <w:style w:type="character" w:styleId="UnresolvedMention">
    <w:name w:val="Unresolved Mention"/>
    <w:basedOn w:val="DefaultParagraphFont"/>
    <w:uiPriority w:val="99"/>
    <w:semiHidden/>
    <w:unhideWhenUsed/>
    <w:rsid w:val="007F399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marketingweek.com/brand-positioning-effectiv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231</Words>
  <Characters>1320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Jonathan Wyatt</cp:lastModifiedBy>
  <cp:revision>34</cp:revision>
  <dcterms:created xsi:type="dcterms:W3CDTF">2026-04-24T09:18:00Z</dcterms:created>
  <dcterms:modified xsi:type="dcterms:W3CDTF">2026-09-30T12:40:00Z</dcterms:modified>
</cp:coreProperties>
</file>