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F0A1D" w14:textId="77777777" w:rsidR="005F67A9" w:rsidRPr="009D288F" w:rsidRDefault="005F67A9" w:rsidP="005F67A9">
      <w:pPr>
        <w:spacing w:after="240"/>
        <w:rPr>
          <w:b/>
          <w:sz w:val="50"/>
          <w:szCs w:val="50"/>
        </w:rPr>
      </w:pPr>
    </w:p>
    <w:p w14:paraId="5C3D3847" w14:textId="77777777" w:rsidR="005F67A9" w:rsidRPr="005F67A9" w:rsidRDefault="005F67A9" w:rsidP="005F67A9">
      <w:pPr>
        <w:jc w:val="center"/>
        <w:rPr>
          <w:rFonts w:ascii="Arial Black" w:hAnsi="Arial Black"/>
          <w:sz w:val="20"/>
          <w:szCs w:val="20"/>
        </w:rPr>
      </w:pPr>
      <w:r w:rsidRPr="005F67A9">
        <w:rPr>
          <w:rFonts w:ascii="Arial Black" w:hAnsi="Arial Black"/>
          <w:sz w:val="36"/>
          <w:szCs w:val="36"/>
        </w:rPr>
        <w:t>Report Case Study: The Seaview Resort</w:t>
      </w:r>
      <w:r w:rsidRPr="005F67A9">
        <w:rPr>
          <w:rFonts w:ascii="Arial Black" w:hAnsi="Arial Black"/>
          <w:sz w:val="20"/>
          <w:szCs w:val="20"/>
        </w:rPr>
        <w:t xml:space="preserve"> </w:t>
      </w:r>
    </w:p>
    <w:p w14:paraId="007A72FB" w14:textId="7EA6B365" w:rsidR="005F67A9" w:rsidRPr="005F67A9" w:rsidRDefault="005F67A9" w:rsidP="005F67A9">
      <w:pPr>
        <w:jc w:val="center"/>
        <w:rPr>
          <w:rFonts w:ascii="Arial Black" w:hAnsi="Arial Black"/>
          <w:b/>
          <w:bCs/>
          <w:sz w:val="32"/>
          <w:szCs w:val="28"/>
        </w:rPr>
      </w:pPr>
      <w:r w:rsidRPr="005F67A9">
        <w:rPr>
          <w:rFonts w:ascii="Arial Black" w:hAnsi="Arial Black"/>
          <w:b/>
          <w:bCs/>
          <w:sz w:val="32"/>
          <w:szCs w:val="28"/>
        </w:rPr>
        <w:t xml:space="preserve">Student Name: Florin Matache </w:t>
      </w:r>
    </w:p>
    <w:p w14:paraId="7499C24D" w14:textId="77777777" w:rsidR="005F67A9" w:rsidRPr="005F67A9" w:rsidRDefault="005F67A9" w:rsidP="005F67A9">
      <w:pPr>
        <w:jc w:val="center"/>
        <w:rPr>
          <w:rFonts w:ascii="Arial Black" w:hAnsi="Arial Black"/>
          <w:b/>
          <w:bCs/>
          <w:sz w:val="32"/>
          <w:szCs w:val="28"/>
        </w:rPr>
      </w:pPr>
      <w:r w:rsidRPr="005F67A9">
        <w:rPr>
          <w:rFonts w:ascii="Arial Black" w:hAnsi="Arial Black"/>
          <w:b/>
          <w:bCs/>
          <w:sz w:val="32"/>
          <w:szCs w:val="28"/>
        </w:rPr>
        <w:t>Student Number:2126293</w:t>
      </w:r>
    </w:p>
    <w:p w14:paraId="49BFE9E0" w14:textId="77777777" w:rsidR="005F67A9" w:rsidRPr="005F67A9" w:rsidRDefault="005F67A9" w:rsidP="005F67A9">
      <w:pPr>
        <w:jc w:val="center"/>
        <w:rPr>
          <w:rFonts w:ascii="Arial Black" w:hAnsi="Arial Black"/>
          <w:b/>
          <w:bCs/>
          <w:sz w:val="32"/>
          <w:szCs w:val="28"/>
        </w:rPr>
      </w:pPr>
      <w:r w:rsidRPr="005F67A9">
        <w:rPr>
          <w:rFonts w:ascii="Arial Black" w:hAnsi="Arial Black"/>
          <w:b/>
          <w:bCs/>
          <w:sz w:val="32"/>
          <w:szCs w:val="28"/>
        </w:rPr>
        <w:t>Module: BMIH5007</w:t>
      </w:r>
    </w:p>
    <w:p w14:paraId="627C1CF3" w14:textId="77777777" w:rsidR="005F67A9" w:rsidRPr="005F67A9" w:rsidRDefault="005F67A9" w:rsidP="005F67A9">
      <w:pPr>
        <w:jc w:val="center"/>
        <w:rPr>
          <w:rFonts w:ascii="Arial Black" w:hAnsi="Arial Black"/>
          <w:b/>
          <w:bCs/>
          <w:sz w:val="32"/>
          <w:szCs w:val="28"/>
        </w:rPr>
      </w:pPr>
      <w:r w:rsidRPr="005F67A9">
        <w:rPr>
          <w:rFonts w:ascii="Arial Black" w:hAnsi="Arial Black"/>
          <w:b/>
          <w:bCs/>
          <w:sz w:val="32"/>
          <w:szCs w:val="28"/>
        </w:rPr>
        <w:t>Lecturer: Tristan Hawkins</w:t>
      </w:r>
    </w:p>
    <w:p w14:paraId="58FEB417" w14:textId="77777777" w:rsidR="005F67A9" w:rsidRPr="009D288F" w:rsidRDefault="005F67A9" w:rsidP="005F67A9">
      <w:pPr>
        <w:spacing w:after="240"/>
        <w:jc w:val="center"/>
        <w:rPr>
          <w:b/>
          <w:sz w:val="50"/>
          <w:szCs w:val="50"/>
        </w:rPr>
      </w:pPr>
    </w:p>
    <w:p w14:paraId="3E4FCAB8" w14:textId="77777777" w:rsidR="005F67A9" w:rsidRPr="009D288F" w:rsidRDefault="005F67A9" w:rsidP="005F67A9">
      <w:pPr>
        <w:pStyle w:val="Heading1"/>
        <w:spacing w:after="240"/>
      </w:pPr>
      <w:bookmarkStart w:id="0" w:name="_ydz32313tf7k" w:colFirst="0" w:colLast="0"/>
      <w:bookmarkEnd w:id="0"/>
      <w:r w:rsidRPr="009D288F">
        <w:br w:type="page"/>
      </w:r>
    </w:p>
    <w:p w14:paraId="1620D20F" w14:textId="77777777" w:rsidR="005F67A9" w:rsidRPr="009D288F" w:rsidRDefault="005F67A9" w:rsidP="005F67A9">
      <w:pPr>
        <w:spacing w:after="240"/>
        <w:jc w:val="center"/>
        <w:rPr>
          <w:b/>
          <w:bCs/>
        </w:rPr>
      </w:pPr>
      <w:r w:rsidRPr="009D288F">
        <w:rPr>
          <w:b/>
          <w:bCs/>
        </w:rPr>
        <w:t>Executive Summary</w:t>
      </w:r>
    </w:p>
    <w:p w14:paraId="04273B6E" w14:textId="77777777" w:rsidR="005F67A9" w:rsidRPr="009D288F" w:rsidRDefault="005F67A9" w:rsidP="005F67A9">
      <w:pPr>
        <w:spacing w:after="240"/>
      </w:pPr>
      <w:r w:rsidRPr="009D288F">
        <w:t xml:space="preserve">The purpose of the report is based on the development of a turnaround strategy through the analysis of the financial and business conditions of a hospitality organisation. The report is regarding the Sea View Resort, which is a 25-bed property on the coastline that provides luxury and relaxation for its consumers. The property also provided the services of events and an in-house restaurant. The organisation </w:t>
      </w:r>
      <w:proofErr w:type="gramStart"/>
      <w:r w:rsidRPr="009D288F">
        <w:t>have</w:t>
      </w:r>
      <w:proofErr w:type="gramEnd"/>
      <w:r w:rsidRPr="009D288F">
        <w:t xml:space="preserve"> been doing good business earlier and has been profitable in providing luxury to the guests. The present constitution is the opposite and demands a new redevelopment of a business plan to reach back to its earlier glory.</w:t>
      </w:r>
    </w:p>
    <w:p w14:paraId="701FA45A" w14:textId="77777777" w:rsidR="005F67A9" w:rsidRPr="009D288F" w:rsidRDefault="005F67A9" w:rsidP="005F67A9">
      <w:pPr>
        <w:pStyle w:val="Heading1"/>
        <w:spacing w:after="240"/>
      </w:pPr>
      <w:bookmarkStart w:id="1" w:name="_emb8txjdmj4j" w:colFirst="0" w:colLast="0"/>
      <w:bookmarkEnd w:id="1"/>
      <w:r w:rsidRPr="009D288F">
        <w:br w:type="page"/>
      </w:r>
    </w:p>
    <w:p w14:paraId="08F11625" w14:textId="77777777" w:rsidR="005F67A9" w:rsidRPr="009D288F" w:rsidRDefault="005F67A9" w:rsidP="005F67A9">
      <w:pPr>
        <w:spacing w:after="240"/>
        <w:jc w:val="center"/>
        <w:rPr>
          <w:b/>
          <w:sz w:val="30"/>
          <w:szCs w:val="30"/>
        </w:rPr>
      </w:pPr>
      <w:r w:rsidRPr="009D288F">
        <w:rPr>
          <w:b/>
          <w:sz w:val="30"/>
          <w:szCs w:val="30"/>
        </w:rPr>
        <w:t>Table of Contents</w:t>
      </w:r>
    </w:p>
    <w:sdt>
      <w:sdtPr>
        <w:id w:val="-290125991"/>
        <w:docPartObj>
          <w:docPartGallery w:val="Table of Contents"/>
          <w:docPartUnique/>
        </w:docPartObj>
      </w:sdtPr>
      <w:sdtEndPr>
        <w:rPr>
          <w:rFonts w:ascii="Arial" w:eastAsia="Arial" w:hAnsi="Arial" w:cs="Arial"/>
          <w:sz w:val="22"/>
          <w:lang w:eastAsia="en-GB"/>
        </w:rPr>
      </w:sdtEndPr>
      <w:sdtContent>
        <w:p w14:paraId="23EB5040"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r w:rsidRPr="009D288F">
            <w:fldChar w:fldCharType="begin"/>
          </w:r>
          <w:r w:rsidRPr="009D288F">
            <w:instrText xml:space="preserve"> TOC \h \u \z \t "Heading 1,1,Heading 2,2,Heading 3,3,Heading 4,4,Heading 5,5,Heading 6,6,"</w:instrText>
          </w:r>
          <w:r w:rsidRPr="009D288F">
            <w:fldChar w:fldCharType="separate"/>
          </w:r>
          <w:hyperlink w:anchor="_Toc150707400" w:history="1">
            <w:r w:rsidRPr="00455EF9">
              <w:rPr>
                <w:rStyle w:val="Hyperlink"/>
                <w:noProof/>
              </w:rPr>
              <w:t>Introduction</w:t>
            </w:r>
            <w:r>
              <w:rPr>
                <w:noProof/>
                <w:webHidden/>
              </w:rPr>
              <w:tab/>
            </w:r>
            <w:r>
              <w:rPr>
                <w:noProof/>
                <w:webHidden/>
              </w:rPr>
              <w:fldChar w:fldCharType="begin"/>
            </w:r>
            <w:r>
              <w:rPr>
                <w:noProof/>
                <w:webHidden/>
              </w:rPr>
              <w:instrText xml:space="preserve"> PAGEREF _Toc150707400 \h </w:instrText>
            </w:r>
            <w:r>
              <w:rPr>
                <w:noProof/>
                <w:webHidden/>
              </w:rPr>
            </w:r>
            <w:r>
              <w:rPr>
                <w:noProof/>
                <w:webHidden/>
              </w:rPr>
              <w:fldChar w:fldCharType="separate"/>
            </w:r>
            <w:r>
              <w:rPr>
                <w:noProof/>
                <w:webHidden/>
              </w:rPr>
              <w:t>4</w:t>
            </w:r>
            <w:r>
              <w:rPr>
                <w:noProof/>
                <w:webHidden/>
              </w:rPr>
              <w:fldChar w:fldCharType="end"/>
            </w:r>
          </w:hyperlink>
        </w:p>
        <w:p w14:paraId="157273AE"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01" w:history="1">
            <w:r w:rsidRPr="00455EF9">
              <w:rPr>
                <w:rStyle w:val="Hyperlink"/>
                <w:noProof/>
              </w:rPr>
              <w:t>Scope and Objectives</w:t>
            </w:r>
            <w:r>
              <w:rPr>
                <w:noProof/>
                <w:webHidden/>
              </w:rPr>
              <w:tab/>
            </w:r>
            <w:r>
              <w:rPr>
                <w:noProof/>
                <w:webHidden/>
              </w:rPr>
              <w:fldChar w:fldCharType="begin"/>
            </w:r>
            <w:r>
              <w:rPr>
                <w:noProof/>
                <w:webHidden/>
              </w:rPr>
              <w:instrText xml:space="preserve"> PAGEREF _Toc150707401 \h </w:instrText>
            </w:r>
            <w:r>
              <w:rPr>
                <w:noProof/>
                <w:webHidden/>
              </w:rPr>
            </w:r>
            <w:r>
              <w:rPr>
                <w:noProof/>
                <w:webHidden/>
              </w:rPr>
              <w:fldChar w:fldCharType="separate"/>
            </w:r>
            <w:r>
              <w:rPr>
                <w:noProof/>
                <w:webHidden/>
              </w:rPr>
              <w:t>4</w:t>
            </w:r>
            <w:r>
              <w:rPr>
                <w:noProof/>
                <w:webHidden/>
              </w:rPr>
              <w:fldChar w:fldCharType="end"/>
            </w:r>
          </w:hyperlink>
        </w:p>
        <w:p w14:paraId="62CC982D"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02" w:history="1">
            <w:r w:rsidRPr="00455EF9">
              <w:rPr>
                <w:rStyle w:val="Hyperlink"/>
                <w:noProof/>
              </w:rPr>
              <w:t>Financial Analysis</w:t>
            </w:r>
            <w:r>
              <w:rPr>
                <w:noProof/>
                <w:webHidden/>
              </w:rPr>
              <w:tab/>
            </w:r>
            <w:r>
              <w:rPr>
                <w:noProof/>
                <w:webHidden/>
              </w:rPr>
              <w:fldChar w:fldCharType="begin"/>
            </w:r>
            <w:r>
              <w:rPr>
                <w:noProof/>
                <w:webHidden/>
              </w:rPr>
              <w:instrText xml:space="preserve"> PAGEREF _Toc150707402 \h </w:instrText>
            </w:r>
            <w:r>
              <w:rPr>
                <w:noProof/>
                <w:webHidden/>
              </w:rPr>
            </w:r>
            <w:r>
              <w:rPr>
                <w:noProof/>
                <w:webHidden/>
              </w:rPr>
              <w:fldChar w:fldCharType="separate"/>
            </w:r>
            <w:r>
              <w:rPr>
                <w:noProof/>
                <w:webHidden/>
              </w:rPr>
              <w:t>4</w:t>
            </w:r>
            <w:r>
              <w:rPr>
                <w:noProof/>
                <w:webHidden/>
              </w:rPr>
              <w:fldChar w:fldCharType="end"/>
            </w:r>
          </w:hyperlink>
        </w:p>
        <w:p w14:paraId="5DF6D881"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03" w:history="1">
            <w:r w:rsidRPr="00455EF9">
              <w:rPr>
                <w:rStyle w:val="Hyperlink"/>
                <w:noProof/>
              </w:rPr>
              <w:t>Market Analysis</w:t>
            </w:r>
            <w:r>
              <w:rPr>
                <w:noProof/>
                <w:webHidden/>
              </w:rPr>
              <w:tab/>
            </w:r>
            <w:r>
              <w:rPr>
                <w:noProof/>
                <w:webHidden/>
              </w:rPr>
              <w:fldChar w:fldCharType="begin"/>
            </w:r>
            <w:r>
              <w:rPr>
                <w:noProof/>
                <w:webHidden/>
              </w:rPr>
              <w:instrText xml:space="preserve"> PAGEREF _Toc150707403 \h </w:instrText>
            </w:r>
            <w:r>
              <w:rPr>
                <w:noProof/>
                <w:webHidden/>
              </w:rPr>
            </w:r>
            <w:r>
              <w:rPr>
                <w:noProof/>
                <w:webHidden/>
              </w:rPr>
              <w:fldChar w:fldCharType="separate"/>
            </w:r>
            <w:r>
              <w:rPr>
                <w:noProof/>
                <w:webHidden/>
              </w:rPr>
              <w:t>7</w:t>
            </w:r>
            <w:r>
              <w:rPr>
                <w:noProof/>
                <w:webHidden/>
              </w:rPr>
              <w:fldChar w:fldCharType="end"/>
            </w:r>
          </w:hyperlink>
        </w:p>
        <w:p w14:paraId="61DCA4C1"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04" w:history="1">
            <w:r w:rsidRPr="00455EF9">
              <w:rPr>
                <w:rStyle w:val="Hyperlink"/>
                <w:noProof/>
              </w:rPr>
              <w:t>SWOT Analysis</w:t>
            </w:r>
            <w:r>
              <w:rPr>
                <w:noProof/>
                <w:webHidden/>
              </w:rPr>
              <w:tab/>
            </w:r>
            <w:r>
              <w:rPr>
                <w:noProof/>
                <w:webHidden/>
              </w:rPr>
              <w:fldChar w:fldCharType="begin"/>
            </w:r>
            <w:r>
              <w:rPr>
                <w:noProof/>
                <w:webHidden/>
              </w:rPr>
              <w:instrText xml:space="preserve"> PAGEREF _Toc150707404 \h </w:instrText>
            </w:r>
            <w:r>
              <w:rPr>
                <w:noProof/>
                <w:webHidden/>
              </w:rPr>
            </w:r>
            <w:r>
              <w:rPr>
                <w:noProof/>
                <w:webHidden/>
              </w:rPr>
              <w:fldChar w:fldCharType="separate"/>
            </w:r>
            <w:r>
              <w:rPr>
                <w:noProof/>
                <w:webHidden/>
              </w:rPr>
              <w:t>7</w:t>
            </w:r>
            <w:r>
              <w:rPr>
                <w:noProof/>
                <w:webHidden/>
              </w:rPr>
              <w:fldChar w:fldCharType="end"/>
            </w:r>
          </w:hyperlink>
        </w:p>
        <w:p w14:paraId="68A95C6C"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05" w:history="1">
            <w:r w:rsidRPr="00455EF9">
              <w:rPr>
                <w:rStyle w:val="Hyperlink"/>
                <w:noProof/>
              </w:rPr>
              <w:t>Turnaround strategy</w:t>
            </w:r>
            <w:r>
              <w:rPr>
                <w:noProof/>
                <w:webHidden/>
              </w:rPr>
              <w:tab/>
            </w:r>
            <w:r>
              <w:rPr>
                <w:noProof/>
                <w:webHidden/>
              </w:rPr>
              <w:fldChar w:fldCharType="begin"/>
            </w:r>
            <w:r>
              <w:rPr>
                <w:noProof/>
                <w:webHidden/>
              </w:rPr>
              <w:instrText xml:space="preserve"> PAGEREF _Toc150707405 \h </w:instrText>
            </w:r>
            <w:r>
              <w:rPr>
                <w:noProof/>
                <w:webHidden/>
              </w:rPr>
            </w:r>
            <w:r>
              <w:rPr>
                <w:noProof/>
                <w:webHidden/>
              </w:rPr>
              <w:fldChar w:fldCharType="separate"/>
            </w:r>
            <w:r>
              <w:rPr>
                <w:noProof/>
                <w:webHidden/>
              </w:rPr>
              <w:t>8</w:t>
            </w:r>
            <w:r>
              <w:rPr>
                <w:noProof/>
                <w:webHidden/>
              </w:rPr>
              <w:fldChar w:fldCharType="end"/>
            </w:r>
          </w:hyperlink>
        </w:p>
        <w:p w14:paraId="444B930B"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06" w:history="1">
            <w:r w:rsidRPr="00455EF9">
              <w:rPr>
                <w:rStyle w:val="Hyperlink"/>
                <w:noProof/>
              </w:rPr>
              <w:t>Financial Projections</w:t>
            </w:r>
            <w:r>
              <w:rPr>
                <w:noProof/>
                <w:webHidden/>
              </w:rPr>
              <w:tab/>
            </w:r>
            <w:r>
              <w:rPr>
                <w:noProof/>
                <w:webHidden/>
              </w:rPr>
              <w:fldChar w:fldCharType="begin"/>
            </w:r>
            <w:r>
              <w:rPr>
                <w:noProof/>
                <w:webHidden/>
              </w:rPr>
              <w:instrText xml:space="preserve"> PAGEREF _Toc150707406 \h </w:instrText>
            </w:r>
            <w:r>
              <w:rPr>
                <w:noProof/>
                <w:webHidden/>
              </w:rPr>
            </w:r>
            <w:r>
              <w:rPr>
                <w:noProof/>
                <w:webHidden/>
              </w:rPr>
              <w:fldChar w:fldCharType="separate"/>
            </w:r>
            <w:r>
              <w:rPr>
                <w:noProof/>
                <w:webHidden/>
              </w:rPr>
              <w:t>9</w:t>
            </w:r>
            <w:r>
              <w:rPr>
                <w:noProof/>
                <w:webHidden/>
              </w:rPr>
              <w:fldChar w:fldCharType="end"/>
            </w:r>
          </w:hyperlink>
        </w:p>
        <w:p w14:paraId="2254F7D9"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07" w:history="1">
            <w:r w:rsidRPr="00455EF9">
              <w:rPr>
                <w:rStyle w:val="Hyperlink"/>
                <w:noProof/>
              </w:rPr>
              <w:t>Risk Assessment</w:t>
            </w:r>
            <w:r>
              <w:rPr>
                <w:noProof/>
                <w:webHidden/>
              </w:rPr>
              <w:tab/>
            </w:r>
            <w:r>
              <w:rPr>
                <w:noProof/>
                <w:webHidden/>
              </w:rPr>
              <w:fldChar w:fldCharType="begin"/>
            </w:r>
            <w:r>
              <w:rPr>
                <w:noProof/>
                <w:webHidden/>
              </w:rPr>
              <w:instrText xml:space="preserve"> PAGEREF _Toc150707407 \h </w:instrText>
            </w:r>
            <w:r>
              <w:rPr>
                <w:noProof/>
                <w:webHidden/>
              </w:rPr>
            </w:r>
            <w:r>
              <w:rPr>
                <w:noProof/>
                <w:webHidden/>
              </w:rPr>
              <w:fldChar w:fldCharType="separate"/>
            </w:r>
            <w:r>
              <w:rPr>
                <w:noProof/>
                <w:webHidden/>
              </w:rPr>
              <w:t>10</w:t>
            </w:r>
            <w:r>
              <w:rPr>
                <w:noProof/>
                <w:webHidden/>
              </w:rPr>
              <w:fldChar w:fldCharType="end"/>
            </w:r>
          </w:hyperlink>
        </w:p>
        <w:p w14:paraId="30B4F40F"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08" w:history="1">
            <w:r w:rsidRPr="00455EF9">
              <w:rPr>
                <w:rStyle w:val="Hyperlink"/>
                <w:noProof/>
              </w:rPr>
              <w:t>Recommendation</w:t>
            </w:r>
            <w:r>
              <w:rPr>
                <w:noProof/>
                <w:webHidden/>
              </w:rPr>
              <w:tab/>
            </w:r>
            <w:r>
              <w:rPr>
                <w:noProof/>
                <w:webHidden/>
              </w:rPr>
              <w:fldChar w:fldCharType="begin"/>
            </w:r>
            <w:r>
              <w:rPr>
                <w:noProof/>
                <w:webHidden/>
              </w:rPr>
              <w:instrText xml:space="preserve"> PAGEREF _Toc150707408 \h </w:instrText>
            </w:r>
            <w:r>
              <w:rPr>
                <w:noProof/>
                <w:webHidden/>
              </w:rPr>
            </w:r>
            <w:r>
              <w:rPr>
                <w:noProof/>
                <w:webHidden/>
              </w:rPr>
              <w:fldChar w:fldCharType="separate"/>
            </w:r>
            <w:r>
              <w:rPr>
                <w:noProof/>
                <w:webHidden/>
              </w:rPr>
              <w:t>11</w:t>
            </w:r>
            <w:r>
              <w:rPr>
                <w:noProof/>
                <w:webHidden/>
              </w:rPr>
              <w:fldChar w:fldCharType="end"/>
            </w:r>
          </w:hyperlink>
        </w:p>
        <w:p w14:paraId="2903AE14"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09" w:history="1">
            <w:r w:rsidRPr="00455EF9">
              <w:rPr>
                <w:rStyle w:val="Hyperlink"/>
                <w:noProof/>
              </w:rPr>
              <w:t>Conclusion</w:t>
            </w:r>
            <w:r>
              <w:rPr>
                <w:noProof/>
                <w:webHidden/>
              </w:rPr>
              <w:tab/>
            </w:r>
            <w:r>
              <w:rPr>
                <w:noProof/>
                <w:webHidden/>
              </w:rPr>
              <w:fldChar w:fldCharType="begin"/>
            </w:r>
            <w:r>
              <w:rPr>
                <w:noProof/>
                <w:webHidden/>
              </w:rPr>
              <w:instrText xml:space="preserve"> PAGEREF _Toc150707409 \h </w:instrText>
            </w:r>
            <w:r>
              <w:rPr>
                <w:noProof/>
                <w:webHidden/>
              </w:rPr>
            </w:r>
            <w:r>
              <w:rPr>
                <w:noProof/>
                <w:webHidden/>
              </w:rPr>
              <w:fldChar w:fldCharType="separate"/>
            </w:r>
            <w:r>
              <w:rPr>
                <w:noProof/>
                <w:webHidden/>
              </w:rPr>
              <w:t>11</w:t>
            </w:r>
            <w:r>
              <w:rPr>
                <w:noProof/>
                <w:webHidden/>
              </w:rPr>
              <w:fldChar w:fldCharType="end"/>
            </w:r>
          </w:hyperlink>
        </w:p>
        <w:p w14:paraId="0D3A0BD0" w14:textId="77777777" w:rsidR="005F67A9" w:rsidRDefault="005F67A9" w:rsidP="005F67A9">
          <w:pPr>
            <w:pStyle w:val="TOC1"/>
            <w:tabs>
              <w:tab w:val="right" w:pos="9350"/>
            </w:tabs>
            <w:rPr>
              <w:rFonts w:asciiTheme="minorHAnsi" w:eastAsiaTheme="minorEastAsia" w:hAnsiTheme="minorHAnsi"/>
              <w:noProof/>
              <w:kern w:val="2"/>
              <w:lang w:val="en-IN"/>
              <w14:ligatures w14:val="standardContextual"/>
            </w:rPr>
          </w:pPr>
          <w:hyperlink w:anchor="_Toc150707410" w:history="1">
            <w:r w:rsidRPr="00455EF9">
              <w:rPr>
                <w:rStyle w:val="Hyperlink"/>
                <w:noProof/>
              </w:rPr>
              <w:t>References</w:t>
            </w:r>
            <w:r>
              <w:rPr>
                <w:noProof/>
                <w:webHidden/>
              </w:rPr>
              <w:tab/>
            </w:r>
            <w:r>
              <w:rPr>
                <w:noProof/>
                <w:webHidden/>
              </w:rPr>
              <w:fldChar w:fldCharType="begin"/>
            </w:r>
            <w:r>
              <w:rPr>
                <w:noProof/>
                <w:webHidden/>
              </w:rPr>
              <w:instrText xml:space="preserve"> PAGEREF _Toc150707410 \h </w:instrText>
            </w:r>
            <w:r>
              <w:rPr>
                <w:noProof/>
                <w:webHidden/>
              </w:rPr>
            </w:r>
            <w:r>
              <w:rPr>
                <w:noProof/>
                <w:webHidden/>
              </w:rPr>
              <w:fldChar w:fldCharType="separate"/>
            </w:r>
            <w:r>
              <w:rPr>
                <w:noProof/>
                <w:webHidden/>
              </w:rPr>
              <w:t>12</w:t>
            </w:r>
            <w:r>
              <w:rPr>
                <w:noProof/>
                <w:webHidden/>
              </w:rPr>
              <w:fldChar w:fldCharType="end"/>
            </w:r>
          </w:hyperlink>
        </w:p>
        <w:p w14:paraId="06E3D62D" w14:textId="77777777" w:rsidR="005F67A9" w:rsidRPr="009D288F" w:rsidRDefault="005F67A9" w:rsidP="005F67A9">
          <w:pPr>
            <w:widowControl w:val="0"/>
            <w:tabs>
              <w:tab w:val="right" w:pos="9360"/>
            </w:tabs>
            <w:spacing w:before="60" w:after="240" w:line="480" w:lineRule="auto"/>
            <w:rPr>
              <w:color w:val="000000"/>
            </w:rPr>
          </w:pPr>
          <w:r w:rsidRPr="009D288F">
            <w:fldChar w:fldCharType="end"/>
          </w:r>
        </w:p>
      </w:sdtContent>
    </w:sdt>
    <w:p w14:paraId="6D9C24E2" w14:textId="77777777" w:rsidR="005F67A9" w:rsidRPr="009D288F" w:rsidRDefault="005F67A9" w:rsidP="005F67A9">
      <w:pPr>
        <w:pStyle w:val="Heading1"/>
        <w:spacing w:after="240"/>
      </w:pPr>
      <w:bookmarkStart w:id="2" w:name="_c744ganq9zcf" w:colFirst="0" w:colLast="0"/>
      <w:bookmarkEnd w:id="2"/>
    </w:p>
    <w:p w14:paraId="1A3FD635" w14:textId="77777777" w:rsidR="005F67A9" w:rsidRPr="009D288F" w:rsidRDefault="005F67A9" w:rsidP="005F67A9">
      <w:pPr>
        <w:pStyle w:val="Heading1"/>
        <w:spacing w:after="240"/>
      </w:pPr>
      <w:bookmarkStart w:id="3" w:name="_yaj98iidyjdh" w:colFirst="0" w:colLast="0"/>
      <w:bookmarkEnd w:id="3"/>
      <w:r w:rsidRPr="009D288F">
        <w:br w:type="page"/>
      </w:r>
    </w:p>
    <w:p w14:paraId="1E097C82" w14:textId="77777777" w:rsidR="005F67A9" w:rsidRPr="009D288F" w:rsidRDefault="005F67A9" w:rsidP="005F67A9">
      <w:pPr>
        <w:pStyle w:val="Heading1"/>
        <w:spacing w:after="240"/>
      </w:pPr>
      <w:bookmarkStart w:id="4" w:name="_Toc150707400"/>
      <w:r w:rsidRPr="009D288F">
        <w:t>Introduction</w:t>
      </w:r>
      <w:bookmarkEnd w:id="4"/>
    </w:p>
    <w:p w14:paraId="6CFA451D" w14:textId="77777777" w:rsidR="005F67A9" w:rsidRPr="009D288F" w:rsidRDefault="005F67A9" w:rsidP="005F67A9">
      <w:pPr>
        <w:spacing w:after="240"/>
      </w:pPr>
      <w:r w:rsidRPr="009D288F">
        <w:t xml:space="preserve">The hospitality industry has been one of the most unstable businesses in the world. The onset of the pandemic has impacted the tourism and hospitality industry hugely. The approach of the report signifies the business situation of one such hospitality industry (Kaplan, 2021). The Seaview Resort, being an iconic hospitality organisation has been facing modern business issues in delivering profitability. The identification of the major reason for the decline of the business is its </w:t>
      </w:r>
      <w:proofErr w:type="spellStart"/>
      <w:r w:rsidRPr="009D288F">
        <w:t>unadaptability</w:t>
      </w:r>
      <w:proofErr w:type="spellEnd"/>
      <w:r w:rsidRPr="009D288F">
        <w:t xml:space="preserve"> to the present-day modern business styles and techniques. </w:t>
      </w:r>
    </w:p>
    <w:p w14:paraId="583A6B16" w14:textId="77777777" w:rsidR="005F67A9" w:rsidRPr="009D288F" w:rsidRDefault="005F67A9" w:rsidP="005F67A9">
      <w:pPr>
        <w:pStyle w:val="Heading1"/>
        <w:spacing w:after="240"/>
      </w:pPr>
      <w:bookmarkStart w:id="5" w:name="_Toc150707401"/>
      <w:r w:rsidRPr="009D288F">
        <w:t>Scope and Objectives</w:t>
      </w:r>
      <w:bookmarkEnd w:id="5"/>
    </w:p>
    <w:p w14:paraId="542B0714" w14:textId="77777777" w:rsidR="005F67A9" w:rsidRPr="009D288F" w:rsidRDefault="005F67A9" w:rsidP="005F67A9">
      <w:pPr>
        <w:spacing w:after="240"/>
      </w:pPr>
      <w:r w:rsidRPr="009D288F">
        <w:t xml:space="preserve">The scope of the report is directed at the process of identifying the micro and macro aspects that led to the downfall of Seaview Resort and the process of developing a business plan to redevelop the business with a new approach. </w:t>
      </w:r>
    </w:p>
    <w:p w14:paraId="11BB6D2D" w14:textId="77777777" w:rsidR="005F67A9" w:rsidRPr="009D288F" w:rsidRDefault="005F67A9" w:rsidP="005F67A9">
      <w:pPr>
        <w:spacing w:after="240"/>
      </w:pPr>
      <w:r w:rsidRPr="009D288F">
        <w:t>The objectives of the report are signified as follows:</w:t>
      </w:r>
    </w:p>
    <w:p w14:paraId="5E5801D5" w14:textId="77777777" w:rsidR="005F67A9" w:rsidRPr="009D288F" w:rsidRDefault="005F67A9" w:rsidP="005F67A9">
      <w:pPr>
        <w:numPr>
          <w:ilvl w:val="0"/>
          <w:numId w:val="7"/>
        </w:numPr>
        <w:spacing w:after="240" w:line="360" w:lineRule="auto"/>
        <w:jc w:val="both"/>
      </w:pPr>
      <w:r w:rsidRPr="009D288F">
        <w:t>A deep analysis of last year's financial data of the resort to understand the pain points of the business in the present constitution (Hán, Petříček and Chalupa, 2020).</w:t>
      </w:r>
    </w:p>
    <w:p w14:paraId="714B21D7" w14:textId="77777777" w:rsidR="005F67A9" w:rsidRPr="009D288F" w:rsidRDefault="005F67A9" w:rsidP="005F67A9">
      <w:pPr>
        <w:numPr>
          <w:ilvl w:val="0"/>
          <w:numId w:val="7"/>
        </w:numPr>
        <w:spacing w:after="240" w:line="360" w:lineRule="auto"/>
        <w:jc w:val="both"/>
      </w:pPr>
      <w:r w:rsidRPr="009D288F">
        <w:t xml:space="preserve">The shortlisting of the key reasons that led to the downfall of the resort from a business point of view. </w:t>
      </w:r>
    </w:p>
    <w:p w14:paraId="6A5E30A9" w14:textId="77777777" w:rsidR="005F67A9" w:rsidRPr="009D288F" w:rsidRDefault="005F67A9" w:rsidP="005F67A9">
      <w:pPr>
        <w:numPr>
          <w:ilvl w:val="0"/>
          <w:numId w:val="7"/>
        </w:numPr>
        <w:spacing w:after="240" w:line="360" w:lineRule="auto"/>
        <w:jc w:val="both"/>
      </w:pPr>
      <w:r w:rsidRPr="009D288F">
        <w:t>The development of an effective financial plan will help the resort to rejuvenate in business prospects and help in revitalising as a premiere holiday destination for national and international tourists.</w:t>
      </w:r>
    </w:p>
    <w:p w14:paraId="3A7DB177" w14:textId="77777777" w:rsidR="005F67A9" w:rsidRPr="009D288F" w:rsidRDefault="005F67A9" w:rsidP="005F67A9">
      <w:pPr>
        <w:pStyle w:val="Heading1"/>
        <w:spacing w:after="240"/>
      </w:pPr>
      <w:bookmarkStart w:id="6" w:name="_Toc150707402"/>
      <w:r w:rsidRPr="009D288F">
        <w:t>Financial Analysis</w:t>
      </w:r>
      <w:bookmarkEnd w:id="6"/>
    </w:p>
    <w:p w14:paraId="030DF58E" w14:textId="77777777" w:rsidR="005F67A9" w:rsidRPr="009D288F" w:rsidRDefault="005F67A9" w:rsidP="005F67A9">
      <w:pPr>
        <w:spacing w:after="240"/>
      </w:pPr>
      <w:r w:rsidRPr="009D288F">
        <w:t xml:space="preserve">The analysis of the income statement from 2020 to 2022 signifies multiple negative prospects that have impacted deeply the process of the business decline of the resort. </w:t>
      </w:r>
    </w:p>
    <w:p w14:paraId="4991FB76" w14:textId="77777777" w:rsidR="005F67A9" w:rsidRPr="009D288F" w:rsidRDefault="005F67A9" w:rsidP="005F67A9">
      <w:pPr>
        <w:spacing w:after="240"/>
      </w:pPr>
      <w:r w:rsidRPr="009D288F">
        <w:rPr>
          <w:i/>
        </w:rPr>
        <w:t>Decline in Revenue:</w:t>
      </w:r>
      <w:r w:rsidRPr="009D288F">
        <w:t xml:space="preserve"> The decline has been observed according to the income statement analysis of the organisation. The revenue from 2020 of $520000 has fallen to $430000 in 2022. This signifies a constant decline in revenue directly impacting the ability of the organisation to cover expenses and impacting the profitability (</w:t>
      </w:r>
      <w:proofErr w:type="spellStart"/>
      <w:r w:rsidRPr="009D288F">
        <w:t>Andekina</w:t>
      </w:r>
      <w:proofErr w:type="spellEnd"/>
      <w:r w:rsidRPr="009D288F">
        <w:t xml:space="preserve"> and </w:t>
      </w:r>
      <w:proofErr w:type="spellStart"/>
      <w:r w:rsidRPr="009D288F">
        <w:t>Rakhmetova</w:t>
      </w:r>
      <w:proofErr w:type="spellEnd"/>
      <w:r w:rsidRPr="009D288F">
        <w:t>, 2019).</w:t>
      </w:r>
    </w:p>
    <w:p w14:paraId="0068C487" w14:textId="77777777" w:rsidR="005F67A9" w:rsidRPr="009D288F" w:rsidRDefault="005F67A9" w:rsidP="005F67A9">
      <w:pPr>
        <w:spacing w:after="240"/>
      </w:pPr>
      <w:r w:rsidRPr="009D288F">
        <w:rPr>
          <w:i/>
        </w:rPr>
        <w:t>Negating of Gross profit:</w:t>
      </w:r>
      <w:r w:rsidRPr="009D288F">
        <w:t xml:space="preserve"> The significance of the approach shows a huge fall in the gross profit of the organisation from $130000 to $20000. The cost of goods (COGs) has been observed to be the prime reason for such a condition. The expenses have been observed to be impacting on the diminution of the gross profit. It also entails the fact that the organisation is not able to cover its production and maintenance costs based on such low-profit generation.</w:t>
      </w:r>
    </w:p>
    <w:p w14:paraId="4E480D50" w14:textId="77777777" w:rsidR="005F67A9" w:rsidRPr="009D288F" w:rsidRDefault="005F67A9" w:rsidP="005F67A9">
      <w:pPr>
        <w:spacing w:after="240"/>
      </w:pPr>
      <w:r w:rsidRPr="009D288F">
        <w:rPr>
          <w:i/>
        </w:rPr>
        <w:t>Increase in Operating Expenses:</w:t>
      </w:r>
      <w:r w:rsidRPr="009D288F">
        <w:t xml:space="preserve"> The operational cost of the organisation has been observed to be $390000 in 2020 to $450000 in 2022. The rising cost of expenses is a major hit in the profit generation of the resort. An effective approach would be to identify the specific expenses that drive the decrease in profit generation for the resort (Jackson, 2021).</w:t>
      </w:r>
    </w:p>
    <w:p w14:paraId="3D339E97" w14:textId="77777777" w:rsidR="005F67A9" w:rsidRPr="009D288F" w:rsidRDefault="005F67A9" w:rsidP="005F67A9">
      <w:pPr>
        <w:spacing w:after="240"/>
      </w:pPr>
      <w:r w:rsidRPr="009D288F">
        <w:rPr>
          <w:i/>
        </w:rPr>
        <w:t>Negative Profit:</w:t>
      </w:r>
      <w:r w:rsidRPr="009D288F">
        <w:t xml:space="preserve"> The negative profit implies a fall from $78000 to $47500 through the effects of the operating losses faced. This value implies that the business is not generating effective income to meet the running cost of the resort. </w:t>
      </w:r>
    </w:p>
    <w:p w14:paraId="0057D7A2" w14:textId="77777777" w:rsidR="005F67A9" w:rsidRPr="009D288F" w:rsidRDefault="005F67A9" w:rsidP="005F67A9">
      <w:pPr>
        <w:spacing w:after="240"/>
        <w:rPr>
          <w:i/>
        </w:rPr>
      </w:pPr>
      <w:r w:rsidRPr="009D288F">
        <w:rPr>
          <w:i/>
        </w:rPr>
        <w:t>Ratio Analysis:</w:t>
      </w:r>
    </w:p>
    <w:p w14:paraId="44F80DFC" w14:textId="77777777" w:rsidR="005F67A9" w:rsidRPr="009D288F" w:rsidRDefault="005F67A9" w:rsidP="005F67A9">
      <w:pPr>
        <w:spacing w:after="240"/>
      </w:pPr>
      <w:r w:rsidRPr="009D288F">
        <w:t>Current Ratio:</w:t>
      </w:r>
    </w:p>
    <w:p w14:paraId="7B3D55DC" w14:textId="77777777" w:rsidR="005F67A9" w:rsidRPr="009D288F" w:rsidRDefault="005F67A9" w:rsidP="005F67A9">
      <w:pPr>
        <w:spacing w:after="240"/>
      </w:pPr>
      <w:r w:rsidRPr="009D288F">
        <w:t>Current Ratio= Current Assets / Current Liabilities</w:t>
      </w:r>
    </w:p>
    <w:p w14:paraId="7B13D4ED" w14:textId="77777777" w:rsidR="005F67A9" w:rsidRPr="009D288F" w:rsidRDefault="005F67A9" w:rsidP="005F67A9">
      <w:pPr>
        <w:spacing w:after="240"/>
      </w:pPr>
      <w:r w:rsidRPr="009D288F">
        <w:t>Current Ratio= 250000 /180000 =1.39</w:t>
      </w:r>
    </w:p>
    <w:p w14:paraId="42DC799D" w14:textId="77777777" w:rsidR="005F67A9" w:rsidRPr="009D288F" w:rsidRDefault="005F67A9" w:rsidP="005F67A9">
      <w:pPr>
        <w:spacing w:after="240"/>
      </w:pPr>
      <w:r w:rsidRPr="009D288F">
        <w:t xml:space="preserve">The data obtained from the Current Ratio signify the fact that the organisation have more current assets than the current liabilities (Altman, 2020). This signifies the short-term solvency of the organisation </w:t>
      </w:r>
      <w:proofErr w:type="gramStart"/>
      <w:r w:rsidRPr="009D288F">
        <w:t>and also</w:t>
      </w:r>
      <w:proofErr w:type="gramEnd"/>
      <w:r w:rsidRPr="009D288F">
        <w:t xml:space="preserve"> the underutilisation of the assets of the organisation. </w:t>
      </w:r>
    </w:p>
    <w:p w14:paraId="1F325D12" w14:textId="77777777" w:rsidR="005F67A9" w:rsidRPr="009D288F" w:rsidRDefault="005F67A9" w:rsidP="005F67A9">
      <w:pPr>
        <w:spacing w:after="240"/>
      </w:pPr>
      <w:r w:rsidRPr="009D288F">
        <w:t>Quick Ratio:</w:t>
      </w:r>
    </w:p>
    <w:p w14:paraId="6A2937A1" w14:textId="77777777" w:rsidR="005F67A9" w:rsidRPr="009D288F" w:rsidRDefault="005F67A9" w:rsidP="005F67A9">
      <w:pPr>
        <w:spacing w:after="240"/>
      </w:pPr>
      <w:r w:rsidRPr="009D288F">
        <w:t>Quick Ratio = (Current Assets - Inventory) / Current Liabilities</w:t>
      </w:r>
    </w:p>
    <w:p w14:paraId="4A480F41" w14:textId="77777777" w:rsidR="005F67A9" w:rsidRPr="009D288F" w:rsidRDefault="005F67A9" w:rsidP="005F67A9">
      <w:pPr>
        <w:spacing w:after="240"/>
      </w:pPr>
      <w:r w:rsidRPr="009D288F">
        <w:t>Quick Ratio= (250000-100000)/180000 = 0.83</w:t>
      </w:r>
    </w:p>
    <w:p w14:paraId="497DFC71" w14:textId="77777777" w:rsidR="005F67A9" w:rsidRPr="009D288F" w:rsidRDefault="005F67A9" w:rsidP="005F67A9">
      <w:pPr>
        <w:spacing w:after="240"/>
      </w:pPr>
      <w:r w:rsidRPr="009D288F">
        <w:t xml:space="preserve">The value of 0.83 in the quick ratio signifies the fact of a more conservative approach to short-term liquidity excluding the impact on the organisation. A value of more than 1 in the quick ratio is considered healthy </w:t>
      </w:r>
      <w:proofErr w:type="gramStart"/>
      <w:r w:rsidRPr="009D288F">
        <w:t>but in this case,</w:t>
      </w:r>
      <w:proofErr w:type="gramEnd"/>
      <w:r w:rsidRPr="009D288F">
        <w:t xml:space="preserve"> it depicts the instability of the Resort from a business point of view. </w:t>
      </w:r>
    </w:p>
    <w:p w14:paraId="014A4E00" w14:textId="77777777" w:rsidR="005F67A9" w:rsidRPr="009D288F" w:rsidRDefault="005F67A9" w:rsidP="005F67A9">
      <w:pPr>
        <w:spacing w:after="240"/>
      </w:pPr>
      <w:r w:rsidRPr="009D288F">
        <w:t>Debt-to-Equity Ratio:</w:t>
      </w:r>
    </w:p>
    <w:p w14:paraId="1A9F0C67" w14:textId="77777777" w:rsidR="005F67A9" w:rsidRPr="009D288F" w:rsidRDefault="005F67A9" w:rsidP="005F67A9">
      <w:pPr>
        <w:spacing w:after="240"/>
      </w:pPr>
      <w:r w:rsidRPr="009D288F">
        <w:t>Debt-to-Equity Ratio = Total Debt / Total Equity</w:t>
      </w:r>
    </w:p>
    <w:p w14:paraId="62AB79F3" w14:textId="77777777" w:rsidR="005F67A9" w:rsidRPr="009D288F" w:rsidRDefault="005F67A9" w:rsidP="005F67A9">
      <w:pPr>
        <w:spacing w:after="240"/>
      </w:pPr>
      <w:r w:rsidRPr="009D288F">
        <w:t>Debt-to-Equity Ratio= 580000 / 450000 = 1.29</w:t>
      </w:r>
    </w:p>
    <w:p w14:paraId="67723CE6" w14:textId="77777777" w:rsidR="005F67A9" w:rsidRPr="009D288F" w:rsidRDefault="005F67A9" w:rsidP="005F67A9">
      <w:pPr>
        <w:spacing w:after="240"/>
      </w:pPr>
      <w:r w:rsidRPr="009D288F">
        <w:t xml:space="preserve">The value of 1.29 in the debt-equity ratio for the organisation defines the fact that the organisation has more debt than equity (Edmister, 2019). This generates a condition of high financial risk for the organisation. </w:t>
      </w:r>
    </w:p>
    <w:p w14:paraId="24972F01" w14:textId="77777777" w:rsidR="005F67A9" w:rsidRPr="009D288F" w:rsidRDefault="005F67A9" w:rsidP="005F67A9">
      <w:pPr>
        <w:spacing w:after="240"/>
      </w:pPr>
      <w:r w:rsidRPr="009D288F">
        <w:t>​Return on Assets (ROA):</w:t>
      </w:r>
    </w:p>
    <w:p w14:paraId="56F2FEF8" w14:textId="77777777" w:rsidR="005F67A9" w:rsidRPr="009D288F" w:rsidRDefault="005F67A9" w:rsidP="005F67A9">
      <w:pPr>
        <w:spacing w:after="240"/>
      </w:pPr>
      <w:r w:rsidRPr="009D288F">
        <w:t>ROA= Net Profit / Total Assets</w:t>
      </w:r>
    </w:p>
    <w:p w14:paraId="432C667B" w14:textId="77777777" w:rsidR="005F67A9" w:rsidRPr="009D288F" w:rsidRDefault="005F67A9" w:rsidP="005F67A9">
      <w:pPr>
        <w:spacing w:after="240"/>
      </w:pPr>
      <w:r w:rsidRPr="009D288F">
        <w:t>Given that Net Profit (Loss) at the end of 2022 is ($47,500):</w:t>
      </w:r>
    </w:p>
    <w:p w14:paraId="1964563A" w14:textId="77777777" w:rsidR="005F67A9" w:rsidRPr="009D288F" w:rsidRDefault="005F67A9" w:rsidP="005F67A9">
      <w:pPr>
        <w:spacing w:after="240"/>
      </w:pPr>
      <w:r w:rsidRPr="009D288F">
        <w:t xml:space="preserve">ROA= -47500 / 1030000 </w:t>
      </w:r>
    </w:p>
    <w:p w14:paraId="394CA4DF" w14:textId="77777777" w:rsidR="005F67A9" w:rsidRPr="009D288F" w:rsidRDefault="005F67A9" w:rsidP="005F67A9">
      <w:pPr>
        <w:spacing w:after="240"/>
      </w:pPr>
      <w:r w:rsidRPr="009D288F">
        <w:rPr>
          <w:rFonts w:ascii="Gungsuh" w:eastAsia="Gungsuh" w:hAnsi="Gungsuh" w:cs="Gungsuh"/>
        </w:rPr>
        <w:t>ROA ≈ −0.046</w:t>
      </w:r>
    </w:p>
    <w:p w14:paraId="4C5DC286" w14:textId="77777777" w:rsidR="005F67A9" w:rsidRPr="009D288F" w:rsidRDefault="005F67A9" w:rsidP="005F67A9">
      <w:pPr>
        <w:spacing w:after="240"/>
      </w:pPr>
      <w:r w:rsidRPr="009D288F">
        <w:t>The negative value of negative 0.046 implies the fact that the organisation is having a net loss in the business against its total assets. The organisation should move towards a better profit-generating aspect from its assets.</w:t>
      </w:r>
    </w:p>
    <w:p w14:paraId="43FC5B68" w14:textId="77777777" w:rsidR="005F67A9" w:rsidRPr="009D288F" w:rsidRDefault="005F67A9" w:rsidP="005F67A9">
      <w:pPr>
        <w:spacing w:after="240"/>
      </w:pPr>
      <w:r w:rsidRPr="009D288F">
        <w:t>Return on Equity (ROE):</w:t>
      </w:r>
    </w:p>
    <w:p w14:paraId="434B7E9F" w14:textId="77777777" w:rsidR="005F67A9" w:rsidRPr="009D288F" w:rsidRDefault="005F67A9" w:rsidP="005F67A9">
      <w:pPr>
        <w:spacing w:after="240"/>
      </w:pPr>
      <w:r w:rsidRPr="009D288F">
        <w:t>ROE= Net Profit / Total Equity</w:t>
      </w:r>
    </w:p>
    <w:p w14:paraId="42456B6F" w14:textId="77777777" w:rsidR="005F67A9" w:rsidRPr="009D288F" w:rsidRDefault="005F67A9" w:rsidP="005F67A9">
      <w:pPr>
        <w:spacing w:after="240"/>
      </w:pPr>
      <w:r w:rsidRPr="009D288F">
        <w:t>Given that Net Profit (Loss) at the end of 2022 is ($47,500):</w:t>
      </w:r>
    </w:p>
    <w:p w14:paraId="7C375AB6" w14:textId="77777777" w:rsidR="005F67A9" w:rsidRPr="009D288F" w:rsidRDefault="005F67A9" w:rsidP="005F67A9">
      <w:pPr>
        <w:spacing w:after="240"/>
      </w:pPr>
      <w:r w:rsidRPr="009D288F">
        <w:t>ROE = -0.1056</w:t>
      </w:r>
    </w:p>
    <w:p w14:paraId="729FECB4" w14:textId="77777777" w:rsidR="005F67A9" w:rsidRPr="009D288F" w:rsidRDefault="005F67A9" w:rsidP="005F67A9">
      <w:pPr>
        <w:spacing w:after="240"/>
      </w:pPr>
      <w:r w:rsidRPr="009D288F">
        <w:t xml:space="preserve">A negative ROE signifies that the organisation </w:t>
      </w:r>
      <w:proofErr w:type="gramStart"/>
      <w:r w:rsidRPr="009D288F">
        <w:t>have</w:t>
      </w:r>
      <w:proofErr w:type="gramEnd"/>
      <w:r w:rsidRPr="009D288F">
        <w:t xml:space="preserve"> not been generating a positive return on the part of the equity of the holders. This can highly impact the net loss of the organisation and a relatively high equity prospect.</w:t>
      </w:r>
    </w:p>
    <w:p w14:paraId="7C48A781" w14:textId="77777777" w:rsidR="005F67A9" w:rsidRPr="009D288F" w:rsidRDefault="005F67A9" w:rsidP="005F67A9">
      <w:pPr>
        <w:spacing w:after="240"/>
        <w:rPr>
          <w:i/>
        </w:rPr>
      </w:pPr>
      <w:r w:rsidRPr="009D288F">
        <w:rPr>
          <w:i/>
        </w:rPr>
        <w:t>Cash Flow Analysis</w:t>
      </w:r>
    </w:p>
    <w:p w14:paraId="0A4EF248" w14:textId="77777777" w:rsidR="005F67A9" w:rsidRPr="009D288F" w:rsidRDefault="005F67A9" w:rsidP="005F67A9">
      <w:pPr>
        <w:spacing w:after="240"/>
      </w:pPr>
      <w:r w:rsidRPr="009D288F">
        <w:t xml:space="preserve">Net Cash Flow: The net cash flow from operations has been observed to be -$80000 which implies that the consumption is more than a generation. </w:t>
      </w:r>
    </w:p>
    <w:p w14:paraId="11B175B9" w14:textId="77777777" w:rsidR="005F67A9" w:rsidRPr="009D288F" w:rsidRDefault="005F67A9" w:rsidP="005F67A9">
      <w:pPr>
        <w:spacing w:after="240"/>
      </w:pPr>
      <w:r w:rsidRPr="009D288F">
        <w:t xml:space="preserve">Capital Expenditures: This directly represents the long-term asset investments of the organisation. The value is $30000, which implies the organisation has been focusing </w:t>
      </w:r>
      <w:proofErr w:type="gramStart"/>
      <w:r w:rsidRPr="009D288F">
        <w:t>towards</w:t>
      </w:r>
      <w:proofErr w:type="gramEnd"/>
      <w:r w:rsidRPr="009D288F">
        <w:t xml:space="preserve"> the expansion of the business. </w:t>
      </w:r>
    </w:p>
    <w:p w14:paraId="5FFDEB35" w14:textId="77777777" w:rsidR="005F67A9" w:rsidRPr="009D288F" w:rsidRDefault="005F67A9" w:rsidP="005F67A9">
      <w:pPr>
        <w:spacing w:after="240"/>
      </w:pPr>
      <w:r w:rsidRPr="009D288F">
        <w:t xml:space="preserve">Changes in Cash Balance: The impact of the net cash flow implicates the fact that capital expenditures are a negative $110000. This value signifies that the organisation Seaview Resort is operating for operating activities and capital investments. </w:t>
      </w:r>
    </w:p>
    <w:p w14:paraId="2B354884" w14:textId="77777777" w:rsidR="005F67A9" w:rsidRPr="009D288F" w:rsidRDefault="005F67A9" w:rsidP="005F67A9">
      <w:pPr>
        <w:pStyle w:val="Heading1"/>
        <w:spacing w:after="240"/>
      </w:pPr>
      <w:bookmarkStart w:id="7" w:name="_Toc150707403"/>
      <w:r w:rsidRPr="009D288F">
        <w:t>Market Analysis</w:t>
      </w:r>
      <w:bookmarkEnd w:id="7"/>
    </w:p>
    <w:p w14:paraId="362BB7E3" w14:textId="77777777" w:rsidR="005F67A9" w:rsidRPr="009D288F" w:rsidRDefault="005F67A9" w:rsidP="005F67A9">
      <w:pPr>
        <w:spacing w:after="240"/>
      </w:pPr>
      <w:r w:rsidRPr="009D288F">
        <w:t xml:space="preserve">The market analysis implies a deep understanding of the hospitality business style amongst the competitive Resorts that are generating high profit margins. According to competitive research, it has been observed that the Atrium Prestige Resort is one of the most luxurious and profit-generating organisations in the present constitution. The annual turnover of the organisation in 2022 has been $780 million. Although the organisation </w:t>
      </w:r>
      <w:proofErr w:type="gramStart"/>
      <w:r w:rsidRPr="009D288F">
        <w:t>have</w:t>
      </w:r>
      <w:proofErr w:type="gramEnd"/>
      <w:r w:rsidRPr="009D288F">
        <w:t xml:space="preserve"> been hard hit by the pandemic it has reciprocated to multiple business models to meet the competitive approaches. The organisation follows a premium hospitality business model that strategically elevates the experiences of the guests (Molina-Castillo </w:t>
      </w:r>
      <w:r w:rsidRPr="009D288F">
        <w:rPr>
          <w:i/>
        </w:rPr>
        <w:t>et al.</w:t>
      </w:r>
      <w:r w:rsidRPr="009D288F">
        <w:t xml:space="preserve">, 2023). The organisation </w:t>
      </w:r>
      <w:proofErr w:type="gramStart"/>
      <w:r w:rsidRPr="009D288F">
        <w:t>have</w:t>
      </w:r>
      <w:proofErr w:type="gramEnd"/>
      <w:r w:rsidRPr="009D288F">
        <w:t xml:space="preserve"> deeply focused on the areas of providing exceptional consumer service, implementation of technology in effective guest handling, and personal experiences with top-of-the-order amenities. </w:t>
      </w:r>
    </w:p>
    <w:p w14:paraId="463A4154" w14:textId="77777777" w:rsidR="005F67A9" w:rsidRPr="009D288F" w:rsidRDefault="005F67A9" w:rsidP="005F67A9">
      <w:pPr>
        <w:spacing w:after="240"/>
      </w:pPr>
      <w:r w:rsidRPr="009D288F">
        <w:t xml:space="preserve">The revenue generation of the organisation is based on a dynamic pricing process for rooms and the development of multilevel marketing approaches and collaborations (Jason, 2023). The strategies incorporated within the process is the collaboration of local operators promoting destination wedding and leveraging social media. Atrium Prestige Resort has also focused on the approaches of Corporate Social responsibilities (CSR), through cleanliness activating and improving the standard of living of the locals.   </w:t>
      </w:r>
    </w:p>
    <w:p w14:paraId="43E90064" w14:textId="77777777" w:rsidR="005F67A9" w:rsidRPr="009D288F" w:rsidRDefault="005F67A9" w:rsidP="005F67A9">
      <w:pPr>
        <w:pStyle w:val="Heading1"/>
        <w:spacing w:after="240"/>
      </w:pPr>
      <w:bookmarkStart w:id="8" w:name="_Toc150707404"/>
      <w:r w:rsidRPr="009D288F">
        <w:t>SWOT Analysis</w:t>
      </w:r>
      <w:bookmarkEnd w:id="8"/>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439"/>
        <w:gridCol w:w="4567"/>
      </w:tblGrid>
      <w:tr w:rsidR="005F67A9" w:rsidRPr="009D288F" w14:paraId="6161CF60" w14:textId="77777777" w:rsidTr="00504AEA">
        <w:tc>
          <w:tcPr>
            <w:tcW w:w="0" w:type="auto"/>
            <w:shd w:val="clear" w:color="auto" w:fill="A5A5A5" w:themeFill="accent3"/>
            <w:tcMar>
              <w:top w:w="100" w:type="dxa"/>
              <w:left w:w="100" w:type="dxa"/>
              <w:bottom w:w="100" w:type="dxa"/>
              <w:right w:w="100" w:type="dxa"/>
            </w:tcMar>
          </w:tcPr>
          <w:p w14:paraId="5CC0E41A" w14:textId="77777777" w:rsidR="005F67A9" w:rsidRPr="009D288F" w:rsidRDefault="005F67A9" w:rsidP="00504AEA">
            <w:pPr>
              <w:widowControl w:val="0"/>
              <w:pBdr>
                <w:top w:val="nil"/>
                <w:left w:val="nil"/>
                <w:bottom w:val="single" w:sz="4" w:space="1" w:color="auto"/>
                <w:right w:val="nil"/>
                <w:between w:val="nil"/>
              </w:pBdr>
              <w:spacing w:after="240"/>
              <w:jc w:val="center"/>
              <w:rPr>
                <w:sz w:val="24"/>
                <w:szCs w:val="24"/>
              </w:rPr>
            </w:pPr>
            <w:r w:rsidRPr="009D288F">
              <w:rPr>
                <w:sz w:val="24"/>
                <w:szCs w:val="24"/>
              </w:rPr>
              <w:t>Strengths</w:t>
            </w:r>
          </w:p>
          <w:p w14:paraId="6EFBA93C" w14:textId="77777777" w:rsidR="005F67A9" w:rsidRPr="009D288F" w:rsidRDefault="005F67A9" w:rsidP="005F67A9">
            <w:pPr>
              <w:widowControl w:val="0"/>
              <w:numPr>
                <w:ilvl w:val="0"/>
                <w:numId w:val="9"/>
              </w:numPr>
              <w:pBdr>
                <w:top w:val="nil"/>
                <w:left w:val="nil"/>
                <w:bottom w:val="nil"/>
                <w:right w:val="nil"/>
                <w:between w:val="nil"/>
              </w:pBdr>
              <w:spacing w:after="240" w:line="360" w:lineRule="auto"/>
              <w:jc w:val="both"/>
              <w:rPr>
                <w:sz w:val="24"/>
                <w:szCs w:val="24"/>
              </w:rPr>
            </w:pPr>
            <w:r w:rsidRPr="009D288F">
              <w:rPr>
                <w:sz w:val="24"/>
                <w:szCs w:val="24"/>
              </w:rPr>
              <w:t>Impact on the location of the resort promoting natural beauty and availability of services (</w:t>
            </w:r>
            <w:proofErr w:type="spellStart"/>
            <w:r w:rsidRPr="009D288F">
              <w:rPr>
                <w:sz w:val="24"/>
                <w:szCs w:val="24"/>
              </w:rPr>
              <w:t>Yallop</w:t>
            </w:r>
            <w:proofErr w:type="spellEnd"/>
            <w:r w:rsidRPr="009D288F">
              <w:rPr>
                <w:sz w:val="24"/>
                <w:szCs w:val="24"/>
              </w:rPr>
              <w:t>, Baker and Wardle, 2022)</w:t>
            </w:r>
          </w:p>
          <w:p w14:paraId="4798634C" w14:textId="77777777" w:rsidR="005F67A9" w:rsidRPr="009D288F" w:rsidRDefault="005F67A9" w:rsidP="005F67A9">
            <w:pPr>
              <w:widowControl w:val="0"/>
              <w:numPr>
                <w:ilvl w:val="0"/>
                <w:numId w:val="9"/>
              </w:numPr>
              <w:pBdr>
                <w:top w:val="nil"/>
                <w:left w:val="nil"/>
                <w:bottom w:val="nil"/>
                <w:right w:val="nil"/>
                <w:between w:val="nil"/>
              </w:pBdr>
              <w:spacing w:after="240" w:line="360" w:lineRule="auto"/>
              <w:jc w:val="both"/>
              <w:rPr>
                <w:sz w:val="24"/>
                <w:szCs w:val="24"/>
              </w:rPr>
            </w:pPr>
            <w:r w:rsidRPr="009D288F">
              <w:rPr>
                <w:sz w:val="24"/>
                <w:szCs w:val="24"/>
              </w:rPr>
              <w:t>The highlighting of distant features that help in consumer attraction and eco-friendly initiatives</w:t>
            </w:r>
          </w:p>
        </w:tc>
        <w:tc>
          <w:tcPr>
            <w:tcW w:w="0" w:type="auto"/>
            <w:shd w:val="clear" w:color="auto" w:fill="E2EFD9" w:themeFill="accent6" w:themeFillTint="33"/>
            <w:tcMar>
              <w:top w:w="100" w:type="dxa"/>
              <w:left w:w="100" w:type="dxa"/>
              <w:bottom w:w="100" w:type="dxa"/>
              <w:right w:w="100" w:type="dxa"/>
            </w:tcMar>
          </w:tcPr>
          <w:p w14:paraId="3C26483B" w14:textId="77777777" w:rsidR="005F67A9" w:rsidRPr="009D288F" w:rsidRDefault="005F67A9" w:rsidP="00504AEA">
            <w:pPr>
              <w:widowControl w:val="0"/>
              <w:pBdr>
                <w:top w:val="nil"/>
                <w:left w:val="nil"/>
                <w:bottom w:val="single" w:sz="4" w:space="1" w:color="auto"/>
                <w:right w:val="nil"/>
                <w:between w:val="nil"/>
              </w:pBdr>
              <w:spacing w:after="240"/>
              <w:jc w:val="center"/>
            </w:pPr>
            <w:r w:rsidRPr="009D288F">
              <w:t>Weakness</w:t>
            </w:r>
            <w:r>
              <w:t>es</w:t>
            </w:r>
          </w:p>
          <w:p w14:paraId="23ADCF4F" w14:textId="77777777" w:rsidR="005F67A9" w:rsidRPr="009D288F" w:rsidRDefault="005F67A9" w:rsidP="005F67A9">
            <w:pPr>
              <w:widowControl w:val="0"/>
              <w:numPr>
                <w:ilvl w:val="0"/>
                <w:numId w:val="8"/>
              </w:numPr>
              <w:pBdr>
                <w:top w:val="nil"/>
                <w:left w:val="nil"/>
                <w:bottom w:val="nil"/>
                <w:right w:val="nil"/>
                <w:between w:val="nil"/>
              </w:pBdr>
              <w:spacing w:after="240" w:line="360" w:lineRule="auto"/>
              <w:jc w:val="both"/>
            </w:pPr>
            <w:r w:rsidRPr="009D288F">
              <w:t>Non-modernisation of amenities and services towards the guests.</w:t>
            </w:r>
          </w:p>
          <w:p w14:paraId="5DF6D54D" w14:textId="77777777" w:rsidR="005F67A9" w:rsidRPr="009D288F" w:rsidRDefault="005F67A9" w:rsidP="005F67A9">
            <w:pPr>
              <w:widowControl w:val="0"/>
              <w:numPr>
                <w:ilvl w:val="0"/>
                <w:numId w:val="8"/>
              </w:numPr>
              <w:pBdr>
                <w:top w:val="nil"/>
                <w:left w:val="nil"/>
                <w:bottom w:val="nil"/>
                <w:right w:val="nil"/>
                <w:between w:val="nil"/>
              </w:pBdr>
              <w:spacing w:after="240" w:line="360" w:lineRule="auto"/>
              <w:jc w:val="both"/>
            </w:pPr>
            <w:r w:rsidRPr="009D288F">
              <w:t xml:space="preserve">Stagnant financial modelling in business without </w:t>
            </w:r>
            <w:proofErr w:type="spellStart"/>
            <w:r w:rsidRPr="009D288F">
              <w:t>updation</w:t>
            </w:r>
            <w:proofErr w:type="spellEnd"/>
            <w:r w:rsidRPr="009D288F">
              <w:t xml:space="preserve"> results in low profitability and pricing issues (González Santa Cruz </w:t>
            </w:r>
            <w:r w:rsidRPr="009D288F">
              <w:rPr>
                <w:i/>
              </w:rPr>
              <w:t>et al.</w:t>
            </w:r>
            <w:r w:rsidRPr="009D288F">
              <w:t>, 2020).</w:t>
            </w:r>
          </w:p>
        </w:tc>
      </w:tr>
      <w:tr w:rsidR="005F67A9" w:rsidRPr="009D288F" w14:paraId="0B8FE790" w14:textId="77777777" w:rsidTr="00504AEA">
        <w:tc>
          <w:tcPr>
            <w:tcW w:w="0" w:type="auto"/>
            <w:shd w:val="clear" w:color="auto" w:fill="5B9BD5" w:themeFill="accent5"/>
            <w:tcMar>
              <w:top w:w="100" w:type="dxa"/>
              <w:left w:w="100" w:type="dxa"/>
              <w:bottom w:w="100" w:type="dxa"/>
              <w:right w:w="100" w:type="dxa"/>
            </w:tcMar>
          </w:tcPr>
          <w:p w14:paraId="005D7F01" w14:textId="77777777" w:rsidR="005F67A9" w:rsidRPr="009D288F" w:rsidRDefault="005F67A9" w:rsidP="00504AEA">
            <w:pPr>
              <w:widowControl w:val="0"/>
              <w:pBdr>
                <w:top w:val="nil"/>
                <w:left w:val="nil"/>
                <w:bottom w:val="single" w:sz="4" w:space="1" w:color="auto"/>
                <w:right w:val="nil"/>
                <w:between w:val="nil"/>
              </w:pBdr>
              <w:spacing w:after="240"/>
              <w:jc w:val="center"/>
            </w:pPr>
            <w:r w:rsidRPr="009D288F">
              <w:t>Opportunities</w:t>
            </w:r>
          </w:p>
          <w:p w14:paraId="1DDDF6C6" w14:textId="77777777" w:rsidR="005F67A9" w:rsidRPr="009D288F" w:rsidRDefault="005F67A9" w:rsidP="005F67A9">
            <w:pPr>
              <w:widowControl w:val="0"/>
              <w:numPr>
                <w:ilvl w:val="0"/>
                <w:numId w:val="11"/>
              </w:numPr>
              <w:pBdr>
                <w:top w:val="nil"/>
                <w:left w:val="nil"/>
                <w:bottom w:val="nil"/>
                <w:right w:val="nil"/>
                <w:between w:val="nil"/>
              </w:pBdr>
              <w:spacing w:after="240" w:line="360" w:lineRule="auto"/>
              <w:jc w:val="both"/>
            </w:pPr>
            <w:r w:rsidRPr="009D288F">
              <w:t>The approach of diversification of the revenue streams by local collaboration with tour operators.</w:t>
            </w:r>
          </w:p>
          <w:p w14:paraId="6750C041" w14:textId="77777777" w:rsidR="005F67A9" w:rsidRPr="009D288F" w:rsidRDefault="005F67A9" w:rsidP="005F67A9">
            <w:pPr>
              <w:widowControl w:val="0"/>
              <w:numPr>
                <w:ilvl w:val="0"/>
                <w:numId w:val="11"/>
              </w:numPr>
              <w:pBdr>
                <w:top w:val="nil"/>
                <w:left w:val="nil"/>
                <w:bottom w:val="nil"/>
                <w:right w:val="nil"/>
                <w:between w:val="nil"/>
              </w:pBdr>
              <w:spacing w:after="240" w:line="360" w:lineRule="auto"/>
              <w:jc w:val="both"/>
            </w:pPr>
            <w:r w:rsidRPr="009D288F">
              <w:t>Digital analysis of market trends and enactment upon sustainable practises and CSR</w:t>
            </w:r>
          </w:p>
        </w:tc>
        <w:tc>
          <w:tcPr>
            <w:tcW w:w="0" w:type="auto"/>
            <w:shd w:val="clear" w:color="auto" w:fill="FBE4D5" w:themeFill="accent2" w:themeFillTint="33"/>
            <w:tcMar>
              <w:top w:w="100" w:type="dxa"/>
              <w:left w:w="100" w:type="dxa"/>
              <w:bottom w:w="100" w:type="dxa"/>
              <w:right w:w="100" w:type="dxa"/>
            </w:tcMar>
          </w:tcPr>
          <w:p w14:paraId="1FEC59ED" w14:textId="77777777" w:rsidR="005F67A9" w:rsidRPr="009D288F" w:rsidRDefault="005F67A9" w:rsidP="00504AEA">
            <w:pPr>
              <w:widowControl w:val="0"/>
              <w:pBdr>
                <w:top w:val="nil"/>
                <w:left w:val="nil"/>
                <w:bottom w:val="single" w:sz="4" w:space="1" w:color="auto"/>
                <w:right w:val="nil"/>
                <w:between w:val="nil"/>
              </w:pBdr>
              <w:spacing w:after="240"/>
              <w:jc w:val="center"/>
            </w:pPr>
            <w:r w:rsidRPr="009D288F">
              <w:t>Threats</w:t>
            </w:r>
          </w:p>
          <w:p w14:paraId="4942AA8B" w14:textId="77777777" w:rsidR="005F67A9" w:rsidRPr="009D288F" w:rsidRDefault="005F67A9" w:rsidP="005F67A9">
            <w:pPr>
              <w:widowControl w:val="0"/>
              <w:numPr>
                <w:ilvl w:val="0"/>
                <w:numId w:val="10"/>
              </w:numPr>
              <w:pBdr>
                <w:top w:val="nil"/>
                <w:left w:val="nil"/>
                <w:bottom w:val="nil"/>
                <w:right w:val="nil"/>
                <w:between w:val="nil"/>
              </w:pBdr>
              <w:spacing w:after="240" w:line="360" w:lineRule="auto"/>
              <w:jc w:val="both"/>
            </w:pPr>
            <w:r w:rsidRPr="009D288F">
              <w:t xml:space="preserve">Analysis of a competitive landscape in </w:t>
            </w:r>
            <w:proofErr w:type="spellStart"/>
            <w:r w:rsidRPr="009D288F">
              <w:t>strategising</w:t>
            </w:r>
            <w:proofErr w:type="spellEnd"/>
            <w:r w:rsidRPr="009D288F">
              <w:t xml:space="preserve"> global competitors in the post-pandemic era (González Santa Cruz </w:t>
            </w:r>
            <w:r w:rsidRPr="009D288F">
              <w:rPr>
                <w:i/>
              </w:rPr>
              <w:t>et al.</w:t>
            </w:r>
            <w:r w:rsidRPr="009D288F">
              <w:t>, 2020)</w:t>
            </w:r>
          </w:p>
          <w:p w14:paraId="1D958159" w14:textId="77777777" w:rsidR="005F67A9" w:rsidRPr="009D288F" w:rsidRDefault="005F67A9" w:rsidP="005F67A9">
            <w:pPr>
              <w:widowControl w:val="0"/>
              <w:numPr>
                <w:ilvl w:val="0"/>
                <w:numId w:val="10"/>
              </w:numPr>
              <w:pBdr>
                <w:top w:val="nil"/>
                <w:left w:val="nil"/>
                <w:bottom w:val="nil"/>
                <w:right w:val="nil"/>
                <w:between w:val="nil"/>
              </w:pBdr>
              <w:spacing w:after="240" w:line="360" w:lineRule="auto"/>
              <w:jc w:val="both"/>
            </w:pPr>
            <w:r w:rsidRPr="009D288F">
              <w:t>Monitoring of the economic factors that impact the hospitality industry along with travel and tourism</w:t>
            </w:r>
          </w:p>
        </w:tc>
      </w:tr>
    </w:tbl>
    <w:p w14:paraId="2AB32394" w14:textId="77777777" w:rsidR="005F67A9" w:rsidRPr="00C90661" w:rsidRDefault="005F67A9" w:rsidP="005F67A9">
      <w:pPr>
        <w:spacing w:after="240"/>
        <w:jc w:val="center"/>
      </w:pPr>
      <w:r w:rsidRPr="009D288F">
        <w:t xml:space="preserve"> </w:t>
      </w:r>
      <w:r w:rsidRPr="00C90661">
        <w:rPr>
          <w:b/>
          <w:bCs/>
        </w:rPr>
        <w:t>Table 1: SWOT analysis</w:t>
      </w:r>
      <w:bookmarkStart w:id="9" w:name="_rmo0cpfxfiuk" w:colFirst="0" w:colLast="0"/>
      <w:bookmarkEnd w:id="9"/>
    </w:p>
    <w:p w14:paraId="3568BB4F" w14:textId="77777777" w:rsidR="005F67A9" w:rsidRPr="009D288F" w:rsidRDefault="005F67A9" w:rsidP="005F67A9">
      <w:pPr>
        <w:pStyle w:val="Heading1"/>
        <w:spacing w:after="240"/>
      </w:pPr>
      <w:bookmarkStart w:id="10" w:name="_Toc150707405"/>
      <w:r w:rsidRPr="009D288F">
        <w:t>Turnaround strategy</w:t>
      </w:r>
      <w:bookmarkEnd w:id="10"/>
    </w:p>
    <w:p w14:paraId="0DE697AD" w14:textId="77777777" w:rsidR="005F67A9" w:rsidRPr="009D288F" w:rsidRDefault="005F67A9" w:rsidP="005F67A9">
      <w:pPr>
        <w:spacing w:after="240"/>
      </w:pPr>
      <w:r w:rsidRPr="009D288F">
        <w:t xml:space="preserve">According to the analysis of the financial statements of </w:t>
      </w:r>
      <w:proofErr w:type="spellStart"/>
      <w:r w:rsidRPr="009D288F">
        <w:t>SeaView</w:t>
      </w:r>
      <w:proofErr w:type="spellEnd"/>
      <w:r w:rsidRPr="009D288F">
        <w:t xml:space="preserve"> Resort, the approaches of the turnaround strategies should impact the structure both on the macro and micro levels.</w:t>
      </w:r>
    </w:p>
    <w:p w14:paraId="62557062" w14:textId="77777777" w:rsidR="005F67A9" w:rsidRPr="009D288F" w:rsidRDefault="005F67A9" w:rsidP="005F67A9">
      <w:pPr>
        <w:spacing w:after="240"/>
      </w:pPr>
      <w:r w:rsidRPr="009D288F">
        <w:rPr>
          <w:i/>
        </w:rPr>
        <w:t>Improvement in operational efficiency:</w:t>
      </w:r>
      <w:r w:rsidRPr="009D288F">
        <w:t xml:space="preserve"> A significant improvement in operation efficiency can be reached through the conduction of an operational review. This involves identification and enabling cost-cutting areas without any compromise with the guest experience (</w:t>
      </w:r>
      <w:proofErr w:type="spellStart"/>
      <w:r w:rsidRPr="009D288F">
        <w:t>Chathoth</w:t>
      </w:r>
      <w:proofErr w:type="spellEnd"/>
      <w:r w:rsidRPr="009D288F">
        <w:t xml:space="preserve">, </w:t>
      </w:r>
      <w:proofErr w:type="spellStart"/>
      <w:r w:rsidRPr="009D288F">
        <w:t>Tse</w:t>
      </w:r>
      <w:proofErr w:type="spellEnd"/>
      <w:r w:rsidRPr="009D288F">
        <w:t xml:space="preserve"> and Olsen, 2023). It also involves the adoption of cost-effective measures in the process of energy-saving approaches, staff training procedures, digital </w:t>
      </w:r>
      <w:proofErr w:type="gramStart"/>
      <w:r w:rsidRPr="009D288F">
        <w:t>installations</w:t>
      </w:r>
      <w:proofErr w:type="gramEnd"/>
      <w:r w:rsidRPr="009D288F">
        <w:t xml:space="preserve"> and negotiation of contracts.</w:t>
      </w:r>
    </w:p>
    <w:p w14:paraId="02C543B6" w14:textId="77777777" w:rsidR="005F67A9" w:rsidRPr="009D288F" w:rsidRDefault="005F67A9" w:rsidP="005F67A9">
      <w:pPr>
        <w:spacing w:after="240"/>
      </w:pPr>
      <w:r w:rsidRPr="009D288F">
        <w:t>Diversified Revenue: The application of revenue diversification within the resort implies through the new streaming and packaging of diverse sources of income. This initiate collaborating with the locals of the area both in approaches to business and CSR. The implication of the new pricing strategy of the 25-bed resort helps in proving dynamicity in cost handling.</w:t>
      </w:r>
    </w:p>
    <w:p w14:paraId="64C34401" w14:textId="77777777" w:rsidR="005F67A9" w:rsidRPr="009D288F" w:rsidRDefault="005F67A9" w:rsidP="005F67A9">
      <w:pPr>
        <w:spacing w:after="240"/>
      </w:pPr>
      <w:r w:rsidRPr="009D288F">
        <w:t xml:space="preserve">Enhancement of guest experiences: The major focus of the organisation should be towards the provision of services and amenities towards the guests (Santana, </w:t>
      </w:r>
      <w:proofErr w:type="gramStart"/>
      <w:r w:rsidRPr="009D288F">
        <w:t>Valle</w:t>
      </w:r>
      <w:proofErr w:type="gramEnd"/>
      <w:r w:rsidRPr="009D288F">
        <w:t xml:space="preserve"> and Galan, 2020). The process of positive review generation should be embedded in modern training styles. It should also involve the provision of personalised services and loyalty programs.</w:t>
      </w:r>
    </w:p>
    <w:p w14:paraId="3214BE9F" w14:textId="77777777" w:rsidR="005F67A9" w:rsidRPr="009D288F" w:rsidRDefault="005F67A9" w:rsidP="005F67A9">
      <w:pPr>
        <w:pStyle w:val="Heading1"/>
        <w:spacing w:after="240"/>
      </w:pPr>
      <w:bookmarkStart w:id="11" w:name="_Toc150707406"/>
      <w:r w:rsidRPr="009D288F">
        <w:t>Financial Projections</w:t>
      </w:r>
      <w:bookmarkEnd w:id="11"/>
    </w:p>
    <w:p w14:paraId="60E1A596" w14:textId="77777777" w:rsidR="005F67A9" w:rsidRPr="009D288F" w:rsidRDefault="005F67A9" w:rsidP="005F67A9">
      <w:pPr>
        <w:spacing w:after="240"/>
      </w:pPr>
      <w:r w:rsidRPr="009D288F">
        <w:rPr>
          <w:noProof/>
        </w:rPr>
        <w:drawing>
          <wp:inline distT="114300" distB="114300" distL="114300" distR="114300" wp14:anchorId="6121DD97" wp14:editId="6B3EC56A">
            <wp:extent cx="5943600" cy="4013200"/>
            <wp:effectExtent l="25400" t="25400" r="25400" b="25400"/>
            <wp:docPr id="1" name="image1.png" descr="A screenshot of a spreadshee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screenshot of a spreadsheet&#10;&#10;Description automatically generated"/>
                    <pic:cNvPicPr preferRelativeResize="0"/>
                  </pic:nvPicPr>
                  <pic:blipFill>
                    <a:blip r:embed="rId7"/>
                    <a:srcRect/>
                    <a:stretch>
                      <a:fillRect/>
                    </a:stretch>
                  </pic:blipFill>
                  <pic:spPr>
                    <a:xfrm>
                      <a:off x="0" y="0"/>
                      <a:ext cx="5943600" cy="4013200"/>
                    </a:xfrm>
                    <a:prstGeom prst="rect">
                      <a:avLst/>
                    </a:prstGeom>
                    <a:ln w="25400">
                      <a:solidFill>
                        <a:srgbClr val="000000"/>
                      </a:solidFill>
                      <a:prstDash val="solid"/>
                    </a:ln>
                  </pic:spPr>
                </pic:pic>
              </a:graphicData>
            </a:graphic>
          </wp:inline>
        </w:drawing>
      </w:r>
    </w:p>
    <w:p w14:paraId="4B9A64CD" w14:textId="77777777" w:rsidR="005F67A9" w:rsidRPr="00C90661" w:rsidRDefault="005F67A9" w:rsidP="005F67A9">
      <w:pPr>
        <w:spacing w:after="240"/>
        <w:jc w:val="center"/>
        <w:rPr>
          <w:b/>
          <w:bCs/>
        </w:rPr>
      </w:pPr>
      <w:r w:rsidRPr="00C90661">
        <w:rPr>
          <w:b/>
          <w:bCs/>
        </w:rPr>
        <w:t>Table 2: Development of New Budget Plan</w:t>
      </w:r>
    </w:p>
    <w:p w14:paraId="7D19E93B" w14:textId="77777777" w:rsidR="005F67A9" w:rsidRPr="009D288F" w:rsidRDefault="005F67A9" w:rsidP="005F67A9">
      <w:pPr>
        <w:spacing w:after="240"/>
      </w:pPr>
      <w:r w:rsidRPr="009D288F">
        <w:t>The financial projection of the Sea View Resort with the turnaround strategy involves the formulation of a new budget. The development of the budget is based on the new expenditure processes and the areas of expenditure for the organisation to reach a stable position. The significance of the budget is extremely streamlined upon the exact requirement of the resort and the utilisation of organic and natural methods of asset utilisation.</w:t>
      </w:r>
    </w:p>
    <w:p w14:paraId="661577B0" w14:textId="77777777" w:rsidR="005F67A9" w:rsidRPr="009D288F" w:rsidRDefault="005F67A9" w:rsidP="005F67A9">
      <w:pPr>
        <w:spacing w:after="240"/>
        <w:jc w:val="center"/>
      </w:pPr>
      <w:r w:rsidRPr="009D288F">
        <w:rPr>
          <w:noProof/>
        </w:rPr>
        <w:drawing>
          <wp:inline distT="114300" distB="114300" distL="114300" distR="114300" wp14:anchorId="6228725C" wp14:editId="44B82131">
            <wp:extent cx="4719638" cy="3259878"/>
            <wp:effectExtent l="25400" t="25400" r="25400" b="25400"/>
            <wp:docPr id="2" name="image2.png" descr="A table with numbers and symbols&#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table with numbers and symbols&#10;&#10;Description automatically generated"/>
                    <pic:cNvPicPr preferRelativeResize="0"/>
                  </pic:nvPicPr>
                  <pic:blipFill>
                    <a:blip r:embed="rId8"/>
                    <a:srcRect/>
                    <a:stretch>
                      <a:fillRect/>
                    </a:stretch>
                  </pic:blipFill>
                  <pic:spPr>
                    <a:xfrm>
                      <a:off x="0" y="0"/>
                      <a:ext cx="4719638" cy="3259878"/>
                    </a:xfrm>
                    <a:prstGeom prst="rect">
                      <a:avLst/>
                    </a:prstGeom>
                    <a:ln w="25400">
                      <a:solidFill>
                        <a:srgbClr val="000000"/>
                      </a:solidFill>
                      <a:prstDash val="solid"/>
                    </a:ln>
                  </pic:spPr>
                </pic:pic>
              </a:graphicData>
            </a:graphic>
          </wp:inline>
        </w:drawing>
      </w:r>
    </w:p>
    <w:p w14:paraId="609D937F" w14:textId="77777777" w:rsidR="005F67A9" w:rsidRPr="00C90661" w:rsidRDefault="005F67A9" w:rsidP="005F67A9">
      <w:pPr>
        <w:spacing w:after="240"/>
        <w:jc w:val="center"/>
        <w:rPr>
          <w:b/>
          <w:bCs/>
        </w:rPr>
      </w:pPr>
      <w:r w:rsidRPr="00C90661">
        <w:rPr>
          <w:b/>
          <w:bCs/>
        </w:rPr>
        <w:t>Table 3: Cash Flow Breakdown</w:t>
      </w:r>
    </w:p>
    <w:p w14:paraId="183052F2" w14:textId="77777777" w:rsidR="005F67A9" w:rsidRPr="009D288F" w:rsidRDefault="005F67A9" w:rsidP="005F67A9">
      <w:pPr>
        <w:spacing w:after="240"/>
      </w:pPr>
      <w:r w:rsidRPr="009D288F">
        <w:t>The above table signifies the cash flow breakdown of the date of Sea View Resort in the given data. The breakdown signifies the attributes of root rates and the event rates of the organisation. This approach provides a clear demarcation of the cash flow and helps in the effective monitoring of the revenue.</w:t>
      </w:r>
    </w:p>
    <w:p w14:paraId="10EABF4C" w14:textId="77777777" w:rsidR="005F67A9" w:rsidRPr="009D288F" w:rsidRDefault="005F67A9" w:rsidP="005F67A9">
      <w:pPr>
        <w:pStyle w:val="Heading1"/>
        <w:spacing w:after="240"/>
      </w:pPr>
      <w:bookmarkStart w:id="12" w:name="_Toc150707407"/>
      <w:r w:rsidRPr="009D288F">
        <w:t>Risk Assessment</w:t>
      </w:r>
      <w:bookmarkEnd w:id="12"/>
    </w:p>
    <w:p w14:paraId="18B96EA0" w14:textId="77777777" w:rsidR="005F67A9" w:rsidRPr="009D288F" w:rsidRDefault="005F67A9" w:rsidP="005F67A9">
      <w:pPr>
        <w:spacing w:after="240"/>
      </w:pPr>
      <w:r w:rsidRPr="009D288F">
        <w:t xml:space="preserve">The approach of the turnaround strategy also involves the application of major risk elements. The observations are based on operational risks, financial risks, Guest Perception, Market competition, and Marketing Effectiveness (Dvorsky </w:t>
      </w:r>
      <w:r w:rsidRPr="009D288F">
        <w:rPr>
          <w:i/>
        </w:rPr>
        <w:t>et al.</w:t>
      </w:r>
      <w:r w:rsidRPr="009D288F">
        <w:t>, 2020). The approach to the operational risks involves changes in the staff or management of the process. On the other hand, the financial risk involves the unforeseen delay in the cost-cutting and implementation processes. The approach of cost-cutting has a high rate of negativity with an approach of global inflation</w:t>
      </w:r>
      <w:r>
        <w:t xml:space="preserve"> and thereby can enable the firm to counter companies such as Hilton and Marriot</w:t>
      </w:r>
      <w:r w:rsidRPr="009D288F">
        <w:t xml:space="preserve">. The disruption of global supply chains has impacted deeply within the hospitality industry. The guest perception approaches may hurt the resort based on its reputation during the transition to the new business model. The intense competition in the industry implicates market competition at its peak. </w:t>
      </w:r>
    </w:p>
    <w:p w14:paraId="1CD5A374" w14:textId="77777777" w:rsidR="005F67A9" w:rsidRPr="009D288F" w:rsidRDefault="005F67A9" w:rsidP="005F67A9">
      <w:pPr>
        <w:pStyle w:val="Heading1"/>
        <w:spacing w:after="240"/>
      </w:pPr>
      <w:bookmarkStart w:id="13" w:name="_Toc150707408"/>
      <w:r w:rsidRPr="009D288F">
        <w:t>Recommendation</w:t>
      </w:r>
      <w:bookmarkEnd w:id="13"/>
    </w:p>
    <w:p w14:paraId="4AEC5CE0" w14:textId="77777777" w:rsidR="005F67A9" w:rsidRPr="009D288F" w:rsidRDefault="005F67A9" w:rsidP="005F67A9">
      <w:pPr>
        <w:spacing w:after="240"/>
      </w:pPr>
      <w:r w:rsidRPr="009D288F">
        <w:t xml:space="preserve">The effective recommendation towards the process implies a comprehensive approach to change management planning. The significance of the approach includes clear communication relating to training programs and key stakeholder involvements. On the other hand, the recommendation regarding financial risk is the development of contingency funds for emergency usage and the close monitoring of the financial movements within the organisation. </w:t>
      </w:r>
    </w:p>
    <w:p w14:paraId="68B3DF01" w14:textId="77777777" w:rsidR="005F67A9" w:rsidRPr="009D288F" w:rsidRDefault="005F67A9" w:rsidP="005F67A9">
      <w:pPr>
        <w:pStyle w:val="Heading1"/>
        <w:spacing w:after="240"/>
      </w:pPr>
      <w:bookmarkStart w:id="14" w:name="_Toc150707409"/>
      <w:r w:rsidRPr="009D288F">
        <w:t>Conclusion</w:t>
      </w:r>
      <w:bookmarkEnd w:id="14"/>
    </w:p>
    <w:p w14:paraId="577F1D34" w14:textId="77777777" w:rsidR="005F67A9" w:rsidRPr="009D288F" w:rsidRDefault="005F67A9" w:rsidP="005F67A9">
      <w:pPr>
        <w:spacing w:after="240"/>
      </w:pPr>
      <w:r w:rsidRPr="009D288F">
        <w:t xml:space="preserve">It can be effectively concluded that the hospitality industry has multiple approaches in the process of apprehending a turnover plan. The significance of the plan helps in establishing an effective approach of re-focusing on the critical part of the business and developing flexible planning and budgeting. The report has signified all the areas of impact through a turnaround plan </w:t>
      </w:r>
      <w:proofErr w:type="gramStart"/>
      <w:r w:rsidRPr="009D288F">
        <w:t>and also</w:t>
      </w:r>
      <w:proofErr w:type="gramEnd"/>
      <w:r w:rsidRPr="009D288F">
        <w:t xml:space="preserve"> new budgeting and cash flow approaches. The ratio analysis helps in providing and predicting the financial projection for the conversion of the resort to a profitable business.</w:t>
      </w:r>
      <w:bookmarkStart w:id="15" w:name="_ocz39d3ngeoo" w:colFirst="0" w:colLast="0"/>
      <w:bookmarkEnd w:id="15"/>
      <w:r w:rsidRPr="009D288F">
        <w:br w:type="page"/>
      </w:r>
    </w:p>
    <w:p w14:paraId="429026B0" w14:textId="77777777" w:rsidR="005F67A9" w:rsidRPr="009D288F" w:rsidRDefault="005F67A9" w:rsidP="005F67A9">
      <w:pPr>
        <w:pStyle w:val="Heading1"/>
        <w:spacing w:after="240"/>
      </w:pPr>
      <w:bookmarkStart w:id="16" w:name="_Toc150707410"/>
      <w:r w:rsidRPr="009D288F">
        <w:t>References</w:t>
      </w:r>
      <w:bookmarkEnd w:id="16"/>
    </w:p>
    <w:p w14:paraId="2F28FCC3" w14:textId="77777777" w:rsidR="005F67A9" w:rsidRPr="009D288F" w:rsidRDefault="005F67A9" w:rsidP="005F67A9">
      <w:pPr>
        <w:spacing w:after="240"/>
        <w:rPr>
          <w:sz w:val="24"/>
          <w:szCs w:val="24"/>
        </w:rPr>
      </w:pPr>
      <w:r w:rsidRPr="009D288F">
        <w:rPr>
          <w:sz w:val="24"/>
          <w:szCs w:val="24"/>
        </w:rPr>
        <w:t xml:space="preserve">Altman, E. I. (2020) ‘FINANCIAL RATIOS, DISCRIMINANT ANALYSIS AND THE PREDICTION OF CORPORATE BANKRUPTCY’, </w:t>
      </w:r>
      <w:r w:rsidRPr="009D288F">
        <w:rPr>
          <w:i/>
          <w:sz w:val="24"/>
          <w:szCs w:val="24"/>
        </w:rPr>
        <w:t>The Journal of Finance</w:t>
      </w:r>
      <w:r w:rsidRPr="009D288F">
        <w:rPr>
          <w:sz w:val="24"/>
          <w:szCs w:val="24"/>
        </w:rPr>
        <w:t xml:space="preserve">, 23(4), pp. 589–609. </w:t>
      </w:r>
      <w:proofErr w:type="spellStart"/>
      <w:r w:rsidRPr="009D288F">
        <w:rPr>
          <w:sz w:val="24"/>
          <w:szCs w:val="24"/>
        </w:rPr>
        <w:t>doi</w:t>
      </w:r>
      <w:proofErr w:type="spellEnd"/>
      <w:r w:rsidRPr="009D288F">
        <w:rPr>
          <w:sz w:val="24"/>
          <w:szCs w:val="24"/>
        </w:rPr>
        <w:t xml:space="preserve"> https://doi.org/10.1111/j.1540-6261.1968.tb00843.x.</w:t>
      </w:r>
    </w:p>
    <w:p w14:paraId="5275A1FA" w14:textId="77777777" w:rsidR="005F67A9" w:rsidRPr="009D288F" w:rsidRDefault="005F67A9" w:rsidP="005F67A9">
      <w:pPr>
        <w:spacing w:after="240"/>
        <w:rPr>
          <w:sz w:val="24"/>
          <w:szCs w:val="24"/>
        </w:rPr>
      </w:pPr>
      <w:proofErr w:type="spellStart"/>
      <w:r w:rsidRPr="009D288F">
        <w:rPr>
          <w:sz w:val="24"/>
          <w:szCs w:val="24"/>
        </w:rPr>
        <w:t>Andekina</w:t>
      </w:r>
      <w:proofErr w:type="spellEnd"/>
      <w:r w:rsidRPr="009D288F">
        <w:rPr>
          <w:sz w:val="24"/>
          <w:szCs w:val="24"/>
        </w:rPr>
        <w:t xml:space="preserve">, R. and </w:t>
      </w:r>
      <w:proofErr w:type="spellStart"/>
      <w:r w:rsidRPr="009D288F">
        <w:rPr>
          <w:sz w:val="24"/>
          <w:szCs w:val="24"/>
        </w:rPr>
        <w:t>Rakhmetova</w:t>
      </w:r>
      <w:proofErr w:type="spellEnd"/>
      <w:r w:rsidRPr="009D288F">
        <w:rPr>
          <w:sz w:val="24"/>
          <w:szCs w:val="24"/>
        </w:rPr>
        <w:t xml:space="preserve">, R. (2019) ‘Financial Analysis and Diagnostics of the Company’, </w:t>
      </w:r>
      <w:r w:rsidRPr="009D288F">
        <w:rPr>
          <w:i/>
          <w:sz w:val="24"/>
          <w:szCs w:val="24"/>
        </w:rPr>
        <w:t>Procedia Economics and Finance</w:t>
      </w:r>
      <w:r w:rsidRPr="009D288F">
        <w:rPr>
          <w:sz w:val="24"/>
          <w:szCs w:val="24"/>
        </w:rPr>
        <w:t xml:space="preserve">, 5, pp. 50–57. </w:t>
      </w:r>
      <w:proofErr w:type="spellStart"/>
      <w:r w:rsidRPr="009D288F">
        <w:rPr>
          <w:sz w:val="24"/>
          <w:szCs w:val="24"/>
        </w:rPr>
        <w:t>doi</w:t>
      </w:r>
      <w:proofErr w:type="spellEnd"/>
      <w:r w:rsidRPr="009D288F">
        <w:rPr>
          <w:sz w:val="24"/>
          <w:szCs w:val="24"/>
        </w:rPr>
        <w:t>: https://doi.org/10.1016/s2212-5671(13)00008-7.</w:t>
      </w:r>
    </w:p>
    <w:p w14:paraId="05D3C532" w14:textId="77777777" w:rsidR="005F67A9" w:rsidRPr="009D288F" w:rsidRDefault="005F67A9" w:rsidP="005F67A9">
      <w:pPr>
        <w:spacing w:after="240"/>
        <w:rPr>
          <w:sz w:val="24"/>
          <w:szCs w:val="24"/>
        </w:rPr>
      </w:pPr>
      <w:r w:rsidRPr="009D288F">
        <w:rPr>
          <w:sz w:val="24"/>
          <w:szCs w:val="24"/>
        </w:rPr>
        <w:t xml:space="preserve">Aven, T. (2019) ‘Risk Assessment and Risk management: Review of Recent Advances on Their Foundation’, </w:t>
      </w:r>
      <w:r w:rsidRPr="009D288F">
        <w:rPr>
          <w:i/>
          <w:sz w:val="24"/>
          <w:szCs w:val="24"/>
        </w:rPr>
        <w:t>European Journal of Operational Research</w:t>
      </w:r>
      <w:r w:rsidRPr="009D288F">
        <w:rPr>
          <w:sz w:val="24"/>
          <w:szCs w:val="24"/>
        </w:rPr>
        <w:t>, 253(1), pp. 1–13.</w:t>
      </w:r>
    </w:p>
    <w:p w14:paraId="2840CCAF" w14:textId="77777777" w:rsidR="005F67A9" w:rsidRPr="009D288F" w:rsidRDefault="005F67A9" w:rsidP="005F67A9">
      <w:pPr>
        <w:spacing w:after="240"/>
        <w:rPr>
          <w:sz w:val="24"/>
          <w:szCs w:val="24"/>
        </w:rPr>
      </w:pPr>
      <w:proofErr w:type="spellStart"/>
      <w:r w:rsidRPr="009D288F">
        <w:rPr>
          <w:sz w:val="24"/>
          <w:szCs w:val="24"/>
        </w:rPr>
        <w:t>Chathoth</w:t>
      </w:r>
      <w:proofErr w:type="spellEnd"/>
      <w:r w:rsidRPr="009D288F">
        <w:rPr>
          <w:sz w:val="24"/>
          <w:szCs w:val="24"/>
        </w:rPr>
        <w:t xml:space="preserve">, P. K., </w:t>
      </w:r>
      <w:proofErr w:type="spellStart"/>
      <w:r w:rsidRPr="009D288F">
        <w:rPr>
          <w:sz w:val="24"/>
          <w:szCs w:val="24"/>
        </w:rPr>
        <w:t>Tse</w:t>
      </w:r>
      <w:proofErr w:type="spellEnd"/>
      <w:r w:rsidRPr="009D288F">
        <w:rPr>
          <w:sz w:val="24"/>
          <w:szCs w:val="24"/>
        </w:rPr>
        <w:t xml:space="preserve">, E. C.-Y. and Olsen, M. D. (2023) ‘Turnaround strategy: A study of restaurant firms’, </w:t>
      </w:r>
      <w:r w:rsidRPr="009D288F">
        <w:rPr>
          <w:i/>
          <w:sz w:val="24"/>
          <w:szCs w:val="24"/>
        </w:rPr>
        <w:t>International Journal of Hospitality Management</w:t>
      </w:r>
      <w:r w:rsidRPr="009D288F">
        <w:rPr>
          <w:sz w:val="24"/>
          <w:szCs w:val="24"/>
        </w:rPr>
        <w:t xml:space="preserve">, 25(4), pp. 602–622. </w:t>
      </w:r>
      <w:proofErr w:type="spellStart"/>
      <w:r w:rsidRPr="009D288F">
        <w:rPr>
          <w:sz w:val="24"/>
          <w:szCs w:val="24"/>
        </w:rPr>
        <w:t>doi</w:t>
      </w:r>
      <w:proofErr w:type="spellEnd"/>
      <w:r w:rsidRPr="009D288F">
        <w:rPr>
          <w:sz w:val="24"/>
          <w:szCs w:val="24"/>
        </w:rPr>
        <w:t>: https://doi.org/10.1016/j.ijhm.2005.04.010.</w:t>
      </w:r>
    </w:p>
    <w:p w14:paraId="58F90DEB" w14:textId="77777777" w:rsidR="005F67A9" w:rsidRPr="009D288F" w:rsidRDefault="005F67A9" w:rsidP="005F67A9">
      <w:pPr>
        <w:spacing w:after="240"/>
        <w:rPr>
          <w:sz w:val="24"/>
          <w:szCs w:val="24"/>
        </w:rPr>
      </w:pPr>
      <w:r w:rsidRPr="009D288F">
        <w:rPr>
          <w:sz w:val="24"/>
          <w:szCs w:val="24"/>
        </w:rPr>
        <w:t xml:space="preserve">Dvorsky, J. </w:t>
      </w:r>
      <w:r w:rsidRPr="009D288F">
        <w:rPr>
          <w:i/>
          <w:sz w:val="24"/>
          <w:szCs w:val="24"/>
        </w:rPr>
        <w:t>et al.</w:t>
      </w:r>
      <w:r w:rsidRPr="009D288F">
        <w:rPr>
          <w:sz w:val="24"/>
          <w:szCs w:val="24"/>
        </w:rPr>
        <w:t xml:space="preserve"> (2020) ‘Business risk management in the context of small and medium-sized enterprises’, </w:t>
      </w:r>
      <w:r w:rsidRPr="009D288F">
        <w:rPr>
          <w:i/>
          <w:sz w:val="24"/>
          <w:szCs w:val="24"/>
        </w:rPr>
        <w:t>Economic Research-</w:t>
      </w:r>
      <w:proofErr w:type="spellStart"/>
      <w:r w:rsidRPr="009D288F">
        <w:rPr>
          <w:i/>
          <w:sz w:val="24"/>
          <w:szCs w:val="24"/>
        </w:rPr>
        <w:t>Ekonomska</w:t>
      </w:r>
      <w:proofErr w:type="spellEnd"/>
      <w:r w:rsidRPr="009D288F">
        <w:rPr>
          <w:i/>
          <w:sz w:val="24"/>
          <w:szCs w:val="24"/>
        </w:rPr>
        <w:t xml:space="preserve"> </w:t>
      </w:r>
      <w:proofErr w:type="spellStart"/>
      <w:r w:rsidRPr="009D288F">
        <w:rPr>
          <w:i/>
          <w:sz w:val="24"/>
          <w:szCs w:val="24"/>
        </w:rPr>
        <w:t>Istraživanja</w:t>
      </w:r>
      <w:proofErr w:type="spellEnd"/>
      <w:r w:rsidRPr="009D288F">
        <w:rPr>
          <w:sz w:val="24"/>
          <w:szCs w:val="24"/>
        </w:rPr>
        <w:t xml:space="preserve">, 34(1), pp. 1–19. </w:t>
      </w:r>
      <w:proofErr w:type="spellStart"/>
      <w:r w:rsidRPr="009D288F">
        <w:rPr>
          <w:sz w:val="24"/>
          <w:szCs w:val="24"/>
        </w:rPr>
        <w:t>doi</w:t>
      </w:r>
      <w:proofErr w:type="spellEnd"/>
      <w:r w:rsidRPr="009D288F">
        <w:rPr>
          <w:sz w:val="24"/>
          <w:szCs w:val="24"/>
        </w:rPr>
        <w:t>: https://doi.org/10.1080/1331677x.2020.1844588.</w:t>
      </w:r>
    </w:p>
    <w:p w14:paraId="6597E0FD" w14:textId="77777777" w:rsidR="005F67A9" w:rsidRPr="009D288F" w:rsidRDefault="005F67A9" w:rsidP="005F67A9">
      <w:pPr>
        <w:spacing w:after="240"/>
        <w:rPr>
          <w:sz w:val="24"/>
          <w:szCs w:val="24"/>
        </w:rPr>
      </w:pPr>
      <w:r w:rsidRPr="009D288F">
        <w:rPr>
          <w:sz w:val="24"/>
          <w:szCs w:val="24"/>
        </w:rPr>
        <w:t xml:space="preserve">Edmister, R. O. (2019) ‘An Empirical Test of Financial Ratio Analysis for Small Business Failure Prediction’, </w:t>
      </w:r>
      <w:r w:rsidRPr="009D288F">
        <w:rPr>
          <w:i/>
          <w:sz w:val="24"/>
          <w:szCs w:val="24"/>
        </w:rPr>
        <w:t>The Journal of Financial and Quantitative Analysis</w:t>
      </w:r>
      <w:r w:rsidRPr="009D288F">
        <w:rPr>
          <w:sz w:val="24"/>
          <w:szCs w:val="24"/>
        </w:rPr>
        <w:t xml:space="preserve">, 7(2), p. 1477. </w:t>
      </w:r>
      <w:proofErr w:type="spellStart"/>
      <w:r w:rsidRPr="009D288F">
        <w:rPr>
          <w:sz w:val="24"/>
          <w:szCs w:val="24"/>
        </w:rPr>
        <w:t>doi</w:t>
      </w:r>
      <w:proofErr w:type="spellEnd"/>
      <w:r w:rsidRPr="009D288F">
        <w:rPr>
          <w:sz w:val="24"/>
          <w:szCs w:val="24"/>
        </w:rPr>
        <w:t>: https://doi.org/10.2307/2329929.</w:t>
      </w:r>
    </w:p>
    <w:p w14:paraId="0E9F23FA" w14:textId="77777777" w:rsidR="005F67A9" w:rsidRPr="009D288F" w:rsidRDefault="005F67A9" w:rsidP="005F67A9">
      <w:pPr>
        <w:spacing w:after="240"/>
        <w:rPr>
          <w:sz w:val="24"/>
          <w:szCs w:val="24"/>
        </w:rPr>
      </w:pPr>
      <w:r w:rsidRPr="009D288F">
        <w:rPr>
          <w:sz w:val="24"/>
          <w:szCs w:val="24"/>
        </w:rPr>
        <w:t xml:space="preserve">González Santa Cruz, F. </w:t>
      </w:r>
      <w:r w:rsidRPr="009D288F">
        <w:rPr>
          <w:i/>
          <w:sz w:val="24"/>
          <w:szCs w:val="24"/>
        </w:rPr>
        <w:t>et al.</w:t>
      </w:r>
      <w:r w:rsidRPr="009D288F">
        <w:rPr>
          <w:sz w:val="24"/>
          <w:szCs w:val="24"/>
        </w:rPr>
        <w:t xml:space="preserve"> (2020) ‘Analysis of the Internal Marketing Dimensions in Social Economy Organizations: Study Applied to Co-</w:t>
      </w:r>
      <w:proofErr w:type="spellStart"/>
      <w:r w:rsidRPr="009D288F">
        <w:rPr>
          <w:sz w:val="24"/>
          <w:szCs w:val="24"/>
        </w:rPr>
        <w:t>operativism</w:t>
      </w:r>
      <w:proofErr w:type="spellEnd"/>
      <w:r w:rsidRPr="009D288F">
        <w:rPr>
          <w:sz w:val="24"/>
          <w:szCs w:val="24"/>
        </w:rPr>
        <w:t xml:space="preserve"> in Ecuador’, </w:t>
      </w:r>
      <w:r w:rsidRPr="009D288F">
        <w:rPr>
          <w:i/>
          <w:sz w:val="24"/>
          <w:szCs w:val="24"/>
        </w:rPr>
        <w:t>Frontiers in Psychology</w:t>
      </w:r>
      <w:r w:rsidRPr="009D288F">
        <w:rPr>
          <w:sz w:val="24"/>
          <w:szCs w:val="24"/>
        </w:rPr>
        <w:t xml:space="preserve">, 11. </w:t>
      </w:r>
      <w:proofErr w:type="spellStart"/>
      <w:r w:rsidRPr="009D288F">
        <w:rPr>
          <w:sz w:val="24"/>
          <w:szCs w:val="24"/>
        </w:rPr>
        <w:t>doi</w:t>
      </w:r>
      <w:proofErr w:type="spellEnd"/>
      <w:r w:rsidRPr="009D288F">
        <w:rPr>
          <w:sz w:val="24"/>
          <w:szCs w:val="24"/>
        </w:rPr>
        <w:t>: https://doi.org/10.3389/fpsyg.2020.580673.</w:t>
      </w:r>
    </w:p>
    <w:p w14:paraId="0A33EE0A" w14:textId="77777777" w:rsidR="005F67A9" w:rsidRPr="009D288F" w:rsidRDefault="005F67A9" w:rsidP="005F67A9">
      <w:pPr>
        <w:spacing w:after="240"/>
        <w:rPr>
          <w:sz w:val="24"/>
          <w:szCs w:val="24"/>
        </w:rPr>
      </w:pPr>
      <w:r w:rsidRPr="009D288F">
        <w:rPr>
          <w:sz w:val="24"/>
          <w:szCs w:val="24"/>
        </w:rPr>
        <w:t xml:space="preserve">Hán, J., Petříček, M. and Chalupa, Š. (2020) ‘Business Process Management Approach in the Hospitality Industry’, </w:t>
      </w:r>
      <w:r w:rsidRPr="009D288F">
        <w:rPr>
          <w:i/>
          <w:sz w:val="24"/>
          <w:szCs w:val="24"/>
        </w:rPr>
        <w:t>Advanced series in management</w:t>
      </w:r>
      <w:r w:rsidRPr="009D288F">
        <w:rPr>
          <w:sz w:val="24"/>
          <w:szCs w:val="24"/>
        </w:rPr>
        <w:t xml:space="preserve">, pp. 145–158. </w:t>
      </w:r>
      <w:proofErr w:type="spellStart"/>
      <w:r w:rsidRPr="009D288F">
        <w:rPr>
          <w:sz w:val="24"/>
          <w:szCs w:val="24"/>
        </w:rPr>
        <w:t>doi</w:t>
      </w:r>
      <w:proofErr w:type="spellEnd"/>
      <w:r w:rsidRPr="009D288F">
        <w:rPr>
          <w:sz w:val="24"/>
          <w:szCs w:val="24"/>
        </w:rPr>
        <w:t>: https://doi.org/10.1108/s1877-636120200000024011.</w:t>
      </w:r>
    </w:p>
    <w:p w14:paraId="053F9C4D" w14:textId="77777777" w:rsidR="005F67A9" w:rsidRPr="009D288F" w:rsidRDefault="005F67A9" w:rsidP="005F67A9">
      <w:pPr>
        <w:spacing w:after="240"/>
        <w:rPr>
          <w:sz w:val="24"/>
          <w:szCs w:val="24"/>
        </w:rPr>
      </w:pPr>
      <w:r w:rsidRPr="009D288F">
        <w:rPr>
          <w:sz w:val="24"/>
          <w:szCs w:val="24"/>
        </w:rPr>
        <w:t xml:space="preserve">Jackson, A. B. (2021) ‘Financial statement analysis: a review and current issues’, </w:t>
      </w:r>
      <w:r w:rsidRPr="009D288F">
        <w:rPr>
          <w:i/>
          <w:sz w:val="24"/>
          <w:szCs w:val="24"/>
        </w:rPr>
        <w:t>China Finance Review International</w:t>
      </w:r>
      <w:r w:rsidRPr="009D288F">
        <w:rPr>
          <w:sz w:val="24"/>
          <w:szCs w:val="24"/>
        </w:rPr>
        <w:t xml:space="preserve">, 12(1), pp. 1–19. </w:t>
      </w:r>
      <w:proofErr w:type="spellStart"/>
      <w:r w:rsidRPr="009D288F">
        <w:rPr>
          <w:sz w:val="24"/>
          <w:szCs w:val="24"/>
        </w:rPr>
        <w:t>doi</w:t>
      </w:r>
      <w:proofErr w:type="spellEnd"/>
      <w:r w:rsidRPr="009D288F">
        <w:rPr>
          <w:sz w:val="24"/>
          <w:szCs w:val="24"/>
        </w:rPr>
        <w:t>: https://doi.org/10.1108/cfri-10-2021-0208.</w:t>
      </w:r>
    </w:p>
    <w:p w14:paraId="745BDEF5" w14:textId="77777777" w:rsidR="005F67A9" w:rsidRPr="009D288F" w:rsidRDefault="005F67A9" w:rsidP="005F67A9">
      <w:pPr>
        <w:spacing w:after="240"/>
        <w:rPr>
          <w:sz w:val="24"/>
          <w:szCs w:val="24"/>
        </w:rPr>
      </w:pPr>
      <w:r w:rsidRPr="009D288F">
        <w:rPr>
          <w:sz w:val="24"/>
          <w:szCs w:val="24"/>
        </w:rPr>
        <w:t xml:space="preserve">Jason, A. (2023) </w:t>
      </w:r>
      <w:r w:rsidRPr="009D288F">
        <w:rPr>
          <w:i/>
          <w:sz w:val="24"/>
          <w:szCs w:val="24"/>
        </w:rPr>
        <w:t>ATRIUM PRESTIGE THALASSO SPA RESORT &amp; VILLAS (</w:t>
      </w:r>
      <w:proofErr w:type="spellStart"/>
      <w:r w:rsidRPr="009D288F">
        <w:rPr>
          <w:i/>
          <w:sz w:val="24"/>
          <w:szCs w:val="24"/>
        </w:rPr>
        <w:t>Lachania</w:t>
      </w:r>
      <w:proofErr w:type="spellEnd"/>
      <w:r w:rsidRPr="009D288F">
        <w:rPr>
          <w:i/>
          <w:sz w:val="24"/>
          <w:szCs w:val="24"/>
        </w:rPr>
        <w:t>) - Hotel Reviews, Photos, Rate Comparison</w:t>
      </w:r>
      <w:r w:rsidRPr="009D288F">
        <w:rPr>
          <w:sz w:val="24"/>
          <w:szCs w:val="24"/>
        </w:rPr>
        <w:t xml:space="preserve">, </w:t>
      </w:r>
      <w:proofErr w:type="spellStart"/>
      <w:r w:rsidRPr="009D288F">
        <w:rPr>
          <w:i/>
          <w:sz w:val="24"/>
          <w:szCs w:val="24"/>
        </w:rPr>
        <w:t>Tripadvisor</w:t>
      </w:r>
      <w:proofErr w:type="spellEnd"/>
      <w:r w:rsidRPr="009D288F">
        <w:rPr>
          <w:sz w:val="24"/>
          <w:szCs w:val="24"/>
        </w:rPr>
        <w:t>. Available at: https://www.tripadvisor.in/Hotel_Review-g1568712-d1418538-Reviews-Atrium_Prestige_Thalasso_Spa_Resort_Villas-Lachania_Rhodes_Dodecanese_South_Aegean.html (Accessed: 12 November 2023).</w:t>
      </w:r>
    </w:p>
    <w:p w14:paraId="0385448F" w14:textId="77777777" w:rsidR="005F67A9" w:rsidRPr="009D288F" w:rsidRDefault="005F67A9" w:rsidP="005F67A9">
      <w:pPr>
        <w:spacing w:after="240"/>
        <w:rPr>
          <w:sz w:val="24"/>
          <w:szCs w:val="24"/>
        </w:rPr>
      </w:pPr>
      <w:r w:rsidRPr="009D288F">
        <w:rPr>
          <w:sz w:val="24"/>
          <w:szCs w:val="24"/>
        </w:rPr>
        <w:t xml:space="preserve">Kaplan, A. (2021) ‘A management approach to hospitality and tourism education’, </w:t>
      </w:r>
      <w:r w:rsidRPr="009D288F">
        <w:rPr>
          <w:i/>
          <w:sz w:val="24"/>
          <w:szCs w:val="24"/>
        </w:rPr>
        <w:t>International Journal of Hospitality Management</w:t>
      </w:r>
      <w:r w:rsidRPr="009D288F">
        <w:rPr>
          <w:sz w:val="24"/>
          <w:szCs w:val="24"/>
        </w:rPr>
        <w:t xml:space="preserve">, 1(1), pp. 11–17. </w:t>
      </w:r>
      <w:proofErr w:type="spellStart"/>
      <w:r w:rsidRPr="009D288F">
        <w:rPr>
          <w:sz w:val="24"/>
          <w:szCs w:val="24"/>
        </w:rPr>
        <w:t>doi</w:t>
      </w:r>
      <w:proofErr w:type="spellEnd"/>
      <w:r w:rsidRPr="009D288F">
        <w:rPr>
          <w:sz w:val="24"/>
          <w:szCs w:val="24"/>
        </w:rPr>
        <w:t>: https://doi.org/10.1016/0278-4319(82)90018-4.</w:t>
      </w:r>
    </w:p>
    <w:p w14:paraId="2AA3D6A0" w14:textId="77777777" w:rsidR="005F67A9" w:rsidRPr="009D288F" w:rsidRDefault="005F67A9" w:rsidP="005F67A9">
      <w:pPr>
        <w:spacing w:after="240"/>
        <w:rPr>
          <w:sz w:val="24"/>
          <w:szCs w:val="24"/>
        </w:rPr>
      </w:pPr>
      <w:r w:rsidRPr="009D288F">
        <w:rPr>
          <w:sz w:val="24"/>
          <w:szCs w:val="24"/>
        </w:rPr>
        <w:t xml:space="preserve">Molina-Castillo, F.-J. </w:t>
      </w:r>
      <w:r w:rsidRPr="009D288F">
        <w:rPr>
          <w:i/>
          <w:sz w:val="24"/>
          <w:szCs w:val="24"/>
        </w:rPr>
        <w:t>et al.</w:t>
      </w:r>
      <w:r w:rsidRPr="009D288F">
        <w:rPr>
          <w:sz w:val="24"/>
          <w:szCs w:val="24"/>
        </w:rPr>
        <w:t xml:space="preserve"> (2023) ‘Innovation and Technology in Hospitality Sector: Outcome and Performance’, </w:t>
      </w:r>
      <w:r w:rsidRPr="009D288F">
        <w:rPr>
          <w:i/>
          <w:sz w:val="24"/>
          <w:szCs w:val="24"/>
        </w:rPr>
        <w:t>Businesses</w:t>
      </w:r>
      <w:r w:rsidRPr="009D288F">
        <w:rPr>
          <w:sz w:val="24"/>
          <w:szCs w:val="24"/>
        </w:rPr>
        <w:t xml:space="preserve">, 3(1), pp. 198–220. </w:t>
      </w:r>
      <w:proofErr w:type="spellStart"/>
      <w:r w:rsidRPr="009D288F">
        <w:rPr>
          <w:sz w:val="24"/>
          <w:szCs w:val="24"/>
        </w:rPr>
        <w:t>doi</w:t>
      </w:r>
      <w:proofErr w:type="spellEnd"/>
      <w:r w:rsidRPr="009D288F">
        <w:rPr>
          <w:sz w:val="24"/>
          <w:szCs w:val="24"/>
        </w:rPr>
        <w:t>: https://doi.org/10.3390/businesses3010014.</w:t>
      </w:r>
    </w:p>
    <w:p w14:paraId="6A6D8633" w14:textId="77777777" w:rsidR="005F67A9" w:rsidRPr="009D288F" w:rsidRDefault="005F67A9" w:rsidP="005F67A9">
      <w:pPr>
        <w:spacing w:after="240"/>
        <w:rPr>
          <w:sz w:val="24"/>
          <w:szCs w:val="24"/>
        </w:rPr>
      </w:pPr>
      <w:r w:rsidRPr="009D288F">
        <w:rPr>
          <w:sz w:val="24"/>
          <w:szCs w:val="24"/>
        </w:rPr>
        <w:t xml:space="preserve">Santana, M., Valle, R. and Galan, J.-L. (2020) ‘Turnaround strategies for companies in crisis: Watch out the causes of decline before firing people’, </w:t>
      </w:r>
      <w:r w:rsidRPr="009D288F">
        <w:rPr>
          <w:i/>
          <w:sz w:val="24"/>
          <w:szCs w:val="24"/>
        </w:rPr>
        <w:t>BRQ Business Research Quarterly</w:t>
      </w:r>
      <w:r w:rsidRPr="009D288F">
        <w:rPr>
          <w:sz w:val="24"/>
          <w:szCs w:val="24"/>
        </w:rPr>
        <w:t xml:space="preserve">, 20(3), pp. 206–211. </w:t>
      </w:r>
      <w:proofErr w:type="spellStart"/>
      <w:r w:rsidRPr="009D288F">
        <w:rPr>
          <w:sz w:val="24"/>
          <w:szCs w:val="24"/>
        </w:rPr>
        <w:t>doi</w:t>
      </w:r>
      <w:proofErr w:type="spellEnd"/>
      <w:r w:rsidRPr="009D288F">
        <w:rPr>
          <w:sz w:val="24"/>
          <w:szCs w:val="24"/>
        </w:rPr>
        <w:t>: https://doi.org/10.1016/j.brq.2017.01.003.</w:t>
      </w:r>
    </w:p>
    <w:p w14:paraId="06C236B6" w14:textId="77777777" w:rsidR="005F67A9" w:rsidRPr="009D288F" w:rsidRDefault="005F67A9" w:rsidP="005F67A9">
      <w:pPr>
        <w:spacing w:after="240"/>
        <w:rPr>
          <w:sz w:val="24"/>
          <w:szCs w:val="24"/>
        </w:rPr>
      </w:pPr>
      <w:r w:rsidRPr="009D288F">
        <w:rPr>
          <w:sz w:val="24"/>
          <w:szCs w:val="24"/>
        </w:rPr>
        <w:t xml:space="preserve">Slater, S. F. and Olson, E. M. (2022) ‘A fresh look at industry and market analysis’, </w:t>
      </w:r>
      <w:r w:rsidRPr="009D288F">
        <w:rPr>
          <w:i/>
          <w:sz w:val="24"/>
          <w:szCs w:val="24"/>
        </w:rPr>
        <w:t>Business Horizons</w:t>
      </w:r>
      <w:r w:rsidRPr="009D288F">
        <w:rPr>
          <w:sz w:val="24"/>
          <w:szCs w:val="24"/>
        </w:rPr>
        <w:t>, 45(1), pp. 15–22.</w:t>
      </w:r>
    </w:p>
    <w:p w14:paraId="63B991F9" w14:textId="77777777" w:rsidR="005F67A9" w:rsidRPr="009D288F" w:rsidRDefault="005F67A9" w:rsidP="005F67A9">
      <w:pPr>
        <w:spacing w:after="240"/>
        <w:rPr>
          <w:sz w:val="24"/>
          <w:szCs w:val="24"/>
        </w:rPr>
      </w:pPr>
      <w:proofErr w:type="spellStart"/>
      <w:r w:rsidRPr="009D288F">
        <w:rPr>
          <w:sz w:val="24"/>
          <w:szCs w:val="24"/>
        </w:rPr>
        <w:t>Yallop</w:t>
      </w:r>
      <w:proofErr w:type="spellEnd"/>
      <w:r w:rsidRPr="009D288F">
        <w:rPr>
          <w:sz w:val="24"/>
          <w:szCs w:val="24"/>
        </w:rPr>
        <w:t xml:space="preserve">, A. C., Baker, J. J. and Wardle, J. (2022) ‘Market Research and Insight: Past, Present and Future’, </w:t>
      </w:r>
      <w:r w:rsidRPr="009D288F">
        <w:rPr>
          <w:i/>
          <w:sz w:val="24"/>
          <w:szCs w:val="24"/>
        </w:rPr>
        <w:t>International Journal of Market Research</w:t>
      </w:r>
      <w:r w:rsidRPr="009D288F">
        <w:rPr>
          <w:sz w:val="24"/>
          <w:szCs w:val="24"/>
        </w:rPr>
        <w:t xml:space="preserve">, 64(2), pp. 163–168. </w:t>
      </w:r>
      <w:proofErr w:type="spellStart"/>
      <w:r w:rsidRPr="009D288F">
        <w:rPr>
          <w:sz w:val="24"/>
          <w:szCs w:val="24"/>
        </w:rPr>
        <w:t>doi</w:t>
      </w:r>
      <w:proofErr w:type="spellEnd"/>
      <w:r w:rsidRPr="009D288F">
        <w:rPr>
          <w:sz w:val="24"/>
          <w:szCs w:val="24"/>
        </w:rPr>
        <w:t>: https://doi.org/10.1177/14707853221080735.</w:t>
      </w:r>
    </w:p>
    <w:p w14:paraId="2ED0DA89" w14:textId="77777777" w:rsidR="005F67A9" w:rsidRPr="00727360" w:rsidRDefault="005F67A9" w:rsidP="005C5E7A">
      <w:pPr>
        <w:jc w:val="center"/>
        <w:rPr>
          <w:b/>
          <w:bCs/>
          <w:sz w:val="36"/>
          <w:szCs w:val="32"/>
        </w:rPr>
      </w:pPr>
    </w:p>
    <w:sectPr w:rsidR="005F67A9" w:rsidRPr="00727360" w:rsidSect="009E6ACC">
      <w:footerReference w:type="default" r:id="rId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1DEEB" w14:textId="77777777" w:rsidR="004D0963" w:rsidRDefault="004D0963">
      <w:pPr>
        <w:spacing w:line="240" w:lineRule="auto"/>
      </w:pPr>
      <w:r>
        <w:separator/>
      </w:r>
    </w:p>
  </w:endnote>
  <w:endnote w:type="continuationSeparator" w:id="0">
    <w:p w14:paraId="1DC8643C" w14:textId="77777777" w:rsidR="004D0963" w:rsidRDefault="004D09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Gungsuh">
    <w:altName w:val="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401693"/>
      <w:docPartObj>
        <w:docPartGallery w:val="Page Numbers (Bottom of Page)"/>
        <w:docPartUnique/>
      </w:docPartObj>
    </w:sdtPr>
    <w:sdtEndPr>
      <w:rPr>
        <w:noProof/>
      </w:rPr>
    </w:sdtEndPr>
    <w:sdtContent>
      <w:p w14:paraId="6318AD4D" w14:textId="77777777" w:rsidR="00D824D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BD5D41" w14:textId="77777777" w:rsidR="00D824D7" w:rsidRDefault="00D82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323B1" w14:textId="77777777" w:rsidR="004D0963" w:rsidRDefault="004D0963">
      <w:pPr>
        <w:spacing w:line="240" w:lineRule="auto"/>
      </w:pPr>
      <w:r>
        <w:separator/>
      </w:r>
    </w:p>
  </w:footnote>
  <w:footnote w:type="continuationSeparator" w:id="0">
    <w:p w14:paraId="724A24F2" w14:textId="77777777" w:rsidR="004D0963" w:rsidRDefault="004D09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554BE"/>
    <w:multiLevelType w:val="multilevel"/>
    <w:tmpl w:val="74401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C92723"/>
    <w:multiLevelType w:val="hybridMultilevel"/>
    <w:tmpl w:val="46F44F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DD11B4"/>
    <w:multiLevelType w:val="hybridMultilevel"/>
    <w:tmpl w:val="A89C0C0E"/>
    <w:lvl w:ilvl="0" w:tplc="AFA85ADA">
      <w:start w:val="1"/>
      <w:numFmt w:val="bullet"/>
      <w:lvlText w:val=""/>
      <w:lvlJc w:val="left"/>
      <w:pPr>
        <w:ind w:left="720" w:hanging="360"/>
      </w:pPr>
      <w:rPr>
        <w:rFonts w:ascii="Symbol" w:hAnsi="Symbol" w:hint="default"/>
      </w:rPr>
    </w:lvl>
    <w:lvl w:ilvl="1" w:tplc="BD8E60A6" w:tentative="1">
      <w:start w:val="1"/>
      <w:numFmt w:val="bullet"/>
      <w:lvlText w:val="o"/>
      <w:lvlJc w:val="left"/>
      <w:pPr>
        <w:ind w:left="1440" w:hanging="360"/>
      </w:pPr>
      <w:rPr>
        <w:rFonts w:ascii="Courier New" w:hAnsi="Courier New" w:cs="Courier New" w:hint="default"/>
      </w:rPr>
    </w:lvl>
    <w:lvl w:ilvl="2" w:tplc="4EA6AD1C" w:tentative="1">
      <w:start w:val="1"/>
      <w:numFmt w:val="bullet"/>
      <w:lvlText w:val=""/>
      <w:lvlJc w:val="left"/>
      <w:pPr>
        <w:ind w:left="2160" w:hanging="360"/>
      </w:pPr>
      <w:rPr>
        <w:rFonts w:ascii="Wingdings" w:hAnsi="Wingdings" w:hint="default"/>
      </w:rPr>
    </w:lvl>
    <w:lvl w:ilvl="3" w:tplc="B76C4AB8" w:tentative="1">
      <w:start w:val="1"/>
      <w:numFmt w:val="bullet"/>
      <w:lvlText w:val=""/>
      <w:lvlJc w:val="left"/>
      <w:pPr>
        <w:ind w:left="2880" w:hanging="360"/>
      </w:pPr>
      <w:rPr>
        <w:rFonts w:ascii="Symbol" w:hAnsi="Symbol" w:hint="default"/>
      </w:rPr>
    </w:lvl>
    <w:lvl w:ilvl="4" w:tplc="0A442C80" w:tentative="1">
      <w:start w:val="1"/>
      <w:numFmt w:val="bullet"/>
      <w:lvlText w:val="o"/>
      <w:lvlJc w:val="left"/>
      <w:pPr>
        <w:ind w:left="3600" w:hanging="360"/>
      </w:pPr>
      <w:rPr>
        <w:rFonts w:ascii="Courier New" w:hAnsi="Courier New" w:cs="Courier New" w:hint="default"/>
      </w:rPr>
    </w:lvl>
    <w:lvl w:ilvl="5" w:tplc="A8C8AD02" w:tentative="1">
      <w:start w:val="1"/>
      <w:numFmt w:val="bullet"/>
      <w:lvlText w:val=""/>
      <w:lvlJc w:val="left"/>
      <w:pPr>
        <w:ind w:left="4320" w:hanging="360"/>
      </w:pPr>
      <w:rPr>
        <w:rFonts w:ascii="Wingdings" w:hAnsi="Wingdings" w:hint="default"/>
      </w:rPr>
    </w:lvl>
    <w:lvl w:ilvl="6" w:tplc="BA560726" w:tentative="1">
      <w:start w:val="1"/>
      <w:numFmt w:val="bullet"/>
      <w:lvlText w:val=""/>
      <w:lvlJc w:val="left"/>
      <w:pPr>
        <w:ind w:left="5040" w:hanging="360"/>
      </w:pPr>
      <w:rPr>
        <w:rFonts w:ascii="Symbol" w:hAnsi="Symbol" w:hint="default"/>
      </w:rPr>
    </w:lvl>
    <w:lvl w:ilvl="7" w:tplc="A73E9638" w:tentative="1">
      <w:start w:val="1"/>
      <w:numFmt w:val="bullet"/>
      <w:lvlText w:val="o"/>
      <w:lvlJc w:val="left"/>
      <w:pPr>
        <w:ind w:left="5760" w:hanging="360"/>
      </w:pPr>
      <w:rPr>
        <w:rFonts w:ascii="Courier New" w:hAnsi="Courier New" w:cs="Courier New" w:hint="default"/>
      </w:rPr>
    </w:lvl>
    <w:lvl w:ilvl="8" w:tplc="66DEE826" w:tentative="1">
      <w:start w:val="1"/>
      <w:numFmt w:val="bullet"/>
      <w:lvlText w:val=""/>
      <w:lvlJc w:val="left"/>
      <w:pPr>
        <w:ind w:left="6480" w:hanging="360"/>
      </w:pPr>
      <w:rPr>
        <w:rFonts w:ascii="Wingdings" w:hAnsi="Wingdings" w:hint="default"/>
      </w:rPr>
    </w:lvl>
  </w:abstractNum>
  <w:abstractNum w:abstractNumId="3" w15:restartNumberingAfterBreak="0">
    <w:nsid w:val="2BAB6753"/>
    <w:multiLevelType w:val="multilevel"/>
    <w:tmpl w:val="2EAE21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0706D6D"/>
    <w:multiLevelType w:val="hybridMultilevel"/>
    <w:tmpl w:val="977C1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74A7E52"/>
    <w:multiLevelType w:val="multilevel"/>
    <w:tmpl w:val="E68666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E44EF5"/>
    <w:multiLevelType w:val="multilevel"/>
    <w:tmpl w:val="B9928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323121B"/>
    <w:multiLevelType w:val="hybridMultilevel"/>
    <w:tmpl w:val="87309C72"/>
    <w:lvl w:ilvl="0" w:tplc="CF903EB8">
      <w:start w:val="1"/>
      <w:numFmt w:val="bullet"/>
      <w:lvlText w:val=""/>
      <w:lvlJc w:val="left"/>
      <w:pPr>
        <w:ind w:left="720" w:hanging="360"/>
      </w:pPr>
      <w:rPr>
        <w:rFonts w:ascii="Symbol" w:hAnsi="Symbol" w:hint="default"/>
      </w:rPr>
    </w:lvl>
    <w:lvl w:ilvl="1" w:tplc="65F2516A" w:tentative="1">
      <w:start w:val="1"/>
      <w:numFmt w:val="bullet"/>
      <w:lvlText w:val="o"/>
      <w:lvlJc w:val="left"/>
      <w:pPr>
        <w:ind w:left="1440" w:hanging="360"/>
      </w:pPr>
      <w:rPr>
        <w:rFonts w:ascii="Courier New" w:hAnsi="Courier New" w:cs="Courier New" w:hint="default"/>
      </w:rPr>
    </w:lvl>
    <w:lvl w:ilvl="2" w:tplc="D5AE0DA0" w:tentative="1">
      <w:start w:val="1"/>
      <w:numFmt w:val="bullet"/>
      <w:lvlText w:val=""/>
      <w:lvlJc w:val="left"/>
      <w:pPr>
        <w:ind w:left="2160" w:hanging="360"/>
      </w:pPr>
      <w:rPr>
        <w:rFonts w:ascii="Wingdings" w:hAnsi="Wingdings" w:hint="default"/>
      </w:rPr>
    </w:lvl>
    <w:lvl w:ilvl="3" w:tplc="38126600" w:tentative="1">
      <w:start w:val="1"/>
      <w:numFmt w:val="bullet"/>
      <w:lvlText w:val=""/>
      <w:lvlJc w:val="left"/>
      <w:pPr>
        <w:ind w:left="2880" w:hanging="360"/>
      </w:pPr>
      <w:rPr>
        <w:rFonts w:ascii="Symbol" w:hAnsi="Symbol" w:hint="default"/>
      </w:rPr>
    </w:lvl>
    <w:lvl w:ilvl="4" w:tplc="92F07130" w:tentative="1">
      <w:start w:val="1"/>
      <w:numFmt w:val="bullet"/>
      <w:lvlText w:val="o"/>
      <w:lvlJc w:val="left"/>
      <w:pPr>
        <w:ind w:left="3600" w:hanging="360"/>
      </w:pPr>
      <w:rPr>
        <w:rFonts w:ascii="Courier New" w:hAnsi="Courier New" w:cs="Courier New" w:hint="default"/>
      </w:rPr>
    </w:lvl>
    <w:lvl w:ilvl="5" w:tplc="C472BFE0" w:tentative="1">
      <w:start w:val="1"/>
      <w:numFmt w:val="bullet"/>
      <w:lvlText w:val=""/>
      <w:lvlJc w:val="left"/>
      <w:pPr>
        <w:ind w:left="4320" w:hanging="360"/>
      </w:pPr>
      <w:rPr>
        <w:rFonts w:ascii="Wingdings" w:hAnsi="Wingdings" w:hint="default"/>
      </w:rPr>
    </w:lvl>
    <w:lvl w:ilvl="6" w:tplc="8560325E" w:tentative="1">
      <w:start w:val="1"/>
      <w:numFmt w:val="bullet"/>
      <w:lvlText w:val=""/>
      <w:lvlJc w:val="left"/>
      <w:pPr>
        <w:ind w:left="5040" w:hanging="360"/>
      </w:pPr>
      <w:rPr>
        <w:rFonts w:ascii="Symbol" w:hAnsi="Symbol" w:hint="default"/>
      </w:rPr>
    </w:lvl>
    <w:lvl w:ilvl="7" w:tplc="8BA49054" w:tentative="1">
      <w:start w:val="1"/>
      <w:numFmt w:val="bullet"/>
      <w:lvlText w:val="o"/>
      <w:lvlJc w:val="left"/>
      <w:pPr>
        <w:ind w:left="5760" w:hanging="360"/>
      </w:pPr>
      <w:rPr>
        <w:rFonts w:ascii="Courier New" w:hAnsi="Courier New" w:cs="Courier New" w:hint="default"/>
      </w:rPr>
    </w:lvl>
    <w:lvl w:ilvl="8" w:tplc="7AA80354" w:tentative="1">
      <w:start w:val="1"/>
      <w:numFmt w:val="bullet"/>
      <w:lvlText w:val=""/>
      <w:lvlJc w:val="left"/>
      <w:pPr>
        <w:ind w:left="6480" w:hanging="360"/>
      </w:pPr>
      <w:rPr>
        <w:rFonts w:ascii="Wingdings" w:hAnsi="Wingdings" w:hint="default"/>
      </w:rPr>
    </w:lvl>
  </w:abstractNum>
  <w:abstractNum w:abstractNumId="8" w15:restartNumberingAfterBreak="0">
    <w:nsid w:val="728810A4"/>
    <w:multiLevelType w:val="multilevel"/>
    <w:tmpl w:val="3A2AE7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4D41B2"/>
    <w:multiLevelType w:val="multilevel"/>
    <w:tmpl w:val="1C2C07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F1B7615"/>
    <w:multiLevelType w:val="hybridMultilevel"/>
    <w:tmpl w:val="AF64165C"/>
    <w:lvl w:ilvl="0" w:tplc="47F6FF26">
      <w:start w:val="1"/>
      <w:numFmt w:val="bullet"/>
      <w:lvlText w:val=""/>
      <w:lvlJc w:val="left"/>
      <w:pPr>
        <w:ind w:left="720" w:hanging="360"/>
      </w:pPr>
      <w:rPr>
        <w:rFonts w:ascii="Symbol" w:hAnsi="Symbol" w:hint="default"/>
      </w:rPr>
    </w:lvl>
    <w:lvl w:ilvl="1" w:tplc="088EAE66" w:tentative="1">
      <w:start w:val="1"/>
      <w:numFmt w:val="bullet"/>
      <w:lvlText w:val="o"/>
      <w:lvlJc w:val="left"/>
      <w:pPr>
        <w:ind w:left="1440" w:hanging="360"/>
      </w:pPr>
      <w:rPr>
        <w:rFonts w:ascii="Courier New" w:hAnsi="Courier New" w:cs="Courier New" w:hint="default"/>
      </w:rPr>
    </w:lvl>
    <w:lvl w:ilvl="2" w:tplc="22186804" w:tentative="1">
      <w:start w:val="1"/>
      <w:numFmt w:val="bullet"/>
      <w:lvlText w:val=""/>
      <w:lvlJc w:val="left"/>
      <w:pPr>
        <w:ind w:left="2160" w:hanging="360"/>
      </w:pPr>
      <w:rPr>
        <w:rFonts w:ascii="Wingdings" w:hAnsi="Wingdings" w:hint="default"/>
      </w:rPr>
    </w:lvl>
    <w:lvl w:ilvl="3" w:tplc="E724F8F8" w:tentative="1">
      <w:start w:val="1"/>
      <w:numFmt w:val="bullet"/>
      <w:lvlText w:val=""/>
      <w:lvlJc w:val="left"/>
      <w:pPr>
        <w:ind w:left="2880" w:hanging="360"/>
      </w:pPr>
      <w:rPr>
        <w:rFonts w:ascii="Symbol" w:hAnsi="Symbol" w:hint="default"/>
      </w:rPr>
    </w:lvl>
    <w:lvl w:ilvl="4" w:tplc="D3947E92" w:tentative="1">
      <w:start w:val="1"/>
      <w:numFmt w:val="bullet"/>
      <w:lvlText w:val="o"/>
      <w:lvlJc w:val="left"/>
      <w:pPr>
        <w:ind w:left="3600" w:hanging="360"/>
      </w:pPr>
      <w:rPr>
        <w:rFonts w:ascii="Courier New" w:hAnsi="Courier New" w:cs="Courier New" w:hint="default"/>
      </w:rPr>
    </w:lvl>
    <w:lvl w:ilvl="5" w:tplc="06CE777A" w:tentative="1">
      <w:start w:val="1"/>
      <w:numFmt w:val="bullet"/>
      <w:lvlText w:val=""/>
      <w:lvlJc w:val="left"/>
      <w:pPr>
        <w:ind w:left="4320" w:hanging="360"/>
      </w:pPr>
      <w:rPr>
        <w:rFonts w:ascii="Wingdings" w:hAnsi="Wingdings" w:hint="default"/>
      </w:rPr>
    </w:lvl>
    <w:lvl w:ilvl="6" w:tplc="1EE81ACA" w:tentative="1">
      <w:start w:val="1"/>
      <w:numFmt w:val="bullet"/>
      <w:lvlText w:val=""/>
      <w:lvlJc w:val="left"/>
      <w:pPr>
        <w:ind w:left="5040" w:hanging="360"/>
      </w:pPr>
      <w:rPr>
        <w:rFonts w:ascii="Symbol" w:hAnsi="Symbol" w:hint="default"/>
      </w:rPr>
    </w:lvl>
    <w:lvl w:ilvl="7" w:tplc="39CCBECE" w:tentative="1">
      <w:start w:val="1"/>
      <w:numFmt w:val="bullet"/>
      <w:lvlText w:val="o"/>
      <w:lvlJc w:val="left"/>
      <w:pPr>
        <w:ind w:left="5760" w:hanging="360"/>
      </w:pPr>
      <w:rPr>
        <w:rFonts w:ascii="Courier New" w:hAnsi="Courier New" w:cs="Courier New" w:hint="default"/>
      </w:rPr>
    </w:lvl>
    <w:lvl w:ilvl="8" w:tplc="A06AA446" w:tentative="1">
      <w:start w:val="1"/>
      <w:numFmt w:val="bullet"/>
      <w:lvlText w:val=""/>
      <w:lvlJc w:val="left"/>
      <w:pPr>
        <w:ind w:left="6480" w:hanging="360"/>
      </w:pPr>
      <w:rPr>
        <w:rFonts w:ascii="Wingdings" w:hAnsi="Wingdings" w:hint="default"/>
      </w:rPr>
    </w:lvl>
  </w:abstractNum>
  <w:num w:numId="1" w16cid:durableId="1033001479">
    <w:abstractNumId w:val="3"/>
  </w:num>
  <w:num w:numId="2" w16cid:durableId="198126468">
    <w:abstractNumId w:val="2"/>
  </w:num>
  <w:num w:numId="3" w16cid:durableId="509179775">
    <w:abstractNumId w:val="10"/>
  </w:num>
  <w:num w:numId="4" w16cid:durableId="459803735">
    <w:abstractNumId w:val="7"/>
  </w:num>
  <w:num w:numId="5" w16cid:durableId="1695958217">
    <w:abstractNumId w:val="1"/>
  </w:num>
  <w:num w:numId="6" w16cid:durableId="586186437">
    <w:abstractNumId w:val="4"/>
  </w:num>
  <w:num w:numId="7" w16cid:durableId="1594821036">
    <w:abstractNumId w:val="5"/>
  </w:num>
  <w:num w:numId="8" w16cid:durableId="317270364">
    <w:abstractNumId w:val="6"/>
  </w:num>
  <w:num w:numId="9" w16cid:durableId="2055494123">
    <w:abstractNumId w:val="9"/>
  </w:num>
  <w:num w:numId="10" w16cid:durableId="941958591">
    <w:abstractNumId w:val="8"/>
  </w:num>
  <w:num w:numId="11" w16cid:durableId="635454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A61"/>
    <w:rsid w:val="000A5B9B"/>
    <w:rsid w:val="003C3276"/>
    <w:rsid w:val="003D3FF4"/>
    <w:rsid w:val="004D0963"/>
    <w:rsid w:val="004D12A4"/>
    <w:rsid w:val="004D74C6"/>
    <w:rsid w:val="005132DE"/>
    <w:rsid w:val="005C5E7A"/>
    <w:rsid w:val="005F67A9"/>
    <w:rsid w:val="00622E47"/>
    <w:rsid w:val="00727360"/>
    <w:rsid w:val="0084721B"/>
    <w:rsid w:val="008B74A6"/>
    <w:rsid w:val="009740B8"/>
    <w:rsid w:val="00D04348"/>
    <w:rsid w:val="00D76005"/>
    <w:rsid w:val="00D824D7"/>
    <w:rsid w:val="00EE0139"/>
    <w:rsid w:val="00F34727"/>
    <w:rsid w:val="00F81D54"/>
    <w:rsid w:val="00FC6A61"/>
    <w:rsid w:val="00FF4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01CF2"/>
  <w15:chartTrackingRefBased/>
  <w15:docId w15:val="{906E7391-E1B6-4019-9DF0-A2AC2F4AB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2DE"/>
    <w:pPr>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84721B"/>
    <w:pPr>
      <w:spacing w:after="160" w:line="360" w:lineRule="auto"/>
      <w:jc w:val="both"/>
      <w:outlineLvl w:val="0"/>
    </w:pPr>
    <w:rPr>
      <w:rFonts w:ascii="Times New Roman" w:eastAsiaTheme="minorHAnsi" w:hAnsi="Times New Roman" w:cstheme="minorBidi"/>
      <w:b/>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21B"/>
    <w:rPr>
      <w:rFonts w:ascii="Times New Roman" w:hAnsi="Times New Roman"/>
      <w:b/>
      <w:kern w:val="0"/>
      <w:sz w:val="24"/>
      <w14:ligatures w14:val="none"/>
    </w:rPr>
  </w:style>
  <w:style w:type="table" w:styleId="TableGrid">
    <w:name w:val="Table Grid"/>
    <w:basedOn w:val="TableNormal"/>
    <w:uiPriority w:val="39"/>
    <w:rsid w:val="0084721B"/>
    <w:pPr>
      <w:spacing w:after="0" w:line="240" w:lineRule="auto"/>
    </w:pPr>
    <w:rPr>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721B"/>
    <w:pPr>
      <w:spacing w:after="160" w:line="360" w:lineRule="auto"/>
      <w:ind w:left="720"/>
      <w:contextualSpacing/>
      <w:jc w:val="both"/>
    </w:pPr>
    <w:rPr>
      <w:rFonts w:ascii="Times New Roman" w:eastAsiaTheme="minorHAnsi" w:hAnsi="Times New Roman" w:cstheme="minorBidi"/>
      <w:sz w:val="24"/>
      <w:lang w:eastAsia="en-US"/>
    </w:rPr>
  </w:style>
  <w:style w:type="paragraph" w:styleId="NoSpacing">
    <w:name w:val="No Spacing"/>
    <w:link w:val="NoSpacingChar"/>
    <w:uiPriority w:val="1"/>
    <w:qFormat/>
    <w:rsid w:val="0084721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4721B"/>
    <w:rPr>
      <w:rFonts w:eastAsiaTheme="minorEastAsia"/>
      <w:kern w:val="0"/>
      <w:lang w:val="en-US"/>
      <w14:ligatures w14:val="none"/>
    </w:rPr>
  </w:style>
  <w:style w:type="paragraph" w:styleId="Footer">
    <w:name w:val="footer"/>
    <w:basedOn w:val="Normal"/>
    <w:link w:val="FooterChar"/>
    <w:uiPriority w:val="99"/>
    <w:unhideWhenUsed/>
    <w:rsid w:val="0084721B"/>
    <w:pPr>
      <w:tabs>
        <w:tab w:val="center" w:pos="4513"/>
        <w:tab w:val="right" w:pos="9026"/>
      </w:tabs>
      <w:spacing w:line="240" w:lineRule="auto"/>
      <w:jc w:val="both"/>
    </w:pPr>
    <w:rPr>
      <w:rFonts w:ascii="Times New Roman" w:eastAsiaTheme="minorHAnsi" w:hAnsi="Times New Roman" w:cstheme="minorBidi"/>
      <w:sz w:val="24"/>
      <w:lang w:eastAsia="en-US"/>
    </w:rPr>
  </w:style>
  <w:style w:type="character" w:customStyle="1" w:styleId="FooterChar">
    <w:name w:val="Footer Char"/>
    <w:basedOn w:val="DefaultParagraphFont"/>
    <w:link w:val="Footer"/>
    <w:uiPriority w:val="99"/>
    <w:rsid w:val="0084721B"/>
    <w:rPr>
      <w:rFonts w:ascii="Times New Roman" w:hAnsi="Times New Roman"/>
      <w:kern w:val="0"/>
      <w:sz w:val="24"/>
      <w14:ligatures w14:val="none"/>
    </w:rPr>
  </w:style>
  <w:style w:type="paragraph" w:styleId="TOCHeading">
    <w:name w:val="TOC Heading"/>
    <w:basedOn w:val="Heading1"/>
    <w:next w:val="Normal"/>
    <w:uiPriority w:val="39"/>
    <w:unhideWhenUsed/>
    <w:qFormat/>
    <w:rsid w:val="0084721B"/>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84721B"/>
    <w:pPr>
      <w:spacing w:after="100" w:line="360" w:lineRule="auto"/>
      <w:jc w:val="both"/>
    </w:pPr>
    <w:rPr>
      <w:rFonts w:ascii="Times New Roman" w:eastAsiaTheme="minorHAnsi" w:hAnsi="Times New Roman" w:cstheme="minorBidi"/>
      <w:sz w:val="24"/>
      <w:lang w:eastAsia="en-US"/>
    </w:rPr>
  </w:style>
  <w:style w:type="character" w:styleId="Hyperlink">
    <w:name w:val="Hyperlink"/>
    <w:basedOn w:val="DefaultParagraphFont"/>
    <w:uiPriority w:val="99"/>
    <w:unhideWhenUsed/>
    <w:rsid w:val="0084721B"/>
    <w:rPr>
      <w:color w:val="0563C1" w:themeColor="hyperlink"/>
      <w:u w:val="single"/>
    </w:rPr>
  </w:style>
  <w:style w:type="table" w:styleId="GridTable4-Accent3">
    <w:name w:val="Grid Table 4 Accent 3"/>
    <w:basedOn w:val="TableNormal"/>
    <w:uiPriority w:val="49"/>
    <w:rsid w:val="005C5E7A"/>
    <w:pPr>
      <w:spacing w:after="0" w:line="240" w:lineRule="auto"/>
    </w:pPr>
    <w:rPr>
      <w:lang w:val="en-IN"/>
      <w14:ligatures w14:val="none"/>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5C5E7A"/>
    <w:pPr>
      <w:spacing w:after="0" w:line="240" w:lineRule="auto"/>
    </w:pPr>
    <w:rPr>
      <w:lang w:val="en-IN"/>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21853">
      <w:bodyDiv w:val="1"/>
      <w:marLeft w:val="0"/>
      <w:marRight w:val="0"/>
      <w:marTop w:val="0"/>
      <w:marBottom w:val="0"/>
      <w:divBdr>
        <w:top w:val="none" w:sz="0" w:space="0" w:color="auto"/>
        <w:left w:val="none" w:sz="0" w:space="0" w:color="auto"/>
        <w:bottom w:val="none" w:sz="0" w:space="0" w:color="auto"/>
        <w:right w:val="none" w:sz="0" w:space="0" w:color="auto"/>
      </w:divBdr>
    </w:div>
    <w:div w:id="131990484">
      <w:bodyDiv w:val="1"/>
      <w:marLeft w:val="0"/>
      <w:marRight w:val="0"/>
      <w:marTop w:val="0"/>
      <w:marBottom w:val="0"/>
      <w:divBdr>
        <w:top w:val="none" w:sz="0" w:space="0" w:color="auto"/>
        <w:left w:val="none" w:sz="0" w:space="0" w:color="auto"/>
        <w:bottom w:val="none" w:sz="0" w:space="0" w:color="auto"/>
        <w:right w:val="none" w:sz="0" w:space="0" w:color="auto"/>
      </w:divBdr>
      <w:divsChild>
        <w:div w:id="737749102">
          <w:marLeft w:val="0"/>
          <w:marRight w:val="0"/>
          <w:marTop w:val="0"/>
          <w:marBottom w:val="0"/>
          <w:divBdr>
            <w:top w:val="none" w:sz="0" w:space="0" w:color="auto"/>
            <w:left w:val="none" w:sz="0" w:space="0" w:color="auto"/>
            <w:bottom w:val="none" w:sz="0" w:space="0" w:color="auto"/>
            <w:right w:val="none" w:sz="0" w:space="0" w:color="auto"/>
          </w:divBdr>
          <w:divsChild>
            <w:div w:id="128588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2545</Words>
  <Characters>14512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Matache (2126293)</dc:creator>
  <cp:keywords/>
  <dc:description/>
  <cp:lastModifiedBy>Florin Matache (2126293)</cp:lastModifiedBy>
  <cp:revision>2</cp:revision>
  <dcterms:created xsi:type="dcterms:W3CDTF">2023-11-16T23:20:00Z</dcterms:created>
  <dcterms:modified xsi:type="dcterms:W3CDTF">2023-11-16T23:20:00Z</dcterms:modified>
</cp:coreProperties>
</file>