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FA4DB" w14:textId="77777777" w:rsidR="007E7DD3" w:rsidRDefault="0094325C">
      <w:pPr>
        <w:spacing w:line="360" w:lineRule="auto"/>
        <w:jc w:val="center"/>
      </w:pPr>
      <w:r>
        <w:rPr>
          <w:noProof/>
          <w:lang w:val="en-US"/>
        </w:rPr>
        <w:drawing>
          <wp:inline distT="0" distB="0" distL="0" distR="0" wp14:anchorId="0E6510A9" wp14:editId="563CCFE7">
            <wp:extent cx="2176392" cy="871109"/>
            <wp:effectExtent l="0" t="0" r="0" b="0"/>
            <wp:docPr id="8"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A close up of a logo&#10;&#10;Description automatically generated"/>
                    <pic:cNvPicPr preferRelativeResize="0"/>
                  </pic:nvPicPr>
                  <pic:blipFill>
                    <a:blip r:embed="rId8" cstate="print"/>
                    <a:srcRect/>
                    <a:stretch>
                      <a:fillRect/>
                    </a:stretch>
                  </pic:blipFill>
                  <pic:spPr>
                    <a:xfrm>
                      <a:off x="0" y="0"/>
                      <a:ext cx="2176392" cy="871109"/>
                    </a:xfrm>
                    <a:prstGeom prst="rect">
                      <a:avLst/>
                    </a:prstGeom>
                    <a:ln/>
                  </pic:spPr>
                </pic:pic>
              </a:graphicData>
            </a:graphic>
          </wp:inline>
        </w:drawing>
      </w:r>
    </w:p>
    <w:p w14:paraId="77541FB3" w14:textId="77777777" w:rsidR="007E7DD3" w:rsidRDefault="007E7DD3">
      <w:pPr>
        <w:spacing w:line="360" w:lineRule="auto"/>
      </w:pPr>
    </w:p>
    <w:p w14:paraId="7151146E" w14:textId="77777777" w:rsidR="007E7DD3" w:rsidRDefault="007E7DD3">
      <w:pPr>
        <w:spacing w:line="360" w:lineRule="auto"/>
        <w:jc w:val="right"/>
      </w:pPr>
    </w:p>
    <w:p w14:paraId="4E89AA49" w14:textId="77777777" w:rsidR="007E7DD3" w:rsidRDefault="007E7DD3">
      <w:pPr>
        <w:spacing w:line="360" w:lineRule="auto"/>
        <w:jc w:val="right"/>
      </w:pPr>
    </w:p>
    <w:p w14:paraId="125682C5" w14:textId="77777777" w:rsidR="00EC7E33" w:rsidRDefault="00EC7E33">
      <w:pPr>
        <w:spacing w:line="360" w:lineRule="auto"/>
        <w:jc w:val="right"/>
      </w:pPr>
    </w:p>
    <w:p w14:paraId="1BE387A6" w14:textId="77777777" w:rsidR="007E7DD3" w:rsidRDefault="0094325C">
      <w:pPr>
        <w:spacing w:line="360" w:lineRule="auto"/>
        <w:jc w:val="center"/>
      </w:pPr>
      <w:r>
        <w:rPr>
          <w:sz w:val="40"/>
          <w:szCs w:val="40"/>
        </w:rPr>
        <w:t>Strategic Management (LCMB7003)</w:t>
      </w:r>
    </w:p>
    <w:p w14:paraId="02D7BB1B" w14:textId="77777777" w:rsidR="007E7DD3" w:rsidRDefault="0094325C">
      <w:pPr>
        <w:spacing w:line="360" w:lineRule="auto"/>
        <w:jc w:val="center"/>
        <w:rPr>
          <w:rFonts w:ascii="Arial Black" w:eastAsia="Arial Black" w:hAnsi="Arial Black" w:cs="Arial Black"/>
          <w:sz w:val="40"/>
          <w:szCs w:val="40"/>
        </w:rPr>
      </w:pPr>
      <w:r>
        <w:rPr>
          <w:rFonts w:ascii="Arial Black" w:eastAsia="Arial Black" w:hAnsi="Arial Black" w:cs="Arial Black"/>
          <w:sz w:val="40"/>
          <w:szCs w:val="40"/>
        </w:rPr>
        <w:t xml:space="preserve">Strategic Analysis of American Express  </w:t>
      </w:r>
    </w:p>
    <w:p w14:paraId="2931BF72" w14:textId="77777777" w:rsidR="007E7DD3" w:rsidRDefault="0094325C">
      <w:pPr>
        <w:spacing w:line="360" w:lineRule="auto"/>
        <w:jc w:val="center"/>
      </w:pPr>
      <w:r>
        <w:rPr>
          <w:noProof/>
          <w:color w:val="FF0000"/>
          <w:lang w:val="en-US"/>
        </w:rPr>
        <w:drawing>
          <wp:inline distT="114300" distB="114300" distL="114300" distR="114300" wp14:anchorId="7600A6B5" wp14:editId="12086D23">
            <wp:extent cx="4833938" cy="2722101"/>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cstate="print"/>
                    <a:srcRect/>
                    <a:stretch>
                      <a:fillRect/>
                    </a:stretch>
                  </pic:blipFill>
                  <pic:spPr>
                    <a:xfrm>
                      <a:off x="0" y="0"/>
                      <a:ext cx="4833938" cy="2722101"/>
                    </a:xfrm>
                    <a:prstGeom prst="rect">
                      <a:avLst/>
                    </a:prstGeom>
                    <a:ln/>
                  </pic:spPr>
                </pic:pic>
              </a:graphicData>
            </a:graphic>
          </wp:inline>
        </w:drawing>
      </w:r>
    </w:p>
    <w:p w14:paraId="748A3A93" w14:textId="13569584" w:rsidR="007E7DD3" w:rsidRDefault="0094325C">
      <w:pPr>
        <w:spacing w:line="360" w:lineRule="auto"/>
        <w:rPr>
          <w:b/>
          <w:sz w:val="28"/>
          <w:szCs w:val="28"/>
        </w:rPr>
      </w:pPr>
      <w:r>
        <w:rPr>
          <w:b/>
          <w:sz w:val="28"/>
          <w:szCs w:val="28"/>
        </w:rPr>
        <w:t xml:space="preserve">Student name: </w:t>
      </w:r>
      <w:r w:rsidR="00E14728">
        <w:rPr>
          <w:b/>
          <w:sz w:val="28"/>
          <w:szCs w:val="28"/>
        </w:rPr>
        <w:t xml:space="preserve"> Priyanka </w:t>
      </w:r>
      <w:proofErr w:type="spellStart"/>
      <w:r w:rsidR="00E14728">
        <w:rPr>
          <w:b/>
          <w:sz w:val="28"/>
          <w:szCs w:val="28"/>
        </w:rPr>
        <w:t>Myadari</w:t>
      </w:r>
      <w:proofErr w:type="spellEnd"/>
    </w:p>
    <w:p w14:paraId="7D2FE1D4" w14:textId="06E78F51" w:rsidR="007E7DD3" w:rsidRDefault="0094325C">
      <w:pPr>
        <w:spacing w:line="360" w:lineRule="auto"/>
        <w:rPr>
          <w:b/>
          <w:sz w:val="28"/>
          <w:szCs w:val="28"/>
        </w:rPr>
      </w:pPr>
      <w:r>
        <w:rPr>
          <w:b/>
          <w:sz w:val="28"/>
          <w:szCs w:val="28"/>
        </w:rPr>
        <w:t xml:space="preserve">Student Number: </w:t>
      </w:r>
      <w:r w:rsidR="00E14728">
        <w:rPr>
          <w:b/>
          <w:sz w:val="28"/>
          <w:szCs w:val="28"/>
        </w:rPr>
        <w:t>2223911</w:t>
      </w:r>
    </w:p>
    <w:p w14:paraId="30F77B2D" w14:textId="71BDA501" w:rsidR="007E7DD3" w:rsidRDefault="0094325C">
      <w:pPr>
        <w:spacing w:line="360" w:lineRule="auto"/>
        <w:rPr>
          <w:b/>
          <w:sz w:val="28"/>
          <w:szCs w:val="28"/>
        </w:rPr>
      </w:pPr>
      <w:r>
        <w:rPr>
          <w:b/>
          <w:sz w:val="28"/>
          <w:szCs w:val="28"/>
        </w:rPr>
        <w:t>Word count:</w:t>
      </w:r>
      <w:r w:rsidR="00E14728">
        <w:rPr>
          <w:b/>
          <w:sz w:val="28"/>
          <w:szCs w:val="28"/>
        </w:rPr>
        <w:t xml:space="preserve"> 5000</w:t>
      </w:r>
    </w:p>
    <w:p w14:paraId="213D3C40" w14:textId="69CE290E" w:rsidR="007E7DD3" w:rsidRPr="00EC7E33" w:rsidRDefault="0094325C" w:rsidP="00EC7E33">
      <w:pPr>
        <w:spacing w:line="360" w:lineRule="auto"/>
        <w:rPr>
          <w:b/>
          <w:sz w:val="28"/>
          <w:szCs w:val="28"/>
        </w:rPr>
      </w:pPr>
      <w:r>
        <w:rPr>
          <w:b/>
          <w:sz w:val="28"/>
          <w:szCs w:val="28"/>
        </w:rPr>
        <w:t xml:space="preserve">Submission Date: </w:t>
      </w:r>
      <w:r w:rsidR="00E14728">
        <w:rPr>
          <w:b/>
          <w:sz w:val="28"/>
          <w:szCs w:val="28"/>
        </w:rPr>
        <w:t>01/09/2023</w:t>
      </w:r>
    </w:p>
    <w:p w14:paraId="453D20FE" w14:textId="77777777" w:rsidR="007E7DD3" w:rsidRDefault="0094325C">
      <w:pPr>
        <w:keepNext/>
        <w:keepLines/>
        <w:pBdr>
          <w:top w:val="nil"/>
          <w:left w:val="nil"/>
          <w:bottom w:val="nil"/>
          <w:right w:val="nil"/>
          <w:between w:val="nil"/>
        </w:pBdr>
        <w:spacing w:before="240" w:after="240" w:line="360" w:lineRule="auto"/>
        <w:jc w:val="center"/>
        <w:rPr>
          <w:b/>
          <w:sz w:val="28"/>
          <w:szCs w:val="28"/>
        </w:rPr>
      </w:pPr>
      <w:r>
        <w:rPr>
          <w:b/>
          <w:sz w:val="28"/>
          <w:szCs w:val="28"/>
        </w:rPr>
        <w:lastRenderedPageBreak/>
        <w:t>Table of Contents</w:t>
      </w:r>
    </w:p>
    <w:sdt>
      <w:sdtPr>
        <w:id w:val="1099218992"/>
        <w:docPartObj>
          <w:docPartGallery w:val="Table of Contents"/>
          <w:docPartUnique/>
        </w:docPartObj>
      </w:sdtPr>
      <w:sdtContent>
        <w:p w14:paraId="55277D86" w14:textId="77777777" w:rsidR="00FD39E6" w:rsidRDefault="00DF31A8">
          <w:pPr>
            <w:pStyle w:val="TOC1"/>
            <w:tabs>
              <w:tab w:val="right" w:leader="dot" w:pos="9016"/>
            </w:tabs>
            <w:rPr>
              <w:noProof/>
            </w:rPr>
          </w:pPr>
          <w:r>
            <w:fldChar w:fldCharType="begin"/>
          </w:r>
          <w:r w:rsidR="0094325C">
            <w:instrText xml:space="preserve"> TOC \h \u \z \t "Heading 1,1,Heading 2,2,Heading 3,3,Heading 4,4,"</w:instrText>
          </w:r>
          <w:r>
            <w:fldChar w:fldCharType="separate"/>
          </w:r>
          <w:hyperlink w:anchor="_Toc144413443" w:history="1">
            <w:r w:rsidR="00FD39E6" w:rsidRPr="00E41133">
              <w:rPr>
                <w:rStyle w:val="Hyperlink"/>
                <w:noProof/>
              </w:rPr>
              <w:t>Introduction</w:t>
            </w:r>
            <w:r w:rsidR="00FD39E6">
              <w:rPr>
                <w:noProof/>
                <w:webHidden/>
              </w:rPr>
              <w:tab/>
            </w:r>
            <w:r w:rsidR="00FD39E6">
              <w:rPr>
                <w:noProof/>
                <w:webHidden/>
              </w:rPr>
              <w:fldChar w:fldCharType="begin"/>
            </w:r>
            <w:r w:rsidR="00FD39E6">
              <w:rPr>
                <w:noProof/>
                <w:webHidden/>
              </w:rPr>
              <w:instrText xml:space="preserve"> PAGEREF _Toc144413443 \h </w:instrText>
            </w:r>
            <w:r w:rsidR="00FD39E6">
              <w:rPr>
                <w:noProof/>
                <w:webHidden/>
              </w:rPr>
            </w:r>
            <w:r w:rsidR="00FD39E6">
              <w:rPr>
                <w:noProof/>
                <w:webHidden/>
              </w:rPr>
              <w:fldChar w:fldCharType="separate"/>
            </w:r>
            <w:r w:rsidR="00FD39E6">
              <w:rPr>
                <w:noProof/>
                <w:webHidden/>
              </w:rPr>
              <w:t>2</w:t>
            </w:r>
            <w:r w:rsidR="00FD39E6">
              <w:rPr>
                <w:noProof/>
                <w:webHidden/>
              </w:rPr>
              <w:fldChar w:fldCharType="end"/>
            </w:r>
          </w:hyperlink>
        </w:p>
        <w:p w14:paraId="670761EF" w14:textId="77777777" w:rsidR="00FD39E6" w:rsidRDefault="00000000">
          <w:pPr>
            <w:pStyle w:val="TOC1"/>
            <w:tabs>
              <w:tab w:val="right" w:leader="dot" w:pos="9016"/>
            </w:tabs>
            <w:rPr>
              <w:noProof/>
            </w:rPr>
          </w:pPr>
          <w:hyperlink w:anchor="_Toc144413444" w:history="1">
            <w:r w:rsidR="00FD39E6" w:rsidRPr="00E41133">
              <w:rPr>
                <w:rStyle w:val="Hyperlink"/>
                <w:noProof/>
              </w:rPr>
              <w:t>American Express Background</w:t>
            </w:r>
            <w:r w:rsidR="00FD39E6">
              <w:rPr>
                <w:noProof/>
                <w:webHidden/>
              </w:rPr>
              <w:tab/>
            </w:r>
            <w:r w:rsidR="00FD39E6">
              <w:rPr>
                <w:noProof/>
                <w:webHidden/>
              </w:rPr>
              <w:fldChar w:fldCharType="begin"/>
            </w:r>
            <w:r w:rsidR="00FD39E6">
              <w:rPr>
                <w:noProof/>
                <w:webHidden/>
              </w:rPr>
              <w:instrText xml:space="preserve"> PAGEREF _Toc144413444 \h </w:instrText>
            </w:r>
            <w:r w:rsidR="00FD39E6">
              <w:rPr>
                <w:noProof/>
                <w:webHidden/>
              </w:rPr>
            </w:r>
            <w:r w:rsidR="00FD39E6">
              <w:rPr>
                <w:noProof/>
                <w:webHidden/>
              </w:rPr>
              <w:fldChar w:fldCharType="separate"/>
            </w:r>
            <w:r w:rsidR="00FD39E6">
              <w:rPr>
                <w:noProof/>
                <w:webHidden/>
              </w:rPr>
              <w:t>2</w:t>
            </w:r>
            <w:r w:rsidR="00FD39E6">
              <w:rPr>
                <w:noProof/>
                <w:webHidden/>
              </w:rPr>
              <w:fldChar w:fldCharType="end"/>
            </w:r>
          </w:hyperlink>
        </w:p>
        <w:p w14:paraId="2144E904" w14:textId="77777777" w:rsidR="00FD39E6" w:rsidRDefault="00000000">
          <w:pPr>
            <w:pStyle w:val="TOC2"/>
            <w:tabs>
              <w:tab w:val="right" w:leader="dot" w:pos="9016"/>
            </w:tabs>
            <w:rPr>
              <w:noProof/>
            </w:rPr>
          </w:pPr>
          <w:hyperlink w:anchor="_Toc144413445" w:history="1">
            <w:r w:rsidR="00FD39E6" w:rsidRPr="00E41133">
              <w:rPr>
                <w:rStyle w:val="Hyperlink"/>
                <w:noProof/>
              </w:rPr>
              <w:t>American Express Mission and Objectives</w:t>
            </w:r>
            <w:r w:rsidR="00FD39E6">
              <w:rPr>
                <w:noProof/>
                <w:webHidden/>
              </w:rPr>
              <w:tab/>
            </w:r>
            <w:r w:rsidR="00FD39E6">
              <w:rPr>
                <w:noProof/>
                <w:webHidden/>
              </w:rPr>
              <w:fldChar w:fldCharType="begin"/>
            </w:r>
            <w:r w:rsidR="00FD39E6">
              <w:rPr>
                <w:noProof/>
                <w:webHidden/>
              </w:rPr>
              <w:instrText xml:space="preserve"> PAGEREF _Toc144413445 \h </w:instrText>
            </w:r>
            <w:r w:rsidR="00FD39E6">
              <w:rPr>
                <w:noProof/>
                <w:webHidden/>
              </w:rPr>
            </w:r>
            <w:r w:rsidR="00FD39E6">
              <w:rPr>
                <w:noProof/>
                <w:webHidden/>
              </w:rPr>
              <w:fldChar w:fldCharType="separate"/>
            </w:r>
            <w:r w:rsidR="00FD39E6">
              <w:rPr>
                <w:noProof/>
                <w:webHidden/>
              </w:rPr>
              <w:t>3</w:t>
            </w:r>
            <w:r w:rsidR="00FD39E6">
              <w:rPr>
                <w:noProof/>
                <w:webHidden/>
              </w:rPr>
              <w:fldChar w:fldCharType="end"/>
            </w:r>
          </w:hyperlink>
        </w:p>
        <w:p w14:paraId="6BABF419" w14:textId="77777777" w:rsidR="00FD39E6" w:rsidRDefault="00000000">
          <w:pPr>
            <w:pStyle w:val="TOC1"/>
            <w:tabs>
              <w:tab w:val="right" w:leader="dot" w:pos="9016"/>
            </w:tabs>
            <w:rPr>
              <w:noProof/>
            </w:rPr>
          </w:pPr>
          <w:hyperlink w:anchor="_Toc144413446" w:history="1">
            <w:r w:rsidR="00FD39E6" w:rsidRPr="00E41133">
              <w:rPr>
                <w:rStyle w:val="Hyperlink"/>
                <w:noProof/>
              </w:rPr>
              <w:t>Macro-Environment Analysis</w:t>
            </w:r>
            <w:r w:rsidR="00FD39E6">
              <w:rPr>
                <w:noProof/>
                <w:webHidden/>
              </w:rPr>
              <w:tab/>
            </w:r>
            <w:r w:rsidR="00FD39E6">
              <w:rPr>
                <w:noProof/>
                <w:webHidden/>
              </w:rPr>
              <w:fldChar w:fldCharType="begin"/>
            </w:r>
            <w:r w:rsidR="00FD39E6">
              <w:rPr>
                <w:noProof/>
                <w:webHidden/>
              </w:rPr>
              <w:instrText xml:space="preserve"> PAGEREF _Toc144413446 \h </w:instrText>
            </w:r>
            <w:r w:rsidR="00FD39E6">
              <w:rPr>
                <w:noProof/>
                <w:webHidden/>
              </w:rPr>
            </w:r>
            <w:r w:rsidR="00FD39E6">
              <w:rPr>
                <w:noProof/>
                <w:webHidden/>
              </w:rPr>
              <w:fldChar w:fldCharType="separate"/>
            </w:r>
            <w:r w:rsidR="00FD39E6">
              <w:rPr>
                <w:noProof/>
                <w:webHidden/>
              </w:rPr>
              <w:t>4</w:t>
            </w:r>
            <w:r w:rsidR="00FD39E6">
              <w:rPr>
                <w:noProof/>
                <w:webHidden/>
              </w:rPr>
              <w:fldChar w:fldCharType="end"/>
            </w:r>
          </w:hyperlink>
        </w:p>
        <w:p w14:paraId="3EC06562" w14:textId="77777777" w:rsidR="00FD39E6" w:rsidRDefault="00000000">
          <w:pPr>
            <w:pStyle w:val="TOC2"/>
            <w:tabs>
              <w:tab w:val="right" w:leader="dot" w:pos="9016"/>
            </w:tabs>
            <w:rPr>
              <w:noProof/>
            </w:rPr>
          </w:pPr>
          <w:hyperlink w:anchor="_Toc144413447" w:history="1">
            <w:r w:rsidR="00FD39E6" w:rsidRPr="00E41133">
              <w:rPr>
                <w:rStyle w:val="Hyperlink"/>
                <w:noProof/>
              </w:rPr>
              <w:t>PESTEL Analysis</w:t>
            </w:r>
            <w:r w:rsidR="00FD39E6">
              <w:rPr>
                <w:noProof/>
                <w:webHidden/>
              </w:rPr>
              <w:tab/>
            </w:r>
            <w:r w:rsidR="00FD39E6">
              <w:rPr>
                <w:noProof/>
                <w:webHidden/>
              </w:rPr>
              <w:fldChar w:fldCharType="begin"/>
            </w:r>
            <w:r w:rsidR="00FD39E6">
              <w:rPr>
                <w:noProof/>
                <w:webHidden/>
              </w:rPr>
              <w:instrText xml:space="preserve"> PAGEREF _Toc144413447 \h </w:instrText>
            </w:r>
            <w:r w:rsidR="00FD39E6">
              <w:rPr>
                <w:noProof/>
                <w:webHidden/>
              </w:rPr>
            </w:r>
            <w:r w:rsidR="00FD39E6">
              <w:rPr>
                <w:noProof/>
                <w:webHidden/>
              </w:rPr>
              <w:fldChar w:fldCharType="separate"/>
            </w:r>
            <w:r w:rsidR="00FD39E6">
              <w:rPr>
                <w:noProof/>
                <w:webHidden/>
              </w:rPr>
              <w:t>4</w:t>
            </w:r>
            <w:r w:rsidR="00FD39E6">
              <w:rPr>
                <w:noProof/>
                <w:webHidden/>
              </w:rPr>
              <w:fldChar w:fldCharType="end"/>
            </w:r>
          </w:hyperlink>
        </w:p>
        <w:p w14:paraId="75FE35A4" w14:textId="77777777" w:rsidR="00FD39E6" w:rsidRDefault="00000000">
          <w:pPr>
            <w:pStyle w:val="TOC1"/>
            <w:tabs>
              <w:tab w:val="right" w:leader="dot" w:pos="9016"/>
            </w:tabs>
            <w:rPr>
              <w:noProof/>
            </w:rPr>
          </w:pPr>
          <w:hyperlink w:anchor="_Toc144413448" w:history="1">
            <w:r w:rsidR="00FD39E6" w:rsidRPr="00E41133">
              <w:rPr>
                <w:rStyle w:val="Hyperlink"/>
                <w:noProof/>
              </w:rPr>
              <w:t>Micro-Environment Analysis</w:t>
            </w:r>
            <w:r w:rsidR="00FD39E6">
              <w:rPr>
                <w:noProof/>
                <w:webHidden/>
              </w:rPr>
              <w:tab/>
            </w:r>
            <w:r w:rsidR="00FD39E6">
              <w:rPr>
                <w:noProof/>
                <w:webHidden/>
              </w:rPr>
              <w:fldChar w:fldCharType="begin"/>
            </w:r>
            <w:r w:rsidR="00FD39E6">
              <w:rPr>
                <w:noProof/>
                <w:webHidden/>
              </w:rPr>
              <w:instrText xml:space="preserve"> PAGEREF _Toc144413448 \h </w:instrText>
            </w:r>
            <w:r w:rsidR="00FD39E6">
              <w:rPr>
                <w:noProof/>
                <w:webHidden/>
              </w:rPr>
            </w:r>
            <w:r w:rsidR="00FD39E6">
              <w:rPr>
                <w:noProof/>
                <w:webHidden/>
              </w:rPr>
              <w:fldChar w:fldCharType="separate"/>
            </w:r>
            <w:r w:rsidR="00FD39E6">
              <w:rPr>
                <w:noProof/>
                <w:webHidden/>
              </w:rPr>
              <w:t>8</w:t>
            </w:r>
            <w:r w:rsidR="00FD39E6">
              <w:rPr>
                <w:noProof/>
                <w:webHidden/>
              </w:rPr>
              <w:fldChar w:fldCharType="end"/>
            </w:r>
          </w:hyperlink>
        </w:p>
        <w:p w14:paraId="345CDB00" w14:textId="77777777" w:rsidR="00FD39E6" w:rsidRDefault="00000000">
          <w:pPr>
            <w:pStyle w:val="TOC2"/>
            <w:tabs>
              <w:tab w:val="right" w:leader="dot" w:pos="9016"/>
            </w:tabs>
            <w:rPr>
              <w:noProof/>
            </w:rPr>
          </w:pPr>
          <w:hyperlink w:anchor="_Toc144413449" w:history="1">
            <w:r w:rsidR="00FD39E6" w:rsidRPr="00E41133">
              <w:rPr>
                <w:rStyle w:val="Hyperlink"/>
                <w:noProof/>
              </w:rPr>
              <w:t>Industry Life Cycle</w:t>
            </w:r>
            <w:r w:rsidR="00FD39E6">
              <w:rPr>
                <w:noProof/>
                <w:webHidden/>
              </w:rPr>
              <w:tab/>
            </w:r>
            <w:r w:rsidR="00FD39E6">
              <w:rPr>
                <w:noProof/>
                <w:webHidden/>
              </w:rPr>
              <w:fldChar w:fldCharType="begin"/>
            </w:r>
            <w:r w:rsidR="00FD39E6">
              <w:rPr>
                <w:noProof/>
                <w:webHidden/>
              </w:rPr>
              <w:instrText xml:space="preserve"> PAGEREF _Toc144413449 \h </w:instrText>
            </w:r>
            <w:r w:rsidR="00FD39E6">
              <w:rPr>
                <w:noProof/>
                <w:webHidden/>
              </w:rPr>
            </w:r>
            <w:r w:rsidR="00FD39E6">
              <w:rPr>
                <w:noProof/>
                <w:webHidden/>
              </w:rPr>
              <w:fldChar w:fldCharType="separate"/>
            </w:r>
            <w:r w:rsidR="00FD39E6">
              <w:rPr>
                <w:noProof/>
                <w:webHidden/>
              </w:rPr>
              <w:t>9</w:t>
            </w:r>
            <w:r w:rsidR="00FD39E6">
              <w:rPr>
                <w:noProof/>
                <w:webHidden/>
              </w:rPr>
              <w:fldChar w:fldCharType="end"/>
            </w:r>
          </w:hyperlink>
        </w:p>
        <w:p w14:paraId="694A63BE" w14:textId="77777777" w:rsidR="00FD39E6" w:rsidRDefault="00000000">
          <w:pPr>
            <w:pStyle w:val="TOC2"/>
            <w:tabs>
              <w:tab w:val="right" w:leader="dot" w:pos="9016"/>
            </w:tabs>
            <w:rPr>
              <w:noProof/>
            </w:rPr>
          </w:pPr>
          <w:hyperlink w:anchor="_Toc144413450" w:history="1">
            <w:r w:rsidR="00FD39E6" w:rsidRPr="00E41133">
              <w:rPr>
                <w:rStyle w:val="Hyperlink"/>
                <w:noProof/>
              </w:rPr>
              <w:t>Porter’s Industry Five Forces Analysis</w:t>
            </w:r>
            <w:r w:rsidR="00FD39E6">
              <w:rPr>
                <w:noProof/>
                <w:webHidden/>
              </w:rPr>
              <w:tab/>
            </w:r>
            <w:r w:rsidR="00FD39E6">
              <w:rPr>
                <w:noProof/>
                <w:webHidden/>
              </w:rPr>
              <w:fldChar w:fldCharType="begin"/>
            </w:r>
            <w:r w:rsidR="00FD39E6">
              <w:rPr>
                <w:noProof/>
                <w:webHidden/>
              </w:rPr>
              <w:instrText xml:space="preserve"> PAGEREF _Toc144413450 \h </w:instrText>
            </w:r>
            <w:r w:rsidR="00FD39E6">
              <w:rPr>
                <w:noProof/>
                <w:webHidden/>
              </w:rPr>
            </w:r>
            <w:r w:rsidR="00FD39E6">
              <w:rPr>
                <w:noProof/>
                <w:webHidden/>
              </w:rPr>
              <w:fldChar w:fldCharType="separate"/>
            </w:r>
            <w:r w:rsidR="00FD39E6">
              <w:rPr>
                <w:noProof/>
                <w:webHidden/>
              </w:rPr>
              <w:t>11</w:t>
            </w:r>
            <w:r w:rsidR="00FD39E6">
              <w:rPr>
                <w:noProof/>
                <w:webHidden/>
              </w:rPr>
              <w:fldChar w:fldCharType="end"/>
            </w:r>
          </w:hyperlink>
        </w:p>
        <w:p w14:paraId="65E15A92" w14:textId="77777777" w:rsidR="00FD39E6" w:rsidRDefault="00000000">
          <w:pPr>
            <w:pStyle w:val="TOC1"/>
            <w:tabs>
              <w:tab w:val="right" w:leader="dot" w:pos="9016"/>
            </w:tabs>
            <w:rPr>
              <w:noProof/>
            </w:rPr>
          </w:pPr>
          <w:hyperlink w:anchor="_Toc144413451" w:history="1">
            <w:r w:rsidR="00FD39E6" w:rsidRPr="00E41133">
              <w:rPr>
                <w:rStyle w:val="Hyperlink"/>
                <w:noProof/>
              </w:rPr>
              <w:t>Internal Analysis</w:t>
            </w:r>
            <w:r w:rsidR="00FD39E6">
              <w:rPr>
                <w:noProof/>
                <w:webHidden/>
              </w:rPr>
              <w:tab/>
            </w:r>
            <w:r w:rsidR="00FD39E6">
              <w:rPr>
                <w:noProof/>
                <w:webHidden/>
              </w:rPr>
              <w:fldChar w:fldCharType="begin"/>
            </w:r>
            <w:r w:rsidR="00FD39E6">
              <w:rPr>
                <w:noProof/>
                <w:webHidden/>
              </w:rPr>
              <w:instrText xml:space="preserve"> PAGEREF _Toc144413451 \h </w:instrText>
            </w:r>
            <w:r w:rsidR="00FD39E6">
              <w:rPr>
                <w:noProof/>
                <w:webHidden/>
              </w:rPr>
            </w:r>
            <w:r w:rsidR="00FD39E6">
              <w:rPr>
                <w:noProof/>
                <w:webHidden/>
              </w:rPr>
              <w:fldChar w:fldCharType="separate"/>
            </w:r>
            <w:r w:rsidR="00FD39E6">
              <w:rPr>
                <w:noProof/>
                <w:webHidden/>
              </w:rPr>
              <w:t>16</w:t>
            </w:r>
            <w:r w:rsidR="00FD39E6">
              <w:rPr>
                <w:noProof/>
                <w:webHidden/>
              </w:rPr>
              <w:fldChar w:fldCharType="end"/>
            </w:r>
          </w:hyperlink>
        </w:p>
        <w:p w14:paraId="115C781F" w14:textId="77777777" w:rsidR="00FD39E6" w:rsidRDefault="00000000">
          <w:pPr>
            <w:pStyle w:val="TOC2"/>
            <w:tabs>
              <w:tab w:val="right" w:leader="dot" w:pos="9016"/>
            </w:tabs>
            <w:rPr>
              <w:noProof/>
            </w:rPr>
          </w:pPr>
          <w:hyperlink w:anchor="_Toc144413452" w:history="1">
            <w:r w:rsidR="00FD39E6" w:rsidRPr="00E41133">
              <w:rPr>
                <w:rStyle w:val="Hyperlink"/>
                <w:noProof/>
              </w:rPr>
              <w:t>American Express's Strategic Resources and Capabilities</w:t>
            </w:r>
            <w:r w:rsidR="00FD39E6">
              <w:rPr>
                <w:noProof/>
                <w:webHidden/>
              </w:rPr>
              <w:tab/>
            </w:r>
            <w:r w:rsidR="00FD39E6">
              <w:rPr>
                <w:noProof/>
                <w:webHidden/>
              </w:rPr>
              <w:fldChar w:fldCharType="begin"/>
            </w:r>
            <w:r w:rsidR="00FD39E6">
              <w:rPr>
                <w:noProof/>
                <w:webHidden/>
              </w:rPr>
              <w:instrText xml:space="preserve"> PAGEREF _Toc144413452 \h </w:instrText>
            </w:r>
            <w:r w:rsidR="00FD39E6">
              <w:rPr>
                <w:noProof/>
                <w:webHidden/>
              </w:rPr>
            </w:r>
            <w:r w:rsidR="00FD39E6">
              <w:rPr>
                <w:noProof/>
                <w:webHidden/>
              </w:rPr>
              <w:fldChar w:fldCharType="separate"/>
            </w:r>
            <w:r w:rsidR="00FD39E6">
              <w:rPr>
                <w:noProof/>
                <w:webHidden/>
              </w:rPr>
              <w:t>16</w:t>
            </w:r>
            <w:r w:rsidR="00FD39E6">
              <w:rPr>
                <w:noProof/>
                <w:webHidden/>
              </w:rPr>
              <w:fldChar w:fldCharType="end"/>
            </w:r>
          </w:hyperlink>
        </w:p>
        <w:p w14:paraId="2378F203" w14:textId="77777777" w:rsidR="00FD39E6" w:rsidRDefault="00000000">
          <w:pPr>
            <w:pStyle w:val="TOC2"/>
            <w:tabs>
              <w:tab w:val="right" w:leader="dot" w:pos="9016"/>
            </w:tabs>
            <w:rPr>
              <w:noProof/>
            </w:rPr>
          </w:pPr>
          <w:hyperlink w:anchor="_Toc144413453" w:history="1">
            <w:r w:rsidR="00FD39E6" w:rsidRPr="00E41133">
              <w:rPr>
                <w:rStyle w:val="Hyperlink"/>
                <w:noProof/>
              </w:rPr>
              <w:t>Value Chain Analysis</w:t>
            </w:r>
            <w:r w:rsidR="00FD39E6">
              <w:rPr>
                <w:noProof/>
                <w:webHidden/>
              </w:rPr>
              <w:tab/>
            </w:r>
            <w:r w:rsidR="00FD39E6">
              <w:rPr>
                <w:noProof/>
                <w:webHidden/>
              </w:rPr>
              <w:fldChar w:fldCharType="begin"/>
            </w:r>
            <w:r w:rsidR="00FD39E6">
              <w:rPr>
                <w:noProof/>
                <w:webHidden/>
              </w:rPr>
              <w:instrText xml:space="preserve"> PAGEREF _Toc144413453 \h </w:instrText>
            </w:r>
            <w:r w:rsidR="00FD39E6">
              <w:rPr>
                <w:noProof/>
                <w:webHidden/>
              </w:rPr>
            </w:r>
            <w:r w:rsidR="00FD39E6">
              <w:rPr>
                <w:noProof/>
                <w:webHidden/>
              </w:rPr>
              <w:fldChar w:fldCharType="separate"/>
            </w:r>
            <w:r w:rsidR="00FD39E6">
              <w:rPr>
                <w:noProof/>
                <w:webHidden/>
              </w:rPr>
              <w:t>18</w:t>
            </w:r>
            <w:r w:rsidR="00FD39E6">
              <w:rPr>
                <w:noProof/>
                <w:webHidden/>
              </w:rPr>
              <w:fldChar w:fldCharType="end"/>
            </w:r>
          </w:hyperlink>
        </w:p>
        <w:p w14:paraId="71E93221" w14:textId="77777777" w:rsidR="00FD39E6" w:rsidRDefault="00000000">
          <w:pPr>
            <w:pStyle w:val="TOC3"/>
            <w:tabs>
              <w:tab w:val="right" w:leader="dot" w:pos="9016"/>
            </w:tabs>
            <w:rPr>
              <w:noProof/>
            </w:rPr>
          </w:pPr>
          <w:hyperlink w:anchor="_Toc144413454" w:history="1">
            <w:r w:rsidR="00FD39E6" w:rsidRPr="00E41133">
              <w:rPr>
                <w:rStyle w:val="Hyperlink"/>
                <w:noProof/>
              </w:rPr>
              <w:t>Primary Activities</w:t>
            </w:r>
            <w:r w:rsidR="00FD39E6">
              <w:rPr>
                <w:noProof/>
                <w:webHidden/>
              </w:rPr>
              <w:tab/>
            </w:r>
            <w:r w:rsidR="00FD39E6">
              <w:rPr>
                <w:noProof/>
                <w:webHidden/>
              </w:rPr>
              <w:fldChar w:fldCharType="begin"/>
            </w:r>
            <w:r w:rsidR="00FD39E6">
              <w:rPr>
                <w:noProof/>
                <w:webHidden/>
              </w:rPr>
              <w:instrText xml:space="preserve"> PAGEREF _Toc144413454 \h </w:instrText>
            </w:r>
            <w:r w:rsidR="00FD39E6">
              <w:rPr>
                <w:noProof/>
                <w:webHidden/>
              </w:rPr>
            </w:r>
            <w:r w:rsidR="00FD39E6">
              <w:rPr>
                <w:noProof/>
                <w:webHidden/>
              </w:rPr>
              <w:fldChar w:fldCharType="separate"/>
            </w:r>
            <w:r w:rsidR="00FD39E6">
              <w:rPr>
                <w:noProof/>
                <w:webHidden/>
              </w:rPr>
              <w:t>18</w:t>
            </w:r>
            <w:r w:rsidR="00FD39E6">
              <w:rPr>
                <w:noProof/>
                <w:webHidden/>
              </w:rPr>
              <w:fldChar w:fldCharType="end"/>
            </w:r>
          </w:hyperlink>
        </w:p>
        <w:p w14:paraId="1A35226A" w14:textId="77777777" w:rsidR="00FD39E6" w:rsidRDefault="00000000">
          <w:pPr>
            <w:pStyle w:val="TOC3"/>
            <w:tabs>
              <w:tab w:val="right" w:leader="dot" w:pos="9016"/>
            </w:tabs>
            <w:rPr>
              <w:noProof/>
            </w:rPr>
          </w:pPr>
          <w:hyperlink w:anchor="_Toc144413455" w:history="1">
            <w:r w:rsidR="00FD39E6" w:rsidRPr="00E41133">
              <w:rPr>
                <w:rStyle w:val="Hyperlink"/>
                <w:noProof/>
              </w:rPr>
              <w:t>Supportive Activities</w:t>
            </w:r>
            <w:r w:rsidR="00FD39E6">
              <w:rPr>
                <w:noProof/>
                <w:webHidden/>
              </w:rPr>
              <w:tab/>
            </w:r>
            <w:r w:rsidR="00FD39E6">
              <w:rPr>
                <w:noProof/>
                <w:webHidden/>
              </w:rPr>
              <w:fldChar w:fldCharType="begin"/>
            </w:r>
            <w:r w:rsidR="00FD39E6">
              <w:rPr>
                <w:noProof/>
                <w:webHidden/>
              </w:rPr>
              <w:instrText xml:space="preserve"> PAGEREF _Toc144413455 \h </w:instrText>
            </w:r>
            <w:r w:rsidR="00FD39E6">
              <w:rPr>
                <w:noProof/>
                <w:webHidden/>
              </w:rPr>
            </w:r>
            <w:r w:rsidR="00FD39E6">
              <w:rPr>
                <w:noProof/>
                <w:webHidden/>
              </w:rPr>
              <w:fldChar w:fldCharType="separate"/>
            </w:r>
            <w:r w:rsidR="00FD39E6">
              <w:rPr>
                <w:noProof/>
                <w:webHidden/>
              </w:rPr>
              <w:t>19</w:t>
            </w:r>
            <w:r w:rsidR="00FD39E6">
              <w:rPr>
                <w:noProof/>
                <w:webHidden/>
              </w:rPr>
              <w:fldChar w:fldCharType="end"/>
            </w:r>
          </w:hyperlink>
        </w:p>
        <w:p w14:paraId="0375EAE4" w14:textId="77777777" w:rsidR="00FD39E6" w:rsidRDefault="00000000">
          <w:pPr>
            <w:pStyle w:val="TOC2"/>
            <w:tabs>
              <w:tab w:val="right" w:leader="dot" w:pos="9016"/>
            </w:tabs>
            <w:rPr>
              <w:noProof/>
            </w:rPr>
          </w:pPr>
          <w:hyperlink w:anchor="_Toc144413456" w:history="1">
            <w:r w:rsidR="00FD39E6" w:rsidRPr="00E41133">
              <w:rPr>
                <w:rStyle w:val="Hyperlink"/>
                <w:noProof/>
              </w:rPr>
              <w:t>VRIO Analysis of Distinctive Resources and Capabilities</w:t>
            </w:r>
            <w:r w:rsidR="00FD39E6">
              <w:rPr>
                <w:noProof/>
                <w:webHidden/>
              </w:rPr>
              <w:tab/>
            </w:r>
            <w:r w:rsidR="00FD39E6">
              <w:rPr>
                <w:noProof/>
                <w:webHidden/>
              </w:rPr>
              <w:fldChar w:fldCharType="begin"/>
            </w:r>
            <w:r w:rsidR="00FD39E6">
              <w:rPr>
                <w:noProof/>
                <w:webHidden/>
              </w:rPr>
              <w:instrText xml:space="preserve"> PAGEREF _Toc144413456 \h </w:instrText>
            </w:r>
            <w:r w:rsidR="00FD39E6">
              <w:rPr>
                <w:noProof/>
                <w:webHidden/>
              </w:rPr>
            </w:r>
            <w:r w:rsidR="00FD39E6">
              <w:rPr>
                <w:noProof/>
                <w:webHidden/>
              </w:rPr>
              <w:fldChar w:fldCharType="separate"/>
            </w:r>
            <w:r w:rsidR="00FD39E6">
              <w:rPr>
                <w:noProof/>
                <w:webHidden/>
              </w:rPr>
              <w:t>20</w:t>
            </w:r>
            <w:r w:rsidR="00FD39E6">
              <w:rPr>
                <w:noProof/>
                <w:webHidden/>
              </w:rPr>
              <w:fldChar w:fldCharType="end"/>
            </w:r>
          </w:hyperlink>
        </w:p>
        <w:p w14:paraId="5DC0F103" w14:textId="77777777" w:rsidR="00FD39E6" w:rsidRDefault="00000000">
          <w:pPr>
            <w:pStyle w:val="TOC2"/>
            <w:tabs>
              <w:tab w:val="right" w:leader="dot" w:pos="9016"/>
            </w:tabs>
            <w:rPr>
              <w:noProof/>
            </w:rPr>
          </w:pPr>
          <w:hyperlink w:anchor="_Toc144413457" w:history="1">
            <w:r w:rsidR="00FD39E6" w:rsidRPr="00E41133">
              <w:rPr>
                <w:rStyle w:val="Hyperlink"/>
                <w:noProof/>
              </w:rPr>
              <w:t>SWOT Analysis</w:t>
            </w:r>
            <w:r w:rsidR="00FD39E6">
              <w:rPr>
                <w:noProof/>
                <w:webHidden/>
              </w:rPr>
              <w:tab/>
            </w:r>
            <w:r w:rsidR="00FD39E6">
              <w:rPr>
                <w:noProof/>
                <w:webHidden/>
              </w:rPr>
              <w:fldChar w:fldCharType="begin"/>
            </w:r>
            <w:r w:rsidR="00FD39E6">
              <w:rPr>
                <w:noProof/>
                <w:webHidden/>
              </w:rPr>
              <w:instrText xml:space="preserve"> PAGEREF _Toc144413457 \h </w:instrText>
            </w:r>
            <w:r w:rsidR="00FD39E6">
              <w:rPr>
                <w:noProof/>
                <w:webHidden/>
              </w:rPr>
            </w:r>
            <w:r w:rsidR="00FD39E6">
              <w:rPr>
                <w:noProof/>
                <w:webHidden/>
              </w:rPr>
              <w:fldChar w:fldCharType="separate"/>
            </w:r>
            <w:r w:rsidR="00FD39E6">
              <w:rPr>
                <w:noProof/>
                <w:webHidden/>
              </w:rPr>
              <w:t>22</w:t>
            </w:r>
            <w:r w:rsidR="00FD39E6">
              <w:rPr>
                <w:noProof/>
                <w:webHidden/>
              </w:rPr>
              <w:fldChar w:fldCharType="end"/>
            </w:r>
          </w:hyperlink>
        </w:p>
        <w:p w14:paraId="4DEAE52B" w14:textId="77777777" w:rsidR="00FD39E6" w:rsidRDefault="00000000">
          <w:pPr>
            <w:pStyle w:val="TOC1"/>
            <w:tabs>
              <w:tab w:val="right" w:leader="dot" w:pos="9016"/>
            </w:tabs>
            <w:rPr>
              <w:noProof/>
            </w:rPr>
          </w:pPr>
          <w:hyperlink w:anchor="_Toc144413458" w:history="1">
            <w:r w:rsidR="00FD39E6" w:rsidRPr="00E41133">
              <w:rPr>
                <w:rStyle w:val="Hyperlink"/>
                <w:noProof/>
              </w:rPr>
              <w:t>Strategies to Sustain Competitive Advantage</w:t>
            </w:r>
            <w:r w:rsidR="00FD39E6">
              <w:rPr>
                <w:noProof/>
                <w:webHidden/>
              </w:rPr>
              <w:tab/>
            </w:r>
            <w:r w:rsidR="00FD39E6">
              <w:rPr>
                <w:noProof/>
                <w:webHidden/>
              </w:rPr>
              <w:fldChar w:fldCharType="begin"/>
            </w:r>
            <w:r w:rsidR="00FD39E6">
              <w:rPr>
                <w:noProof/>
                <w:webHidden/>
              </w:rPr>
              <w:instrText xml:space="preserve"> PAGEREF _Toc144413458 \h </w:instrText>
            </w:r>
            <w:r w:rsidR="00FD39E6">
              <w:rPr>
                <w:noProof/>
                <w:webHidden/>
              </w:rPr>
            </w:r>
            <w:r w:rsidR="00FD39E6">
              <w:rPr>
                <w:noProof/>
                <w:webHidden/>
              </w:rPr>
              <w:fldChar w:fldCharType="separate"/>
            </w:r>
            <w:r w:rsidR="00FD39E6">
              <w:rPr>
                <w:noProof/>
                <w:webHidden/>
              </w:rPr>
              <w:t>24</w:t>
            </w:r>
            <w:r w:rsidR="00FD39E6">
              <w:rPr>
                <w:noProof/>
                <w:webHidden/>
              </w:rPr>
              <w:fldChar w:fldCharType="end"/>
            </w:r>
          </w:hyperlink>
        </w:p>
        <w:p w14:paraId="47667DBC" w14:textId="77777777" w:rsidR="00FD39E6" w:rsidRDefault="00000000">
          <w:pPr>
            <w:pStyle w:val="TOC1"/>
            <w:tabs>
              <w:tab w:val="right" w:leader="dot" w:pos="9016"/>
            </w:tabs>
            <w:rPr>
              <w:noProof/>
            </w:rPr>
          </w:pPr>
          <w:hyperlink w:anchor="_Toc144413459" w:history="1">
            <w:r w:rsidR="00FD39E6" w:rsidRPr="00E41133">
              <w:rPr>
                <w:rStyle w:val="Hyperlink"/>
                <w:noProof/>
              </w:rPr>
              <w:t>Growth Strategies</w:t>
            </w:r>
            <w:r w:rsidR="00FD39E6">
              <w:rPr>
                <w:noProof/>
                <w:webHidden/>
              </w:rPr>
              <w:tab/>
            </w:r>
            <w:r w:rsidR="00FD39E6">
              <w:rPr>
                <w:noProof/>
                <w:webHidden/>
              </w:rPr>
              <w:fldChar w:fldCharType="begin"/>
            </w:r>
            <w:r w:rsidR="00FD39E6">
              <w:rPr>
                <w:noProof/>
                <w:webHidden/>
              </w:rPr>
              <w:instrText xml:space="preserve"> PAGEREF _Toc144413459 \h </w:instrText>
            </w:r>
            <w:r w:rsidR="00FD39E6">
              <w:rPr>
                <w:noProof/>
                <w:webHidden/>
              </w:rPr>
            </w:r>
            <w:r w:rsidR="00FD39E6">
              <w:rPr>
                <w:noProof/>
                <w:webHidden/>
              </w:rPr>
              <w:fldChar w:fldCharType="separate"/>
            </w:r>
            <w:r w:rsidR="00FD39E6">
              <w:rPr>
                <w:noProof/>
                <w:webHidden/>
              </w:rPr>
              <w:t>27</w:t>
            </w:r>
            <w:r w:rsidR="00FD39E6">
              <w:rPr>
                <w:noProof/>
                <w:webHidden/>
              </w:rPr>
              <w:fldChar w:fldCharType="end"/>
            </w:r>
          </w:hyperlink>
        </w:p>
        <w:p w14:paraId="41F26A57" w14:textId="77777777" w:rsidR="00FD39E6" w:rsidRDefault="00000000">
          <w:pPr>
            <w:pStyle w:val="TOC1"/>
            <w:tabs>
              <w:tab w:val="right" w:leader="dot" w:pos="9016"/>
            </w:tabs>
            <w:rPr>
              <w:noProof/>
            </w:rPr>
          </w:pPr>
          <w:hyperlink w:anchor="_Toc144413460" w:history="1">
            <w:r w:rsidR="00FD39E6" w:rsidRPr="00E41133">
              <w:rPr>
                <w:rStyle w:val="Hyperlink"/>
                <w:noProof/>
              </w:rPr>
              <w:t>Green Strategy and CSR</w:t>
            </w:r>
            <w:r w:rsidR="00FD39E6">
              <w:rPr>
                <w:noProof/>
                <w:webHidden/>
              </w:rPr>
              <w:tab/>
            </w:r>
            <w:r w:rsidR="00FD39E6">
              <w:rPr>
                <w:noProof/>
                <w:webHidden/>
              </w:rPr>
              <w:fldChar w:fldCharType="begin"/>
            </w:r>
            <w:r w:rsidR="00FD39E6">
              <w:rPr>
                <w:noProof/>
                <w:webHidden/>
              </w:rPr>
              <w:instrText xml:space="preserve"> PAGEREF _Toc144413460 \h </w:instrText>
            </w:r>
            <w:r w:rsidR="00FD39E6">
              <w:rPr>
                <w:noProof/>
                <w:webHidden/>
              </w:rPr>
            </w:r>
            <w:r w:rsidR="00FD39E6">
              <w:rPr>
                <w:noProof/>
                <w:webHidden/>
              </w:rPr>
              <w:fldChar w:fldCharType="separate"/>
            </w:r>
            <w:r w:rsidR="00FD39E6">
              <w:rPr>
                <w:noProof/>
                <w:webHidden/>
              </w:rPr>
              <w:t>29</w:t>
            </w:r>
            <w:r w:rsidR="00FD39E6">
              <w:rPr>
                <w:noProof/>
                <w:webHidden/>
              </w:rPr>
              <w:fldChar w:fldCharType="end"/>
            </w:r>
          </w:hyperlink>
        </w:p>
        <w:p w14:paraId="0BE66BAB" w14:textId="77777777" w:rsidR="00FD39E6" w:rsidRDefault="00000000">
          <w:pPr>
            <w:pStyle w:val="TOC1"/>
            <w:tabs>
              <w:tab w:val="right" w:leader="dot" w:pos="9016"/>
            </w:tabs>
            <w:rPr>
              <w:noProof/>
            </w:rPr>
          </w:pPr>
          <w:hyperlink w:anchor="_Toc144413461" w:history="1">
            <w:r w:rsidR="00FD39E6" w:rsidRPr="00E41133">
              <w:rPr>
                <w:rStyle w:val="Hyperlink"/>
                <w:noProof/>
              </w:rPr>
              <w:t>Conclusion</w:t>
            </w:r>
            <w:r w:rsidR="00FD39E6">
              <w:rPr>
                <w:noProof/>
                <w:webHidden/>
              </w:rPr>
              <w:tab/>
            </w:r>
            <w:r w:rsidR="00FD39E6">
              <w:rPr>
                <w:noProof/>
                <w:webHidden/>
              </w:rPr>
              <w:fldChar w:fldCharType="begin"/>
            </w:r>
            <w:r w:rsidR="00FD39E6">
              <w:rPr>
                <w:noProof/>
                <w:webHidden/>
              </w:rPr>
              <w:instrText xml:space="preserve"> PAGEREF _Toc144413461 \h </w:instrText>
            </w:r>
            <w:r w:rsidR="00FD39E6">
              <w:rPr>
                <w:noProof/>
                <w:webHidden/>
              </w:rPr>
            </w:r>
            <w:r w:rsidR="00FD39E6">
              <w:rPr>
                <w:noProof/>
                <w:webHidden/>
              </w:rPr>
              <w:fldChar w:fldCharType="separate"/>
            </w:r>
            <w:r w:rsidR="00FD39E6">
              <w:rPr>
                <w:noProof/>
                <w:webHidden/>
              </w:rPr>
              <w:t>30</w:t>
            </w:r>
            <w:r w:rsidR="00FD39E6">
              <w:rPr>
                <w:noProof/>
                <w:webHidden/>
              </w:rPr>
              <w:fldChar w:fldCharType="end"/>
            </w:r>
          </w:hyperlink>
        </w:p>
        <w:p w14:paraId="21BD2D5B" w14:textId="77777777" w:rsidR="00FD39E6" w:rsidRDefault="00000000">
          <w:pPr>
            <w:pStyle w:val="TOC1"/>
            <w:tabs>
              <w:tab w:val="right" w:leader="dot" w:pos="9016"/>
            </w:tabs>
            <w:rPr>
              <w:noProof/>
            </w:rPr>
          </w:pPr>
          <w:hyperlink w:anchor="_Toc144413462" w:history="1">
            <w:r w:rsidR="00FD39E6" w:rsidRPr="00E41133">
              <w:rPr>
                <w:rStyle w:val="Hyperlink"/>
                <w:noProof/>
              </w:rPr>
              <w:t>Recommendation</w:t>
            </w:r>
            <w:r w:rsidR="00FD39E6">
              <w:rPr>
                <w:noProof/>
                <w:webHidden/>
              </w:rPr>
              <w:tab/>
            </w:r>
            <w:r w:rsidR="00FD39E6">
              <w:rPr>
                <w:noProof/>
                <w:webHidden/>
              </w:rPr>
              <w:fldChar w:fldCharType="begin"/>
            </w:r>
            <w:r w:rsidR="00FD39E6">
              <w:rPr>
                <w:noProof/>
                <w:webHidden/>
              </w:rPr>
              <w:instrText xml:space="preserve"> PAGEREF _Toc144413462 \h </w:instrText>
            </w:r>
            <w:r w:rsidR="00FD39E6">
              <w:rPr>
                <w:noProof/>
                <w:webHidden/>
              </w:rPr>
            </w:r>
            <w:r w:rsidR="00FD39E6">
              <w:rPr>
                <w:noProof/>
                <w:webHidden/>
              </w:rPr>
              <w:fldChar w:fldCharType="separate"/>
            </w:r>
            <w:r w:rsidR="00FD39E6">
              <w:rPr>
                <w:noProof/>
                <w:webHidden/>
              </w:rPr>
              <w:t>30</w:t>
            </w:r>
            <w:r w:rsidR="00FD39E6">
              <w:rPr>
                <w:noProof/>
                <w:webHidden/>
              </w:rPr>
              <w:fldChar w:fldCharType="end"/>
            </w:r>
          </w:hyperlink>
        </w:p>
        <w:p w14:paraId="7181B24E" w14:textId="77777777" w:rsidR="00FD39E6" w:rsidRDefault="00000000">
          <w:pPr>
            <w:pStyle w:val="TOC1"/>
            <w:tabs>
              <w:tab w:val="right" w:leader="dot" w:pos="9016"/>
            </w:tabs>
            <w:rPr>
              <w:noProof/>
            </w:rPr>
          </w:pPr>
          <w:hyperlink w:anchor="_Toc144413463" w:history="1">
            <w:r w:rsidR="00FD39E6" w:rsidRPr="00E41133">
              <w:rPr>
                <w:rStyle w:val="Hyperlink"/>
                <w:noProof/>
              </w:rPr>
              <w:t>Reference List</w:t>
            </w:r>
            <w:r w:rsidR="00FD39E6">
              <w:rPr>
                <w:noProof/>
                <w:webHidden/>
              </w:rPr>
              <w:tab/>
            </w:r>
            <w:r w:rsidR="00FD39E6">
              <w:rPr>
                <w:noProof/>
                <w:webHidden/>
              </w:rPr>
              <w:fldChar w:fldCharType="begin"/>
            </w:r>
            <w:r w:rsidR="00FD39E6">
              <w:rPr>
                <w:noProof/>
                <w:webHidden/>
              </w:rPr>
              <w:instrText xml:space="preserve"> PAGEREF _Toc144413463 \h </w:instrText>
            </w:r>
            <w:r w:rsidR="00FD39E6">
              <w:rPr>
                <w:noProof/>
                <w:webHidden/>
              </w:rPr>
            </w:r>
            <w:r w:rsidR="00FD39E6">
              <w:rPr>
                <w:noProof/>
                <w:webHidden/>
              </w:rPr>
              <w:fldChar w:fldCharType="separate"/>
            </w:r>
            <w:r w:rsidR="00FD39E6">
              <w:rPr>
                <w:noProof/>
                <w:webHidden/>
              </w:rPr>
              <w:t>32</w:t>
            </w:r>
            <w:r w:rsidR="00FD39E6">
              <w:rPr>
                <w:noProof/>
                <w:webHidden/>
              </w:rPr>
              <w:fldChar w:fldCharType="end"/>
            </w:r>
          </w:hyperlink>
        </w:p>
        <w:p w14:paraId="17A247A9" w14:textId="77777777" w:rsidR="007E7DD3" w:rsidRDefault="00DF31A8">
          <w:pPr>
            <w:widowControl w:val="0"/>
            <w:tabs>
              <w:tab w:val="right" w:leader="dot" w:pos="12000"/>
            </w:tabs>
            <w:spacing w:before="60" w:after="0"/>
            <w:ind w:left="360"/>
            <w:rPr>
              <w:rFonts w:ascii="Arial" w:eastAsia="Arial" w:hAnsi="Arial" w:cs="Arial"/>
              <w:color w:val="000000"/>
            </w:rPr>
          </w:pPr>
          <w:r>
            <w:fldChar w:fldCharType="end"/>
          </w:r>
        </w:p>
      </w:sdtContent>
    </w:sdt>
    <w:p w14:paraId="47A3D278" w14:textId="77777777" w:rsidR="007E7DD3" w:rsidRDefault="0094325C">
      <w:pPr>
        <w:spacing w:line="360" w:lineRule="auto"/>
      </w:pPr>
      <w:r>
        <w:t xml:space="preserve"> </w:t>
      </w:r>
    </w:p>
    <w:p w14:paraId="72CE28A5" w14:textId="77777777" w:rsidR="007E7DD3" w:rsidRDefault="0094325C">
      <w:pPr>
        <w:spacing w:line="360" w:lineRule="auto"/>
        <w:rPr>
          <w:rFonts w:ascii="Arial" w:eastAsia="Arial" w:hAnsi="Arial" w:cs="Arial"/>
          <w:b/>
          <w:color w:val="17365D"/>
        </w:rPr>
      </w:pPr>
      <w:r>
        <w:br w:type="page"/>
      </w:r>
    </w:p>
    <w:p w14:paraId="69FA4716" w14:textId="77777777" w:rsidR="007E7DD3" w:rsidRDefault="0094325C">
      <w:pPr>
        <w:pStyle w:val="Heading1"/>
        <w:spacing w:line="360" w:lineRule="auto"/>
      </w:pPr>
      <w:bookmarkStart w:id="0" w:name="_Toc144413443"/>
      <w:r>
        <w:lastRenderedPageBreak/>
        <w:t>Introduction</w:t>
      </w:r>
      <w:bookmarkEnd w:id="0"/>
      <w:r>
        <w:t xml:space="preserve"> </w:t>
      </w:r>
    </w:p>
    <w:p w14:paraId="41860EA7" w14:textId="77777777" w:rsidR="007E7DD3" w:rsidRDefault="0094325C">
      <w:pPr>
        <w:spacing w:line="360" w:lineRule="auto"/>
        <w:jc w:val="both"/>
      </w:pPr>
      <w:r>
        <w:t>American Express is a multi-billion dollar holding establishment that mainly set off in the travel and economic service sectors. The establishment was founded in 1850 as a cargo forwarding trading and has since developed into one of the most powerful establishments in the world. American Express is also known for its high degree of trust, probity, security, standard and customer facility. During the early 2000s this establishment started to encounter challenges from the other card establishment and online remission processors. These establishments represent secure and more economical remission processing services, which reduce the number of customers of American Express (</w:t>
      </w:r>
      <w:sdt>
        <w:sdtPr>
          <w:id w:val="1327547451"/>
          <w:citation/>
        </w:sdtPr>
        <w:sdtContent>
          <w:r w:rsidR="00E8263F">
            <w:fldChar w:fldCharType="begin"/>
          </w:r>
          <w:r w:rsidR="00782EAA">
            <w:rPr>
              <w:lang w:val="en-US"/>
            </w:rPr>
            <w:instrText xml:space="preserve">CITATION Ame23 \l 1033 </w:instrText>
          </w:r>
          <w:r w:rsidR="00E8263F">
            <w:fldChar w:fldCharType="separate"/>
          </w:r>
          <w:r w:rsidR="00782EAA">
            <w:rPr>
              <w:noProof/>
              <w:lang w:val="en-US"/>
            </w:rPr>
            <w:t xml:space="preserve"> </w:t>
          </w:r>
          <w:r w:rsidR="00782EAA" w:rsidRPr="00782EAA">
            <w:rPr>
              <w:noProof/>
              <w:lang w:val="en-US"/>
            </w:rPr>
            <w:t>(Express, 2023)</w:t>
          </w:r>
          <w:r w:rsidR="00E8263F">
            <w:fldChar w:fldCharType="end"/>
          </w:r>
        </w:sdtContent>
      </w:sdt>
      <w:r>
        <w:t>. Additionally the large mercantile banks and credit card providers started to represent super-premium cards that compete with the features of American express exclusive cards. In response to these obstacles, the establishment started to improve new products and services to retrial to a huge range of users. In  2014, the establishment introduced the "Amex EveryDay Credit Card" which represents no annual charges and also offers a rewarding program that rewards loyal users. The card was particularly targeted at customers like housewives and learners, as antagonistic to America Express's other services, which were frequently picked out at busy executives and business leaders. The Amex Everyday Credit Card was a success, and it was able to support this establishment to recover some of the market share that had become off-track because of their competitors. The card also helped this establishment to freeze their position as a forward player in the travel and economic service</w:t>
      </w:r>
      <w:r w:rsidR="00FD39E6">
        <w:t>s industries</w:t>
      </w:r>
      <w:sdt>
        <w:sdtPr>
          <w:id w:val="309525957"/>
          <w:citation/>
        </w:sdtPr>
        <w:sdtContent>
          <w:r w:rsidR="00E8263F">
            <w:fldChar w:fldCharType="begin"/>
          </w:r>
          <w:r w:rsidR="00782EAA">
            <w:instrText xml:space="preserve">CITATION Ame23 \l 2057 </w:instrText>
          </w:r>
          <w:r w:rsidR="00E8263F">
            <w:fldChar w:fldCharType="separate"/>
          </w:r>
          <w:r w:rsidR="00782EAA">
            <w:rPr>
              <w:noProof/>
            </w:rPr>
            <w:t xml:space="preserve"> (Express, 2023)</w:t>
          </w:r>
          <w:r w:rsidR="00E8263F">
            <w:rPr>
              <w:noProof/>
            </w:rPr>
            <w:fldChar w:fldCharType="end"/>
          </w:r>
        </w:sdtContent>
      </w:sdt>
      <w:r>
        <w:t>. This assessment will highlight the macro and micro environmental analysis of this establishment along with internal analysis including primary and secondary activities. Also this assessment will highlight plans to sustain competitive advantage, development strategies, green strategy and CSR.</w:t>
      </w:r>
    </w:p>
    <w:p w14:paraId="4EECF994" w14:textId="77777777" w:rsidR="007E7DD3" w:rsidRDefault="0094325C">
      <w:pPr>
        <w:pStyle w:val="Heading1"/>
        <w:spacing w:line="360" w:lineRule="auto"/>
      </w:pPr>
      <w:bookmarkStart w:id="1" w:name="_Toc144413444"/>
      <w:r>
        <w:t>American Express Background</w:t>
      </w:r>
      <w:bookmarkEnd w:id="1"/>
      <w:r>
        <w:t xml:space="preserve"> </w:t>
      </w:r>
    </w:p>
    <w:p w14:paraId="742F8598" w14:textId="77777777" w:rsidR="007E7DD3" w:rsidRDefault="0094325C">
      <w:pPr>
        <w:spacing w:line="360" w:lineRule="auto"/>
        <w:jc w:val="both"/>
      </w:pPr>
      <w:r>
        <w:t>American Express is marked as a member of the Dow Jones Industrial Average. The establishment was founded in 1850 and the headquarters of this establishment is situated in New York City. Based on the reports this establishment has been ranked as one of the most applund establishments in the world by Fortune magazine for a long period of time. At present this establishment is operating over 150 countries and territories</w:t>
      </w:r>
      <w:sdt>
        <w:sdtPr>
          <w:id w:val="309525958"/>
          <w:citation/>
        </w:sdtPr>
        <w:sdtContent>
          <w:r w:rsidR="00E8263F">
            <w:fldChar w:fldCharType="begin"/>
          </w:r>
          <w:r w:rsidR="00782EAA">
            <w:instrText xml:space="preserve">CITATION Ame23 \l 2057 </w:instrText>
          </w:r>
          <w:r w:rsidR="00E8263F">
            <w:fldChar w:fldCharType="separate"/>
          </w:r>
          <w:r w:rsidR="00782EAA">
            <w:rPr>
              <w:noProof/>
            </w:rPr>
            <w:t xml:space="preserve"> (Express, 2023)</w:t>
          </w:r>
          <w:r w:rsidR="00E8263F">
            <w:rPr>
              <w:noProof/>
            </w:rPr>
            <w:fldChar w:fldCharType="end"/>
          </w:r>
        </w:sdtContent>
      </w:sdt>
      <w:r>
        <w:t xml:space="preserve">. American Express is a diversified economic service provider that provides a wide range of products and services that consists of credit cards, travel services and </w:t>
      </w:r>
      <w:r w:rsidR="00E61194">
        <w:t>another</w:t>
      </w:r>
      <w:r>
        <w:t xml:space="preserve"> trader </w:t>
      </w:r>
      <w:r>
        <w:lastRenderedPageBreak/>
        <w:t xml:space="preserve">obtaining. This establishment is able to list itself in the New York Stock exchange (NYSE). As per the reports the current market capitalisation of this establishment was 128.5 billion dollar in March 2023. This establishment is also marked as one of the largest credit card providers in the world and has 112 million card members. The establishment's card is accepted over 38 million business locations globally. It also has a good track record of profitability and the net income of this establishment is 8.8 billion dollars in 2022. There are more than 67000 employees attached to this establishment globally </w:t>
      </w:r>
      <w:sdt>
        <w:sdtPr>
          <w:id w:val="309525959"/>
          <w:citation/>
        </w:sdtPr>
        <w:sdtContent>
          <w:r w:rsidR="00E8263F">
            <w:fldChar w:fldCharType="begin"/>
          </w:r>
          <w:r w:rsidR="00782EAA">
            <w:instrText xml:space="preserve">CITATION Ame23 \l 2057 </w:instrText>
          </w:r>
          <w:r w:rsidR="00E8263F">
            <w:fldChar w:fldCharType="separate"/>
          </w:r>
          <w:r w:rsidR="00782EAA">
            <w:rPr>
              <w:noProof/>
            </w:rPr>
            <w:t>(Express, 2023)</w:t>
          </w:r>
          <w:r w:rsidR="00E8263F">
            <w:rPr>
              <w:noProof/>
            </w:rPr>
            <w:fldChar w:fldCharType="end"/>
          </w:r>
        </w:sdtContent>
      </w:sdt>
      <w:r>
        <w:t xml:space="preserve">. This establishment was able to gain 60% of the total market revenue. </w:t>
      </w:r>
    </w:p>
    <w:p w14:paraId="5E250876" w14:textId="77777777" w:rsidR="007E7DD3" w:rsidRDefault="0094325C">
      <w:pPr>
        <w:spacing w:line="360" w:lineRule="auto"/>
        <w:jc w:val="center"/>
      </w:pPr>
      <w:r>
        <w:rPr>
          <w:noProof/>
          <w:lang w:val="en-US"/>
        </w:rPr>
        <w:drawing>
          <wp:inline distT="114300" distB="114300" distL="114300" distR="114300" wp14:anchorId="684F8319" wp14:editId="4D653670">
            <wp:extent cx="4572000" cy="28956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cstate="print"/>
                    <a:srcRect/>
                    <a:stretch>
                      <a:fillRect/>
                    </a:stretch>
                  </pic:blipFill>
                  <pic:spPr>
                    <a:xfrm>
                      <a:off x="0" y="0"/>
                      <a:ext cx="4572000" cy="2895600"/>
                    </a:xfrm>
                    <a:prstGeom prst="rect">
                      <a:avLst/>
                    </a:prstGeom>
                    <a:ln/>
                  </pic:spPr>
                </pic:pic>
              </a:graphicData>
            </a:graphic>
          </wp:inline>
        </w:drawing>
      </w:r>
    </w:p>
    <w:p w14:paraId="4DC2749A" w14:textId="77777777" w:rsidR="007E7DD3" w:rsidRDefault="0094325C">
      <w:pPr>
        <w:spacing w:line="360" w:lineRule="auto"/>
        <w:jc w:val="center"/>
        <w:rPr>
          <w:b/>
        </w:rPr>
      </w:pPr>
      <w:r>
        <w:rPr>
          <w:b/>
        </w:rPr>
        <w:t>Figure 1: American Express Card</w:t>
      </w:r>
    </w:p>
    <w:p w14:paraId="38001AB4" w14:textId="77777777" w:rsidR="007E7DD3" w:rsidRDefault="0094325C">
      <w:pPr>
        <w:spacing w:line="360" w:lineRule="auto"/>
        <w:jc w:val="center"/>
      </w:pPr>
      <w:r>
        <w:t xml:space="preserve">(Source: </w:t>
      </w:r>
      <w:sdt>
        <w:sdtPr>
          <w:id w:val="-1944904109"/>
          <w:citation/>
        </w:sdtPr>
        <w:sdtContent>
          <w:r w:rsidR="00C67B8E">
            <w:fldChar w:fldCharType="begin"/>
          </w:r>
          <w:r w:rsidR="00782EAA">
            <w:rPr>
              <w:lang w:val="en-US"/>
            </w:rPr>
            <w:instrText xml:space="preserve">CITATION Ame23 \l 1033 </w:instrText>
          </w:r>
          <w:r w:rsidR="00C67B8E">
            <w:fldChar w:fldCharType="separate"/>
          </w:r>
          <w:r w:rsidR="00782EAA" w:rsidRPr="00782EAA">
            <w:rPr>
              <w:noProof/>
              <w:lang w:val="en-US"/>
            </w:rPr>
            <w:t>(Express, 2023)</w:t>
          </w:r>
          <w:r w:rsidR="00C67B8E">
            <w:fldChar w:fldCharType="end"/>
          </w:r>
        </w:sdtContent>
      </w:sdt>
      <w:r>
        <w:t xml:space="preserve"> </w:t>
      </w:r>
    </w:p>
    <w:p w14:paraId="770D2E4C" w14:textId="77777777" w:rsidR="007E7DD3" w:rsidRDefault="0094325C">
      <w:pPr>
        <w:pStyle w:val="Heading2"/>
      </w:pPr>
      <w:bookmarkStart w:id="2" w:name="_Toc144413445"/>
      <w:r>
        <w:t>American Express Mission and Objectives</w:t>
      </w:r>
      <w:bookmarkEnd w:id="2"/>
      <w:r>
        <w:t xml:space="preserve"> </w:t>
      </w:r>
    </w:p>
    <w:p w14:paraId="4FB621AE" w14:textId="77777777" w:rsidR="007E7DD3" w:rsidRDefault="0094325C">
      <w:pPr>
        <w:spacing w:line="360" w:lineRule="auto"/>
        <w:jc w:val="both"/>
      </w:pPr>
      <w:r>
        <w:t xml:space="preserve">The main mission of this establishment is to provide extraordinary service and creative products that are able to enrich the lives of the </w:t>
      </w:r>
      <w:r w:rsidR="00E61194">
        <w:t>its</w:t>
      </w:r>
      <w:r>
        <w:t xml:space="preserve"> customers, workers and communities. </w:t>
      </w:r>
    </w:p>
    <w:p w14:paraId="1936E4A8" w14:textId="77777777" w:rsidR="007E7DD3" w:rsidRDefault="0094325C">
      <w:pPr>
        <w:spacing w:line="360" w:lineRule="auto"/>
        <w:jc w:val="both"/>
        <w:rPr>
          <w:b/>
        </w:rPr>
      </w:pPr>
      <w:r>
        <w:rPr>
          <w:b/>
          <w:color w:val="073763"/>
        </w:rPr>
        <w:t>Objectives</w:t>
      </w:r>
      <w:r>
        <w:rPr>
          <w:b/>
        </w:rPr>
        <w:t>:</w:t>
      </w:r>
    </w:p>
    <w:p w14:paraId="69EECFB4" w14:textId="77777777" w:rsidR="007E7DD3" w:rsidRDefault="0094325C">
      <w:pPr>
        <w:numPr>
          <w:ilvl w:val="0"/>
          <w:numId w:val="3"/>
        </w:numPr>
        <w:spacing w:after="0" w:line="360" w:lineRule="auto"/>
        <w:jc w:val="both"/>
      </w:pPr>
      <w:r>
        <w:t>To maintain its position as a reputed service providing brand.</w:t>
      </w:r>
    </w:p>
    <w:p w14:paraId="09A321F5" w14:textId="77777777" w:rsidR="007E7DD3" w:rsidRDefault="0094325C">
      <w:pPr>
        <w:numPr>
          <w:ilvl w:val="0"/>
          <w:numId w:val="3"/>
        </w:numPr>
        <w:spacing w:after="0" w:line="360" w:lineRule="auto"/>
        <w:jc w:val="both"/>
      </w:pPr>
      <w:r>
        <w:t>To act as a forward player in providing payment solutions.</w:t>
      </w:r>
    </w:p>
    <w:p w14:paraId="525A6741" w14:textId="77777777" w:rsidR="007E7DD3" w:rsidRDefault="0094325C">
      <w:pPr>
        <w:numPr>
          <w:ilvl w:val="0"/>
          <w:numId w:val="3"/>
        </w:numPr>
        <w:spacing w:line="360" w:lineRule="auto"/>
        <w:jc w:val="both"/>
      </w:pPr>
      <w:r>
        <w:t>To be the favourable partner for the business of all dimensions.</w:t>
      </w:r>
    </w:p>
    <w:p w14:paraId="71380BBE" w14:textId="77777777" w:rsidR="007E7DD3" w:rsidRDefault="0094325C">
      <w:pPr>
        <w:pStyle w:val="Heading1"/>
        <w:spacing w:line="360" w:lineRule="auto"/>
      </w:pPr>
      <w:bookmarkStart w:id="3" w:name="_Toc144413446"/>
      <w:r>
        <w:lastRenderedPageBreak/>
        <w:t>Macro-Environment Analysis</w:t>
      </w:r>
      <w:bookmarkEnd w:id="3"/>
      <w:r>
        <w:t xml:space="preserve"> </w:t>
      </w:r>
    </w:p>
    <w:p w14:paraId="0E275DC8" w14:textId="77777777" w:rsidR="007E7DD3" w:rsidRDefault="0094325C">
      <w:pPr>
        <w:spacing w:line="360" w:lineRule="auto"/>
        <w:jc w:val="both"/>
      </w:pPr>
      <w:r>
        <w:t xml:space="preserve">The macro environmental evaluation of American Express unfolds the complex interplay among the external factors of the establishment's operations. Financial trends, technological advancements, socio-cultural transformation, legal and governmental changes and environmental deliberations collectively tailored the scenario in which American Express works. By apprehending these dynamics, the establishment can carefully adept strategies, increase customer experience and maintain its competitive border in the changing market. The important  insights about the macro environment of the establishment American express can be revealed through the help of thorough PESTLE analysis. </w:t>
      </w:r>
    </w:p>
    <w:p w14:paraId="1745688C" w14:textId="77777777" w:rsidR="007E7DD3" w:rsidRDefault="0094325C">
      <w:pPr>
        <w:pStyle w:val="Heading2"/>
      </w:pPr>
      <w:bookmarkStart w:id="4" w:name="_Toc144413447"/>
      <w:r>
        <w:t>PESTEL Analysis</w:t>
      </w:r>
      <w:bookmarkEnd w:id="4"/>
      <w:r>
        <w:t xml:space="preserve"> </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06FC7334" w14:textId="77777777">
        <w:tc>
          <w:tcPr>
            <w:tcW w:w="4513" w:type="dxa"/>
            <w:shd w:val="clear" w:color="auto" w:fill="auto"/>
            <w:tcMar>
              <w:top w:w="100" w:type="dxa"/>
              <w:left w:w="100" w:type="dxa"/>
              <w:bottom w:w="100" w:type="dxa"/>
              <w:right w:w="100" w:type="dxa"/>
            </w:tcMar>
          </w:tcPr>
          <w:p w14:paraId="5CC880C0" w14:textId="77777777" w:rsidR="007E7DD3" w:rsidRDefault="0094325C">
            <w:pPr>
              <w:widowControl w:val="0"/>
              <w:pBdr>
                <w:top w:val="nil"/>
                <w:left w:val="nil"/>
                <w:bottom w:val="nil"/>
                <w:right w:val="nil"/>
                <w:between w:val="nil"/>
              </w:pBdr>
              <w:spacing w:after="0" w:line="360" w:lineRule="auto"/>
              <w:jc w:val="both"/>
              <w:rPr>
                <w:b/>
              </w:rPr>
            </w:pPr>
            <w:r>
              <w:rPr>
                <w:b/>
              </w:rPr>
              <w:t xml:space="preserve">Political Factors </w:t>
            </w:r>
          </w:p>
        </w:tc>
        <w:tc>
          <w:tcPr>
            <w:tcW w:w="4513" w:type="dxa"/>
            <w:shd w:val="clear" w:color="auto" w:fill="auto"/>
            <w:tcMar>
              <w:top w:w="100" w:type="dxa"/>
              <w:left w:w="100" w:type="dxa"/>
              <w:bottom w:w="100" w:type="dxa"/>
              <w:right w:w="100" w:type="dxa"/>
            </w:tcMar>
          </w:tcPr>
          <w:p w14:paraId="130020F1" w14:textId="77777777" w:rsidR="007E7DD3" w:rsidRDefault="0094325C" w:rsidP="00FD39E6">
            <w:pPr>
              <w:widowControl w:val="0"/>
              <w:pBdr>
                <w:top w:val="nil"/>
                <w:left w:val="nil"/>
                <w:bottom w:val="nil"/>
                <w:right w:val="nil"/>
                <w:between w:val="nil"/>
              </w:pBdr>
              <w:spacing w:after="0" w:line="360" w:lineRule="auto"/>
              <w:jc w:val="both"/>
            </w:pPr>
            <w:r>
              <w:t xml:space="preserve">American Express processes their business in global theatre, subject to different political situations. Parliamentary changes in the different continents, such as economic industry refinement and laws related to data protection, regulates the establishment's processes </w:t>
            </w:r>
            <w:sdt>
              <w:sdtPr>
                <w:id w:val="309525960"/>
                <w:citation/>
              </w:sdtPr>
              <w:sdtContent>
                <w:r w:rsidR="00E8263F">
                  <w:fldChar w:fldCharType="begin"/>
                </w:r>
                <w:r w:rsidR="00782EAA">
                  <w:instrText xml:space="preserve">CITATION Ale18 \l 2057 </w:instrText>
                </w:r>
                <w:r w:rsidR="00E8263F">
                  <w:fldChar w:fldCharType="separate"/>
                </w:r>
                <w:r w:rsidR="00782EAA">
                  <w:rPr>
                    <w:noProof/>
                  </w:rPr>
                  <w:t>(Chernev, 2018)</w:t>
                </w:r>
                <w:r w:rsidR="00E8263F">
                  <w:rPr>
                    <w:noProof/>
                  </w:rPr>
                  <w:fldChar w:fldCharType="end"/>
                </w:r>
              </w:sdtContent>
            </w:sdt>
            <w:r>
              <w:t xml:space="preserve">For example, the Dodd-Frank Act and the European Union's GDPR have suggestions for data protection and customer privacy, requiring adherence efforts. Additionally, business policies and geopolitical pressure may affect the cross-boundary transductions and global partnerships. </w:t>
            </w:r>
          </w:p>
        </w:tc>
      </w:tr>
      <w:tr w:rsidR="007E7DD3" w14:paraId="0DD2FE9F" w14:textId="77777777">
        <w:tc>
          <w:tcPr>
            <w:tcW w:w="4513" w:type="dxa"/>
            <w:shd w:val="clear" w:color="auto" w:fill="auto"/>
            <w:tcMar>
              <w:top w:w="100" w:type="dxa"/>
              <w:left w:w="100" w:type="dxa"/>
              <w:bottom w:w="100" w:type="dxa"/>
              <w:right w:w="100" w:type="dxa"/>
            </w:tcMar>
          </w:tcPr>
          <w:p w14:paraId="1DDC4777" w14:textId="77777777" w:rsidR="007E7DD3" w:rsidRDefault="0094325C">
            <w:pPr>
              <w:widowControl w:val="0"/>
              <w:pBdr>
                <w:top w:val="nil"/>
                <w:left w:val="nil"/>
                <w:bottom w:val="nil"/>
                <w:right w:val="nil"/>
                <w:between w:val="nil"/>
              </w:pBdr>
              <w:spacing w:after="0" w:line="360" w:lineRule="auto"/>
              <w:jc w:val="both"/>
              <w:rPr>
                <w:b/>
              </w:rPr>
            </w:pPr>
            <w:r>
              <w:rPr>
                <w:b/>
              </w:rPr>
              <w:t xml:space="preserve">Economic Factors </w:t>
            </w:r>
          </w:p>
        </w:tc>
        <w:tc>
          <w:tcPr>
            <w:tcW w:w="4513" w:type="dxa"/>
            <w:shd w:val="clear" w:color="auto" w:fill="auto"/>
            <w:tcMar>
              <w:top w:w="100" w:type="dxa"/>
              <w:left w:w="100" w:type="dxa"/>
              <w:bottom w:w="100" w:type="dxa"/>
              <w:right w:w="100" w:type="dxa"/>
            </w:tcMar>
          </w:tcPr>
          <w:p w14:paraId="26AE7533" w14:textId="77777777" w:rsidR="007E7DD3" w:rsidRDefault="0094325C" w:rsidP="00FD39E6">
            <w:pPr>
              <w:widowControl w:val="0"/>
              <w:pBdr>
                <w:top w:val="nil"/>
                <w:left w:val="nil"/>
                <w:bottom w:val="nil"/>
                <w:right w:val="nil"/>
                <w:between w:val="nil"/>
              </w:pBdr>
              <w:spacing w:after="0" w:line="360" w:lineRule="auto"/>
              <w:jc w:val="both"/>
            </w:pPr>
            <w:r>
              <w:t xml:space="preserve">Up Downs in the international financial conditions noteworthily affecting American Express. Economic slowdowns make an impact on the purchase behaviour of the customers, lower their interest over the premium credit card and services. On the other hand during the periods of financial </w:t>
            </w:r>
            <w:r>
              <w:lastRenderedPageBreak/>
              <w:t xml:space="preserve">development, enlarged exposable income can drive the rate of card usage. Exchange rates also play an important part, as a high rate of dollar can impact on the overall revenue form International processes. In 2020, the COVID-19 pandemic hampers the global economy, leading to a decreased rate of customer purchase and travel, directly </w:t>
            </w:r>
            <w:r w:rsidR="00FD39E6">
              <w:t>impacting American</w:t>
            </w:r>
            <w:r>
              <w:t xml:space="preserve"> Ex</w:t>
            </w:r>
            <w:r w:rsidR="00FD39E6">
              <w:t xml:space="preserve">press's travel related services. </w:t>
            </w:r>
            <w:r>
              <w:t xml:space="preserve">Economic ups and downs make a huge impact on the </w:t>
            </w:r>
            <w:r w:rsidR="00FD39E6">
              <w:t>establishment’s</w:t>
            </w:r>
            <w:r>
              <w:t xml:space="preserve"> revenue streams, as financial regulations may lead to lower rate of customer spending, while affluent times can enhance the voluntary spending and luxury travel.</w:t>
            </w:r>
          </w:p>
        </w:tc>
      </w:tr>
      <w:tr w:rsidR="007E7DD3" w14:paraId="344C867C" w14:textId="77777777">
        <w:tc>
          <w:tcPr>
            <w:tcW w:w="4513" w:type="dxa"/>
            <w:shd w:val="clear" w:color="auto" w:fill="auto"/>
            <w:tcMar>
              <w:top w:w="100" w:type="dxa"/>
              <w:left w:w="100" w:type="dxa"/>
              <w:bottom w:w="100" w:type="dxa"/>
              <w:right w:w="100" w:type="dxa"/>
            </w:tcMar>
          </w:tcPr>
          <w:p w14:paraId="727ECC1C"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Socio-cultural Factors</w:t>
            </w:r>
          </w:p>
        </w:tc>
        <w:tc>
          <w:tcPr>
            <w:tcW w:w="4513" w:type="dxa"/>
            <w:shd w:val="clear" w:color="auto" w:fill="auto"/>
            <w:tcMar>
              <w:top w:w="100" w:type="dxa"/>
              <w:left w:w="100" w:type="dxa"/>
              <w:bottom w:w="100" w:type="dxa"/>
              <w:right w:w="100" w:type="dxa"/>
            </w:tcMar>
          </w:tcPr>
          <w:p w14:paraId="056950C7" w14:textId="77777777" w:rsidR="007E7DD3" w:rsidRDefault="0094325C" w:rsidP="00FD39E6">
            <w:pPr>
              <w:widowControl w:val="0"/>
              <w:pBdr>
                <w:top w:val="nil"/>
                <w:left w:val="nil"/>
                <w:bottom w:val="nil"/>
                <w:right w:val="nil"/>
                <w:between w:val="nil"/>
              </w:pBdr>
              <w:spacing w:after="0" w:line="360" w:lineRule="auto"/>
              <w:jc w:val="both"/>
            </w:pPr>
            <w:r>
              <w:t xml:space="preserve">Socio-cultural tendencies also affect the choices of the customers and manner. American Express must undertake the regulating demand of the </w:t>
            </w:r>
            <w:r w:rsidR="00E61194">
              <w:t>customers’</w:t>
            </w:r>
            <w:r>
              <w:t xml:space="preserve"> requirements and choices, especially among the young generations. Moreover sociological conversion towards the digital payment processes have made the operations more complex for the establishment to increase its online and mobile services. The revolt of responsive commercialism has also led to a high rate of interest in legitimacy, enhancing American Express to consider environmental and social responsibilities in their processes </w:t>
            </w:r>
            <w:sdt>
              <w:sdtPr>
                <w:id w:val="309525961"/>
                <w:citation/>
              </w:sdtPr>
              <w:sdtContent>
                <w:r w:rsidR="00E8263F">
                  <w:fldChar w:fldCharType="begin"/>
                </w:r>
                <w:r w:rsidR="00782EAA">
                  <w:instrText xml:space="preserve">CITATION Bla23 \l 2057 </w:instrText>
                </w:r>
                <w:r w:rsidR="00E8263F">
                  <w:fldChar w:fldCharType="separate"/>
                </w:r>
                <w:r w:rsidR="00782EAA">
                  <w:rPr>
                    <w:noProof/>
                  </w:rPr>
                  <w:t>(Blakeman, 2023)</w:t>
                </w:r>
                <w:r w:rsidR="00E8263F">
                  <w:rPr>
                    <w:noProof/>
                  </w:rPr>
                  <w:fldChar w:fldCharType="end"/>
                </w:r>
              </w:sdtContent>
            </w:sdt>
            <w:r w:rsidR="00FD39E6">
              <w:t xml:space="preserve">. </w:t>
            </w:r>
            <w:r>
              <w:t xml:space="preserve">Sociological changes like the rise of fintech and dynamic customer </w:t>
            </w:r>
            <w:r w:rsidR="00FD39E6">
              <w:t>choices</w:t>
            </w:r>
            <w:r>
              <w:t xml:space="preserve"> have the </w:t>
            </w:r>
            <w:r>
              <w:lastRenderedPageBreak/>
              <w:t xml:space="preserve">need of American Express to innovate non-stop and customise their offers to match with the rising customer requirements. </w:t>
            </w:r>
          </w:p>
        </w:tc>
      </w:tr>
      <w:tr w:rsidR="007E7DD3" w14:paraId="3D3D2729" w14:textId="77777777">
        <w:tc>
          <w:tcPr>
            <w:tcW w:w="4513" w:type="dxa"/>
            <w:shd w:val="clear" w:color="auto" w:fill="auto"/>
            <w:tcMar>
              <w:top w:w="100" w:type="dxa"/>
              <w:left w:w="100" w:type="dxa"/>
              <w:bottom w:w="100" w:type="dxa"/>
              <w:right w:w="100" w:type="dxa"/>
            </w:tcMar>
          </w:tcPr>
          <w:p w14:paraId="76D0129E"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 xml:space="preserve">Technological Factors </w:t>
            </w:r>
          </w:p>
        </w:tc>
        <w:tc>
          <w:tcPr>
            <w:tcW w:w="4513" w:type="dxa"/>
            <w:shd w:val="clear" w:color="auto" w:fill="auto"/>
            <w:tcMar>
              <w:top w:w="100" w:type="dxa"/>
              <w:left w:w="100" w:type="dxa"/>
              <w:bottom w:w="100" w:type="dxa"/>
              <w:right w:w="100" w:type="dxa"/>
            </w:tcMar>
          </w:tcPr>
          <w:p w14:paraId="276733DB" w14:textId="499B0411" w:rsidR="007E7DD3" w:rsidRDefault="0094325C" w:rsidP="00FD39E6">
            <w:pPr>
              <w:widowControl w:val="0"/>
              <w:pBdr>
                <w:top w:val="nil"/>
                <w:left w:val="nil"/>
                <w:bottom w:val="nil"/>
                <w:right w:val="nil"/>
                <w:between w:val="nil"/>
              </w:pBdr>
              <w:spacing w:after="0" w:line="360" w:lineRule="auto"/>
              <w:jc w:val="both"/>
            </w:pPr>
            <w:r>
              <w:t>Technological development non-stop tailoring the economic industry. American Express must need to stay on a level of creativity to represent suitable and secure services. The revolt of banking through mobile, contactless remission, and digital wallets has pushed the establishment to introduce user-friendly applications and platforms. Furthermore, artificial intelligence (AI) and data evaluation has authorised better fraud navigat</w:t>
            </w:r>
            <w:r w:rsidR="00FD39E6">
              <w:t xml:space="preserve">ion and customised experiences </w:t>
            </w:r>
            <w:sdt>
              <w:sdtPr>
                <w:id w:val="309525963"/>
                <w:citation/>
              </w:sdtPr>
              <w:sdtContent>
                <w:r w:rsidR="00E8263F">
                  <w:fldChar w:fldCharType="begin"/>
                </w:r>
                <w:r w:rsidR="00E8263F">
                  <w:instrText xml:space="preserve"> CITATION Bow191 \l 2057 </w:instrText>
                </w:r>
                <w:r w:rsidR="00E8263F">
                  <w:fldChar w:fldCharType="separate"/>
                </w:r>
                <w:r w:rsidR="008270DD">
                  <w:rPr>
                    <w:noProof/>
                  </w:rPr>
                  <w:t>(Bowman &amp; Raspin, 2019)</w:t>
                </w:r>
                <w:r w:rsidR="00E8263F">
                  <w:rPr>
                    <w:noProof/>
                  </w:rPr>
                  <w:fldChar w:fldCharType="end"/>
                </w:r>
              </w:sdtContent>
            </w:sdt>
            <w:r>
              <w:t xml:space="preserve">. American Express's accession of fintech establishments like </w:t>
            </w:r>
            <w:r w:rsidR="00E61194">
              <w:t>Kabbage</w:t>
            </w:r>
            <w:r>
              <w:t xml:space="preserve"> able to underscore its dedication to technological evolutions. However the effect of COVID-19 also escalated the digital remission and online services, driving the establishment to further donate in its technological capabilities </w:t>
            </w:r>
            <w:sdt>
              <w:sdtPr>
                <w:id w:val="309525964"/>
                <w:citation/>
              </w:sdtPr>
              <w:sdtContent>
                <w:r w:rsidR="00E8263F">
                  <w:fldChar w:fldCharType="begin"/>
                </w:r>
                <w:r w:rsidR="00EF2120">
                  <w:instrText xml:space="preserve">CITATION Bro18 \l 2057 </w:instrText>
                </w:r>
                <w:r w:rsidR="00E8263F">
                  <w:fldChar w:fldCharType="separate"/>
                </w:r>
                <w:r w:rsidR="00EF2120">
                  <w:rPr>
                    <w:noProof/>
                  </w:rPr>
                  <w:t>(Brown, 2018)</w:t>
                </w:r>
                <w:r w:rsidR="00E8263F">
                  <w:rPr>
                    <w:noProof/>
                  </w:rPr>
                  <w:fldChar w:fldCharType="end"/>
                </w:r>
              </w:sdtContent>
            </w:sdt>
            <w:r>
              <w:t xml:space="preserve">. The establishment's investment over technology, including AI-navigated fraud prohibition and digital remission solutions, reflect its dedication to undertake the changing technological scenario. </w:t>
            </w:r>
          </w:p>
        </w:tc>
      </w:tr>
      <w:tr w:rsidR="007E7DD3" w14:paraId="3B19E941" w14:textId="77777777">
        <w:tc>
          <w:tcPr>
            <w:tcW w:w="4513" w:type="dxa"/>
            <w:shd w:val="clear" w:color="auto" w:fill="auto"/>
            <w:tcMar>
              <w:top w:w="100" w:type="dxa"/>
              <w:left w:w="100" w:type="dxa"/>
              <w:bottom w:w="100" w:type="dxa"/>
              <w:right w:w="100" w:type="dxa"/>
            </w:tcMar>
          </w:tcPr>
          <w:p w14:paraId="6E14181F" w14:textId="77777777" w:rsidR="007E7DD3" w:rsidRDefault="0094325C">
            <w:pPr>
              <w:widowControl w:val="0"/>
              <w:pBdr>
                <w:top w:val="nil"/>
                <w:left w:val="nil"/>
                <w:bottom w:val="nil"/>
                <w:right w:val="nil"/>
                <w:between w:val="nil"/>
              </w:pBdr>
              <w:spacing w:after="0" w:line="360" w:lineRule="auto"/>
              <w:jc w:val="both"/>
              <w:rPr>
                <w:b/>
              </w:rPr>
            </w:pPr>
            <w:r>
              <w:rPr>
                <w:b/>
              </w:rPr>
              <w:t xml:space="preserve">Legal Factors </w:t>
            </w:r>
          </w:p>
        </w:tc>
        <w:tc>
          <w:tcPr>
            <w:tcW w:w="4513" w:type="dxa"/>
            <w:shd w:val="clear" w:color="auto" w:fill="auto"/>
            <w:tcMar>
              <w:top w:w="100" w:type="dxa"/>
              <w:left w:w="100" w:type="dxa"/>
              <w:bottom w:w="100" w:type="dxa"/>
              <w:right w:w="100" w:type="dxa"/>
            </w:tcMar>
          </w:tcPr>
          <w:p w14:paraId="13EE615D" w14:textId="5DFEDF41" w:rsidR="007E7DD3" w:rsidRDefault="0094325C" w:rsidP="00A25B1C">
            <w:pPr>
              <w:widowControl w:val="0"/>
              <w:pBdr>
                <w:top w:val="nil"/>
                <w:left w:val="nil"/>
                <w:bottom w:val="nil"/>
                <w:right w:val="nil"/>
                <w:between w:val="nil"/>
              </w:pBdr>
              <w:spacing w:after="0" w:line="360" w:lineRule="auto"/>
              <w:jc w:val="both"/>
            </w:pPr>
            <w:r>
              <w:t xml:space="preserve">Legal and parliamentary infrastructure makes an impact on the business processes of American Express and their market presence. Adherence with economical </w:t>
            </w:r>
            <w:r>
              <w:lastRenderedPageBreak/>
              <w:t>regulations, anti-money cleaning laws, and customer protection regulations is important. The establishment's activities are subject to inspection by governmental bodies such as the Consumer Financial Protection Bureau. Additionally the legal obstacles related to the data violations or privacy infringement can have severe reputational and economic Implications. Governmental changes, such as laws against data violatio</w:t>
            </w:r>
            <w:r w:rsidR="00A25B1C">
              <w:t xml:space="preserve">n, affecting American Express's </w:t>
            </w:r>
            <w:r>
              <w:t xml:space="preserve">data managing practices, requiring increased </w:t>
            </w:r>
            <w:r w:rsidR="00A25B1C">
              <w:t>cyber security</w:t>
            </w:r>
            <w:r>
              <w:t xml:space="preserve"> calculations </w:t>
            </w:r>
            <w:sdt>
              <w:sdtPr>
                <w:id w:val="309525965"/>
                <w:citation/>
              </w:sdtPr>
              <w:sdtContent>
                <w:r w:rsidR="00E8263F">
                  <w:fldChar w:fldCharType="begin"/>
                </w:r>
                <w:r w:rsidR="00EF2120">
                  <w:instrText xml:space="preserve">CITATION Bur20 \l 2057 </w:instrText>
                </w:r>
                <w:r w:rsidR="00E8263F">
                  <w:fldChar w:fldCharType="separate"/>
                </w:r>
                <w:r w:rsidR="00EF2120">
                  <w:rPr>
                    <w:noProof/>
                  </w:rPr>
                  <w:t>(Burgelman, 2020)</w:t>
                </w:r>
                <w:r w:rsidR="00E8263F">
                  <w:rPr>
                    <w:noProof/>
                  </w:rPr>
                  <w:fldChar w:fldCharType="end"/>
                </w:r>
              </w:sdtContent>
            </w:sdt>
            <w:r w:rsidR="00A25B1C">
              <w:t xml:space="preserve">. </w:t>
            </w:r>
            <w:r>
              <w:t xml:space="preserve">Legal considerations, particularly in the economic sectors, require diligent adherence to regulations to maintain the establishment's image and avoid legal consequences. </w:t>
            </w:r>
          </w:p>
        </w:tc>
      </w:tr>
      <w:tr w:rsidR="007E7DD3" w14:paraId="3BE18D51" w14:textId="77777777">
        <w:tc>
          <w:tcPr>
            <w:tcW w:w="4513" w:type="dxa"/>
            <w:shd w:val="clear" w:color="auto" w:fill="auto"/>
            <w:tcMar>
              <w:top w:w="100" w:type="dxa"/>
              <w:left w:w="100" w:type="dxa"/>
              <w:bottom w:w="100" w:type="dxa"/>
              <w:right w:w="100" w:type="dxa"/>
            </w:tcMar>
          </w:tcPr>
          <w:p w14:paraId="6C162C7D"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 xml:space="preserve">Environmental Factors </w:t>
            </w:r>
          </w:p>
        </w:tc>
        <w:tc>
          <w:tcPr>
            <w:tcW w:w="4513" w:type="dxa"/>
            <w:shd w:val="clear" w:color="auto" w:fill="auto"/>
            <w:tcMar>
              <w:top w:w="100" w:type="dxa"/>
              <w:left w:w="100" w:type="dxa"/>
              <w:bottom w:w="100" w:type="dxa"/>
              <w:right w:w="100" w:type="dxa"/>
            </w:tcMar>
          </w:tcPr>
          <w:p w14:paraId="29B5BB5C" w14:textId="77777777" w:rsidR="007E7DD3" w:rsidRDefault="0094325C" w:rsidP="00A25B1C">
            <w:pPr>
              <w:widowControl w:val="0"/>
              <w:pBdr>
                <w:top w:val="nil"/>
                <w:left w:val="nil"/>
                <w:bottom w:val="nil"/>
                <w:right w:val="nil"/>
                <w:between w:val="nil"/>
              </w:pBdr>
              <w:spacing w:after="0" w:line="360" w:lineRule="auto"/>
              <w:jc w:val="both"/>
            </w:pPr>
            <w:r>
              <w:t>Environmental considerations are becoming highly apropos for the establishments, including American Express. As legitimacy a point of concern for the users, workers and collaborators, the establishments are anticipated to undertake eco-friendly executions. American Express has adept strategies towards legitimacy, including lower the rate of carbon footprint and incorporating responsible distribution chain practices. Such as initiatives lining up with rising concerns of environmental issues (</w:t>
            </w:r>
            <w:sdt>
              <w:sdtPr>
                <w:id w:val="309525967"/>
                <w:citation/>
              </w:sdtPr>
              <w:sdtContent>
                <w:r w:rsidR="00E8263F">
                  <w:fldChar w:fldCharType="begin"/>
                </w:r>
                <w:r w:rsidR="00E8263F">
                  <w:instrText xml:space="preserve"> CITATION Cho181 \l 2057 </w:instrText>
                </w:r>
                <w:r w:rsidR="00E8263F">
                  <w:fldChar w:fldCharType="separate"/>
                </w:r>
                <w:r w:rsidR="008270DD">
                  <w:rPr>
                    <w:noProof/>
                  </w:rPr>
                  <w:t xml:space="preserve"> (Choi, et al., 2018)</w:t>
                </w:r>
                <w:r w:rsidR="00E8263F">
                  <w:rPr>
                    <w:noProof/>
                  </w:rPr>
                  <w:fldChar w:fldCharType="end"/>
                </w:r>
              </w:sdtContent>
            </w:sdt>
            <w:r>
              <w:t xml:space="preserve">. The pandemic of COVID-19 is a proper example that was able to make an impact on the business </w:t>
            </w:r>
            <w:r>
              <w:lastRenderedPageBreak/>
              <w:t>processes of American Express as it limited the travel and hospitality related proceeds due to the limitation over movement. Environment based initiatives, though not historically a main centre for financial establishments, are getting noteworthy as the collaborators demand more legitimate practices.</w:t>
            </w:r>
          </w:p>
        </w:tc>
      </w:tr>
    </w:tbl>
    <w:p w14:paraId="56F72E8C" w14:textId="77777777" w:rsidR="007E7DD3" w:rsidRDefault="007E7DD3">
      <w:pPr>
        <w:spacing w:line="360" w:lineRule="auto"/>
        <w:jc w:val="both"/>
      </w:pPr>
    </w:p>
    <w:p w14:paraId="63C18DB2" w14:textId="77777777" w:rsidR="007E7DD3" w:rsidRDefault="0094325C">
      <w:pPr>
        <w:spacing w:line="360" w:lineRule="auto"/>
        <w:jc w:val="center"/>
      </w:pPr>
      <w:r>
        <w:rPr>
          <w:noProof/>
          <w:lang w:val="en-US"/>
        </w:rPr>
        <w:drawing>
          <wp:inline distT="114300" distB="114300" distL="114300" distR="114300" wp14:anchorId="3EE65728" wp14:editId="25AA65A9">
            <wp:extent cx="5091113" cy="1750598"/>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cstate="print"/>
                    <a:srcRect/>
                    <a:stretch>
                      <a:fillRect/>
                    </a:stretch>
                  </pic:blipFill>
                  <pic:spPr>
                    <a:xfrm>
                      <a:off x="0" y="0"/>
                      <a:ext cx="5091113" cy="1750598"/>
                    </a:xfrm>
                    <a:prstGeom prst="rect">
                      <a:avLst/>
                    </a:prstGeom>
                    <a:ln/>
                  </pic:spPr>
                </pic:pic>
              </a:graphicData>
            </a:graphic>
          </wp:inline>
        </w:drawing>
      </w:r>
    </w:p>
    <w:p w14:paraId="1365C187" w14:textId="77777777" w:rsidR="007E7DD3" w:rsidRDefault="0094325C">
      <w:pPr>
        <w:spacing w:line="360" w:lineRule="auto"/>
        <w:jc w:val="center"/>
        <w:rPr>
          <w:b/>
        </w:rPr>
      </w:pPr>
      <w:r>
        <w:rPr>
          <w:b/>
        </w:rPr>
        <w:t>Figure 2: PESTLE Analysis</w:t>
      </w:r>
    </w:p>
    <w:p w14:paraId="41BE260B" w14:textId="30585CC8" w:rsidR="007E7DD3" w:rsidRDefault="0094325C">
      <w:pPr>
        <w:spacing w:line="360" w:lineRule="auto"/>
        <w:jc w:val="center"/>
      </w:pPr>
      <w:r>
        <w:t xml:space="preserve">(Source: </w:t>
      </w:r>
      <w:sdt>
        <w:sdtPr>
          <w:id w:val="309525968"/>
          <w:citation/>
        </w:sdtPr>
        <w:sdtContent>
          <w:r w:rsidR="00E8263F">
            <w:fldChar w:fldCharType="begin"/>
          </w:r>
          <w:r w:rsidR="00EF2120">
            <w:instrText xml:space="preserve">CITATION Fre23 \l 2057 </w:instrText>
          </w:r>
          <w:r w:rsidR="00E8263F">
            <w:fldChar w:fldCharType="separate"/>
          </w:r>
          <w:r w:rsidR="00EF2120">
            <w:rPr>
              <w:noProof/>
            </w:rPr>
            <w:t>(Freepik, 2023)</w:t>
          </w:r>
          <w:r w:rsidR="00E8263F">
            <w:rPr>
              <w:noProof/>
            </w:rPr>
            <w:fldChar w:fldCharType="end"/>
          </w:r>
        </w:sdtContent>
      </w:sdt>
      <w:r>
        <w:t xml:space="preserve"> </w:t>
      </w:r>
    </w:p>
    <w:p w14:paraId="36C65135" w14:textId="77777777" w:rsidR="007E7DD3" w:rsidRDefault="0094325C">
      <w:pPr>
        <w:pStyle w:val="Heading1"/>
        <w:spacing w:line="360" w:lineRule="auto"/>
      </w:pPr>
      <w:bookmarkStart w:id="5" w:name="_Toc144413448"/>
      <w:r>
        <w:t>Micro-Environment Analysis</w:t>
      </w:r>
      <w:bookmarkEnd w:id="5"/>
    </w:p>
    <w:p w14:paraId="71263697" w14:textId="3D76FA02" w:rsidR="007E7DD3" w:rsidRDefault="0094325C">
      <w:pPr>
        <w:spacing w:line="360" w:lineRule="auto"/>
        <w:jc w:val="both"/>
      </w:pPr>
      <w:r>
        <w:t>The micro-environment analysis of American Express evaluates the instant and particular factors that directly impact on the establishment's processes and performance within the industry. This includes evaluation of the effect of customers, distributors, rivals, supply chain, and collaborators</w:t>
      </w:r>
      <w:sdt>
        <w:sdtPr>
          <w:id w:val="309525969"/>
          <w:citation/>
        </w:sdtPr>
        <w:sdtContent>
          <w:r w:rsidR="00E8263F">
            <w:fldChar w:fldCharType="begin"/>
          </w:r>
          <w:r w:rsidR="00EF2120">
            <w:instrText xml:space="preserve">CITATION Bar18 \l 2057 </w:instrText>
          </w:r>
          <w:r w:rsidR="00E8263F">
            <w:fldChar w:fldCharType="separate"/>
          </w:r>
          <w:r w:rsidR="00EF2120">
            <w:rPr>
              <w:noProof/>
            </w:rPr>
            <w:t xml:space="preserve"> (Barney &amp; Hesterly, 2018)</w:t>
          </w:r>
          <w:r w:rsidR="00E8263F">
            <w:rPr>
              <w:noProof/>
            </w:rPr>
            <w:fldChar w:fldCharType="end"/>
          </w:r>
        </w:sdtContent>
      </w:sdt>
      <w:r>
        <w:t xml:space="preserve">. By acknowledging those close relations, American Express can customise its strategies, products to meet with the requirement of the market, creating rivalry advantage and maintaining strong bonds with important players in this trading ecosystem. The evaluation of this micro-environment consists of Industry life cycle and Potters Industry Five forces. </w:t>
      </w:r>
    </w:p>
    <w:p w14:paraId="620944FA" w14:textId="77777777" w:rsidR="007E7DD3" w:rsidRDefault="0094325C">
      <w:pPr>
        <w:pStyle w:val="Heading2"/>
      </w:pPr>
      <w:bookmarkStart w:id="6" w:name="_Toc144413449"/>
      <w:r>
        <w:lastRenderedPageBreak/>
        <w:t>Industry Life Cycle</w:t>
      </w:r>
      <w:bookmarkEnd w:id="6"/>
      <w:r>
        <w:t xml:space="preserve"> </w:t>
      </w:r>
    </w:p>
    <w:p w14:paraId="18A80A0F" w14:textId="77777777" w:rsidR="007E7DD3" w:rsidRDefault="0094325C">
      <w:pPr>
        <w:spacing w:line="360" w:lineRule="auto"/>
        <w:jc w:val="both"/>
      </w:pPr>
      <w:r>
        <w:t xml:space="preserve">Evaluating the micro-environment of American Express within the conditions of the industrial life cycle represent important insight into the establishment positioning of obstacles and chances across the different stages of the industry's assessment. </w:t>
      </w:r>
    </w:p>
    <w:tbl>
      <w:tblPr>
        <w:tblStyle w:val="a0"/>
        <w:tblW w:w="9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525"/>
      </w:tblGrid>
      <w:tr w:rsidR="007E7DD3" w14:paraId="45DAE980" w14:textId="77777777">
        <w:trPr>
          <w:trHeight w:val="1102"/>
        </w:trPr>
        <w:tc>
          <w:tcPr>
            <w:tcW w:w="2580" w:type="dxa"/>
            <w:shd w:val="clear" w:color="auto" w:fill="auto"/>
            <w:tcMar>
              <w:top w:w="100" w:type="dxa"/>
              <w:left w:w="100" w:type="dxa"/>
              <w:bottom w:w="100" w:type="dxa"/>
              <w:right w:w="100" w:type="dxa"/>
            </w:tcMar>
          </w:tcPr>
          <w:p w14:paraId="01968FC2" w14:textId="77777777" w:rsidR="007E7DD3" w:rsidRDefault="0094325C">
            <w:pPr>
              <w:spacing w:line="360" w:lineRule="auto"/>
              <w:jc w:val="center"/>
              <w:rPr>
                <w:b/>
              </w:rPr>
            </w:pPr>
            <w:r>
              <w:rPr>
                <w:b/>
              </w:rPr>
              <w:t>Industry life-cycle stage</w:t>
            </w:r>
          </w:p>
        </w:tc>
        <w:tc>
          <w:tcPr>
            <w:tcW w:w="6525" w:type="dxa"/>
            <w:shd w:val="clear" w:color="auto" w:fill="auto"/>
            <w:tcMar>
              <w:top w:w="100" w:type="dxa"/>
              <w:left w:w="100" w:type="dxa"/>
              <w:bottom w:w="100" w:type="dxa"/>
              <w:right w:w="100" w:type="dxa"/>
            </w:tcMar>
          </w:tcPr>
          <w:p w14:paraId="0815C2B2" w14:textId="77777777" w:rsidR="007E7DD3" w:rsidRDefault="0094325C">
            <w:pPr>
              <w:spacing w:line="360" w:lineRule="auto"/>
              <w:jc w:val="center"/>
              <w:rPr>
                <w:b/>
              </w:rPr>
            </w:pPr>
            <w:r>
              <w:rPr>
                <w:b/>
              </w:rPr>
              <w:t>Description</w:t>
            </w:r>
          </w:p>
        </w:tc>
      </w:tr>
      <w:tr w:rsidR="007E7DD3" w14:paraId="2C7C648C" w14:textId="77777777">
        <w:tc>
          <w:tcPr>
            <w:tcW w:w="2580" w:type="dxa"/>
            <w:shd w:val="clear" w:color="auto" w:fill="auto"/>
            <w:tcMar>
              <w:top w:w="100" w:type="dxa"/>
              <w:left w:w="100" w:type="dxa"/>
              <w:bottom w:w="100" w:type="dxa"/>
              <w:right w:w="100" w:type="dxa"/>
            </w:tcMar>
          </w:tcPr>
          <w:p w14:paraId="7A3CB9BD" w14:textId="77777777" w:rsidR="007E7DD3" w:rsidRDefault="0094325C">
            <w:pPr>
              <w:spacing w:line="360" w:lineRule="auto"/>
              <w:jc w:val="both"/>
              <w:rPr>
                <w:b/>
              </w:rPr>
            </w:pPr>
            <w:r>
              <w:rPr>
                <w:b/>
              </w:rPr>
              <w:t xml:space="preserve">Introduction Stage: </w:t>
            </w:r>
          </w:p>
          <w:p w14:paraId="06AE6EEA" w14:textId="77777777" w:rsidR="007E7DD3" w:rsidRDefault="007E7DD3">
            <w:pPr>
              <w:widowControl w:val="0"/>
              <w:pBdr>
                <w:top w:val="nil"/>
                <w:left w:val="nil"/>
                <w:bottom w:val="nil"/>
                <w:right w:val="nil"/>
                <w:between w:val="nil"/>
              </w:pBdr>
              <w:spacing w:after="0" w:line="360" w:lineRule="auto"/>
              <w:jc w:val="both"/>
            </w:pPr>
          </w:p>
        </w:tc>
        <w:tc>
          <w:tcPr>
            <w:tcW w:w="6525" w:type="dxa"/>
            <w:shd w:val="clear" w:color="auto" w:fill="auto"/>
            <w:tcMar>
              <w:top w:w="100" w:type="dxa"/>
              <w:left w:w="100" w:type="dxa"/>
              <w:bottom w:w="100" w:type="dxa"/>
              <w:right w:w="100" w:type="dxa"/>
            </w:tcMar>
          </w:tcPr>
          <w:p w14:paraId="6CE1C62C" w14:textId="77777777" w:rsidR="007E7DD3" w:rsidRDefault="0094325C">
            <w:pPr>
              <w:spacing w:line="360" w:lineRule="auto"/>
              <w:jc w:val="both"/>
            </w:pPr>
            <w:r>
              <w:t>In the early stages of the credit card and economic services industry, American Express Introduced itself as a colonist, providing premium assistance as a definite brand identity. With bounded competition, the establishment's main intention was to educate customers about the profits of credit cards</w:t>
            </w:r>
            <w:sdt>
              <w:sdtPr>
                <w:id w:val="624657542"/>
                <w:citation/>
              </w:sdtPr>
              <w:sdtContent>
                <w:r w:rsidR="00C67B8E">
                  <w:fldChar w:fldCharType="begin"/>
                </w:r>
                <w:r w:rsidR="00C67B8E">
                  <w:rPr>
                    <w:lang w:val="en-US"/>
                  </w:rPr>
                  <w:instrText xml:space="preserve"> CITATION Crowderetal \l 1033 </w:instrText>
                </w:r>
                <w:r w:rsidR="00C67B8E">
                  <w:fldChar w:fldCharType="separate"/>
                </w:r>
                <w:r w:rsidR="008270DD">
                  <w:rPr>
                    <w:noProof/>
                    <w:lang w:val="en-US"/>
                  </w:rPr>
                  <w:t xml:space="preserve"> </w:t>
                </w:r>
                <w:r w:rsidR="008270DD" w:rsidRPr="008270DD">
                  <w:rPr>
                    <w:noProof/>
                    <w:lang w:val="en-US"/>
                  </w:rPr>
                  <w:t>(Crowder, et al., 2022)</w:t>
                </w:r>
                <w:r w:rsidR="00C67B8E">
                  <w:fldChar w:fldCharType="end"/>
                </w:r>
              </w:sdtContent>
            </w:sdt>
            <w:r>
              <w:t xml:space="preserve">. Bonding with a select community of exclusive businessmen and opulent customers donated to its difference and disparity. </w:t>
            </w:r>
          </w:p>
        </w:tc>
      </w:tr>
      <w:tr w:rsidR="007E7DD3" w14:paraId="6AB58346" w14:textId="77777777">
        <w:tc>
          <w:tcPr>
            <w:tcW w:w="2580" w:type="dxa"/>
            <w:shd w:val="clear" w:color="auto" w:fill="auto"/>
            <w:tcMar>
              <w:top w:w="100" w:type="dxa"/>
              <w:left w:w="100" w:type="dxa"/>
              <w:bottom w:w="100" w:type="dxa"/>
              <w:right w:w="100" w:type="dxa"/>
            </w:tcMar>
          </w:tcPr>
          <w:p w14:paraId="3B2A0B54" w14:textId="77777777" w:rsidR="007E7DD3" w:rsidRDefault="0094325C">
            <w:pPr>
              <w:widowControl w:val="0"/>
              <w:pBdr>
                <w:top w:val="nil"/>
                <w:left w:val="nil"/>
                <w:bottom w:val="nil"/>
                <w:right w:val="nil"/>
                <w:between w:val="nil"/>
              </w:pBdr>
              <w:spacing w:after="0" w:line="360" w:lineRule="auto"/>
              <w:jc w:val="both"/>
              <w:rPr>
                <w:b/>
              </w:rPr>
            </w:pPr>
            <w:r>
              <w:rPr>
                <w:b/>
              </w:rPr>
              <w:t>Growth Stage:</w:t>
            </w:r>
          </w:p>
        </w:tc>
        <w:tc>
          <w:tcPr>
            <w:tcW w:w="6525" w:type="dxa"/>
            <w:shd w:val="clear" w:color="auto" w:fill="auto"/>
            <w:tcMar>
              <w:top w:w="100" w:type="dxa"/>
              <w:left w:w="100" w:type="dxa"/>
              <w:bottom w:w="100" w:type="dxa"/>
              <w:right w:w="100" w:type="dxa"/>
            </w:tcMar>
          </w:tcPr>
          <w:p w14:paraId="57015F65" w14:textId="77777777" w:rsidR="007E7DD3" w:rsidRDefault="0094325C">
            <w:pPr>
              <w:widowControl w:val="0"/>
              <w:pBdr>
                <w:top w:val="nil"/>
                <w:left w:val="nil"/>
                <w:bottom w:val="nil"/>
                <w:right w:val="nil"/>
                <w:between w:val="nil"/>
              </w:pBdr>
              <w:spacing w:after="0" w:line="360" w:lineRule="auto"/>
              <w:jc w:val="both"/>
            </w:pPr>
            <w:r>
              <w:t xml:space="preserve">As the industry gained resistance, more competitors entered into the market. American Express encountered rising competition from conventional banks and rising fintech </w:t>
            </w:r>
            <w:r w:rsidR="00E61194">
              <w:t>start-ups</w:t>
            </w:r>
            <w:r>
              <w:t xml:space="preserve">. In response, the establishment assorted its representations, introducing cards based on partnership with the selective brands, giving rewards and cashback to the users, and travel-related assistance </w:t>
            </w:r>
            <w:sdt>
              <w:sdtPr>
                <w:id w:val="497545105"/>
                <w:citation/>
              </w:sdtPr>
              <w:sdtContent>
                <w:r w:rsidR="00F002CD">
                  <w:fldChar w:fldCharType="begin"/>
                </w:r>
                <w:r w:rsidR="00F002CD">
                  <w:rPr>
                    <w:lang w:val="en-US"/>
                  </w:rPr>
                  <w:instrText xml:space="preserve"> CITATION Daf21 \l 1033 </w:instrText>
                </w:r>
                <w:r w:rsidR="00F002CD">
                  <w:fldChar w:fldCharType="separate"/>
                </w:r>
                <w:r w:rsidR="008270DD" w:rsidRPr="008270DD">
                  <w:rPr>
                    <w:noProof/>
                    <w:lang w:val="en-US"/>
                  </w:rPr>
                  <w:t>(Daft, 2021)</w:t>
                </w:r>
                <w:r w:rsidR="00F002CD">
                  <w:fldChar w:fldCharType="end"/>
                </w:r>
              </w:sdtContent>
            </w:sdt>
            <w:r>
              <w:t xml:space="preserve">. Cresting on its image for premium services, American Express exploits bonds to enlarge its customer </w:t>
            </w:r>
            <w:r w:rsidR="00E61194">
              <w:t>base</w:t>
            </w:r>
            <w:r>
              <w:t xml:space="preserve"> and increased loyalty schemes.</w:t>
            </w:r>
          </w:p>
        </w:tc>
      </w:tr>
      <w:tr w:rsidR="007E7DD3" w14:paraId="595AA365" w14:textId="77777777">
        <w:tc>
          <w:tcPr>
            <w:tcW w:w="2580" w:type="dxa"/>
            <w:shd w:val="clear" w:color="auto" w:fill="auto"/>
            <w:tcMar>
              <w:top w:w="100" w:type="dxa"/>
              <w:left w:w="100" w:type="dxa"/>
              <w:bottom w:w="100" w:type="dxa"/>
              <w:right w:w="100" w:type="dxa"/>
            </w:tcMar>
          </w:tcPr>
          <w:p w14:paraId="507A0F9C" w14:textId="77777777" w:rsidR="007E7DD3" w:rsidRDefault="0094325C">
            <w:pPr>
              <w:widowControl w:val="0"/>
              <w:pBdr>
                <w:top w:val="nil"/>
                <w:left w:val="nil"/>
                <w:bottom w:val="nil"/>
                <w:right w:val="nil"/>
                <w:between w:val="nil"/>
              </w:pBdr>
              <w:spacing w:after="0" w:line="360" w:lineRule="auto"/>
              <w:jc w:val="both"/>
              <w:rPr>
                <w:b/>
              </w:rPr>
            </w:pPr>
            <w:r>
              <w:rPr>
                <w:b/>
              </w:rPr>
              <w:t>Maturity Stage:</w:t>
            </w:r>
          </w:p>
        </w:tc>
        <w:tc>
          <w:tcPr>
            <w:tcW w:w="6525" w:type="dxa"/>
            <w:shd w:val="clear" w:color="auto" w:fill="auto"/>
            <w:tcMar>
              <w:top w:w="100" w:type="dxa"/>
              <w:left w:w="100" w:type="dxa"/>
              <w:bottom w:w="100" w:type="dxa"/>
              <w:right w:w="100" w:type="dxa"/>
            </w:tcMar>
          </w:tcPr>
          <w:p w14:paraId="75B5C52F" w14:textId="77777777" w:rsidR="007E7DD3" w:rsidRDefault="0094325C">
            <w:pPr>
              <w:widowControl w:val="0"/>
              <w:pBdr>
                <w:top w:val="nil"/>
                <w:left w:val="nil"/>
                <w:bottom w:val="nil"/>
                <w:right w:val="nil"/>
                <w:between w:val="nil"/>
              </w:pBdr>
              <w:spacing w:after="0" w:line="360" w:lineRule="auto"/>
              <w:jc w:val="both"/>
            </w:pPr>
            <w:r>
              <w:t xml:space="preserve">During this phase, the credit card industry has occurred into a situation of saturation that could create an extreme battle. American Express located this by </w:t>
            </w:r>
            <w:r w:rsidR="00E61194">
              <w:t>cantering</w:t>
            </w:r>
            <w:r>
              <w:t xml:space="preserve"> on customer encounter and creativity. The establishment donates cutting-boundary based technology to smooth the overall proceedings, increased security and represent suitable online services </w:t>
            </w:r>
            <w:sdt>
              <w:sdtPr>
                <w:id w:val="-478531279"/>
                <w:citation/>
              </w:sdtPr>
              <w:sdtContent>
                <w:r w:rsidR="00F002CD">
                  <w:fldChar w:fldCharType="begin"/>
                </w:r>
                <w:r w:rsidR="00F002CD">
                  <w:rPr>
                    <w:lang w:val="en-US"/>
                  </w:rPr>
                  <w:instrText xml:space="preserve"> CITATION Dhi19 \l 1033 </w:instrText>
                </w:r>
                <w:r w:rsidR="00F002CD">
                  <w:fldChar w:fldCharType="separate"/>
                </w:r>
                <w:r w:rsidR="008270DD" w:rsidRPr="008270DD">
                  <w:rPr>
                    <w:noProof/>
                    <w:lang w:val="en-US"/>
                  </w:rPr>
                  <w:t xml:space="preserve">(Dhir &amp; </w:t>
                </w:r>
                <w:r w:rsidR="008270DD" w:rsidRPr="008270DD">
                  <w:rPr>
                    <w:noProof/>
                    <w:lang w:val="en-US"/>
                  </w:rPr>
                  <w:lastRenderedPageBreak/>
                  <w:t>Sushil, 2019)</w:t>
                </w:r>
                <w:r w:rsidR="00F002CD">
                  <w:fldChar w:fldCharType="end"/>
                </w:r>
              </w:sdtContent>
            </w:sdt>
            <w:r>
              <w:t>. Additionally the establishment  underscores its international expansion, providing profits to the travellers, trading partners and particular cardholders.</w:t>
            </w:r>
          </w:p>
        </w:tc>
      </w:tr>
      <w:tr w:rsidR="007E7DD3" w14:paraId="176D5809" w14:textId="77777777">
        <w:tc>
          <w:tcPr>
            <w:tcW w:w="2580" w:type="dxa"/>
            <w:shd w:val="clear" w:color="auto" w:fill="auto"/>
            <w:tcMar>
              <w:top w:w="100" w:type="dxa"/>
              <w:left w:w="100" w:type="dxa"/>
              <w:bottom w:w="100" w:type="dxa"/>
              <w:right w:w="100" w:type="dxa"/>
            </w:tcMar>
          </w:tcPr>
          <w:p w14:paraId="053B3555"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Decline Stage</w:t>
            </w:r>
          </w:p>
        </w:tc>
        <w:tc>
          <w:tcPr>
            <w:tcW w:w="6525" w:type="dxa"/>
            <w:shd w:val="clear" w:color="auto" w:fill="auto"/>
            <w:tcMar>
              <w:top w:w="100" w:type="dxa"/>
              <w:left w:w="100" w:type="dxa"/>
              <w:bottom w:w="100" w:type="dxa"/>
              <w:right w:w="100" w:type="dxa"/>
            </w:tcMar>
          </w:tcPr>
          <w:p w14:paraId="4B79B6F9" w14:textId="77777777" w:rsidR="007E7DD3" w:rsidRDefault="0094325C">
            <w:pPr>
              <w:widowControl w:val="0"/>
              <w:pBdr>
                <w:top w:val="nil"/>
                <w:left w:val="nil"/>
                <w:bottom w:val="nil"/>
                <w:right w:val="nil"/>
                <w:between w:val="nil"/>
              </w:pBdr>
              <w:spacing w:after="0" w:line="360" w:lineRule="auto"/>
              <w:jc w:val="both"/>
            </w:pPr>
            <w:r>
              <w:t>While not, approaching the perspective of decline stage is also present in the industry. In the credit card sector, a deterioration might be enhanced by a conversion of radicand in the remission methods, financial disturbance. According to</w:t>
            </w:r>
            <w:sdt>
              <w:sdtPr>
                <w:id w:val="1927603856"/>
                <w:citation/>
              </w:sdtPr>
              <w:sdtContent>
                <w:r w:rsidR="00F002CD">
                  <w:fldChar w:fldCharType="begin"/>
                </w:r>
                <w:r w:rsidR="00F002CD">
                  <w:rPr>
                    <w:lang w:val="en-US"/>
                  </w:rPr>
                  <w:instrText xml:space="preserve"> CITATION Dye20 \l 1033 </w:instrText>
                </w:r>
                <w:r w:rsidR="00F002CD">
                  <w:fldChar w:fldCharType="separate"/>
                </w:r>
                <w:r w:rsidR="008270DD">
                  <w:rPr>
                    <w:noProof/>
                    <w:lang w:val="en-US"/>
                  </w:rPr>
                  <w:t xml:space="preserve"> </w:t>
                </w:r>
                <w:r w:rsidR="008270DD" w:rsidRPr="008270DD">
                  <w:rPr>
                    <w:noProof/>
                    <w:lang w:val="en-US"/>
                  </w:rPr>
                  <w:t>(Dyer, 2020)</w:t>
                </w:r>
                <w:r w:rsidR="00F002CD">
                  <w:fldChar w:fldCharType="end"/>
                </w:r>
              </w:sdtContent>
            </w:sdt>
            <w:r w:rsidR="00F002CD">
              <w:t xml:space="preserve"> </w:t>
            </w:r>
            <w:proofErr w:type="spellStart"/>
            <w:r>
              <w:t>to</w:t>
            </w:r>
            <w:proofErr w:type="spellEnd"/>
            <w:r>
              <w:t xml:space="preserve"> eliminate this, American Express required to remain agile, observing the tendencies of</w:t>
            </w:r>
            <w:r w:rsidR="00E61194">
              <w:t xml:space="preserve"> </w:t>
            </w:r>
            <w:r>
              <w:t>the industry closely, and possibly transform its assistance beyond the conventional credit cards, supporting new modes of remission technology and raising customers choices .</w:t>
            </w:r>
          </w:p>
        </w:tc>
      </w:tr>
    </w:tbl>
    <w:p w14:paraId="58D7021F" w14:textId="77777777" w:rsidR="007E7DD3" w:rsidRDefault="007E7DD3">
      <w:pPr>
        <w:spacing w:line="360" w:lineRule="auto"/>
        <w:jc w:val="both"/>
        <w:rPr>
          <w:b/>
        </w:rPr>
      </w:pPr>
    </w:p>
    <w:p w14:paraId="4B794996" w14:textId="77777777" w:rsidR="007E7DD3" w:rsidRDefault="0094325C">
      <w:pPr>
        <w:spacing w:line="360" w:lineRule="auto"/>
        <w:jc w:val="center"/>
        <w:rPr>
          <w:b/>
        </w:rPr>
      </w:pPr>
      <w:r>
        <w:rPr>
          <w:b/>
          <w:noProof/>
          <w:lang w:val="en-US"/>
        </w:rPr>
        <w:drawing>
          <wp:inline distT="114300" distB="114300" distL="114300" distR="114300" wp14:anchorId="150ACCDA" wp14:editId="5A619379">
            <wp:extent cx="3290888" cy="311049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3290888" cy="3110490"/>
                    </a:xfrm>
                    <a:prstGeom prst="rect">
                      <a:avLst/>
                    </a:prstGeom>
                    <a:ln/>
                  </pic:spPr>
                </pic:pic>
              </a:graphicData>
            </a:graphic>
          </wp:inline>
        </w:drawing>
      </w:r>
    </w:p>
    <w:p w14:paraId="0708CFAB" w14:textId="77777777" w:rsidR="007E7DD3" w:rsidRDefault="0094325C">
      <w:pPr>
        <w:spacing w:line="360" w:lineRule="auto"/>
        <w:jc w:val="center"/>
        <w:rPr>
          <w:b/>
        </w:rPr>
      </w:pPr>
      <w:r>
        <w:rPr>
          <w:b/>
        </w:rPr>
        <w:t>Figure 3: Industry Life-cycle</w:t>
      </w:r>
    </w:p>
    <w:p w14:paraId="7813943B" w14:textId="77777777" w:rsidR="007E7DD3" w:rsidRDefault="0094325C">
      <w:pPr>
        <w:spacing w:line="360" w:lineRule="auto"/>
        <w:jc w:val="center"/>
      </w:pPr>
      <w:r>
        <w:t xml:space="preserve">(Source: </w:t>
      </w:r>
      <w:sdt>
        <w:sdtPr>
          <w:id w:val="-1893716036"/>
          <w:citation/>
        </w:sdtPr>
        <w:sdtContent>
          <w:r w:rsidR="007F1145">
            <w:fldChar w:fldCharType="begin"/>
          </w:r>
          <w:r w:rsidR="007F1145">
            <w:rPr>
              <w:lang w:val="en-US"/>
            </w:rPr>
            <w:instrText xml:space="preserve"> CITATION Ied19 \l 1033 </w:instrText>
          </w:r>
          <w:r w:rsidR="007F1145">
            <w:fldChar w:fldCharType="separate"/>
          </w:r>
          <w:r w:rsidR="008270DD" w:rsidRPr="008270DD">
            <w:rPr>
              <w:noProof/>
              <w:lang w:val="en-US"/>
            </w:rPr>
            <w:t>(Iedunote, 2019)</w:t>
          </w:r>
          <w:r w:rsidR="007F1145">
            <w:fldChar w:fldCharType="end"/>
          </w:r>
        </w:sdtContent>
      </w:sdt>
      <w:r>
        <w:t xml:space="preserve"> </w:t>
      </w:r>
    </w:p>
    <w:p w14:paraId="222A95B8" w14:textId="77777777" w:rsidR="007E7DD3" w:rsidRDefault="0094325C">
      <w:pPr>
        <w:spacing w:line="360" w:lineRule="auto"/>
        <w:jc w:val="both"/>
        <w:rPr>
          <w:b/>
        </w:rPr>
      </w:pPr>
      <w:r>
        <w:rPr>
          <w:b/>
        </w:rPr>
        <w:t>Impact of Micro-Environment Analysis</w:t>
      </w:r>
    </w:p>
    <w:p w14:paraId="56BE781A" w14:textId="77777777" w:rsidR="007E7DD3" w:rsidRDefault="0094325C">
      <w:pPr>
        <w:numPr>
          <w:ilvl w:val="0"/>
          <w:numId w:val="1"/>
        </w:numPr>
        <w:spacing w:after="0" w:line="360" w:lineRule="auto"/>
        <w:jc w:val="both"/>
        <w:rPr>
          <w:b/>
        </w:rPr>
      </w:pPr>
      <w:r>
        <w:rPr>
          <w:b/>
        </w:rPr>
        <w:t xml:space="preserve">Customers: </w:t>
      </w:r>
      <w:r>
        <w:t xml:space="preserve">Throughout the whole Industry life cycle, acknowledging customer choices has been important for American Express. During the time of introduction, </w:t>
      </w:r>
      <w:r>
        <w:lastRenderedPageBreak/>
        <w:t>aiming opulent customers set the establishment for its premium place  during development and maturity, the establishment changed to changing customer manners, serving a broader demography with different requirements</w:t>
      </w:r>
      <w:sdt>
        <w:sdtPr>
          <w:id w:val="849068613"/>
          <w:citation/>
        </w:sdtPr>
        <w:sdtContent>
          <w:r w:rsidR="007F1145">
            <w:fldChar w:fldCharType="begin"/>
          </w:r>
          <w:r w:rsidR="007F1145">
            <w:rPr>
              <w:lang w:val="en-US"/>
            </w:rPr>
            <w:instrText xml:space="preserve"> CITATION Fer22 \l 1033 </w:instrText>
          </w:r>
          <w:r w:rsidR="007F1145">
            <w:fldChar w:fldCharType="separate"/>
          </w:r>
          <w:r w:rsidR="008270DD">
            <w:rPr>
              <w:noProof/>
              <w:lang w:val="en-US"/>
            </w:rPr>
            <w:t xml:space="preserve"> </w:t>
          </w:r>
          <w:r w:rsidR="008270DD" w:rsidRPr="008270DD">
            <w:rPr>
              <w:noProof/>
              <w:lang w:val="en-US"/>
            </w:rPr>
            <w:t>(Ferlie &amp; Ongaro, 2022)</w:t>
          </w:r>
          <w:r w:rsidR="007F1145">
            <w:fldChar w:fldCharType="end"/>
          </w:r>
        </w:sdtContent>
      </w:sdt>
      <w:r>
        <w:t xml:space="preserve">. </w:t>
      </w:r>
      <w:r w:rsidR="00E61194">
        <w:t>Non-stop</w:t>
      </w:r>
      <w:r>
        <w:t xml:space="preserve"> involvement and convenience remained key, needs customised services and creative offerings.</w:t>
      </w:r>
    </w:p>
    <w:p w14:paraId="6412697D" w14:textId="77777777" w:rsidR="007E7DD3" w:rsidRDefault="0094325C">
      <w:pPr>
        <w:numPr>
          <w:ilvl w:val="0"/>
          <w:numId w:val="1"/>
        </w:numPr>
        <w:spacing w:after="0" w:line="360" w:lineRule="auto"/>
        <w:jc w:val="both"/>
        <w:rPr>
          <w:b/>
        </w:rPr>
      </w:pPr>
      <w:r>
        <w:rPr>
          <w:b/>
        </w:rPr>
        <w:t xml:space="preserve">Distributors: </w:t>
      </w:r>
      <w:r>
        <w:t>During the growth stage, American Express built partnerships with the other banks, businessmen and travel enterprises to enlarge their area of service. These bonds catalyse the growth of its cards with brand partnership and offering programs</w:t>
      </w:r>
      <w:sdt>
        <w:sdtPr>
          <w:id w:val="1991903401"/>
          <w:citation/>
        </w:sdtPr>
        <w:sdtContent>
          <w:r w:rsidR="007F1145">
            <w:fldChar w:fldCharType="begin"/>
          </w:r>
          <w:r w:rsidR="007F1145">
            <w:rPr>
              <w:lang w:val="en-US"/>
            </w:rPr>
            <w:instrText xml:space="preserve"> CITATION Dhi19 \l 1033 </w:instrText>
          </w:r>
          <w:r w:rsidR="007F1145">
            <w:fldChar w:fldCharType="separate"/>
          </w:r>
          <w:r w:rsidR="008270DD">
            <w:rPr>
              <w:noProof/>
              <w:lang w:val="en-US"/>
            </w:rPr>
            <w:t xml:space="preserve"> </w:t>
          </w:r>
          <w:r w:rsidR="008270DD" w:rsidRPr="008270DD">
            <w:rPr>
              <w:noProof/>
              <w:lang w:val="en-US"/>
            </w:rPr>
            <w:t>(Dhir &amp; Sushil, 2019)</w:t>
          </w:r>
          <w:r w:rsidR="007F1145">
            <w:fldChar w:fldCharType="end"/>
          </w:r>
        </w:sdtContent>
      </w:sdt>
      <w:r w:rsidR="007F1145">
        <w:t xml:space="preserve">. </w:t>
      </w:r>
      <w:r>
        <w:t>However as the industry grows distribution relationships become more critical because of the expanding rivalry and interchanging market dynamics. Maintaining a symbiotic profitable partnership remained important.</w:t>
      </w:r>
    </w:p>
    <w:p w14:paraId="3165DDC4" w14:textId="77777777" w:rsidR="007E7DD3" w:rsidRDefault="0094325C">
      <w:pPr>
        <w:numPr>
          <w:ilvl w:val="0"/>
          <w:numId w:val="1"/>
        </w:numPr>
        <w:spacing w:after="0" w:line="360" w:lineRule="auto"/>
        <w:jc w:val="both"/>
        <w:rPr>
          <w:b/>
        </w:rPr>
      </w:pPr>
      <w:r>
        <w:rPr>
          <w:b/>
        </w:rPr>
        <w:t xml:space="preserve">Competitors: </w:t>
      </w:r>
      <w:r>
        <w:t xml:space="preserve">the competitive scenario evolved noteworthily as the industry grows. During the growth stage American Express faced rivalry from conventional banks, but its constant </w:t>
      </w:r>
      <w:r w:rsidR="00E61194">
        <w:t>cantering</w:t>
      </w:r>
      <w:r>
        <w:t xml:space="preserve"> on premium services make them unique. During the maturity stage the evolution of fintech malcontent introduced new obstacles</w:t>
      </w:r>
      <w:sdt>
        <w:sdtPr>
          <w:id w:val="-1849395569"/>
          <w:citation/>
        </w:sdtPr>
        <w:sdtContent>
          <w:r w:rsidR="007F1145">
            <w:fldChar w:fldCharType="begin"/>
          </w:r>
          <w:r w:rsidR="007F1145">
            <w:rPr>
              <w:lang w:val="en-US"/>
            </w:rPr>
            <w:instrText xml:space="preserve"> CITATION Fue20 \l 1033 </w:instrText>
          </w:r>
          <w:r w:rsidR="007F1145">
            <w:fldChar w:fldCharType="separate"/>
          </w:r>
          <w:r w:rsidR="008270DD">
            <w:rPr>
              <w:noProof/>
              <w:lang w:val="en-US"/>
            </w:rPr>
            <w:t xml:space="preserve"> </w:t>
          </w:r>
          <w:r w:rsidR="008270DD" w:rsidRPr="008270DD">
            <w:rPr>
              <w:noProof/>
              <w:lang w:val="en-US"/>
            </w:rPr>
            <w:t>(Fuertes, 2020)</w:t>
          </w:r>
          <w:r w:rsidR="007F1145">
            <w:fldChar w:fldCharType="end"/>
          </w:r>
        </w:sdtContent>
      </w:sdt>
      <w:r w:rsidR="007F1145">
        <w:t xml:space="preserve">. </w:t>
      </w:r>
      <w:r>
        <w:t xml:space="preserve">The establishment's response engaged strategic bonds, digital creativity, and non-stop enhancement of its important  preposition to resist competition. </w:t>
      </w:r>
    </w:p>
    <w:p w14:paraId="2BF97D9F" w14:textId="77777777" w:rsidR="007E7DD3" w:rsidRDefault="0094325C">
      <w:pPr>
        <w:numPr>
          <w:ilvl w:val="0"/>
          <w:numId w:val="1"/>
        </w:numPr>
        <w:spacing w:after="0" w:line="360" w:lineRule="auto"/>
        <w:jc w:val="both"/>
        <w:rPr>
          <w:b/>
        </w:rPr>
      </w:pPr>
      <w:r>
        <w:rPr>
          <w:b/>
        </w:rPr>
        <w:t xml:space="preserve">Supply Channels: </w:t>
      </w:r>
      <w:r>
        <w:t>Supply channels played an important role in American express efficiency. During the early days of the establishment the enterprise created bonds with exclusive merchants and grapes direct sale channels</w:t>
      </w:r>
      <w:sdt>
        <w:sdtPr>
          <w:id w:val="1827076873"/>
          <w:citation/>
        </w:sdtPr>
        <w:sdtContent>
          <w:r w:rsidR="007F1145">
            <w:fldChar w:fldCharType="begin"/>
          </w:r>
          <w:r w:rsidR="007F1145">
            <w:rPr>
              <w:lang w:val="en-US"/>
            </w:rPr>
            <w:instrText xml:space="preserve"> CITATION Gao18 \l 1033 </w:instrText>
          </w:r>
          <w:r w:rsidR="007F1145">
            <w:fldChar w:fldCharType="separate"/>
          </w:r>
          <w:r w:rsidR="008270DD">
            <w:rPr>
              <w:noProof/>
              <w:lang w:val="en-US"/>
            </w:rPr>
            <w:t xml:space="preserve"> </w:t>
          </w:r>
          <w:r w:rsidR="008270DD" w:rsidRPr="008270DD">
            <w:rPr>
              <w:noProof/>
              <w:lang w:val="en-US"/>
            </w:rPr>
            <w:t>(Gao, et al., 2018)</w:t>
          </w:r>
          <w:r w:rsidR="007F1145">
            <w:fldChar w:fldCharType="end"/>
          </w:r>
        </w:sdtContent>
      </w:sdt>
      <w:r>
        <w:t>. As the establishment developed bonds with banks and the dealers expanded its area. Evolution of online services during the maturity stage required a smooth online encounter, and encouraged investments in digital supply channels.</w:t>
      </w:r>
    </w:p>
    <w:p w14:paraId="1D55194D" w14:textId="77777777" w:rsidR="007E7DD3" w:rsidRDefault="0094325C">
      <w:pPr>
        <w:numPr>
          <w:ilvl w:val="0"/>
          <w:numId w:val="1"/>
        </w:numPr>
        <w:spacing w:line="360" w:lineRule="auto"/>
        <w:jc w:val="both"/>
        <w:rPr>
          <w:b/>
        </w:rPr>
      </w:pPr>
      <w:r>
        <w:rPr>
          <w:b/>
        </w:rPr>
        <w:t xml:space="preserve">Stakeholders: </w:t>
      </w:r>
      <w:r>
        <w:t>all over the industry life cycle American Express involved a diversified set of stakeholders, that consist consumers, donators, regulators and supporting groups. Managing stakeholders assumptions and awareness become progressively critical as the industry grows</w:t>
      </w:r>
      <w:sdt>
        <w:sdtPr>
          <w:id w:val="1866872163"/>
          <w:citation/>
        </w:sdtPr>
        <w:sdtContent>
          <w:r w:rsidR="001571F6">
            <w:fldChar w:fldCharType="begin"/>
          </w:r>
          <w:r w:rsidR="001571F6">
            <w:rPr>
              <w:lang w:val="en-US"/>
            </w:rPr>
            <w:instrText xml:space="preserve"> CITATION Gol20 \l 1033 </w:instrText>
          </w:r>
          <w:r w:rsidR="001571F6">
            <w:fldChar w:fldCharType="separate"/>
          </w:r>
          <w:r w:rsidR="008270DD">
            <w:rPr>
              <w:noProof/>
              <w:lang w:val="en-US"/>
            </w:rPr>
            <w:t xml:space="preserve"> </w:t>
          </w:r>
          <w:r w:rsidR="008270DD" w:rsidRPr="008270DD">
            <w:rPr>
              <w:noProof/>
              <w:lang w:val="en-US"/>
            </w:rPr>
            <w:t>(Goldberg, 2020)</w:t>
          </w:r>
          <w:r w:rsidR="001571F6">
            <w:fldChar w:fldCharType="end"/>
          </w:r>
        </w:sdtContent>
      </w:sdt>
      <w:r>
        <w:t xml:space="preserve">. Addressing data integrity, regulatory adherence and legitimate troubles  raised as important factors for collaborators involvement and brand reputation. </w:t>
      </w:r>
    </w:p>
    <w:p w14:paraId="64B85EF6" w14:textId="77777777" w:rsidR="007E7DD3" w:rsidRDefault="0094325C">
      <w:pPr>
        <w:pStyle w:val="Heading2"/>
      </w:pPr>
      <w:bookmarkStart w:id="7" w:name="_Toc144413450"/>
      <w:r>
        <w:t>Porter’s Industry Five Forces Analysis</w:t>
      </w:r>
      <w:bookmarkEnd w:id="7"/>
      <w:r>
        <w:t xml:space="preserve"> </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7E7DD3" w14:paraId="26C86235" w14:textId="77777777">
        <w:tc>
          <w:tcPr>
            <w:tcW w:w="3008" w:type="dxa"/>
            <w:shd w:val="clear" w:color="auto" w:fill="auto"/>
            <w:tcMar>
              <w:top w:w="100" w:type="dxa"/>
              <w:left w:w="100" w:type="dxa"/>
              <w:bottom w:w="100" w:type="dxa"/>
              <w:right w:w="100" w:type="dxa"/>
            </w:tcMar>
          </w:tcPr>
          <w:p w14:paraId="101FE1DB" w14:textId="77777777" w:rsidR="007E7DD3" w:rsidRDefault="0094325C">
            <w:pPr>
              <w:widowControl w:val="0"/>
              <w:pBdr>
                <w:top w:val="nil"/>
                <w:left w:val="nil"/>
                <w:bottom w:val="nil"/>
                <w:right w:val="nil"/>
                <w:between w:val="nil"/>
              </w:pBdr>
              <w:spacing w:after="0" w:line="360" w:lineRule="auto"/>
              <w:rPr>
                <w:b/>
              </w:rPr>
            </w:pPr>
            <w:r>
              <w:rPr>
                <w:b/>
              </w:rPr>
              <w:t xml:space="preserve">Porter’s Five forces </w:t>
            </w:r>
          </w:p>
        </w:tc>
        <w:tc>
          <w:tcPr>
            <w:tcW w:w="3008" w:type="dxa"/>
            <w:shd w:val="clear" w:color="auto" w:fill="auto"/>
            <w:tcMar>
              <w:top w:w="100" w:type="dxa"/>
              <w:left w:w="100" w:type="dxa"/>
              <w:bottom w:w="100" w:type="dxa"/>
              <w:right w:w="100" w:type="dxa"/>
            </w:tcMar>
          </w:tcPr>
          <w:p w14:paraId="322843E9" w14:textId="77777777" w:rsidR="007E7DD3" w:rsidRDefault="0094325C">
            <w:pPr>
              <w:widowControl w:val="0"/>
              <w:pBdr>
                <w:top w:val="nil"/>
                <w:left w:val="nil"/>
                <w:bottom w:val="nil"/>
                <w:right w:val="nil"/>
                <w:between w:val="nil"/>
              </w:pBdr>
              <w:spacing w:after="0" w:line="360" w:lineRule="auto"/>
              <w:rPr>
                <w:b/>
              </w:rPr>
            </w:pPr>
            <w:r>
              <w:rPr>
                <w:b/>
              </w:rPr>
              <w:t>Impact on American Express</w:t>
            </w:r>
          </w:p>
        </w:tc>
        <w:tc>
          <w:tcPr>
            <w:tcW w:w="3008" w:type="dxa"/>
            <w:shd w:val="clear" w:color="auto" w:fill="auto"/>
            <w:tcMar>
              <w:top w:w="100" w:type="dxa"/>
              <w:left w:w="100" w:type="dxa"/>
              <w:bottom w:w="100" w:type="dxa"/>
              <w:right w:w="100" w:type="dxa"/>
            </w:tcMar>
          </w:tcPr>
          <w:p w14:paraId="4DC201B5" w14:textId="77777777" w:rsidR="007E7DD3" w:rsidRDefault="0094325C">
            <w:pPr>
              <w:widowControl w:val="0"/>
              <w:pBdr>
                <w:top w:val="nil"/>
                <w:left w:val="nil"/>
                <w:bottom w:val="nil"/>
                <w:right w:val="nil"/>
                <w:between w:val="nil"/>
              </w:pBdr>
              <w:spacing w:after="0" w:line="360" w:lineRule="auto"/>
              <w:rPr>
                <w:b/>
              </w:rPr>
            </w:pPr>
            <w:r>
              <w:rPr>
                <w:b/>
              </w:rPr>
              <w:t xml:space="preserve">Micro-environment analysis </w:t>
            </w:r>
          </w:p>
        </w:tc>
      </w:tr>
      <w:tr w:rsidR="007E7DD3" w14:paraId="2DA64239" w14:textId="77777777">
        <w:tc>
          <w:tcPr>
            <w:tcW w:w="3008" w:type="dxa"/>
            <w:shd w:val="clear" w:color="auto" w:fill="auto"/>
            <w:tcMar>
              <w:top w:w="100" w:type="dxa"/>
              <w:left w:w="100" w:type="dxa"/>
              <w:bottom w:w="100" w:type="dxa"/>
              <w:right w:w="100" w:type="dxa"/>
            </w:tcMar>
          </w:tcPr>
          <w:p w14:paraId="706C62D8"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 xml:space="preserve">Threats of New Entrants </w:t>
            </w:r>
          </w:p>
        </w:tc>
        <w:tc>
          <w:tcPr>
            <w:tcW w:w="3008" w:type="dxa"/>
            <w:shd w:val="clear" w:color="auto" w:fill="auto"/>
            <w:tcMar>
              <w:top w:w="100" w:type="dxa"/>
              <w:left w:w="100" w:type="dxa"/>
              <w:bottom w:w="100" w:type="dxa"/>
              <w:right w:w="100" w:type="dxa"/>
            </w:tcMar>
          </w:tcPr>
          <w:p w14:paraId="0918DF46" w14:textId="77777777" w:rsidR="007E7DD3" w:rsidRDefault="0094325C">
            <w:pPr>
              <w:widowControl w:val="0"/>
              <w:pBdr>
                <w:top w:val="nil"/>
                <w:left w:val="nil"/>
                <w:bottom w:val="nil"/>
                <w:right w:val="nil"/>
                <w:between w:val="nil"/>
              </w:pBdr>
              <w:spacing w:after="0" w:line="360" w:lineRule="auto"/>
              <w:jc w:val="both"/>
            </w:pPr>
            <w:r>
              <w:t xml:space="preserve">The credit card and economic service industry has comparatively high entrance barriers profiting traditional players like American Express. Appreciable capital necessities, parliamentary complexities and the requirement for the comprehensive partnership with the dealers and banks lower the threats of the new entrants. American Express's strong brand image, customer loyalty and huge dealer network established barriers for the new entrants to create a foothold (Johnson </w:t>
            </w:r>
            <w:r>
              <w:rPr>
                <w:i/>
              </w:rPr>
              <w:t>et al</w:t>
            </w:r>
            <w:r>
              <w:t xml:space="preserve">., 2020). However evolving fintech </w:t>
            </w:r>
            <w:r w:rsidR="00E61194">
              <w:t>start up</w:t>
            </w:r>
            <w:r>
              <w:t xml:space="preserve"> and tech colossus</w:t>
            </w:r>
          </w:p>
          <w:p w14:paraId="1A3A3C00" w14:textId="77777777" w:rsidR="007E7DD3" w:rsidRDefault="0094325C">
            <w:pPr>
              <w:widowControl w:val="0"/>
              <w:pBdr>
                <w:top w:val="nil"/>
                <w:left w:val="nil"/>
                <w:bottom w:val="nil"/>
                <w:right w:val="nil"/>
                <w:between w:val="nil"/>
              </w:pBdr>
              <w:spacing w:after="0" w:line="360" w:lineRule="auto"/>
              <w:jc w:val="both"/>
            </w:pPr>
            <w:r>
              <w:t xml:space="preserve">set foot in the remission space presents a possible threat, adhering American Express to show creativity in a constant manner and increase its offerings. </w:t>
            </w:r>
          </w:p>
        </w:tc>
        <w:tc>
          <w:tcPr>
            <w:tcW w:w="3008" w:type="dxa"/>
            <w:shd w:val="clear" w:color="auto" w:fill="auto"/>
            <w:tcMar>
              <w:top w:w="100" w:type="dxa"/>
              <w:left w:w="100" w:type="dxa"/>
              <w:bottom w:w="100" w:type="dxa"/>
              <w:right w:w="100" w:type="dxa"/>
            </w:tcMar>
          </w:tcPr>
          <w:p w14:paraId="471C8EFC" w14:textId="77777777" w:rsidR="007E7DD3" w:rsidRDefault="0094325C">
            <w:pPr>
              <w:widowControl w:val="0"/>
              <w:pBdr>
                <w:top w:val="nil"/>
                <w:left w:val="nil"/>
                <w:bottom w:val="nil"/>
                <w:right w:val="nil"/>
                <w:between w:val="nil"/>
              </w:pBdr>
              <w:spacing w:after="0" w:line="360" w:lineRule="auto"/>
              <w:jc w:val="both"/>
            </w:pPr>
            <w:r>
              <w:rPr>
                <w:b/>
              </w:rPr>
              <w:t xml:space="preserve">Customers: </w:t>
            </w:r>
            <w:r>
              <w:t xml:space="preserve">The extreme competitive rivalry highlights the significance of customer convenience and loyalty. American Express must </w:t>
            </w:r>
            <w:r w:rsidR="00E61194">
              <w:t>nonstop</w:t>
            </w:r>
            <w:r>
              <w:t xml:space="preserve"> increase its representations and separate itself to employ and draw customers (Helmold </w:t>
            </w:r>
            <w:r>
              <w:rPr>
                <w:i/>
              </w:rPr>
              <w:t>et al.</w:t>
            </w:r>
            <w:r>
              <w:t>, 2022). The establishments centred on premium assistance, travel benefits and offering programs that targets to create customer loyalty and lower the rate of threat of customers turned towards the competitors.</w:t>
            </w:r>
          </w:p>
        </w:tc>
      </w:tr>
      <w:tr w:rsidR="007E7DD3" w14:paraId="3D5DBAE0" w14:textId="77777777">
        <w:tc>
          <w:tcPr>
            <w:tcW w:w="3008" w:type="dxa"/>
            <w:shd w:val="clear" w:color="auto" w:fill="auto"/>
            <w:tcMar>
              <w:top w:w="100" w:type="dxa"/>
              <w:left w:w="100" w:type="dxa"/>
              <w:bottom w:w="100" w:type="dxa"/>
              <w:right w:w="100" w:type="dxa"/>
            </w:tcMar>
          </w:tcPr>
          <w:p w14:paraId="5E475507" w14:textId="77777777" w:rsidR="007E7DD3" w:rsidRDefault="0094325C">
            <w:pPr>
              <w:widowControl w:val="0"/>
              <w:pBdr>
                <w:top w:val="nil"/>
                <w:left w:val="nil"/>
                <w:bottom w:val="nil"/>
                <w:right w:val="nil"/>
                <w:between w:val="nil"/>
              </w:pBdr>
              <w:spacing w:after="0" w:line="360" w:lineRule="auto"/>
              <w:jc w:val="both"/>
              <w:rPr>
                <w:b/>
              </w:rPr>
            </w:pPr>
            <w:r>
              <w:rPr>
                <w:b/>
              </w:rPr>
              <w:t>Bargaining Power of Suppliers</w:t>
            </w:r>
          </w:p>
        </w:tc>
        <w:tc>
          <w:tcPr>
            <w:tcW w:w="3008" w:type="dxa"/>
            <w:shd w:val="clear" w:color="auto" w:fill="auto"/>
            <w:tcMar>
              <w:top w:w="100" w:type="dxa"/>
              <w:left w:w="100" w:type="dxa"/>
              <w:bottom w:w="100" w:type="dxa"/>
              <w:right w:w="100" w:type="dxa"/>
            </w:tcMar>
          </w:tcPr>
          <w:p w14:paraId="7195E2F4" w14:textId="77777777" w:rsidR="007E7DD3" w:rsidRDefault="0094325C">
            <w:pPr>
              <w:widowControl w:val="0"/>
              <w:pBdr>
                <w:top w:val="nil"/>
                <w:left w:val="nil"/>
                <w:bottom w:val="nil"/>
                <w:right w:val="nil"/>
                <w:between w:val="nil"/>
              </w:pBdr>
              <w:spacing w:after="0" w:line="360" w:lineRule="auto"/>
              <w:jc w:val="both"/>
            </w:pPr>
            <w:r>
              <w:t xml:space="preserve">American Express's bonds with suppliers such as banks and dealers are important for its effectiveness. In the </w:t>
            </w:r>
            <w:r>
              <w:lastRenderedPageBreak/>
              <w:t>circumstances of the card distributors and dealer bonds the establishment has noteworthy beginning power because of its large consumer base and brand reputation (Grant, 2021). However the areas like technology and remission processing where the establishment depends on a mediator dealers distribution may hold some grasp. Securing dependable distribution bonds and diversified partnerships are important to maintain a rivalry boundary.</w:t>
            </w:r>
          </w:p>
        </w:tc>
        <w:tc>
          <w:tcPr>
            <w:tcW w:w="3008" w:type="dxa"/>
            <w:shd w:val="clear" w:color="auto" w:fill="auto"/>
            <w:tcMar>
              <w:top w:w="100" w:type="dxa"/>
              <w:left w:w="100" w:type="dxa"/>
              <w:bottom w:w="100" w:type="dxa"/>
              <w:right w:w="100" w:type="dxa"/>
            </w:tcMar>
          </w:tcPr>
          <w:p w14:paraId="1E309CAF"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Suppliers: </w:t>
            </w:r>
            <w:r>
              <w:t xml:space="preserve">American </w:t>
            </w:r>
            <w:r w:rsidR="00E61194">
              <w:t>express’s</w:t>
            </w:r>
            <w:r>
              <w:t xml:space="preserve"> strong brand reputation and customer support gives it grass in </w:t>
            </w:r>
            <w:r>
              <w:lastRenderedPageBreak/>
              <w:t>distributor consultations (Henry, 2021). However maintaining a proper bond with the distributors particularly in the technology and payment remission is important for the establishment's success and creativity. Symbiotic partnership with the banks and the dealer donates to its competitive superiority.</w:t>
            </w:r>
          </w:p>
          <w:p w14:paraId="49F7AABC" w14:textId="77777777" w:rsidR="007E7DD3" w:rsidRDefault="007E7DD3">
            <w:pPr>
              <w:widowControl w:val="0"/>
              <w:pBdr>
                <w:top w:val="nil"/>
                <w:left w:val="nil"/>
                <w:bottom w:val="nil"/>
                <w:right w:val="nil"/>
                <w:between w:val="nil"/>
              </w:pBdr>
              <w:spacing w:after="0" w:line="360" w:lineRule="auto"/>
              <w:jc w:val="both"/>
            </w:pPr>
          </w:p>
        </w:tc>
      </w:tr>
      <w:tr w:rsidR="007E7DD3" w14:paraId="3E15DFF6" w14:textId="77777777">
        <w:tc>
          <w:tcPr>
            <w:tcW w:w="3008" w:type="dxa"/>
            <w:shd w:val="clear" w:color="auto" w:fill="auto"/>
            <w:tcMar>
              <w:top w:w="100" w:type="dxa"/>
              <w:left w:w="100" w:type="dxa"/>
              <w:bottom w:w="100" w:type="dxa"/>
              <w:right w:w="100" w:type="dxa"/>
            </w:tcMar>
          </w:tcPr>
          <w:p w14:paraId="4FD6EF47"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 xml:space="preserve">Bargaining Power of the Customers </w:t>
            </w:r>
          </w:p>
        </w:tc>
        <w:tc>
          <w:tcPr>
            <w:tcW w:w="3008" w:type="dxa"/>
            <w:shd w:val="clear" w:color="auto" w:fill="auto"/>
            <w:tcMar>
              <w:top w:w="100" w:type="dxa"/>
              <w:left w:w="100" w:type="dxa"/>
              <w:bottom w:w="100" w:type="dxa"/>
              <w:right w:w="100" w:type="dxa"/>
            </w:tcMar>
          </w:tcPr>
          <w:p w14:paraId="03A650B6" w14:textId="77777777" w:rsidR="007E7DD3" w:rsidRDefault="0094325C">
            <w:pPr>
              <w:widowControl w:val="0"/>
              <w:pBdr>
                <w:top w:val="nil"/>
                <w:left w:val="nil"/>
                <w:bottom w:val="nil"/>
                <w:right w:val="nil"/>
                <w:between w:val="nil"/>
              </w:pBdr>
              <w:spacing w:after="0" w:line="360" w:lineRule="auto"/>
              <w:jc w:val="both"/>
            </w:pPr>
            <w:r>
              <w:t xml:space="preserve">Customers hold different levels of bargaining power in the credit card industry. While the premium assistance and profits represented by American Express provide distinction, customers have the pliability to choose among different card representatives based on the offers, fees and flexibility. The rise of fintech alternatives and different platforms increases </w:t>
            </w:r>
            <w:r>
              <w:lastRenderedPageBreak/>
              <w:t xml:space="preserve">customers' capability to change (Gupta, 2018). American Express answers this by non-stop increasing its offerings, customer encounter and loyalty scheme to remain its customer base and attract new customers. </w:t>
            </w:r>
          </w:p>
        </w:tc>
        <w:tc>
          <w:tcPr>
            <w:tcW w:w="3008" w:type="dxa"/>
            <w:shd w:val="clear" w:color="auto" w:fill="auto"/>
            <w:tcMar>
              <w:top w:w="100" w:type="dxa"/>
              <w:left w:w="100" w:type="dxa"/>
              <w:bottom w:w="100" w:type="dxa"/>
              <w:right w:w="100" w:type="dxa"/>
            </w:tcMar>
          </w:tcPr>
          <w:p w14:paraId="1E730865"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Competitors: </w:t>
            </w:r>
            <w:r>
              <w:t xml:space="preserve">the high strength of competitive rivalry underscore the requirement of separation and creativity. American Express's centred on premium assistance, travel related profits and customer based encounters make them unique from rivals (Hickman and Silva, 2018). Joint ventures with fintech </w:t>
            </w:r>
            <w:r w:rsidR="00E61194">
              <w:t>start-ups</w:t>
            </w:r>
            <w:r>
              <w:t xml:space="preserve"> and traditional players help the establishment to </w:t>
            </w:r>
            <w:r>
              <w:lastRenderedPageBreak/>
              <w:t xml:space="preserve">abide at the forward position of rising tendencies. </w:t>
            </w:r>
          </w:p>
        </w:tc>
      </w:tr>
      <w:tr w:rsidR="007E7DD3" w14:paraId="1FD34839" w14:textId="77777777">
        <w:tc>
          <w:tcPr>
            <w:tcW w:w="3008" w:type="dxa"/>
            <w:shd w:val="clear" w:color="auto" w:fill="auto"/>
            <w:tcMar>
              <w:top w:w="100" w:type="dxa"/>
              <w:left w:w="100" w:type="dxa"/>
              <w:bottom w:w="100" w:type="dxa"/>
              <w:right w:w="100" w:type="dxa"/>
            </w:tcMar>
          </w:tcPr>
          <w:p w14:paraId="683DAEF7"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 xml:space="preserve">Threats of Substitution Product or Services </w:t>
            </w:r>
          </w:p>
        </w:tc>
        <w:tc>
          <w:tcPr>
            <w:tcW w:w="3008" w:type="dxa"/>
            <w:shd w:val="clear" w:color="auto" w:fill="auto"/>
            <w:tcMar>
              <w:top w:w="100" w:type="dxa"/>
              <w:left w:w="100" w:type="dxa"/>
              <w:bottom w:w="100" w:type="dxa"/>
              <w:right w:w="100" w:type="dxa"/>
            </w:tcMar>
          </w:tcPr>
          <w:p w14:paraId="216E2854" w14:textId="77777777" w:rsidR="007E7DD3" w:rsidRDefault="0094325C">
            <w:pPr>
              <w:widowControl w:val="0"/>
              <w:pBdr>
                <w:top w:val="nil"/>
                <w:left w:val="nil"/>
                <w:bottom w:val="nil"/>
                <w:right w:val="nil"/>
                <w:between w:val="nil"/>
              </w:pBdr>
              <w:spacing w:after="0" w:line="360" w:lineRule="auto"/>
              <w:jc w:val="both"/>
            </w:pPr>
            <w:r>
              <w:t xml:space="preserve">Threat of substitutes is average in the credit card industry. Conventional remission processes like cash and checks still exist but electronic remission processes that consist of mobile wallets and digitaloney are gaining importance. American Express plans include staying at the lead position of the digital remission technology and bonding with fintech establishment to represent creative solutions (Hanson </w:t>
            </w:r>
            <w:r>
              <w:rPr>
                <w:i/>
              </w:rPr>
              <w:t>et al.</w:t>
            </w:r>
            <w:r>
              <w:t>, 2021). While the transformation of digital remission is in progress, the establishment efforts eliminate the effect of possible substitutes</w:t>
            </w:r>
          </w:p>
        </w:tc>
        <w:tc>
          <w:tcPr>
            <w:tcW w:w="3008" w:type="dxa"/>
            <w:shd w:val="clear" w:color="auto" w:fill="auto"/>
            <w:tcMar>
              <w:top w:w="100" w:type="dxa"/>
              <w:left w:w="100" w:type="dxa"/>
              <w:bottom w:w="100" w:type="dxa"/>
              <w:right w:w="100" w:type="dxa"/>
            </w:tcMar>
          </w:tcPr>
          <w:p w14:paraId="1A0DD5E4" w14:textId="77777777" w:rsidR="007E7DD3" w:rsidRDefault="0094325C">
            <w:pPr>
              <w:widowControl w:val="0"/>
              <w:pBdr>
                <w:top w:val="nil"/>
                <w:left w:val="nil"/>
                <w:bottom w:val="nil"/>
                <w:right w:val="nil"/>
                <w:between w:val="nil"/>
              </w:pBdr>
              <w:spacing w:after="0" w:line="360" w:lineRule="auto"/>
              <w:jc w:val="both"/>
            </w:pPr>
            <w:r>
              <w:rPr>
                <w:b/>
              </w:rPr>
              <w:t xml:space="preserve">Supply Channels: </w:t>
            </w:r>
            <w:r>
              <w:t xml:space="preserve">Supply channels please and an important </w:t>
            </w:r>
            <w:r w:rsidR="00E61194">
              <w:t>role</w:t>
            </w:r>
            <w:r>
              <w:t xml:space="preserve"> in the credit card industry. American Express's bonds with banks dealers and online platforms donate to its market presence (Hitt, Ireland and Hoskisson, 2019). In retaliation to dynamic customer choices, establishments donate in digital supply channels to represent smooth online encounters. </w:t>
            </w:r>
          </w:p>
        </w:tc>
      </w:tr>
      <w:tr w:rsidR="007E7DD3" w14:paraId="0FC77C4B" w14:textId="77777777">
        <w:tc>
          <w:tcPr>
            <w:tcW w:w="3008" w:type="dxa"/>
            <w:shd w:val="clear" w:color="auto" w:fill="auto"/>
            <w:tcMar>
              <w:top w:w="100" w:type="dxa"/>
              <w:left w:w="100" w:type="dxa"/>
              <w:bottom w:w="100" w:type="dxa"/>
              <w:right w:w="100" w:type="dxa"/>
            </w:tcMar>
          </w:tcPr>
          <w:p w14:paraId="0786759F" w14:textId="77777777" w:rsidR="007E7DD3" w:rsidRDefault="0094325C">
            <w:pPr>
              <w:widowControl w:val="0"/>
              <w:pBdr>
                <w:top w:val="nil"/>
                <w:left w:val="nil"/>
                <w:bottom w:val="nil"/>
                <w:right w:val="nil"/>
                <w:between w:val="nil"/>
              </w:pBdr>
              <w:spacing w:after="0" w:line="360" w:lineRule="auto"/>
              <w:jc w:val="both"/>
              <w:rPr>
                <w:b/>
              </w:rPr>
            </w:pPr>
            <w:r>
              <w:rPr>
                <w:b/>
              </w:rPr>
              <w:t xml:space="preserve">Intensity of Competitive </w:t>
            </w:r>
            <w:r>
              <w:rPr>
                <w:b/>
              </w:rPr>
              <w:lastRenderedPageBreak/>
              <w:t xml:space="preserve">Rivalry </w:t>
            </w:r>
          </w:p>
        </w:tc>
        <w:tc>
          <w:tcPr>
            <w:tcW w:w="3008" w:type="dxa"/>
            <w:shd w:val="clear" w:color="auto" w:fill="auto"/>
            <w:tcMar>
              <w:top w:w="100" w:type="dxa"/>
              <w:left w:w="100" w:type="dxa"/>
              <w:bottom w:w="100" w:type="dxa"/>
              <w:right w:w="100" w:type="dxa"/>
            </w:tcMar>
          </w:tcPr>
          <w:p w14:paraId="4C5B101B" w14:textId="77777777" w:rsidR="007E7DD3" w:rsidRDefault="0094325C">
            <w:pPr>
              <w:widowControl w:val="0"/>
              <w:pBdr>
                <w:top w:val="nil"/>
                <w:left w:val="nil"/>
                <w:bottom w:val="nil"/>
                <w:right w:val="nil"/>
                <w:between w:val="nil"/>
              </w:pBdr>
              <w:spacing w:after="0" w:line="360" w:lineRule="auto"/>
              <w:jc w:val="both"/>
            </w:pPr>
            <w:r>
              <w:lastRenderedPageBreak/>
              <w:t xml:space="preserve">Aggressive rivalry within the </w:t>
            </w:r>
            <w:r>
              <w:lastRenderedPageBreak/>
              <w:t xml:space="preserve">credit card industries is excessive enhanced by the presence of crucial players and fintech disruptors. American Express encountered competition from conventional banks Visa, Mastercard, and evolving digital remission platforms. Separating through premium assistance, customised rewards and customer encounter has historically been American </w:t>
            </w:r>
            <w:r w:rsidR="00E61194">
              <w:t>express’s</w:t>
            </w:r>
            <w:r>
              <w:t xml:space="preserve"> strong points (Helmold, 2021). The establishment also centred on strategic bonds to extend its representations. </w:t>
            </w:r>
            <w:r w:rsidR="00E61194">
              <w:t>Nonstop</w:t>
            </w:r>
            <w:r>
              <w:t xml:space="preserve"> creativity, flexibility and branding efforts are important to flourish in this extreme competitive scenario. </w:t>
            </w:r>
          </w:p>
        </w:tc>
        <w:tc>
          <w:tcPr>
            <w:tcW w:w="3008" w:type="dxa"/>
            <w:shd w:val="clear" w:color="auto" w:fill="auto"/>
            <w:tcMar>
              <w:top w:w="100" w:type="dxa"/>
              <w:left w:w="100" w:type="dxa"/>
              <w:bottom w:w="100" w:type="dxa"/>
              <w:right w:w="100" w:type="dxa"/>
            </w:tcMar>
          </w:tcPr>
          <w:p w14:paraId="5C85B040"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Stakeholders: </w:t>
            </w:r>
            <w:r>
              <w:t xml:space="preserve">Involvement </w:t>
            </w:r>
            <w:r>
              <w:lastRenderedPageBreak/>
              <w:t xml:space="preserve">with stakeholders including consumers, donators and regulators and advocacy communities becomes more critical because of the rivalry environment (Ionica </w:t>
            </w:r>
            <w:r>
              <w:rPr>
                <w:i/>
              </w:rPr>
              <w:t>et al.</w:t>
            </w:r>
            <w:r>
              <w:t xml:space="preserve">, 2020). Recognising data entry, regulatory adherence and legitimacy awareness is important for stakeholders convenience and maintaining the image reputation. </w:t>
            </w:r>
          </w:p>
        </w:tc>
      </w:tr>
    </w:tbl>
    <w:p w14:paraId="72F7F214" w14:textId="77777777" w:rsidR="007E7DD3" w:rsidRDefault="007E7DD3">
      <w:pPr>
        <w:spacing w:line="360" w:lineRule="auto"/>
        <w:jc w:val="both"/>
      </w:pPr>
    </w:p>
    <w:p w14:paraId="2D0EE93F" w14:textId="77777777" w:rsidR="007E7DD3" w:rsidRDefault="0094325C">
      <w:pPr>
        <w:spacing w:line="360" w:lineRule="auto"/>
        <w:jc w:val="center"/>
      </w:pPr>
      <w:r>
        <w:rPr>
          <w:noProof/>
          <w:lang w:val="en-US"/>
        </w:rPr>
        <w:lastRenderedPageBreak/>
        <w:drawing>
          <wp:inline distT="114300" distB="114300" distL="114300" distR="114300" wp14:anchorId="6C635F59" wp14:editId="3B4DC3BB">
            <wp:extent cx="3633788" cy="204626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a:stretch>
                      <a:fillRect/>
                    </a:stretch>
                  </pic:blipFill>
                  <pic:spPr>
                    <a:xfrm>
                      <a:off x="0" y="0"/>
                      <a:ext cx="3633788" cy="2046269"/>
                    </a:xfrm>
                    <a:prstGeom prst="rect">
                      <a:avLst/>
                    </a:prstGeom>
                    <a:ln/>
                  </pic:spPr>
                </pic:pic>
              </a:graphicData>
            </a:graphic>
          </wp:inline>
        </w:drawing>
      </w:r>
    </w:p>
    <w:p w14:paraId="3016D2A8" w14:textId="77777777" w:rsidR="007E7DD3" w:rsidRDefault="0094325C">
      <w:pPr>
        <w:spacing w:line="360" w:lineRule="auto"/>
        <w:jc w:val="center"/>
        <w:rPr>
          <w:b/>
        </w:rPr>
      </w:pPr>
      <w:r>
        <w:rPr>
          <w:b/>
        </w:rPr>
        <w:t>Figure 4: Porters Five Force</w:t>
      </w:r>
    </w:p>
    <w:p w14:paraId="769C366B" w14:textId="77777777" w:rsidR="007E7DD3" w:rsidRDefault="0094325C">
      <w:pPr>
        <w:spacing w:line="360" w:lineRule="auto"/>
        <w:jc w:val="center"/>
      </w:pPr>
      <w:r>
        <w:t>(Source: Pratyush, 2021)</w:t>
      </w:r>
    </w:p>
    <w:p w14:paraId="61E09A55" w14:textId="77777777" w:rsidR="007E7DD3" w:rsidRDefault="0094325C">
      <w:pPr>
        <w:pStyle w:val="Heading1"/>
        <w:spacing w:line="360" w:lineRule="auto"/>
      </w:pPr>
      <w:bookmarkStart w:id="8" w:name="_Toc144413451"/>
      <w:r>
        <w:t>Internal Analysis</w:t>
      </w:r>
      <w:bookmarkEnd w:id="8"/>
    </w:p>
    <w:p w14:paraId="008DABA4" w14:textId="77777777" w:rsidR="007E7DD3" w:rsidRDefault="0094325C">
      <w:pPr>
        <w:spacing w:line="360" w:lineRule="auto"/>
        <w:jc w:val="both"/>
      </w:pPr>
      <w:bookmarkStart w:id="9" w:name="_2s8eyo1" w:colFirst="0" w:colLast="0"/>
      <w:bookmarkEnd w:id="9"/>
      <w:r>
        <w:t>The internal analysis of American Express is based on Value Chain analysis, which underscores primary and supportive activities and also VRIO analysis for distinctive resources and capability and lastly the evolution also highlights the SWOT analysis for in-depth evolution of the internal environment.</w:t>
      </w:r>
    </w:p>
    <w:p w14:paraId="55FE5040" w14:textId="77777777" w:rsidR="007E7DD3" w:rsidRDefault="0094325C">
      <w:pPr>
        <w:pStyle w:val="Heading2"/>
      </w:pPr>
      <w:bookmarkStart w:id="10" w:name="_Toc144413452"/>
      <w:r>
        <w:t>American Express's Strategic Resources and Capabilities</w:t>
      </w:r>
      <w:bookmarkEnd w:id="10"/>
      <w:r>
        <w:t xml:space="preserve">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4B62CB15" w14:textId="77777777">
        <w:tc>
          <w:tcPr>
            <w:tcW w:w="4513" w:type="dxa"/>
            <w:shd w:val="clear" w:color="auto" w:fill="auto"/>
            <w:tcMar>
              <w:top w:w="100" w:type="dxa"/>
              <w:left w:w="100" w:type="dxa"/>
              <w:bottom w:w="100" w:type="dxa"/>
              <w:right w:w="100" w:type="dxa"/>
            </w:tcMar>
          </w:tcPr>
          <w:p w14:paraId="18597E65" w14:textId="77777777" w:rsidR="007E7DD3" w:rsidRDefault="0094325C">
            <w:pPr>
              <w:widowControl w:val="0"/>
              <w:pBdr>
                <w:top w:val="nil"/>
                <w:left w:val="nil"/>
                <w:bottom w:val="nil"/>
                <w:right w:val="nil"/>
                <w:between w:val="nil"/>
              </w:pBdr>
              <w:spacing w:after="0" w:line="360" w:lineRule="auto"/>
              <w:rPr>
                <w:b/>
              </w:rPr>
            </w:pPr>
            <w:r>
              <w:rPr>
                <w:b/>
              </w:rPr>
              <w:t xml:space="preserve">Strategic Resources and Capabilities </w:t>
            </w:r>
          </w:p>
        </w:tc>
        <w:tc>
          <w:tcPr>
            <w:tcW w:w="4513" w:type="dxa"/>
            <w:shd w:val="clear" w:color="auto" w:fill="auto"/>
            <w:tcMar>
              <w:top w:w="100" w:type="dxa"/>
              <w:left w:w="100" w:type="dxa"/>
              <w:bottom w:w="100" w:type="dxa"/>
              <w:right w:w="100" w:type="dxa"/>
            </w:tcMar>
          </w:tcPr>
          <w:p w14:paraId="3C52B126" w14:textId="77777777" w:rsidR="007E7DD3" w:rsidRDefault="0094325C">
            <w:pPr>
              <w:widowControl w:val="0"/>
              <w:pBdr>
                <w:top w:val="nil"/>
                <w:left w:val="nil"/>
                <w:bottom w:val="nil"/>
                <w:right w:val="nil"/>
                <w:between w:val="nil"/>
              </w:pBdr>
              <w:spacing w:after="0" w:line="360" w:lineRule="auto"/>
              <w:rPr>
                <w:b/>
              </w:rPr>
            </w:pPr>
            <w:r>
              <w:rPr>
                <w:b/>
              </w:rPr>
              <w:t>Description</w:t>
            </w:r>
          </w:p>
        </w:tc>
      </w:tr>
      <w:tr w:rsidR="007E7DD3" w14:paraId="7F66AA1E" w14:textId="77777777">
        <w:tc>
          <w:tcPr>
            <w:tcW w:w="4513" w:type="dxa"/>
            <w:shd w:val="clear" w:color="auto" w:fill="auto"/>
            <w:tcMar>
              <w:top w:w="100" w:type="dxa"/>
              <w:left w:w="100" w:type="dxa"/>
              <w:bottom w:w="100" w:type="dxa"/>
              <w:right w:w="100" w:type="dxa"/>
            </w:tcMar>
          </w:tcPr>
          <w:p w14:paraId="2815BB06" w14:textId="77777777" w:rsidR="007E7DD3" w:rsidRDefault="0094325C">
            <w:pPr>
              <w:widowControl w:val="0"/>
              <w:pBdr>
                <w:top w:val="nil"/>
                <w:left w:val="nil"/>
                <w:bottom w:val="nil"/>
                <w:right w:val="nil"/>
                <w:between w:val="nil"/>
              </w:pBdr>
              <w:spacing w:after="0" w:line="360" w:lineRule="auto"/>
              <w:rPr>
                <w:b/>
              </w:rPr>
            </w:pPr>
            <w:r>
              <w:rPr>
                <w:b/>
              </w:rPr>
              <w:t xml:space="preserve">Strong Brand Reputation </w:t>
            </w:r>
          </w:p>
        </w:tc>
        <w:tc>
          <w:tcPr>
            <w:tcW w:w="4513" w:type="dxa"/>
            <w:shd w:val="clear" w:color="auto" w:fill="auto"/>
            <w:tcMar>
              <w:top w:w="100" w:type="dxa"/>
              <w:left w:w="100" w:type="dxa"/>
              <w:bottom w:w="100" w:type="dxa"/>
              <w:right w:w="100" w:type="dxa"/>
            </w:tcMar>
          </w:tcPr>
          <w:p w14:paraId="64B49936" w14:textId="77777777" w:rsidR="007E7DD3" w:rsidRDefault="0094325C">
            <w:pPr>
              <w:widowControl w:val="0"/>
              <w:pBdr>
                <w:top w:val="nil"/>
                <w:left w:val="nil"/>
                <w:bottom w:val="nil"/>
                <w:right w:val="nil"/>
                <w:between w:val="nil"/>
              </w:pBdr>
              <w:spacing w:after="0" w:line="360" w:lineRule="auto"/>
              <w:jc w:val="both"/>
            </w:pPr>
            <w:r>
              <w:t>American Express has created a premium brand image related to individuality and faith.</w:t>
            </w:r>
          </w:p>
        </w:tc>
      </w:tr>
      <w:tr w:rsidR="007E7DD3" w14:paraId="5C932424" w14:textId="77777777">
        <w:tc>
          <w:tcPr>
            <w:tcW w:w="4513" w:type="dxa"/>
            <w:shd w:val="clear" w:color="auto" w:fill="auto"/>
            <w:tcMar>
              <w:top w:w="100" w:type="dxa"/>
              <w:left w:w="100" w:type="dxa"/>
              <w:bottom w:w="100" w:type="dxa"/>
              <w:right w:w="100" w:type="dxa"/>
            </w:tcMar>
          </w:tcPr>
          <w:p w14:paraId="20994A9E" w14:textId="77777777" w:rsidR="007E7DD3" w:rsidRDefault="0094325C">
            <w:pPr>
              <w:widowControl w:val="0"/>
              <w:pBdr>
                <w:top w:val="nil"/>
                <w:left w:val="nil"/>
                <w:bottom w:val="nil"/>
                <w:right w:val="nil"/>
                <w:between w:val="nil"/>
              </w:pBdr>
              <w:spacing w:after="0" w:line="360" w:lineRule="auto"/>
              <w:rPr>
                <w:b/>
              </w:rPr>
            </w:pPr>
            <w:r>
              <w:rPr>
                <w:b/>
              </w:rPr>
              <w:t>Extensive Dealer Network</w:t>
            </w:r>
          </w:p>
        </w:tc>
        <w:tc>
          <w:tcPr>
            <w:tcW w:w="4513" w:type="dxa"/>
            <w:shd w:val="clear" w:color="auto" w:fill="auto"/>
            <w:tcMar>
              <w:top w:w="100" w:type="dxa"/>
              <w:left w:w="100" w:type="dxa"/>
              <w:bottom w:w="100" w:type="dxa"/>
              <w:right w:w="100" w:type="dxa"/>
            </w:tcMar>
          </w:tcPr>
          <w:p w14:paraId="33D063D8" w14:textId="77777777" w:rsidR="007E7DD3" w:rsidRDefault="0094325C">
            <w:pPr>
              <w:widowControl w:val="0"/>
              <w:pBdr>
                <w:top w:val="nil"/>
                <w:left w:val="nil"/>
                <w:bottom w:val="nil"/>
                <w:right w:val="nil"/>
                <w:between w:val="nil"/>
              </w:pBdr>
              <w:spacing w:after="0" w:line="360" w:lineRule="auto"/>
              <w:jc w:val="both"/>
            </w:pPr>
            <w:r>
              <w:t xml:space="preserve">The establishment of a broad network of dealers increases customer flexibility and loyalty. This network represents card holders with a huge range of options for business and increases the importance of utilising American Express cards (Ionica </w:t>
            </w:r>
            <w:r>
              <w:rPr>
                <w:i/>
              </w:rPr>
              <w:t>et al.</w:t>
            </w:r>
            <w:r>
              <w:t>, 2020).</w:t>
            </w:r>
          </w:p>
        </w:tc>
      </w:tr>
      <w:tr w:rsidR="007E7DD3" w14:paraId="68B531EE" w14:textId="77777777">
        <w:tc>
          <w:tcPr>
            <w:tcW w:w="4513" w:type="dxa"/>
            <w:shd w:val="clear" w:color="auto" w:fill="auto"/>
            <w:tcMar>
              <w:top w:w="100" w:type="dxa"/>
              <w:left w:w="100" w:type="dxa"/>
              <w:bottom w:w="100" w:type="dxa"/>
              <w:right w:w="100" w:type="dxa"/>
            </w:tcMar>
          </w:tcPr>
          <w:p w14:paraId="13DE6EA5" w14:textId="77777777" w:rsidR="007E7DD3" w:rsidRDefault="0094325C">
            <w:pPr>
              <w:widowControl w:val="0"/>
              <w:pBdr>
                <w:top w:val="nil"/>
                <w:left w:val="nil"/>
                <w:bottom w:val="nil"/>
                <w:right w:val="nil"/>
                <w:between w:val="nil"/>
              </w:pBdr>
              <w:spacing w:after="0" w:line="360" w:lineRule="auto"/>
              <w:rPr>
                <w:b/>
              </w:rPr>
            </w:pPr>
            <w:r>
              <w:rPr>
                <w:b/>
              </w:rPr>
              <w:t>Data Analytics and Customer Insights</w:t>
            </w:r>
          </w:p>
        </w:tc>
        <w:tc>
          <w:tcPr>
            <w:tcW w:w="4513" w:type="dxa"/>
            <w:shd w:val="clear" w:color="auto" w:fill="auto"/>
            <w:tcMar>
              <w:top w:w="100" w:type="dxa"/>
              <w:left w:w="100" w:type="dxa"/>
              <w:bottom w:w="100" w:type="dxa"/>
              <w:right w:w="100" w:type="dxa"/>
            </w:tcMar>
          </w:tcPr>
          <w:p w14:paraId="57476331" w14:textId="77777777" w:rsidR="007E7DD3" w:rsidRDefault="0094325C">
            <w:pPr>
              <w:widowControl w:val="0"/>
              <w:pBdr>
                <w:top w:val="nil"/>
                <w:left w:val="nil"/>
                <w:bottom w:val="nil"/>
                <w:right w:val="nil"/>
                <w:between w:val="nil"/>
              </w:pBdr>
              <w:spacing w:after="0" w:line="360" w:lineRule="auto"/>
              <w:jc w:val="both"/>
              <w:rPr>
                <w:b/>
              </w:rPr>
            </w:pPr>
            <w:r>
              <w:t xml:space="preserve">The establishment incorporated advanced </w:t>
            </w:r>
            <w:r>
              <w:lastRenderedPageBreak/>
              <w:t>analytics to acknowledge customer manners and choices (Jarrahi, 2018). This advanced Data Analytics helps the establishment in customising marketing, customising offering programs and targeted offers and increasing customer engagement and convenience.</w:t>
            </w:r>
          </w:p>
        </w:tc>
      </w:tr>
      <w:tr w:rsidR="007E7DD3" w14:paraId="3199FFF3" w14:textId="77777777">
        <w:tc>
          <w:tcPr>
            <w:tcW w:w="4513" w:type="dxa"/>
            <w:shd w:val="clear" w:color="auto" w:fill="auto"/>
            <w:tcMar>
              <w:top w:w="100" w:type="dxa"/>
              <w:left w:w="100" w:type="dxa"/>
              <w:bottom w:w="100" w:type="dxa"/>
              <w:right w:w="100" w:type="dxa"/>
            </w:tcMar>
          </w:tcPr>
          <w:p w14:paraId="0A495D38" w14:textId="77777777" w:rsidR="007E7DD3" w:rsidRDefault="0094325C">
            <w:pPr>
              <w:widowControl w:val="0"/>
              <w:pBdr>
                <w:top w:val="nil"/>
                <w:left w:val="nil"/>
                <w:bottom w:val="nil"/>
                <w:right w:val="nil"/>
                <w:between w:val="nil"/>
              </w:pBdr>
              <w:spacing w:after="0" w:line="360" w:lineRule="auto"/>
              <w:rPr>
                <w:b/>
              </w:rPr>
            </w:pPr>
            <w:r>
              <w:rPr>
                <w:b/>
              </w:rPr>
              <w:lastRenderedPageBreak/>
              <w:t>Technological Innovation</w:t>
            </w:r>
          </w:p>
        </w:tc>
        <w:tc>
          <w:tcPr>
            <w:tcW w:w="4513" w:type="dxa"/>
            <w:shd w:val="clear" w:color="auto" w:fill="auto"/>
            <w:tcMar>
              <w:top w:w="100" w:type="dxa"/>
              <w:left w:w="100" w:type="dxa"/>
              <w:bottom w:w="100" w:type="dxa"/>
              <w:right w:w="100" w:type="dxa"/>
            </w:tcMar>
          </w:tcPr>
          <w:p w14:paraId="3B89D415" w14:textId="77777777" w:rsidR="007E7DD3" w:rsidRDefault="0094325C">
            <w:pPr>
              <w:widowControl w:val="0"/>
              <w:pBdr>
                <w:top w:val="nil"/>
                <w:left w:val="nil"/>
                <w:bottom w:val="nil"/>
                <w:right w:val="nil"/>
                <w:between w:val="nil"/>
              </w:pBdr>
              <w:spacing w:after="0" w:line="360" w:lineRule="auto"/>
              <w:jc w:val="both"/>
            </w:pPr>
            <w:r>
              <w:t>American Express put money in technology for ensuring remissions mobile applications and AI assistance.</w:t>
            </w:r>
          </w:p>
        </w:tc>
      </w:tr>
      <w:tr w:rsidR="007E7DD3" w14:paraId="01CA5391" w14:textId="77777777">
        <w:tc>
          <w:tcPr>
            <w:tcW w:w="4513" w:type="dxa"/>
            <w:shd w:val="clear" w:color="auto" w:fill="auto"/>
            <w:tcMar>
              <w:top w:w="100" w:type="dxa"/>
              <w:left w:w="100" w:type="dxa"/>
              <w:bottom w:w="100" w:type="dxa"/>
              <w:right w:w="100" w:type="dxa"/>
            </w:tcMar>
          </w:tcPr>
          <w:p w14:paraId="7BFCCA57" w14:textId="77777777" w:rsidR="007E7DD3" w:rsidRDefault="0094325C">
            <w:pPr>
              <w:widowControl w:val="0"/>
              <w:pBdr>
                <w:top w:val="nil"/>
                <w:left w:val="nil"/>
                <w:bottom w:val="nil"/>
                <w:right w:val="nil"/>
                <w:between w:val="nil"/>
              </w:pBdr>
              <w:spacing w:after="0" w:line="360" w:lineRule="auto"/>
              <w:rPr>
                <w:b/>
              </w:rPr>
            </w:pPr>
            <w:r>
              <w:rPr>
                <w:b/>
              </w:rPr>
              <w:t>Exclusive Partnerships</w:t>
            </w:r>
          </w:p>
        </w:tc>
        <w:tc>
          <w:tcPr>
            <w:tcW w:w="4513" w:type="dxa"/>
            <w:shd w:val="clear" w:color="auto" w:fill="auto"/>
            <w:tcMar>
              <w:top w:w="100" w:type="dxa"/>
              <w:left w:w="100" w:type="dxa"/>
              <w:bottom w:w="100" w:type="dxa"/>
              <w:right w:w="100" w:type="dxa"/>
            </w:tcMar>
          </w:tcPr>
          <w:p w14:paraId="2BEB6D3C" w14:textId="77777777" w:rsidR="007E7DD3" w:rsidRDefault="0094325C">
            <w:pPr>
              <w:widowControl w:val="0"/>
              <w:pBdr>
                <w:top w:val="nil"/>
                <w:left w:val="nil"/>
                <w:bottom w:val="nil"/>
                <w:right w:val="nil"/>
                <w:between w:val="nil"/>
              </w:pBdr>
              <w:spacing w:after="0" w:line="360" w:lineRule="auto"/>
              <w:jc w:val="both"/>
            </w:pPr>
            <w:r>
              <w:t>Making bonds with airlines, hotels and dealers represent distinctive profits to customers.</w:t>
            </w:r>
          </w:p>
        </w:tc>
      </w:tr>
      <w:tr w:rsidR="007E7DD3" w14:paraId="01D04F1E" w14:textId="77777777">
        <w:tc>
          <w:tcPr>
            <w:tcW w:w="4513" w:type="dxa"/>
            <w:shd w:val="clear" w:color="auto" w:fill="auto"/>
            <w:tcMar>
              <w:top w:w="100" w:type="dxa"/>
              <w:left w:w="100" w:type="dxa"/>
              <w:bottom w:w="100" w:type="dxa"/>
              <w:right w:w="100" w:type="dxa"/>
            </w:tcMar>
          </w:tcPr>
          <w:p w14:paraId="49F4A111" w14:textId="77777777" w:rsidR="007E7DD3" w:rsidRDefault="0094325C">
            <w:pPr>
              <w:widowControl w:val="0"/>
              <w:pBdr>
                <w:top w:val="nil"/>
                <w:left w:val="nil"/>
                <w:bottom w:val="nil"/>
                <w:right w:val="nil"/>
                <w:between w:val="nil"/>
              </w:pBdr>
              <w:spacing w:after="0" w:line="360" w:lineRule="auto"/>
              <w:rPr>
                <w:b/>
              </w:rPr>
            </w:pPr>
            <w:r>
              <w:rPr>
                <w:b/>
              </w:rPr>
              <w:t>Customer Service Excellence</w:t>
            </w:r>
          </w:p>
        </w:tc>
        <w:tc>
          <w:tcPr>
            <w:tcW w:w="4513" w:type="dxa"/>
            <w:shd w:val="clear" w:color="auto" w:fill="auto"/>
            <w:tcMar>
              <w:top w:w="100" w:type="dxa"/>
              <w:left w:w="100" w:type="dxa"/>
              <w:bottom w:w="100" w:type="dxa"/>
              <w:right w:w="100" w:type="dxa"/>
            </w:tcMar>
          </w:tcPr>
          <w:p w14:paraId="48D3D647" w14:textId="77777777" w:rsidR="007E7DD3" w:rsidRDefault="0094325C">
            <w:pPr>
              <w:widowControl w:val="0"/>
              <w:pBdr>
                <w:top w:val="nil"/>
                <w:left w:val="nil"/>
                <w:bottom w:val="nil"/>
                <w:right w:val="nil"/>
                <w:between w:val="nil"/>
              </w:pBdr>
              <w:spacing w:after="0" w:line="360" w:lineRule="auto"/>
              <w:jc w:val="both"/>
            </w:pPr>
            <w:r>
              <w:t>Establishment centred on extraordinary customer association donations to loyalty and ownership. Establishment able to offer 24/7 support and customised assistance.</w:t>
            </w:r>
          </w:p>
        </w:tc>
      </w:tr>
      <w:tr w:rsidR="007E7DD3" w14:paraId="25DC817D" w14:textId="77777777">
        <w:tc>
          <w:tcPr>
            <w:tcW w:w="4513" w:type="dxa"/>
            <w:shd w:val="clear" w:color="auto" w:fill="auto"/>
            <w:tcMar>
              <w:top w:w="100" w:type="dxa"/>
              <w:left w:w="100" w:type="dxa"/>
              <w:bottom w:w="100" w:type="dxa"/>
              <w:right w:w="100" w:type="dxa"/>
            </w:tcMar>
          </w:tcPr>
          <w:p w14:paraId="2F77E5E6" w14:textId="77777777" w:rsidR="007E7DD3" w:rsidRDefault="0094325C">
            <w:pPr>
              <w:widowControl w:val="0"/>
              <w:pBdr>
                <w:top w:val="nil"/>
                <w:left w:val="nil"/>
                <w:bottom w:val="nil"/>
                <w:right w:val="nil"/>
                <w:between w:val="nil"/>
              </w:pBdr>
              <w:spacing w:after="0" w:line="360" w:lineRule="auto"/>
              <w:rPr>
                <w:b/>
              </w:rPr>
            </w:pPr>
            <w:r>
              <w:rPr>
                <w:b/>
              </w:rPr>
              <w:t xml:space="preserve">Regulatory Compliance and Expertise </w:t>
            </w:r>
          </w:p>
        </w:tc>
        <w:tc>
          <w:tcPr>
            <w:tcW w:w="4513" w:type="dxa"/>
            <w:shd w:val="clear" w:color="auto" w:fill="auto"/>
            <w:tcMar>
              <w:top w:w="100" w:type="dxa"/>
              <w:left w:w="100" w:type="dxa"/>
              <w:bottom w:w="100" w:type="dxa"/>
              <w:right w:w="100" w:type="dxa"/>
            </w:tcMar>
          </w:tcPr>
          <w:p w14:paraId="25BB84A5" w14:textId="77777777" w:rsidR="007E7DD3" w:rsidRDefault="0094325C">
            <w:pPr>
              <w:widowControl w:val="0"/>
              <w:pBdr>
                <w:top w:val="nil"/>
                <w:left w:val="nil"/>
                <w:bottom w:val="nil"/>
                <w:right w:val="nil"/>
                <w:between w:val="nil"/>
              </w:pBdr>
              <w:spacing w:after="0" w:line="360" w:lineRule="auto"/>
              <w:jc w:val="both"/>
            </w:pPr>
            <w:r>
              <w:t>American Express acknowledging economic regulations secures legal and moral components.</w:t>
            </w:r>
          </w:p>
        </w:tc>
      </w:tr>
      <w:tr w:rsidR="007E7DD3" w14:paraId="125DD17A" w14:textId="77777777">
        <w:tc>
          <w:tcPr>
            <w:tcW w:w="4513" w:type="dxa"/>
            <w:shd w:val="clear" w:color="auto" w:fill="auto"/>
            <w:tcMar>
              <w:top w:w="100" w:type="dxa"/>
              <w:left w:w="100" w:type="dxa"/>
              <w:bottom w:w="100" w:type="dxa"/>
              <w:right w:w="100" w:type="dxa"/>
            </w:tcMar>
          </w:tcPr>
          <w:p w14:paraId="17606032" w14:textId="77777777" w:rsidR="007E7DD3" w:rsidRDefault="0094325C">
            <w:pPr>
              <w:widowControl w:val="0"/>
              <w:pBdr>
                <w:top w:val="nil"/>
                <w:left w:val="nil"/>
                <w:bottom w:val="nil"/>
                <w:right w:val="nil"/>
                <w:between w:val="nil"/>
              </w:pBdr>
              <w:spacing w:after="0" w:line="360" w:lineRule="auto"/>
              <w:rPr>
                <w:b/>
              </w:rPr>
            </w:pPr>
            <w:r>
              <w:rPr>
                <w:b/>
              </w:rPr>
              <w:t>Risk Management and Fraud Prevention</w:t>
            </w:r>
          </w:p>
        </w:tc>
        <w:tc>
          <w:tcPr>
            <w:tcW w:w="4513" w:type="dxa"/>
            <w:shd w:val="clear" w:color="auto" w:fill="auto"/>
            <w:tcMar>
              <w:top w:w="100" w:type="dxa"/>
              <w:left w:w="100" w:type="dxa"/>
              <w:bottom w:w="100" w:type="dxa"/>
              <w:right w:w="100" w:type="dxa"/>
            </w:tcMar>
          </w:tcPr>
          <w:p w14:paraId="67571216" w14:textId="77777777" w:rsidR="007E7DD3" w:rsidRDefault="0094325C">
            <w:pPr>
              <w:widowControl w:val="0"/>
              <w:pBdr>
                <w:top w:val="nil"/>
                <w:left w:val="nil"/>
                <w:bottom w:val="nil"/>
                <w:right w:val="nil"/>
                <w:between w:val="nil"/>
              </w:pBdr>
              <w:spacing w:after="0" w:line="360" w:lineRule="auto"/>
              <w:jc w:val="both"/>
            </w:pPr>
            <w:r>
              <w:t>Advanced system spotting and eliminating risks, increasing security and customer loyalty.</w:t>
            </w:r>
          </w:p>
        </w:tc>
      </w:tr>
      <w:tr w:rsidR="007E7DD3" w14:paraId="14C7BDCE" w14:textId="77777777">
        <w:tc>
          <w:tcPr>
            <w:tcW w:w="4513" w:type="dxa"/>
            <w:shd w:val="clear" w:color="auto" w:fill="auto"/>
            <w:tcMar>
              <w:top w:w="100" w:type="dxa"/>
              <w:left w:w="100" w:type="dxa"/>
              <w:bottom w:w="100" w:type="dxa"/>
              <w:right w:w="100" w:type="dxa"/>
            </w:tcMar>
          </w:tcPr>
          <w:p w14:paraId="3439F5FC" w14:textId="77777777" w:rsidR="007E7DD3" w:rsidRDefault="0094325C">
            <w:pPr>
              <w:widowControl w:val="0"/>
              <w:pBdr>
                <w:top w:val="nil"/>
                <w:left w:val="nil"/>
                <w:bottom w:val="nil"/>
                <w:right w:val="nil"/>
                <w:between w:val="nil"/>
              </w:pBdr>
              <w:spacing w:after="0" w:line="360" w:lineRule="auto"/>
              <w:rPr>
                <w:b/>
              </w:rPr>
            </w:pPr>
            <w:r>
              <w:rPr>
                <w:b/>
              </w:rPr>
              <w:t>Global Presence and Network Effects</w:t>
            </w:r>
          </w:p>
        </w:tc>
        <w:tc>
          <w:tcPr>
            <w:tcW w:w="4513" w:type="dxa"/>
            <w:shd w:val="clear" w:color="auto" w:fill="auto"/>
            <w:tcMar>
              <w:top w:w="100" w:type="dxa"/>
              <w:left w:w="100" w:type="dxa"/>
              <w:bottom w:w="100" w:type="dxa"/>
              <w:right w:w="100" w:type="dxa"/>
            </w:tcMar>
          </w:tcPr>
          <w:p w14:paraId="2E9E9505" w14:textId="77777777" w:rsidR="007E7DD3" w:rsidRDefault="0094325C">
            <w:pPr>
              <w:widowControl w:val="0"/>
              <w:pBdr>
                <w:top w:val="nil"/>
                <w:left w:val="nil"/>
                <w:bottom w:val="nil"/>
                <w:right w:val="nil"/>
                <w:between w:val="nil"/>
              </w:pBdr>
              <w:spacing w:after="0" w:line="360" w:lineRule="auto"/>
              <w:jc w:val="both"/>
            </w:pPr>
            <w:r>
              <w:t xml:space="preserve">Establishments global footprint and bonds generate network superiority </w:t>
            </w:r>
            <w:sdt>
              <w:sdtPr>
                <w:id w:val="586347687"/>
                <w:citation/>
              </w:sdtPr>
              <w:sdtContent>
                <w:r w:rsidR="00022709">
                  <w:fldChar w:fldCharType="begin"/>
                </w:r>
                <w:r w:rsidR="00022709">
                  <w:rPr>
                    <w:lang w:val="en-US"/>
                  </w:rPr>
                  <w:instrText xml:space="preserve"> CITATION Joh20 \l 1033 </w:instrText>
                </w:r>
                <w:r w:rsidR="00022709">
                  <w:fldChar w:fldCharType="separate"/>
                </w:r>
                <w:r w:rsidR="008270DD" w:rsidRPr="008270DD">
                  <w:rPr>
                    <w:noProof/>
                    <w:lang w:val="en-US"/>
                  </w:rPr>
                  <w:t>(Johnson, 2020)</w:t>
                </w:r>
                <w:r w:rsidR="00022709">
                  <w:fldChar w:fldCharType="end"/>
                </w:r>
              </w:sdtContent>
            </w:sdt>
            <w:r>
              <w:t xml:space="preserve">. This global reach and presence help the establishment in cross-boundary business, travel-related services and the capability to customise to diversified customer requirements. </w:t>
            </w:r>
          </w:p>
        </w:tc>
      </w:tr>
      <w:tr w:rsidR="007E7DD3" w14:paraId="0AE44967" w14:textId="77777777">
        <w:tc>
          <w:tcPr>
            <w:tcW w:w="4513" w:type="dxa"/>
            <w:shd w:val="clear" w:color="auto" w:fill="auto"/>
            <w:tcMar>
              <w:top w:w="100" w:type="dxa"/>
              <w:left w:w="100" w:type="dxa"/>
              <w:bottom w:w="100" w:type="dxa"/>
              <w:right w:w="100" w:type="dxa"/>
            </w:tcMar>
          </w:tcPr>
          <w:p w14:paraId="4DC94B45" w14:textId="77777777" w:rsidR="007E7DD3" w:rsidRDefault="0094325C">
            <w:pPr>
              <w:widowControl w:val="0"/>
              <w:pBdr>
                <w:top w:val="nil"/>
                <w:left w:val="nil"/>
                <w:bottom w:val="nil"/>
                <w:right w:val="nil"/>
                <w:between w:val="nil"/>
              </w:pBdr>
              <w:spacing w:after="0" w:line="360" w:lineRule="auto"/>
              <w:rPr>
                <w:b/>
              </w:rPr>
            </w:pPr>
            <w:r>
              <w:rPr>
                <w:b/>
              </w:rPr>
              <w:lastRenderedPageBreak/>
              <w:t>Global Customer Base</w:t>
            </w:r>
          </w:p>
        </w:tc>
        <w:tc>
          <w:tcPr>
            <w:tcW w:w="4513" w:type="dxa"/>
            <w:shd w:val="clear" w:color="auto" w:fill="auto"/>
            <w:tcMar>
              <w:top w:w="100" w:type="dxa"/>
              <w:left w:w="100" w:type="dxa"/>
              <w:bottom w:w="100" w:type="dxa"/>
              <w:right w:w="100" w:type="dxa"/>
            </w:tcMar>
          </w:tcPr>
          <w:p w14:paraId="3E598230" w14:textId="77777777" w:rsidR="007E7DD3" w:rsidRDefault="0094325C">
            <w:pPr>
              <w:widowControl w:val="0"/>
              <w:spacing w:after="0" w:line="360" w:lineRule="auto"/>
              <w:jc w:val="both"/>
            </w:pPr>
            <w:r>
              <w:t>American Express represents a diversified and extensive customer support, supporting steadiness.</w:t>
            </w:r>
          </w:p>
        </w:tc>
      </w:tr>
    </w:tbl>
    <w:p w14:paraId="72E09F59" w14:textId="77777777" w:rsidR="007E7DD3" w:rsidRDefault="007E7DD3">
      <w:pPr>
        <w:pStyle w:val="Heading2"/>
      </w:pPr>
      <w:bookmarkStart w:id="11" w:name="_5edh8290exur" w:colFirst="0" w:colLast="0"/>
      <w:bookmarkEnd w:id="11"/>
    </w:p>
    <w:p w14:paraId="2E4E1C9C" w14:textId="77777777" w:rsidR="007E7DD3" w:rsidRDefault="0094325C">
      <w:pPr>
        <w:pStyle w:val="Heading2"/>
      </w:pPr>
      <w:bookmarkStart w:id="12" w:name="_Toc144413453"/>
      <w:r>
        <w:t>Value Chain Analysis</w:t>
      </w:r>
      <w:bookmarkEnd w:id="12"/>
      <w:r>
        <w:t xml:space="preserve"> </w:t>
      </w:r>
      <w:r>
        <w:tab/>
      </w:r>
    </w:p>
    <w:p w14:paraId="05AC4925" w14:textId="77777777" w:rsidR="007E7DD3" w:rsidRDefault="0094325C">
      <w:pPr>
        <w:spacing w:line="360" w:lineRule="auto"/>
        <w:jc w:val="both"/>
      </w:pPr>
      <w:r>
        <w:t>The value chain analysis vivisect an establishment processes into primary and supportive activities, unfolding its internal strengths and areas for development. Incorporating this infrastructure to American Express underscores its important activities and competitive advantages</w:t>
      </w:r>
    </w:p>
    <w:p w14:paraId="3D7EB3F5" w14:textId="77777777" w:rsidR="007E7DD3" w:rsidRDefault="0094325C">
      <w:pPr>
        <w:pStyle w:val="Heading3"/>
        <w:spacing w:line="360" w:lineRule="auto"/>
      </w:pPr>
      <w:bookmarkStart w:id="13" w:name="_Toc144413454"/>
      <w:r>
        <w:t>Primary Activities</w:t>
      </w:r>
      <w:bookmarkEnd w:id="13"/>
      <w:r>
        <w:t xml:space="preserve"> </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52E8EC00" w14:textId="77777777">
        <w:tc>
          <w:tcPr>
            <w:tcW w:w="4513" w:type="dxa"/>
            <w:shd w:val="clear" w:color="auto" w:fill="auto"/>
            <w:tcMar>
              <w:top w:w="100" w:type="dxa"/>
              <w:left w:w="100" w:type="dxa"/>
              <w:bottom w:w="100" w:type="dxa"/>
              <w:right w:w="100" w:type="dxa"/>
            </w:tcMar>
          </w:tcPr>
          <w:p w14:paraId="40CA9B97" w14:textId="77777777" w:rsidR="007E7DD3" w:rsidRDefault="0094325C">
            <w:pPr>
              <w:widowControl w:val="0"/>
              <w:pBdr>
                <w:top w:val="nil"/>
                <w:left w:val="nil"/>
                <w:bottom w:val="nil"/>
                <w:right w:val="nil"/>
                <w:between w:val="nil"/>
              </w:pBdr>
              <w:spacing w:after="0" w:line="360" w:lineRule="auto"/>
              <w:rPr>
                <w:b/>
              </w:rPr>
            </w:pPr>
            <w:r>
              <w:rPr>
                <w:b/>
              </w:rPr>
              <w:t>Inbound logistics</w:t>
            </w:r>
          </w:p>
        </w:tc>
        <w:tc>
          <w:tcPr>
            <w:tcW w:w="4513" w:type="dxa"/>
            <w:shd w:val="clear" w:color="auto" w:fill="auto"/>
            <w:tcMar>
              <w:top w:w="100" w:type="dxa"/>
              <w:left w:w="100" w:type="dxa"/>
              <w:bottom w:w="100" w:type="dxa"/>
              <w:right w:w="100" w:type="dxa"/>
            </w:tcMar>
          </w:tcPr>
          <w:p w14:paraId="37BFC4AD" w14:textId="77777777" w:rsidR="007E7DD3" w:rsidRDefault="0094325C">
            <w:pPr>
              <w:widowControl w:val="0"/>
              <w:pBdr>
                <w:top w:val="nil"/>
                <w:left w:val="nil"/>
                <w:bottom w:val="nil"/>
                <w:right w:val="nil"/>
                <w:between w:val="nil"/>
              </w:pBdr>
              <w:spacing w:after="0" w:line="360" w:lineRule="auto"/>
              <w:jc w:val="both"/>
            </w:pPr>
            <w:r>
              <w:t>American Express is able to manage bonds with dealers and partners to secure a smooth flow of card distribution, remission processing and customer information. This assists its capability to represent timely and proper services.</w:t>
            </w:r>
          </w:p>
        </w:tc>
      </w:tr>
      <w:tr w:rsidR="007E7DD3" w14:paraId="5136394B" w14:textId="77777777">
        <w:tc>
          <w:tcPr>
            <w:tcW w:w="4513" w:type="dxa"/>
            <w:shd w:val="clear" w:color="auto" w:fill="auto"/>
            <w:tcMar>
              <w:top w:w="100" w:type="dxa"/>
              <w:left w:w="100" w:type="dxa"/>
              <w:bottom w:w="100" w:type="dxa"/>
              <w:right w:w="100" w:type="dxa"/>
            </w:tcMar>
          </w:tcPr>
          <w:p w14:paraId="4CB29CF5" w14:textId="77777777" w:rsidR="007E7DD3" w:rsidRDefault="0094325C">
            <w:pPr>
              <w:widowControl w:val="0"/>
              <w:pBdr>
                <w:top w:val="nil"/>
                <w:left w:val="nil"/>
                <w:bottom w:val="nil"/>
                <w:right w:val="nil"/>
                <w:between w:val="nil"/>
              </w:pBdr>
              <w:spacing w:after="0" w:line="360" w:lineRule="auto"/>
              <w:rPr>
                <w:b/>
              </w:rPr>
            </w:pPr>
            <w:r>
              <w:rPr>
                <w:b/>
              </w:rPr>
              <w:t>Operations</w:t>
            </w:r>
          </w:p>
        </w:tc>
        <w:tc>
          <w:tcPr>
            <w:tcW w:w="4513" w:type="dxa"/>
            <w:shd w:val="clear" w:color="auto" w:fill="auto"/>
            <w:tcMar>
              <w:top w:w="100" w:type="dxa"/>
              <w:left w:w="100" w:type="dxa"/>
              <w:bottom w:w="100" w:type="dxa"/>
              <w:right w:w="100" w:type="dxa"/>
            </w:tcMar>
          </w:tcPr>
          <w:p w14:paraId="7B3C3E7D" w14:textId="77777777" w:rsidR="007E7DD3" w:rsidRDefault="0094325C">
            <w:pPr>
              <w:widowControl w:val="0"/>
              <w:pBdr>
                <w:top w:val="nil"/>
                <w:left w:val="nil"/>
                <w:bottom w:val="nil"/>
                <w:right w:val="nil"/>
                <w:between w:val="nil"/>
              </w:pBdr>
              <w:spacing w:after="0" w:line="360" w:lineRule="auto"/>
              <w:jc w:val="both"/>
            </w:pPr>
            <w:r>
              <w:t xml:space="preserve">The establishment operation in circumscribe card sanction, remission processing and customer assistance </w:t>
            </w:r>
            <w:sdt>
              <w:sdtPr>
                <w:id w:val="2091184531"/>
                <w:citation/>
              </w:sdtPr>
              <w:sdtContent>
                <w:r w:rsidR="00022709">
                  <w:fldChar w:fldCharType="begin"/>
                </w:r>
                <w:r w:rsidR="00022709">
                  <w:rPr>
                    <w:lang w:val="en-US"/>
                  </w:rPr>
                  <w:instrText xml:space="preserve"> CITATION Joh20 \l 1033 </w:instrText>
                </w:r>
                <w:r w:rsidR="00022709">
                  <w:fldChar w:fldCharType="separate"/>
                </w:r>
                <w:r w:rsidR="008270DD" w:rsidRPr="008270DD">
                  <w:rPr>
                    <w:noProof/>
                    <w:lang w:val="en-US"/>
                  </w:rPr>
                  <w:t>(Johnson, 2020)</w:t>
                </w:r>
                <w:r w:rsidR="00022709">
                  <w:fldChar w:fldCharType="end"/>
                </w:r>
              </w:sdtContent>
            </w:sdt>
            <w:r>
              <w:t>. It's expenditure in advance technology secure successful and protected remission processing while representing customised customer encounter</w:t>
            </w:r>
          </w:p>
        </w:tc>
      </w:tr>
      <w:tr w:rsidR="007E7DD3" w14:paraId="51CF6529" w14:textId="77777777">
        <w:tc>
          <w:tcPr>
            <w:tcW w:w="4513" w:type="dxa"/>
            <w:shd w:val="clear" w:color="auto" w:fill="auto"/>
            <w:tcMar>
              <w:top w:w="100" w:type="dxa"/>
              <w:left w:w="100" w:type="dxa"/>
              <w:bottom w:w="100" w:type="dxa"/>
              <w:right w:w="100" w:type="dxa"/>
            </w:tcMar>
          </w:tcPr>
          <w:p w14:paraId="2840E410" w14:textId="77777777" w:rsidR="007E7DD3" w:rsidRDefault="0094325C">
            <w:pPr>
              <w:widowControl w:val="0"/>
              <w:pBdr>
                <w:top w:val="nil"/>
                <w:left w:val="nil"/>
                <w:bottom w:val="nil"/>
                <w:right w:val="nil"/>
                <w:between w:val="nil"/>
              </w:pBdr>
              <w:spacing w:after="0" w:line="360" w:lineRule="auto"/>
              <w:rPr>
                <w:b/>
              </w:rPr>
            </w:pPr>
            <w:r>
              <w:rPr>
                <w:b/>
              </w:rPr>
              <w:t>Outbound Logistics</w:t>
            </w:r>
          </w:p>
        </w:tc>
        <w:tc>
          <w:tcPr>
            <w:tcW w:w="4513" w:type="dxa"/>
            <w:shd w:val="clear" w:color="auto" w:fill="auto"/>
            <w:tcMar>
              <w:top w:w="100" w:type="dxa"/>
              <w:left w:w="100" w:type="dxa"/>
              <w:bottom w:w="100" w:type="dxa"/>
              <w:right w:w="100" w:type="dxa"/>
            </w:tcMar>
          </w:tcPr>
          <w:p w14:paraId="5C7A1047" w14:textId="77777777" w:rsidR="007E7DD3" w:rsidRDefault="0094325C">
            <w:pPr>
              <w:widowControl w:val="0"/>
              <w:pBdr>
                <w:top w:val="nil"/>
                <w:left w:val="nil"/>
                <w:bottom w:val="nil"/>
                <w:right w:val="nil"/>
                <w:between w:val="nil"/>
              </w:pBdr>
              <w:spacing w:after="0" w:line="360" w:lineRule="auto"/>
              <w:jc w:val="both"/>
            </w:pPr>
            <w:r>
              <w:t>American Express provides importance to its customers through its card assistance, remunerate schemes and travel profits. The establishment of a comprehensive dealer network increases customer flexibility and satisfaction.</w:t>
            </w:r>
          </w:p>
        </w:tc>
      </w:tr>
      <w:tr w:rsidR="007E7DD3" w14:paraId="0400AF70" w14:textId="77777777">
        <w:tc>
          <w:tcPr>
            <w:tcW w:w="4513" w:type="dxa"/>
            <w:shd w:val="clear" w:color="auto" w:fill="auto"/>
            <w:tcMar>
              <w:top w:w="100" w:type="dxa"/>
              <w:left w:w="100" w:type="dxa"/>
              <w:bottom w:w="100" w:type="dxa"/>
              <w:right w:w="100" w:type="dxa"/>
            </w:tcMar>
          </w:tcPr>
          <w:p w14:paraId="1C68A8EB" w14:textId="77777777" w:rsidR="007E7DD3" w:rsidRDefault="0094325C">
            <w:pPr>
              <w:widowControl w:val="0"/>
              <w:pBdr>
                <w:top w:val="nil"/>
                <w:left w:val="nil"/>
                <w:bottom w:val="nil"/>
                <w:right w:val="nil"/>
                <w:between w:val="nil"/>
              </w:pBdr>
              <w:spacing w:after="0" w:line="360" w:lineRule="auto"/>
              <w:rPr>
                <w:b/>
              </w:rPr>
            </w:pPr>
            <w:r>
              <w:rPr>
                <w:b/>
              </w:rPr>
              <w:lastRenderedPageBreak/>
              <w:t>Marketing and sales</w:t>
            </w:r>
          </w:p>
        </w:tc>
        <w:tc>
          <w:tcPr>
            <w:tcW w:w="4513" w:type="dxa"/>
            <w:shd w:val="clear" w:color="auto" w:fill="auto"/>
            <w:tcMar>
              <w:top w:w="100" w:type="dxa"/>
              <w:left w:w="100" w:type="dxa"/>
              <w:bottom w:w="100" w:type="dxa"/>
              <w:right w:w="100" w:type="dxa"/>
            </w:tcMar>
          </w:tcPr>
          <w:p w14:paraId="7624FCBC" w14:textId="77777777" w:rsidR="007E7DD3" w:rsidRDefault="0094325C">
            <w:pPr>
              <w:widowControl w:val="0"/>
              <w:pBdr>
                <w:top w:val="nil"/>
                <w:left w:val="nil"/>
                <w:bottom w:val="nil"/>
                <w:right w:val="nil"/>
                <w:between w:val="nil"/>
              </w:pBdr>
              <w:spacing w:after="0" w:line="360" w:lineRule="auto"/>
              <w:jc w:val="both"/>
            </w:pPr>
            <w:r>
              <w:t>American Express has a strong trade name and marketing programs that attract customers looking for premium economic assistance</w:t>
            </w:r>
            <w:sdt>
              <w:sdtPr>
                <w:id w:val="1789086129"/>
                <w:citation/>
              </w:sdtPr>
              <w:sdtContent>
                <w:r w:rsidR="00022709">
                  <w:fldChar w:fldCharType="begin"/>
                </w:r>
                <w:r w:rsidR="00022709">
                  <w:rPr>
                    <w:lang w:val="en-US"/>
                  </w:rPr>
                  <w:instrText xml:space="preserve"> CITATION Kin22 \l 1033 </w:instrText>
                </w:r>
                <w:r w:rsidR="00022709">
                  <w:fldChar w:fldCharType="separate"/>
                </w:r>
                <w:r w:rsidR="008270DD">
                  <w:rPr>
                    <w:noProof/>
                    <w:lang w:val="en-US"/>
                  </w:rPr>
                  <w:t xml:space="preserve"> </w:t>
                </w:r>
                <w:r w:rsidR="008270DD" w:rsidRPr="008270DD">
                  <w:rPr>
                    <w:noProof/>
                    <w:lang w:val="en-US"/>
                  </w:rPr>
                  <w:t>(Kingsnorth, 2022)</w:t>
                </w:r>
                <w:r w:rsidR="00022709">
                  <w:fldChar w:fldCharType="end"/>
                </w:r>
              </w:sdtContent>
            </w:sdt>
            <w:r w:rsidR="00022709">
              <w:t xml:space="preserve">. </w:t>
            </w:r>
            <w:r>
              <w:t xml:space="preserve">Remunerates, customises offers and aims encouragements to grasp data analytics to push customer involvement. </w:t>
            </w:r>
          </w:p>
        </w:tc>
      </w:tr>
      <w:tr w:rsidR="007E7DD3" w14:paraId="594FC158" w14:textId="77777777">
        <w:tc>
          <w:tcPr>
            <w:tcW w:w="4513" w:type="dxa"/>
            <w:shd w:val="clear" w:color="auto" w:fill="auto"/>
            <w:tcMar>
              <w:top w:w="100" w:type="dxa"/>
              <w:left w:w="100" w:type="dxa"/>
              <w:bottom w:w="100" w:type="dxa"/>
              <w:right w:w="100" w:type="dxa"/>
            </w:tcMar>
          </w:tcPr>
          <w:p w14:paraId="295707F9" w14:textId="77777777" w:rsidR="007E7DD3" w:rsidRDefault="0094325C">
            <w:pPr>
              <w:widowControl w:val="0"/>
              <w:pBdr>
                <w:top w:val="nil"/>
                <w:left w:val="nil"/>
                <w:bottom w:val="nil"/>
                <w:right w:val="nil"/>
                <w:between w:val="nil"/>
              </w:pBdr>
              <w:spacing w:after="0" w:line="360" w:lineRule="auto"/>
              <w:rPr>
                <w:b/>
              </w:rPr>
            </w:pPr>
            <w:r>
              <w:rPr>
                <w:b/>
              </w:rPr>
              <w:t>Service</w:t>
            </w:r>
          </w:p>
        </w:tc>
        <w:tc>
          <w:tcPr>
            <w:tcW w:w="4513" w:type="dxa"/>
            <w:shd w:val="clear" w:color="auto" w:fill="auto"/>
            <w:tcMar>
              <w:top w:w="100" w:type="dxa"/>
              <w:left w:w="100" w:type="dxa"/>
              <w:bottom w:w="100" w:type="dxa"/>
              <w:right w:w="100" w:type="dxa"/>
            </w:tcMar>
          </w:tcPr>
          <w:p w14:paraId="0AD99C59" w14:textId="77777777" w:rsidR="007E7DD3" w:rsidRDefault="0094325C">
            <w:pPr>
              <w:widowControl w:val="0"/>
              <w:pBdr>
                <w:top w:val="nil"/>
                <w:left w:val="nil"/>
                <w:bottom w:val="nil"/>
                <w:right w:val="nil"/>
                <w:between w:val="nil"/>
              </w:pBdr>
              <w:spacing w:after="0" w:line="360" w:lineRule="auto"/>
              <w:jc w:val="both"/>
            </w:pPr>
            <w:r>
              <w:t>Establishing customer assistant distinction is a complex determiner. 24/7 support care taking assistance and solving problems, donating the customer loyalty and positive events.</w:t>
            </w:r>
          </w:p>
        </w:tc>
      </w:tr>
    </w:tbl>
    <w:p w14:paraId="63B943F4" w14:textId="77777777" w:rsidR="007E7DD3" w:rsidRDefault="007E7DD3">
      <w:pPr>
        <w:spacing w:line="360" w:lineRule="auto"/>
        <w:jc w:val="both"/>
      </w:pPr>
    </w:p>
    <w:p w14:paraId="5570D290" w14:textId="77777777" w:rsidR="007E7DD3" w:rsidRDefault="0094325C">
      <w:pPr>
        <w:spacing w:line="360" w:lineRule="auto"/>
        <w:jc w:val="center"/>
      </w:pPr>
      <w:r>
        <w:rPr>
          <w:noProof/>
          <w:lang w:val="en-US"/>
        </w:rPr>
        <w:drawing>
          <wp:inline distT="114300" distB="114300" distL="114300" distR="114300" wp14:anchorId="315AB414" wp14:editId="7FBB2041">
            <wp:extent cx="4538663" cy="2344724"/>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cstate="print"/>
                    <a:srcRect/>
                    <a:stretch>
                      <a:fillRect/>
                    </a:stretch>
                  </pic:blipFill>
                  <pic:spPr>
                    <a:xfrm>
                      <a:off x="0" y="0"/>
                      <a:ext cx="4538663" cy="2344724"/>
                    </a:xfrm>
                    <a:prstGeom prst="rect">
                      <a:avLst/>
                    </a:prstGeom>
                    <a:ln/>
                  </pic:spPr>
                </pic:pic>
              </a:graphicData>
            </a:graphic>
          </wp:inline>
        </w:drawing>
      </w:r>
    </w:p>
    <w:p w14:paraId="644ABFDE" w14:textId="77777777" w:rsidR="007E7DD3" w:rsidRDefault="0094325C">
      <w:pPr>
        <w:spacing w:line="360" w:lineRule="auto"/>
        <w:jc w:val="center"/>
        <w:rPr>
          <w:b/>
        </w:rPr>
      </w:pPr>
      <w:r>
        <w:rPr>
          <w:b/>
        </w:rPr>
        <w:t>Figure 5: Value Chain Analysis</w:t>
      </w:r>
    </w:p>
    <w:p w14:paraId="22AF9485" w14:textId="77777777" w:rsidR="007E7DD3" w:rsidRDefault="0094325C">
      <w:pPr>
        <w:spacing w:line="360" w:lineRule="auto"/>
        <w:jc w:val="center"/>
      </w:pPr>
      <w:r>
        <w:t xml:space="preserve">(Source: </w:t>
      </w:r>
      <w:sdt>
        <w:sdtPr>
          <w:id w:val="1860691612"/>
          <w:citation/>
        </w:sdtPr>
        <w:sdtContent>
          <w:r w:rsidR="00022709">
            <w:fldChar w:fldCharType="begin"/>
          </w:r>
          <w:r w:rsidR="00022709">
            <w:rPr>
              <w:lang w:val="en-US"/>
            </w:rPr>
            <w:instrText xml:space="preserve"> CITATION Bru18 \l 1033 </w:instrText>
          </w:r>
          <w:r w:rsidR="00022709">
            <w:fldChar w:fldCharType="separate"/>
          </w:r>
          <w:r w:rsidR="008270DD" w:rsidRPr="008270DD">
            <w:rPr>
              <w:noProof/>
              <w:lang w:val="en-US"/>
            </w:rPr>
            <w:t>(Bruin, 2018)</w:t>
          </w:r>
          <w:r w:rsidR="00022709">
            <w:fldChar w:fldCharType="end"/>
          </w:r>
        </w:sdtContent>
      </w:sdt>
      <w:r>
        <w:t xml:space="preserve"> </w:t>
      </w:r>
      <w:r>
        <w:tab/>
      </w:r>
    </w:p>
    <w:p w14:paraId="44E1893C" w14:textId="77777777" w:rsidR="007E7DD3" w:rsidRDefault="0094325C">
      <w:pPr>
        <w:pStyle w:val="Heading3"/>
        <w:spacing w:line="360" w:lineRule="auto"/>
      </w:pPr>
      <w:bookmarkStart w:id="14" w:name="_Toc144413455"/>
      <w:r>
        <w:t>Supportive Activities</w:t>
      </w:r>
      <w:bookmarkEnd w:id="14"/>
      <w:r>
        <w:t xml:space="preserve"> </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486C0079" w14:textId="77777777">
        <w:tc>
          <w:tcPr>
            <w:tcW w:w="4513" w:type="dxa"/>
            <w:shd w:val="clear" w:color="auto" w:fill="auto"/>
            <w:tcMar>
              <w:top w:w="100" w:type="dxa"/>
              <w:left w:w="100" w:type="dxa"/>
              <w:bottom w:w="100" w:type="dxa"/>
              <w:right w:w="100" w:type="dxa"/>
            </w:tcMar>
          </w:tcPr>
          <w:p w14:paraId="1B5A9140" w14:textId="77777777" w:rsidR="007E7DD3" w:rsidRDefault="0094325C">
            <w:pPr>
              <w:widowControl w:val="0"/>
              <w:pBdr>
                <w:top w:val="nil"/>
                <w:left w:val="nil"/>
                <w:bottom w:val="nil"/>
                <w:right w:val="nil"/>
                <w:between w:val="nil"/>
              </w:pBdr>
              <w:spacing w:after="0" w:line="360" w:lineRule="auto"/>
              <w:rPr>
                <w:b/>
              </w:rPr>
            </w:pPr>
            <w:r>
              <w:rPr>
                <w:b/>
              </w:rPr>
              <w:t>Firm infrastructure</w:t>
            </w:r>
          </w:p>
        </w:tc>
        <w:tc>
          <w:tcPr>
            <w:tcW w:w="4513" w:type="dxa"/>
            <w:shd w:val="clear" w:color="auto" w:fill="auto"/>
            <w:tcMar>
              <w:top w:w="100" w:type="dxa"/>
              <w:left w:w="100" w:type="dxa"/>
              <w:bottom w:w="100" w:type="dxa"/>
              <w:right w:w="100" w:type="dxa"/>
            </w:tcMar>
          </w:tcPr>
          <w:p w14:paraId="7C82FE8A" w14:textId="77777777" w:rsidR="007E7DD3" w:rsidRDefault="0094325C">
            <w:pPr>
              <w:widowControl w:val="0"/>
              <w:pBdr>
                <w:top w:val="nil"/>
                <w:left w:val="nil"/>
                <w:bottom w:val="nil"/>
                <w:right w:val="nil"/>
                <w:between w:val="nil"/>
              </w:pBdr>
              <w:spacing w:after="0" w:line="360" w:lineRule="auto"/>
              <w:jc w:val="both"/>
            </w:pPr>
            <w:r>
              <w:t xml:space="preserve">American </w:t>
            </w:r>
            <w:r w:rsidR="00E61194">
              <w:t>express’s</w:t>
            </w:r>
            <w:r>
              <w:t xml:space="preserve"> strategic expenditure in technology Data integrity and adherence create a powerful establishment for its processes and development </w:t>
            </w:r>
          </w:p>
        </w:tc>
      </w:tr>
      <w:tr w:rsidR="007E7DD3" w14:paraId="069F5C06" w14:textId="77777777">
        <w:tc>
          <w:tcPr>
            <w:tcW w:w="4513" w:type="dxa"/>
            <w:shd w:val="clear" w:color="auto" w:fill="auto"/>
            <w:tcMar>
              <w:top w:w="100" w:type="dxa"/>
              <w:left w:w="100" w:type="dxa"/>
              <w:bottom w:w="100" w:type="dxa"/>
              <w:right w:w="100" w:type="dxa"/>
            </w:tcMar>
          </w:tcPr>
          <w:p w14:paraId="725B0409" w14:textId="77777777" w:rsidR="007E7DD3" w:rsidRDefault="0094325C">
            <w:pPr>
              <w:widowControl w:val="0"/>
              <w:pBdr>
                <w:top w:val="nil"/>
                <w:left w:val="nil"/>
                <w:bottom w:val="nil"/>
                <w:right w:val="nil"/>
                <w:between w:val="nil"/>
              </w:pBdr>
              <w:spacing w:after="0" w:line="360" w:lineRule="auto"/>
              <w:rPr>
                <w:b/>
              </w:rPr>
            </w:pPr>
            <w:r>
              <w:rPr>
                <w:b/>
              </w:rPr>
              <w:lastRenderedPageBreak/>
              <w:t>Human resource Management</w:t>
            </w:r>
          </w:p>
        </w:tc>
        <w:tc>
          <w:tcPr>
            <w:tcW w:w="4513" w:type="dxa"/>
            <w:shd w:val="clear" w:color="auto" w:fill="auto"/>
            <w:tcMar>
              <w:top w:w="100" w:type="dxa"/>
              <w:left w:w="100" w:type="dxa"/>
              <w:bottom w:w="100" w:type="dxa"/>
              <w:right w:w="100" w:type="dxa"/>
            </w:tcMar>
          </w:tcPr>
          <w:p w14:paraId="28B6C48F" w14:textId="77777777" w:rsidR="007E7DD3" w:rsidRDefault="0094325C">
            <w:pPr>
              <w:widowControl w:val="0"/>
              <w:pBdr>
                <w:top w:val="nil"/>
                <w:left w:val="nil"/>
                <w:bottom w:val="nil"/>
                <w:right w:val="nil"/>
                <w:between w:val="nil"/>
              </w:pBdr>
              <w:spacing w:after="0" w:line="360" w:lineRule="auto"/>
              <w:jc w:val="both"/>
            </w:pPr>
            <w:r>
              <w:t xml:space="preserve">The establishment's labour force  is skilled in economic, technology and customer assistance and marketing </w:t>
            </w:r>
            <w:sdt>
              <w:sdtPr>
                <w:id w:val="1349529502"/>
                <w:citation/>
              </w:sdtPr>
              <w:sdtContent>
                <w:r w:rsidR="00022709">
                  <w:fldChar w:fldCharType="begin"/>
                </w:r>
                <w:r w:rsidR="00022709">
                  <w:rPr>
                    <w:lang w:val="en-US"/>
                  </w:rPr>
                  <w:instrText xml:space="preserve"> CITATION Las22 \l 1033 </w:instrText>
                </w:r>
                <w:r w:rsidR="00022709">
                  <w:fldChar w:fldCharType="separate"/>
                </w:r>
                <w:r w:rsidR="008270DD" w:rsidRPr="008270DD">
                  <w:rPr>
                    <w:noProof/>
                    <w:lang w:val="en-US"/>
                  </w:rPr>
                  <w:t>(Lasserre &amp; Monteiro, 2022)</w:t>
                </w:r>
                <w:r w:rsidR="00022709">
                  <w:fldChar w:fldCharType="end"/>
                </w:r>
              </w:sdtContent>
            </w:sdt>
            <w:r>
              <w:t>. Non-stop tutelage secures workers are nourished to deliver high standard assistance.</w:t>
            </w:r>
          </w:p>
        </w:tc>
      </w:tr>
      <w:tr w:rsidR="007E7DD3" w14:paraId="1919A093" w14:textId="77777777">
        <w:tc>
          <w:tcPr>
            <w:tcW w:w="4513" w:type="dxa"/>
            <w:shd w:val="clear" w:color="auto" w:fill="auto"/>
            <w:tcMar>
              <w:top w:w="100" w:type="dxa"/>
              <w:left w:w="100" w:type="dxa"/>
              <w:bottom w:w="100" w:type="dxa"/>
              <w:right w:w="100" w:type="dxa"/>
            </w:tcMar>
          </w:tcPr>
          <w:p w14:paraId="2A99FCE4" w14:textId="77777777" w:rsidR="007E7DD3" w:rsidRDefault="0094325C">
            <w:pPr>
              <w:widowControl w:val="0"/>
              <w:pBdr>
                <w:top w:val="nil"/>
                <w:left w:val="nil"/>
                <w:bottom w:val="nil"/>
                <w:right w:val="nil"/>
                <w:between w:val="nil"/>
              </w:pBdr>
              <w:spacing w:after="0" w:line="360" w:lineRule="auto"/>
              <w:rPr>
                <w:b/>
              </w:rPr>
            </w:pPr>
            <w:r>
              <w:rPr>
                <w:b/>
              </w:rPr>
              <w:t>Technology development</w:t>
            </w:r>
          </w:p>
        </w:tc>
        <w:tc>
          <w:tcPr>
            <w:tcW w:w="4513" w:type="dxa"/>
            <w:shd w:val="clear" w:color="auto" w:fill="auto"/>
            <w:tcMar>
              <w:top w:w="100" w:type="dxa"/>
              <w:left w:w="100" w:type="dxa"/>
              <w:bottom w:w="100" w:type="dxa"/>
              <w:right w:w="100" w:type="dxa"/>
            </w:tcMar>
          </w:tcPr>
          <w:p w14:paraId="70877ED5" w14:textId="77777777" w:rsidR="007E7DD3" w:rsidRDefault="0094325C">
            <w:pPr>
              <w:widowControl w:val="0"/>
              <w:pBdr>
                <w:top w:val="nil"/>
                <w:left w:val="nil"/>
                <w:bottom w:val="nil"/>
                <w:right w:val="nil"/>
                <w:between w:val="nil"/>
              </w:pBdr>
              <w:spacing w:after="0" w:line="360" w:lineRule="auto"/>
              <w:jc w:val="both"/>
            </w:pPr>
            <w:r>
              <w:t>American Express's dedication to technology resulted in cutting-border solutions such as mobile remissions, AI-based fraud spotting and data analytics, developed efficiency and customer events.</w:t>
            </w:r>
          </w:p>
        </w:tc>
      </w:tr>
      <w:tr w:rsidR="007E7DD3" w14:paraId="538DFD7B" w14:textId="77777777">
        <w:tc>
          <w:tcPr>
            <w:tcW w:w="4513" w:type="dxa"/>
            <w:shd w:val="clear" w:color="auto" w:fill="auto"/>
            <w:tcMar>
              <w:top w:w="100" w:type="dxa"/>
              <w:left w:w="100" w:type="dxa"/>
              <w:bottom w:w="100" w:type="dxa"/>
              <w:right w:w="100" w:type="dxa"/>
            </w:tcMar>
          </w:tcPr>
          <w:p w14:paraId="0731F029" w14:textId="77777777" w:rsidR="007E7DD3" w:rsidRDefault="0094325C">
            <w:pPr>
              <w:widowControl w:val="0"/>
              <w:pBdr>
                <w:top w:val="nil"/>
                <w:left w:val="nil"/>
                <w:bottom w:val="nil"/>
                <w:right w:val="nil"/>
                <w:between w:val="nil"/>
              </w:pBdr>
              <w:spacing w:after="0" w:line="360" w:lineRule="auto"/>
              <w:rPr>
                <w:b/>
              </w:rPr>
            </w:pPr>
            <w:r>
              <w:rPr>
                <w:b/>
              </w:rPr>
              <w:t>Procurement</w:t>
            </w:r>
          </w:p>
        </w:tc>
        <w:tc>
          <w:tcPr>
            <w:tcW w:w="4513" w:type="dxa"/>
            <w:shd w:val="clear" w:color="auto" w:fill="auto"/>
            <w:tcMar>
              <w:top w:w="100" w:type="dxa"/>
              <w:left w:w="100" w:type="dxa"/>
              <w:bottom w:w="100" w:type="dxa"/>
              <w:right w:w="100" w:type="dxa"/>
            </w:tcMar>
          </w:tcPr>
          <w:p w14:paraId="21D716AF" w14:textId="77777777" w:rsidR="007E7DD3" w:rsidRDefault="0094325C">
            <w:pPr>
              <w:widowControl w:val="0"/>
              <w:pBdr>
                <w:top w:val="nil"/>
                <w:left w:val="nil"/>
                <w:bottom w:val="nil"/>
                <w:right w:val="nil"/>
                <w:between w:val="nil"/>
              </w:pBdr>
              <w:spacing w:after="0" w:line="360" w:lineRule="auto"/>
              <w:jc w:val="both"/>
            </w:pPr>
            <w:r>
              <w:t>The establishment is able to maintain bonds with economic organisations, dealers and technology representatives</w:t>
            </w:r>
            <w:sdt>
              <w:sdtPr>
                <w:id w:val="-1209329375"/>
                <w:citation/>
              </w:sdtPr>
              <w:sdtContent>
                <w:r w:rsidR="00022709">
                  <w:fldChar w:fldCharType="begin"/>
                </w:r>
                <w:r w:rsidR="00022709">
                  <w:rPr>
                    <w:lang w:val="en-US"/>
                  </w:rPr>
                  <w:instrText xml:space="preserve"> CITATION Kot19 \l 1033 </w:instrText>
                </w:r>
                <w:r w:rsidR="00022709">
                  <w:fldChar w:fldCharType="separate"/>
                </w:r>
                <w:r w:rsidR="008270DD">
                  <w:rPr>
                    <w:noProof/>
                    <w:lang w:val="en-US"/>
                  </w:rPr>
                  <w:t xml:space="preserve"> </w:t>
                </w:r>
                <w:r w:rsidR="008270DD" w:rsidRPr="008270DD">
                  <w:rPr>
                    <w:noProof/>
                    <w:lang w:val="en-US"/>
                  </w:rPr>
                  <w:t>(Kotsantonis &amp; Serafeim, 2019)</w:t>
                </w:r>
                <w:r w:rsidR="00022709">
                  <w:fldChar w:fldCharType="end"/>
                </w:r>
              </w:sdtContent>
            </w:sdt>
            <w:r>
              <w:t xml:space="preserve">. These bonds donate to the improvement of creative services and ensure remission processing. </w:t>
            </w:r>
          </w:p>
        </w:tc>
      </w:tr>
    </w:tbl>
    <w:p w14:paraId="09424396" w14:textId="77777777" w:rsidR="007E7DD3" w:rsidRDefault="007E7DD3">
      <w:pPr>
        <w:spacing w:line="360" w:lineRule="auto"/>
        <w:jc w:val="both"/>
      </w:pPr>
    </w:p>
    <w:p w14:paraId="4E27742F" w14:textId="77777777" w:rsidR="007E7DD3" w:rsidRDefault="0094325C">
      <w:pPr>
        <w:pStyle w:val="Heading2"/>
      </w:pPr>
      <w:bookmarkStart w:id="15" w:name="_Toc144413456"/>
      <w:r>
        <w:t>VRIO Analysis of Distinctive Resources and Capabilities</w:t>
      </w:r>
      <w:bookmarkEnd w:id="15"/>
      <w:r>
        <w:t xml:space="preserve"> </w:t>
      </w:r>
    </w:p>
    <w:tbl>
      <w:tblPr>
        <w:tblStyle w:val="a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7E7DD3" w14:paraId="3CADA38E" w14:textId="77777777">
        <w:tc>
          <w:tcPr>
            <w:tcW w:w="2256" w:type="dxa"/>
            <w:shd w:val="clear" w:color="auto" w:fill="auto"/>
            <w:tcMar>
              <w:top w:w="100" w:type="dxa"/>
              <w:left w:w="100" w:type="dxa"/>
              <w:bottom w:w="100" w:type="dxa"/>
              <w:right w:w="100" w:type="dxa"/>
            </w:tcMar>
          </w:tcPr>
          <w:p w14:paraId="5AA10CBC" w14:textId="77777777" w:rsidR="007E7DD3" w:rsidRDefault="0094325C">
            <w:pPr>
              <w:widowControl w:val="0"/>
              <w:pBdr>
                <w:top w:val="nil"/>
                <w:left w:val="nil"/>
                <w:bottom w:val="nil"/>
                <w:right w:val="nil"/>
                <w:between w:val="nil"/>
              </w:pBdr>
              <w:spacing w:after="0" w:line="360" w:lineRule="auto"/>
              <w:jc w:val="both"/>
              <w:rPr>
                <w:b/>
              </w:rPr>
            </w:pPr>
            <w:r>
              <w:rPr>
                <w:b/>
              </w:rPr>
              <w:t>Value</w:t>
            </w:r>
          </w:p>
        </w:tc>
        <w:tc>
          <w:tcPr>
            <w:tcW w:w="2256" w:type="dxa"/>
            <w:shd w:val="clear" w:color="auto" w:fill="auto"/>
            <w:tcMar>
              <w:top w:w="100" w:type="dxa"/>
              <w:left w:w="100" w:type="dxa"/>
              <w:bottom w:w="100" w:type="dxa"/>
              <w:right w:w="100" w:type="dxa"/>
            </w:tcMar>
          </w:tcPr>
          <w:p w14:paraId="6F726415" w14:textId="77777777" w:rsidR="007E7DD3" w:rsidRDefault="0094325C">
            <w:pPr>
              <w:widowControl w:val="0"/>
              <w:pBdr>
                <w:top w:val="nil"/>
                <w:left w:val="nil"/>
                <w:bottom w:val="nil"/>
                <w:right w:val="nil"/>
                <w:between w:val="nil"/>
              </w:pBdr>
              <w:spacing w:after="0" w:line="360" w:lineRule="auto"/>
              <w:jc w:val="both"/>
              <w:rPr>
                <w:b/>
              </w:rPr>
            </w:pPr>
            <w:r>
              <w:rPr>
                <w:b/>
              </w:rPr>
              <w:t>Rarity</w:t>
            </w:r>
          </w:p>
        </w:tc>
        <w:tc>
          <w:tcPr>
            <w:tcW w:w="2256" w:type="dxa"/>
            <w:shd w:val="clear" w:color="auto" w:fill="auto"/>
            <w:tcMar>
              <w:top w:w="100" w:type="dxa"/>
              <w:left w:w="100" w:type="dxa"/>
              <w:bottom w:w="100" w:type="dxa"/>
              <w:right w:w="100" w:type="dxa"/>
            </w:tcMar>
          </w:tcPr>
          <w:p w14:paraId="12766707" w14:textId="77777777" w:rsidR="007E7DD3" w:rsidRDefault="0094325C">
            <w:pPr>
              <w:widowControl w:val="0"/>
              <w:pBdr>
                <w:top w:val="nil"/>
                <w:left w:val="nil"/>
                <w:bottom w:val="nil"/>
                <w:right w:val="nil"/>
                <w:between w:val="nil"/>
              </w:pBdr>
              <w:spacing w:after="0" w:line="360" w:lineRule="auto"/>
              <w:jc w:val="both"/>
              <w:rPr>
                <w:b/>
              </w:rPr>
            </w:pPr>
            <w:r>
              <w:rPr>
                <w:b/>
              </w:rPr>
              <w:t>Imitability</w:t>
            </w:r>
          </w:p>
        </w:tc>
        <w:tc>
          <w:tcPr>
            <w:tcW w:w="2256" w:type="dxa"/>
            <w:shd w:val="clear" w:color="auto" w:fill="auto"/>
            <w:tcMar>
              <w:top w:w="100" w:type="dxa"/>
              <w:left w:w="100" w:type="dxa"/>
              <w:bottom w:w="100" w:type="dxa"/>
              <w:right w:w="100" w:type="dxa"/>
            </w:tcMar>
          </w:tcPr>
          <w:p w14:paraId="635B3282" w14:textId="77777777" w:rsidR="007E7DD3" w:rsidRDefault="0094325C">
            <w:pPr>
              <w:widowControl w:val="0"/>
              <w:pBdr>
                <w:top w:val="nil"/>
                <w:left w:val="nil"/>
                <w:bottom w:val="nil"/>
                <w:right w:val="nil"/>
                <w:between w:val="nil"/>
              </w:pBdr>
              <w:spacing w:after="0" w:line="360" w:lineRule="auto"/>
              <w:jc w:val="both"/>
              <w:rPr>
                <w:b/>
              </w:rPr>
            </w:pPr>
            <w:r>
              <w:rPr>
                <w:b/>
              </w:rPr>
              <w:t>Organisation</w:t>
            </w:r>
          </w:p>
        </w:tc>
      </w:tr>
      <w:tr w:rsidR="007E7DD3" w14:paraId="5C653B0C" w14:textId="77777777">
        <w:trPr>
          <w:trHeight w:val="440"/>
        </w:trPr>
        <w:tc>
          <w:tcPr>
            <w:tcW w:w="2256" w:type="dxa"/>
            <w:shd w:val="clear" w:color="auto" w:fill="auto"/>
            <w:tcMar>
              <w:top w:w="100" w:type="dxa"/>
              <w:left w:w="100" w:type="dxa"/>
              <w:bottom w:w="100" w:type="dxa"/>
              <w:right w:w="100" w:type="dxa"/>
            </w:tcMar>
          </w:tcPr>
          <w:p w14:paraId="6C6861DD" w14:textId="77777777" w:rsidR="007E7DD3" w:rsidRDefault="0094325C">
            <w:pPr>
              <w:widowControl w:val="0"/>
              <w:pBdr>
                <w:top w:val="nil"/>
                <w:left w:val="nil"/>
                <w:bottom w:val="nil"/>
                <w:right w:val="nil"/>
                <w:between w:val="nil"/>
              </w:pBdr>
              <w:spacing w:after="0" w:line="360" w:lineRule="auto"/>
              <w:jc w:val="both"/>
            </w:pPr>
            <w:r>
              <w:rPr>
                <w:b/>
              </w:rPr>
              <w:t>Strong brand identity:</w:t>
            </w:r>
            <w:r>
              <w:t xml:space="preserve"> American Express owns well-known and respected trade names associated with premium economic assistants. This trade name adda extra value by attracting </w:t>
            </w:r>
            <w:r>
              <w:lastRenderedPageBreak/>
              <w:t>wealthy customers looking for comprehensive profits and dependability in their economic remissions.</w:t>
            </w:r>
          </w:p>
        </w:tc>
        <w:tc>
          <w:tcPr>
            <w:tcW w:w="2256" w:type="dxa"/>
            <w:vMerge w:val="restart"/>
            <w:shd w:val="clear" w:color="auto" w:fill="auto"/>
            <w:tcMar>
              <w:top w:w="100" w:type="dxa"/>
              <w:left w:w="100" w:type="dxa"/>
              <w:bottom w:w="100" w:type="dxa"/>
              <w:right w:w="100" w:type="dxa"/>
            </w:tcMar>
          </w:tcPr>
          <w:p w14:paraId="7B7F4EF9" w14:textId="77777777" w:rsidR="007E7DD3" w:rsidRDefault="0094325C">
            <w:pPr>
              <w:widowControl w:val="0"/>
              <w:pBdr>
                <w:top w:val="nil"/>
                <w:left w:val="nil"/>
                <w:bottom w:val="nil"/>
                <w:right w:val="nil"/>
                <w:between w:val="nil"/>
              </w:pBdr>
              <w:spacing w:after="0" w:line="360" w:lineRule="auto"/>
              <w:jc w:val="both"/>
            </w:pPr>
            <w:r>
              <w:lastRenderedPageBreak/>
              <w:t xml:space="preserve">These assets and competence are relatively scarce within the industry. While other establishment may have trade name recognition and technology abilities, American Expresse's </w:t>
            </w:r>
            <w:r>
              <w:lastRenderedPageBreak/>
              <w:t>particular mix of premium trade name, data analytics and technology make it separate from other competitors.</w:t>
            </w:r>
          </w:p>
        </w:tc>
        <w:tc>
          <w:tcPr>
            <w:tcW w:w="2256" w:type="dxa"/>
            <w:vMerge w:val="restart"/>
            <w:shd w:val="clear" w:color="auto" w:fill="auto"/>
            <w:tcMar>
              <w:top w:w="100" w:type="dxa"/>
              <w:left w:w="100" w:type="dxa"/>
              <w:bottom w:w="100" w:type="dxa"/>
              <w:right w:w="100" w:type="dxa"/>
            </w:tcMar>
          </w:tcPr>
          <w:p w14:paraId="5E0591AE" w14:textId="77777777" w:rsidR="007E7DD3" w:rsidRDefault="0094325C">
            <w:pPr>
              <w:widowControl w:val="0"/>
              <w:pBdr>
                <w:top w:val="nil"/>
                <w:left w:val="nil"/>
                <w:bottom w:val="nil"/>
                <w:right w:val="nil"/>
                <w:between w:val="nil"/>
              </w:pBdr>
              <w:spacing w:after="0" w:line="360" w:lineRule="auto"/>
              <w:jc w:val="both"/>
            </w:pPr>
            <w:r>
              <w:lastRenderedPageBreak/>
              <w:t>Acids and abilities are obstacles to emulation because of factors like expenditure in technology, special bond, and historical brand name</w:t>
            </w:r>
            <w:sdt>
              <w:sdtPr>
                <w:id w:val="324026995"/>
                <w:citation/>
              </w:sdtPr>
              <w:sdtContent>
                <w:r w:rsidR="00022709">
                  <w:fldChar w:fldCharType="begin"/>
                </w:r>
                <w:r w:rsidR="00022709">
                  <w:rPr>
                    <w:lang w:val="en-US"/>
                  </w:rPr>
                  <w:instrText xml:space="preserve"> CITATION Min20 \l 1033 </w:instrText>
                </w:r>
                <w:r w:rsidR="00022709">
                  <w:fldChar w:fldCharType="separate"/>
                </w:r>
                <w:r w:rsidR="008270DD">
                  <w:rPr>
                    <w:noProof/>
                    <w:lang w:val="en-US"/>
                  </w:rPr>
                  <w:t xml:space="preserve"> </w:t>
                </w:r>
                <w:r w:rsidR="008270DD" w:rsidRPr="008270DD">
                  <w:rPr>
                    <w:noProof/>
                    <w:lang w:val="en-US"/>
                  </w:rPr>
                  <w:t>(Mintzberg, et al., 2020)</w:t>
                </w:r>
                <w:r w:rsidR="00022709">
                  <w:fldChar w:fldCharType="end"/>
                </w:r>
              </w:sdtContent>
            </w:sdt>
            <w:r>
              <w:t xml:space="preserve">. Rivals would </w:t>
            </w:r>
            <w:r>
              <w:lastRenderedPageBreak/>
              <w:t xml:space="preserve">require to make noteworthy contributions to create long-term bonds to copy American Express's representations. </w:t>
            </w:r>
          </w:p>
        </w:tc>
        <w:tc>
          <w:tcPr>
            <w:tcW w:w="2256" w:type="dxa"/>
            <w:vMerge w:val="restart"/>
            <w:shd w:val="clear" w:color="auto" w:fill="auto"/>
            <w:tcMar>
              <w:top w:w="100" w:type="dxa"/>
              <w:left w:w="100" w:type="dxa"/>
              <w:bottom w:w="100" w:type="dxa"/>
              <w:right w:w="100" w:type="dxa"/>
            </w:tcMar>
          </w:tcPr>
          <w:p w14:paraId="16B2975B" w14:textId="77777777" w:rsidR="007E7DD3" w:rsidRDefault="0094325C">
            <w:pPr>
              <w:widowControl w:val="0"/>
              <w:pBdr>
                <w:top w:val="nil"/>
                <w:left w:val="nil"/>
                <w:bottom w:val="nil"/>
                <w:right w:val="nil"/>
                <w:between w:val="nil"/>
              </w:pBdr>
              <w:spacing w:after="0" w:line="360" w:lineRule="auto"/>
              <w:jc w:val="both"/>
            </w:pPr>
            <w:r>
              <w:lastRenderedPageBreak/>
              <w:t>American Express successfully assembled these assets and abilities to make collaborations</w:t>
            </w:r>
            <w:sdt>
              <w:sdtPr>
                <w:id w:val="-1160543049"/>
                <w:citation/>
              </w:sdtPr>
              <w:sdtContent>
                <w:r w:rsidR="00022709">
                  <w:fldChar w:fldCharType="begin"/>
                </w:r>
                <w:r w:rsidR="00022709">
                  <w:rPr>
                    <w:lang w:val="en-US"/>
                  </w:rPr>
                  <w:instrText xml:space="preserve"> CITATION Mor181 \l 1033 </w:instrText>
                </w:r>
                <w:r w:rsidR="00022709">
                  <w:fldChar w:fldCharType="separate"/>
                </w:r>
                <w:r w:rsidR="008270DD">
                  <w:rPr>
                    <w:noProof/>
                    <w:lang w:val="en-US"/>
                  </w:rPr>
                  <w:t xml:space="preserve"> </w:t>
                </w:r>
                <w:r w:rsidR="008270DD" w:rsidRPr="008270DD">
                  <w:rPr>
                    <w:noProof/>
                    <w:lang w:val="en-US"/>
                  </w:rPr>
                  <w:t>(Morin &amp; Paquin, 2018)</w:t>
                </w:r>
                <w:r w:rsidR="00022709">
                  <w:fldChar w:fldCharType="end"/>
                </w:r>
              </w:sdtContent>
            </w:sdt>
            <w:r>
              <w:t xml:space="preserve">. The infrastructure of the establishment supports </w:t>
            </w:r>
            <w:r>
              <w:lastRenderedPageBreak/>
              <w:t>collaboration among data analysts, technologists and marketing professionals and customer assistant teams to represent adhesive and customer based events.</w:t>
            </w:r>
          </w:p>
        </w:tc>
      </w:tr>
      <w:tr w:rsidR="007E7DD3" w14:paraId="16477DD4" w14:textId="77777777">
        <w:trPr>
          <w:trHeight w:val="440"/>
        </w:trPr>
        <w:tc>
          <w:tcPr>
            <w:tcW w:w="2256" w:type="dxa"/>
            <w:shd w:val="clear" w:color="auto" w:fill="auto"/>
            <w:tcMar>
              <w:top w:w="100" w:type="dxa"/>
              <w:left w:w="100" w:type="dxa"/>
              <w:bottom w:w="100" w:type="dxa"/>
              <w:right w:w="100" w:type="dxa"/>
            </w:tcMar>
          </w:tcPr>
          <w:p w14:paraId="32973605"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Data Analytics and customisation: </w:t>
            </w:r>
            <w:r>
              <w:t>American  Express's advance data analytic abilities ensures customised customer events, customised offers and target base marketing this resource put an additional value by increasing customer involvement and convenience</w:t>
            </w:r>
          </w:p>
        </w:tc>
        <w:tc>
          <w:tcPr>
            <w:tcW w:w="2256" w:type="dxa"/>
            <w:vMerge/>
            <w:shd w:val="clear" w:color="auto" w:fill="auto"/>
            <w:tcMar>
              <w:top w:w="100" w:type="dxa"/>
              <w:left w:w="100" w:type="dxa"/>
              <w:bottom w:w="100" w:type="dxa"/>
              <w:right w:w="100" w:type="dxa"/>
            </w:tcMar>
          </w:tcPr>
          <w:p w14:paraId="6E001E8D"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15A10508"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5D4AB67B" w14:textId="77777777" w:rsidR="007E7DD3" w:rsidRDefault="007E7DD3">
            <w:pPr>
              <w:widowControl w:val="0"/>
              <w:pBdr>
                <w:top w:val="nil"/>
                <w:left w:val="nil"/>
                <w:bottom w:val="nil"/>
                <w:right w:val="nil"/>
                <w:between w:val="nil"/>
              </w:pBdr>
              <w:spacing w:after="0" w:line="360" w:lineRule="auto"/>
            </w:pPr>
          </w:p>
        </w:tc>
      </w:tr>
      <w:tr w:rsidR="007E7DD3" w14:paraId="160F8EF7" w14:textId="77777777">
        <w:trPr>
          <w:trHeight w:val="440"/>
        </w:trPr>
        <w:tc>
          <w:tcPr>
            <w:tcW w:w="2256" w:type="dxa"/>
            <w:shd w:val="clear" w:color="auto" w:fill="auto"/>
            <w:tcMar>
              <w:top w:w="100" w:type="dxa"/>
              <w:left w:w="100" w:type="dxa"/>
              <w:bottom w:w="100" w:type="dxa"/>
              <w:right w:w="100" w:type="dxa"/>
            </w:tcMar>
          </w:tcPr>
          <w:p w14:paraId="4FB2EC21" w14:textId="77777777" w:rsidR="007E7DD3" w:rsidRDefault="0094325C">
            <w:pPr>
              <w:widowControl w:val="0"/>
              <w:pBdr>
                <w:top w:val="nil"/>
                <w:left w:val="nil"/>
                <w:bottom w:val="nil"/>
                <w:right w:val="nil"/>
                <w:between w:val="nil"/>
              </w:pBdr>
              <w:spacing w:after="0" w:line="360" w:lineRule="auto"/>
              <w:jc w:val="both"/>
            </w:pPr>
            <w:r>
              <w:rPr>
                <w:b/>
              </w:rPr>
              <w:t xml:space="preserve">Technological innovation: </w:t>
            </w:r>
            <w:r>
              <w:t>The establishment's non-stop expenditure in technology underscores secure online remission, mobile transactions and digital wallet incorporation</w:t>
            </w:r>
            <w:sdt>
              <w:sdtPr>
                <w:id w:val="-823738003"/>
                <w:citation/>
              </w:sdtPr>
              <w:sdtContent>
                <w:r w:rsidR="00022709">
                  <w:fldChar w:fldCharType="begin"/>
                </w:r>
                <w:r w:rsidR="00022709">
                  <w:rPr>
                    <w:lang w:val="en-US"/>
                  </w:rPr>
                  <w:instrText xml:space="preserve"> CITATION Las22 \l 1033 </w:instrText>
                </w:r>
                <w:r w:rsidR="00022709">
                  <w:fldChar w:fldCharType="separate"/>
                </w:r>
                <w:r w:rsidR="008270DD">
                  <w:rPr>
                    <w:noProof/>
                    <w:lang w:val="en-US"/>
                  </w:rPr>
                  <w:t xml:space="preserve"> </w:t>
                </w:r>
                <w:r w:rsidR="008270DD" w:rsidRPr="008270DD">
                  <w:rPr>
                    <w:noProof/>
                    <w:lang w:val="en-US"/>
                  </w:rPr>
                  <w:lastRenderedPageBreak/>
                  <w:t>(Lasserre &amp; Monteiro, 2022)</w:t>
                </w:r>
                <w:r w:rsidR="00022709">
                  <w:fldChar w:fldCharType="end"/>
                </w:r>
              </w:sdtContent>
            </w:sdt>
            <w:r>
              <w:t>. This technological expertise adds an additional value by underscoring  flexible and cutting-edge economic solution</w:t>
            </w:r>
          </w:p>
        </w:tc>
        <w:tc>
          <w:tcPr>
            <w:tcW w:w="2256" w:type="dxa"/>
            <w:vMerge/>
            <w:shd w:val="clear" w:color="auto" w:fill="auto"/>
            <w:tcMar>
              <w:top w:w="100" w:type="dxa"/>
              <w:left w:w="100" w:type="dxa"/>
              <w:bottom w:w="100" w:type="dxa"/>
              <w:right w:w="100" w:type="dxa"/>
            </w:tcMar>
          </w:tcPr>
          <w:p w14:paraId="1E199E15"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57D25B47"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3C048FDB" w14:textId="77777777" w:rsidR="007E7DD3" w:rsidRDefault="007E7DD3">
            <w:pPr>
              <w:widowControl w:val="0"/>
              <w:pBdr>
                <w:top w:val="nil"/>
                <w:left w:val="nil"/>
                <w:bottom w:val="nil"/>
                <w:right w:val="nil"/>
                <w:between w:val="nil"/>
              </w:pBdr>
              <w:spacing w:after="0" w:line="360" w:lineRule="auto"/>
            </w:pPr>
          </w:p>
        </w:tc>
      </w:tr>
      <w:tr w:rsidR="007E7DD3" w14:paraId="7D751498" w14:textId="77777777">
        <w:trPr>
          <w:trHeight w:val="440"/>
        </w:trPr>
        <w:tc>
          <w:tcPr>
            <w:tcW w:w="2256" w:type="dxa"/>
            <w:shd w:val="clear" w:color="auto" w:fill="auto"/>
            <w:tcMar>
              <w:top w:w="100" w:type="dxa"/>
              <w:left w:w="100" w:type="dxa"/>
              <w:bottom w:w="100" w:type="dxa"/>
              <w:right w:w="100" w:type="dxa"/>
            </w:tcMar>
          </w:tcPr>
          <w:p w14:paraId="6DEC5B5D" w14:textId="77777777" w:rsidR="007E7DD3" w:rsidRDefault="0094325C">
            <w:pPr>
              <w:widowControl w:val="0"/>
              <w:pBdr>
                <w:top w:val="nil"/>
                <w:left w:val="nil"/>
                <w:bottom w:val="nil"/>
                <w:right w:val="nil"/>
                <w:between w:val="nil"/>
              </w:pBdr>
              <w:spacing w:after="0" w:line="360" w:lineRule="auto"/>
              <w:jc w:val="both"/>
            </w:pPr>
            <w:r>
              <w:rPr>
                <w:b/>
              </w:rPr>
              <w:t xml:space="preserve">Extensive dealer network: </w:t>
            </w:r>
            <w:r>
              <w:t>American Express's broad dealer acceptance network contributes importance by representing card holders with a huge range of places to utilise their cards and increasing the overall importance in preposition of their services.</w:t>
            </w:r>
          </w:p>
        </w:tc>
        <w:tc>
          <w:tcPr>
            <w:tcW w:w="2256" w:type="dxa"/>
            <w:vMerge/>
            <w:shd w:val="clear" w:color="auto" w:fill="auto"/>
            <w:tcMar>
              <w:top w:w="100" w:type="dxa"/>
              <w:left w:w="100" w:type="dxa"/>
              <w:bottom w:w="100" w:type="dxa"/>
              <w:right w:w="100" w:type="dxa"/>
            </w:tcMar>
          </w:tcPr>
          <w:p w14:paraId="1F7A037C"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26E479E6" w14:textId="77777777" w:rsidR="007E7DD3" w:rsidRDefault="007E7DD3">
            <w:pPr>
              <w:widowControl w:val="0"/>
              <w:pBdr>
                <w:top w:val="nil"/>
                <w:left w:val="nil"/>
                <w:bottom w:val="nil"/>
                <w:right w:val="nil"/>
                <w:between w:val="nil"/>
              </w:pBdr>
              <w:spacing w:after="0" w:line="360" w:lineRule="auto"/>
            </w:pPr>
          </w:p>
        </w:tc>
        <w:tc>
          <w:tcPr>
            <w:tcW w:w="2256" w:type="dxa"/>
            <w:vMerge/>
            <w:shd w:val="clear" w:color="auto" w:fill="auto"/>
            <w:tcMar>
              <w:top w:w="100" w:type="dxa"/>
              <w:left w:w="100" w:type="dxa"/>
              <w:bottom w:w="100" w:type="dxa"/>
              <w:right w:w="100" w:type="dxa"/>
            </w:tcMar>
          </w:tcPr>
          <w:p w14:paraId="26253BD5" w14:textId="77777777" w:rsidR="007E7DD3" w:rsidRDefault="007E7DD3">
            <w:pPr>
              <w:widowControl w:val="0"/>
              <w:pBdr>
                <w:top w:val="nil"/>
                <w:left w:val="nil"/>
                <w:bottom w:val="nil"/>
                <w:right w:val="nil"/>
                <w:between w:val="nil"/>
              </w:pBdr>
              <w:spacing w:after="0" w:line="360" w:lineRule="auto"/>
            </w:pPr>
          </w:p>
        </w:tc>
      </w:tr>
    </w:tbl>
    <w:p w14:paraId="0FA41098" w14:textId="77777777" w:rsidR="007E7DD3" w:rsidRDefault="0094325C">
      <w:pPr>
        <w:spacing w:line="360" w:lineRule="auto"/>
      </w:pPr>
      <w:r>
        <w:tab/>
      </w:r>
    </w:p>
    <w:p w14:paraId="241D56FC" w14:textId="77777777" w:rsidR="007E7DD3" w:rsidRDefault="0094325C">
      <w:pPr>
        <w:pStyle w:val="Heading2"/>
      </w:pPr>
      <w:bookmarkStart w:id="16" w:name="_Toc144413457"/>
      <w:r>
        <w:t>SWOT Analysis</w:t>
      </w:r>
      <w:bookmarkEnd w:id="16"/>
      <w:r>
        <w:t xml:space="preserve"> </w:t>
      </w:r>
    </w:p>
    <w:p w14:paraId="149ECB21" w14:textId="77777777" w:rsidR="007E7DD3" w:rsidRDefault="0094325C">
      <w:pPr>
        <w:spacing w:line="360" w:lineRule="auto"/>
        <w:jc w:val="both"/>
      </w:pPr>
      <w:r>
        <w:t xml:space="preserve">Internal analysis of American Express utilising the SWOT model represents insights into the establishment's strengths, weaknesses, opportunities and threats within its controlling environment. </w:t>
      </w:r>
    </w:p>
    <w:tbl>
      <w:tblPr>
        <w:tblStyle w:val="a6"/>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0395E08A" w14:textId="77777777">
        <w:tc>
          <w:tcPr>
            <w:tcW w:w="4513" w:type="dxa"/>
            <w:shd w:val="clear" w:color="auto" w:fill="auto"/>
            <w:tcMar>
              <w:top w:w="100" w:type="dxa"/>
              <w:left w:w="100" w:type="dxa"/>
              <w:bottom w:w="100" w:type="dxa"/>
              <w:right w:w="100" w:type="dxa"/>
            </w:tcMar>
          </w:tcPr>
          <w:p w14:paraId="2AE372B4" w14:textId="77777777" w:rsidR="007E7DD3" w:rsidRDefault="0094325C">
            <w:pPr>
              <w:widowControl w:val="0"/>
              <w:pBdr>
                <w:top w:val="nil"/>
                <w:left w:val="nil"/>
                <w:bottom w:val="nil"/>
                <w:right w:val="nil"/>
                <w:between w:val="nil"/>
              </w:pBdr>
              <w:spacing w:after="0" w:line="360" w:lineRule="auto"/>
              <w:jc w:val="both"/>
              <w:rPr>
                <w:b/>
              </w:rPr>
            </w:pPr>
            <w:r>
              <w:rPr>
                <w:b/>
              </w:rPr>
              <w:t>Strengths</w:t>
            </w:r>
          </w:p>
        </w:tc>
        <w:tc>
          <w:tcPr>
            <w:tcW w:w="4513" w:type="dxa"/>
            <w:shd w:val="clear" w:color="auto" w:fill="auto"/>
            <w:tcMar>
              <w:top w:w="100" w:type="dxa"/>
              <w:left w:w="100" w:type="dxa"/>
              <w:bottom w:w="100" w:type="dxa"/>
              <w:right w:w="100" w:type="dxa"/>
            </w:tcMar>
          </w:tcPr>
          <w:p w14:paraId="72B42254" w14:textId="77777777" w:rsidR="007E7DD3" w:rsidRDefault="0094325C">
            <w:pPr>
              <w:widowControl w:val="0"/>
              <w:pBdr>
                <w:top w:val="nil"/>
                <w:left w:val="nil"/>
                <w:bottom w:val="nil"/>
                <w:right w:val="nil"/>
                <w:between w:val="nil"/>
              </w:pBdr>
              <w:spacing w:after="0" w:line="360" w:lineRule="auto"/>
              <w:jc w:val="both"/>
              <w:rPr>
                <w:b/>
              </w:rPr>
            </w:pPr>
            <w:r>
              <w:rPr>
                <w:b/>
              </w:rPr>
              <w:t>Weaknesses</w:t>
            </w:r>
          </w:p>
        </w:tc>
      </w:tr>
      <w:tr w:rsidR="007E7DD3" w14:paraId="39B56D4A" w14:textId="77777777">
        <w:trPr>
          <w:trHeight w:val="440"/>
        </w:trPr>
        <w:tc>
          <w:tcPr>
            <w:tcW w:w="4513" w:type="dxa"/>
            <w:vMerge w:val="restart"/>
            <w:shd w:val="clear" w:color="auto" w:fill="auto"/>
            <w:tcMar>
              <w:top w:w="100" w:type="dxa"/>
              <w:left w:w="100" w:type="dxa"/>
              <w:bottom w:w="100" w:type="dxa"/>
              <w:right w:w="100" w:type="dxa"/>
            </w:tcMar>
          </w:tcPr>
          <w:p w14:paraId="27D3B087" w14:textId="77777777" w:rsidR="007E7DD3" w:rsidRDefault="0094325C">
            <w:pPr>
              <w:widowControl w:val="0"/>
              <w:pBdr>
                <w:top w:val="nil"/>
                <w:left w:val="nil"/>
                <w:bottom w:val="nil"/>
                <w:right w:val="nil"/>
                <w:between w:val="nil"/>
              </w:pBdr>
              <w:spacing w:after="0" w:line="360" w:lineRule="auto"/>
              <w:jc w:val="both"/>
            </w:pPr>
            <w:r>
              <w:rPr>
                <w:b/>
              </w:rPr>
              <w:t xml:space="preserve">Strong Brand Identity: </w:t>
            </w:r>
            <w:r>
              <w:t xml:space="preserve">American Express </w:t>
            </w:r>
            <w:r>
              <w:lastRenderedPageBreak/>
              <w:t xml:space="preserve">has introduced itself as a premium economic assistant trade name associated with trust individuality and exceptional customer assistance. This trade name acknowledgement attracts a loyal customer base. </w:t>
            </w:r>
          </w:p>
        </w:tc>
        <w:tc>
          <w:tcPr>
            <w:tcW w:w="4513" w:type="dxa"/>
            <w:vMerge w:val="restart"/>
            <w:shd w:val="clear" w:color="auto" w:fill="auto"/>
            <w:tcMar>
              <w:top w:w="100" w:type="dxa"/>
              <w:left w:w="100" w:type="dxa"/>
              <w:bottom w:w="100" w:type="dxa"/>
              <w:right w:w="100" w:type="dxa"/>
            </w:tcMar>
          </w:tcPr>
          <w:p w14:paraId="7F27ECD4"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Higher Fees: </w:t>
            </w:r>
            <w:r>
              <w:t xml:space="preserve">American Express's premium </w:t>
            </w:r>
            <w:r>
              <w:lastRenderedPageBreak/>
              <w:t>assistance frequently comes with a high rate of annual fees compared to other competitors</w:t>
            </w:r>
            <w:sdt>
              <w:sdtPr>
                <w:id w:val="443737102"/>
                <w:citation/>
              </w:sdtPr>
              <w:sdtContent>
                <w:r w:rsidR="00022709">
                  <w:fldChar w:fldCharType="begin"/>
                </w:r>
                <w:r w:rsidR="00022709">
                  <w:rPr>
                    <w:lang w:val="en-US"/>
                  </w:rPr>
                  <w:instrText xml:space="preserve"> CITATION Mor18 \l 1033 </w:instrText>
                </w:r>
                <w:r w:rsidR="00022709">
                  <w:fldChar w:fldCharType="separate"/>
                </w:r>
                <w:r w:rsidR="008270DD">
                  <w:rPr>
                    <w:noProof/>
                    <w:lang w:val="en-US"/>
                  </w:rPr>
                  <w:t xml:space="preserve"> </w:t>
                </w:r>
                <w:r w:rsidR="008270DD" w:rsidRPr="008270DD">
                  <w:rPr>
                    <w:noProof/>
                    <w:lang w:val="en-US"/>
                  </w:rPr>
                  <w:t>(Morin &amp; Paquin, 2018)</w:t>
                </w:r>
                <w:r w:rsidR="00022709">
                  <w:fldChar w:fldCharType="end"/>
                </w:r>
              </w:sdtContent>
            </w:sdt>
            <w:r>
              <w:t>. This may discourage cost aware customers affecting market perforation.</w:t>
            </w:r>
          </w:p>
        </w:tc>
      </w:tr>
      <w:tr w:rsidR="007E7DD3" w14:paraId="65CF95A6" w14:textId="77777777">
        <w:trPr>
          <w:trHeight w:val="440"/>
        </w:trPr>
        <w:tc>
          <w:tcPr>
            <w:tcW w:w="4513" w:type="dxa"/>
            <w:vMerge/>
            <w:shd w:val="clear" w:color="auto" w:fill="auto"/>
            <w:tcMar>
              <w:top w:w="100" w:type="dxa"/>
              <w:left w:w="100" w:type="dxa"/>
              <w:bottom w:w="100" w:type="dxa"/>
              <w:right w:w="100" w:type="dxa"/>
            </w:tcMar>
          </w:tcPr>
          <w:p w14:paraId="002E757F" w14:textId="77777777" w:rsidR="007E7DD3" w:rsidRDefault="007E7DD3">
            <w:pPr>
              <w:widowControl w:val="0"/>
              <w:pBdr>
                <w:top w:val="nil"/>
                <w:left w:val="nil"/>
                <w:bottom w:val="nil"/>
                <w:right w:val="nil"/>
                <w:between w:val="nil"/>
              </w:pBdr>
              <w:spacing w:after="0" w:line="360" w:lineRule="auto"/>
              <w:jc w:val="both"/>
            </w:pPr>
          </w:p>
        </w:tc>
        <w:tc>
          <w:tcPr>
            <w:tcW w:w="4513" w:type="dxa"/>
            <w:vMerge/>
            <w:shd w:val="clear" w:color="auto" w:fill="auto"/>
            <w:tcMar>
              <w:top w:w="100" w:type="dxa"/>
              <w:left w:w="100" w:type="dxa"/>
              <w:bottom w:w="100" w:type="dxa"/>
              <w:right w:w="100" w:type="dxa"/>
            </w:tcMar>
          </w:tcPr>
          <w:p w14:paraId="115E32CD" w14:textId="77777777" w:rsidR="007E7DD3" w:rsidRDefault="007E7DD3">
            <w:pPr>
              <w:widowControl w:val="0"/>
              <w:pBdr>
                <w:top w:val="nil"/>
                <w:left w:val="nil"/>
                <w:bottom w:val="nil"/>
                <w:right w:val="nil"/>
                <w:between w:val="nil"/>
              </w:pBdr>
              <w:spacing w:after="0" w:line="360" w:lineRule="auto"/>
              <w:jc w:val="both"/>
            </w:pPr>
          </w:p>
        </w:tc>
      </w:tr>
      <w:tr w:rsidR="007E7DD3" w14:paraId="07B7490B" w14:textId="77777777">
        <w:trPr>
          <w:trHeight w:val="440"/>
        </w:trPr>
        <w:tc>
          <w:tcPr>
            <w:tcW w:w="4513" w:type="dxa"/>
            <w:vMerge w:val="restart"/>
            <w:shd w:val="clear" w:color="auto" w:fill="auto"/>
            <w:tcMar>
              <w:top w:w="100" w:type="dxa"/>
              <w:left w:w="100" w:type="dxa"/>
              <w:bottom w:w="100" w:type="dxa"/>
              <w:right w:w="100" w:type="dxa"/>
            </w:tcMar>
          </w:tcPr>
          <w:p w14:paraId="67ACEBD5" w14:textId="77777777" w:rsidR="007E7DD3" w:rsidRDefault="0094325C">
            <w:pPr>
              <w:widowControl w:val="0"/>
              <w:pBdr>
                <w:top w:val="nil"/>
                <w:left w:val="nil"/>
                <w:bottom w:val="nil"/>
                <w:right w:val="nil"/>
                <w:between w:val="nil"/>
              </w:pBdr>
              <w:spacing w:after="0" w:line="360" w:lineRule="auto"/>
              <w:jc w:val="both"/>
            </w:pPr>
            <w:r>
              <w:rPr>
                <w:b/>
              </w:rPr>
              <w:t xml:space="preserve">Data Analytics and Customisation: </w:t>
            </w:r>
            <w:r>
              <w:t>the establishment grasps advanced data analytics to acknowledge customer manners and choices</w:t>
            </w:r>
            <w:sdt>
              <w:sdtPr>
                <w:id w:val="1404483606"/>
                <w:citation/>
              </w:sdtPr>
              <w:sdtContent>
                <w:r w:rsidR="00917B39">
                  <w:fldChar w:fldCharType="begin"/>
                </w:r>
                <w:r w:rsidR="00917B39">
                  <w:rPr>
                    <w:lang w:val="en-US"/>
                  </w:rPr>
                  <w:instrText xml:space="preserve"> CITATION Lyn18 \l 1033 </w:instrText>
                </w:r>
                <w:r w:rsidR="00917B39">
                  <w:fldChar w:fldCharType="separate"/>
                </w:r>
                <w:r w:rsidR="008270DD">
                  <w:rPr>
                    <w:noProof/>
                    <w:lang w:val="en-US"/>
                  </w:rPr>
                  <w:t xml:space="preserve"> </w:t>
                </w:r>
                <w:r w:rsidR="008270DD" w:rsidRPr="008270DD">
                  <w:rPr>
                    <w:noProof/>
                    <w:lang w:val="en-US"/>
                  </w:rPr>
                  <w:t>(Lynch, 2018)</w:t>
                </w:r>
                <w:r w:rsidR="00917B39">
                  <w:fldChar w:fldCharType="end"/>
                </w:r>
              </w:sdtContent>
            </w:sdt>
            <w:r>
              <w:t>.  This helps to create customised marketing, customised recompense programs and target base offerings increasing customer satisfaction.</w:t>
            </w:r>
          </w:p>
        </w:tc>
        <w:tc>
          <w:tcPr>
            <w:tcW w:w="4513" w:type="dxa"/>
            <w:vMerge/>
            <w:shd w:val="clear" w:color="auto" w:fill="auto"/>
            <w:tcMar>
              <w:top w:w="100" w:type="dxa"/>
              <w:left w:w="100" w:type="dxa"/>
              <w:bottom w:w="100" w:type="dxa"/>
              <w:right w:w="100" w:type="dxa"/>
            </w:tcMar>
          </w:tcPr>
          <w:p w14:paraId="6FE03752" w14:textId="77777777" w:rsidR="007E7DD3" w:rsidRDefault="007E7DD3">
            <w:pPr>
              <w:widowControl w:val="0"/>
              <w:pBdr>
                <w:top w:val="nil"/>
                <w:left w:val="nil"/>
                <w:bottom w:val="nil"/>
                <w:right w:val="nil"/>
                <w:between w:val="nil"/>
              </w:pBdr>
              <w:spacing w:after="0" w:line="360" w:lineRule="auto"/>
              <w:jc w:val="both"/>
            </w:pPr>
          </w:p>
        </w:tc>
      </w:tr>
      <w:tr w:rsidR="007E7DD3" w14:paraId="10615968" w14:textId="77777777">
        <w:trPr>
          <w:trHeight w:val="440"/>
        </w:trPr>
        <w:tc>
          <w:tcPr>
            <w:tcW w:w="4513" w:type="dxa"/>
            <w:vMerge/>
            <w:shd w:val="clear" w:color="auto" w:fill="auto"/>
            <w:tcMar>
              <w:top w:w="100" w:type="dxa"/>
              <w:left w:w="100" w:type="dxa"/>
              <w:bottom w:w="100" w:type="dxa"/>
              <w:right w:w="100" w:type="dxa"/>
            </w:tcMar>
          </w:tcPr>
          <w:p w14:paraId="1D79CF0A" w14:textId="77777777" w:rsidR="007E7DD3" w:rsidRDefault="007E7DD3">
            <w:pPr>
              <w:widowControl w:val="0"/>
              <w:pBdr>
                <w:top w:val="nil"/>
                <w:left w:val="nil"/>
                <w:bottom w:val="nil"/>
                <w:right w:val="nil"/>
                <w:between w:val="nil"/>
              </w:pBdr>
              <w:spacing w:after="0" w:line="360" w:lineRule="auto"/>
              <w:jc w:val="both"/>
            </w:pPr>
          </w:p>
        </w:tc>
        <w:tc>
          <w:tcPr>
            <w:tcW w:w="4513" w:type="dxa"/>
            <w:vMerge w:val="restart"/>
            <w:shd w:val="clear" w:color="auto" w:fill="auto"/>
            <w:tcMar>
              <w:top w:w="100" w:type="dxa"/>
              <w:left w:w="100" w:type="dxa"/>
              <w:bottom w:w="100" w:type="dxa"/>
              <w:right w:w="100" w:type="dxa"/>
            </w:tcMar>
          </w:tcPr>
          <w:p w14:paraId="65087445" w14:textId="77777777" w:rsidR="007E7DD3" w:rsidRDefault="0094325C">
            <w:pPr>
              <w:widowControl w:val="0"/>
              <w:pBdr>
                <w:top w:val="nil"/>
                <w:left w:val="nil"/>
                <w:bottom w:val="nil"/>
                <w:right w:val="nil"/>
                <w:between w:val="nil"/>
              </w:pBdr>
              <w:spacing w:after="0" w:line="360" w:lineRule="auto"/>
              <w:jc w:val="both"/>
            </w:pPr>
            <w:r>
              <w:rPr>
                <w:b/>
              </w:rPr>
              <w:t xml:space="preserve">Fintech Collaborations: </w:t>
            </w:r>
            <w:r>
              <w:t>In some continents American Express cards are not as usually accepted as Visa or Mastercard. This can hamper card utilisation for customers in areas with limited dealer scope.</w:t>
            </w:r>
          </w:p>
        </w:tc>
      </w:tr>
      <w:tr w:rsidR="007E7DD3" w14:paraId="5383F04D" w14:textId="77777777">
        <w:trPr>
          <w:trHeight w:val="440"/>
        </w:trPr>
        <w:tc>
          <w:tcPr>
            <w:tcW w:w="4513" w:type="dxa"/>
            <w:shd w:val="clear" w:color="auto" w:fill="auto"/>
            <w:tcMar>
              <w:top w:w="100" w:type="dxa"/>
              <w:left w:w="100" w:type="dxa"/>
              <w:bottom w:w="100" w:type="dxa"/>
              <w:right w:w="100" w:type="dxa"/>
            </w:tcMar>
          </w:tcPr>
          <w:p w14:paraId="01AF9233" w14:textId="77777777" w:rsidR="007E7DD3" w:rsidRDefault="0094325C">
            <w:pPr>
              <w:widowControl w:val="0"/>
              <w:pBdr>
                <w:top w:val="nil"/>
                <w:left w:val="nil"/>
                <w:bottom w:val="nil"/>
                <w:right w:val="nil"/>
                <w:between w:val="nil"/>
              </w:pBdr>
              <w:spacing w:after="0" w:line="360" w:lineRule="auto"/>
              <w:jc w:val="both"/>
            </w:pPr>
            <w:r>
              <w:rPr>
                <w:b/>
              </w:rPr>
              <w:t xml:space="preserve">Technological Innovation: </w:t>
            </w:r>
            <w:r>
              <w:t xml:space="preserve">American </w:t>
            </w:r>
            <w:r w:rsidR="00E61194">
              <w:t>express’s</w:t>
            </w:r>
            <w:r>
              <w:t xml:space="preserve"> expenditure in technology, helping them to ensure online transduction, mobile remissions and digital wallet incorporation. Its technology advancement increases customer flexibility and separate it from other competitors. </w:t>
            </w:r>
          </w:p>
        </w:tc>
        <w:tc>
          <w:tcPr>
            <w:tcW w:w="4513" w:type="dxa"/>
            <w:vMerge/>
            <w:shd w:val="clear" w:color="auto" w:fill="auto"/>
            <w:tcMar>
              <w:top w:w="100" w:type="dxa"/>
              <w:left w:w="100" w:type="dxa"/>
              <w:bottom w:w="100" w:type="dxa"/>
              <w:right w:w="100" w:type="dxa"/>
            </w:tcMar>
          </w:tcPr>
          <w:p w14:paraId="47885078" w14:textId="77777777" w:rsidR="007E7DD3" w:rsidRDefault="007E7DD3">
            <w:pPr>
              <w:widowControl w:val="0"/>
              <w:pBdr>
                <w:top w:val="nil"/>
                <w:left w:val="nil"/>
                <w:bottom w:val="nil"/>
                <w:right w:val="nil"/>
                <w:between w:val="nil"/>
              </w:pBdr>
              <w:spacing w:after="0" w:line="360" w:lineRule="auto"/>
              <w:jc w:val="both"/>
            </w:pPr>
          </w:p>
        </w:tc>
      </w:tr>
      <w:tr w:rsidR="007E7DD3" w14:paraId="6E26D89A" w14:textId="77777777">
        <w:trPr>
          <w:trHeight w:val="440"/>
        </w:trPr>
        <w:tc>
          <w:tcPr>
            <w:tcW w:w="4513" w:type="dxa"/>
            <w:shd w:val="clear" w:color="auto" w:fill="auto"/>
            <w:tcMar>
              <w:top w:w="100" w:type="dxa"/>
              <w:left w:w="100" w:type="dxa"/>
              <w:bottom w:w="100" w:type="dxa"/>
              <w:right w:w="100" w:type="dxa"/>
            </w:tcMar>
          </w:tcPr>
          <w:p w14:paraId="07A68940" w14:textId="77777777" w:rsidR="007E7DD3" w:rsidRDefault="0094325C">
            <w:pPr>
              <w:widowControl w:val="0"/>
              <w:pBdr>
                <w:top w:val="nil"/>
                <w:left w:val="nil"/>
                <w:bottom w:val="nil"/>
                <w:right w:val="nil"/>
                <w:between w:val="nil"/>
              </w:pBdr>
              <w:spacing w:after="0" w:line="360" w:lineRule="auto"/>
              <w:jc w:val="both"/>
            </w:pPr>
            <w:r>
              <w:rPr>
                <w:b/>
              </w:rPr>
              <w:t xml:space="preserve">Extensive Merchant Network: </w:t>
            </w:r>
            <w:r>
              <w:t xml:space="preserve">The establishments International dealer network represent card holders in a huge range of places to utilise their card increasing the overall importance postulation of its assistance. </w:t>
            </w:r>
          </w:p>
        </w:tc>
        <w:tc>
          <w:tcPr>
            <w:tcW w:w="4513" w:type="dxa"/>
            <w:vMerge/>
            <w:shd w:val="clear" w:color="auto" w:fill="auto"/>
            <w:tcMar>
              <w:top w:w="100" w:type="dxa"/>
              <w:left w:w="100" w:type="dxa"/>
              <w:bottom w:w="100" w:type="dxa"/>
              <w:right w:w="100" w:type="dxa"/>
            </w:tcMar>
          </w:tcPr>
          <w:p w14:paraId="1AEC1679" w14:textId="77777777" w:rsidR="007E7DD3" w:rsidRDefault="007E7DD3">
            <w:pPr>
              <w:widowControl w:val="0"/>
              <w:pBdr>
                <w:top w:val="nil"/>
                <w:left w:val="nil"/>
                <w:bottom w:val="nil"/>
                <w:right w:val="nil"/>
                <w:between w:val="nil"/>
              </w:pBdr>
              <w:spacing w:after="0" w:line="360" w:lineRule="auto"/>
              <w:jc w:val="both"/>
            </w:pPr>
          </w:p>
        </w:tc>
      </w:tr>
      <w:tr w:rsidR="007E7DD3" w14:paraId="2E2F92A2" w14:textId="77777777">
        <w:tc>
          <w:tcPr>
            <w:tcW w:w="4513" w:type="dxa"/>
            <w:shd w:val="clear" w:color="auto" w:fill="auto"/>
            <w:tcMar>
              <w:top w:w="100" w:type="dxa"/>
              <w:left w:w="100" w:type="dxa"/>
              <w:bottom w:w="100" w:type="dxa"/>
              <w:right w:w="100" w:type="dxa"/>
            </w:tcMar>
          </w:tcPr>
          <w:p w14:paraId="63507212" w14:textId="77777777" w:rsidR="007E7DD3" w:rsidRDefault="0094325C">
            <w:pPr>
              <w:widowControl w:val="0"/>
              <w:pBdr>
                <w:top w:val="nil"/>
                <w:left w:val="nil"/>
                <w:bottom w:val="nil"/>
                <w:right w:val="nil"/>
                <w:between w:val="nil"/>
              </w:pBdr>
              <w:spacing w:after="0" w:line="360" w:lineRule="auto"/>
              <w:jc w:val="both"/>
              <w:rPr>
                <w:b/>
              </w:rPr>
            </w:pPr>
            <w:r>
              <w:rPr>
                <w:b/>
              </w:rPr>
              <w:t>Opportunities</w:t>
            </w:r>
          </w:p>
        </w:tc>
        <w:tc>
          <w:tcPr>
            <w:tcW w:w="4513" w:type="dxa"/>
            <w:shd w:val="clear" w:color="auto" w:fill="auto"/>
            <w:tcMar>
              <w:top w:w="100" w:type="dxa"/>
              <w:left w:w="100" w:type="dxa"/>
              <w:bottom w:w="100" w:type="dxa"/>
              <w:right w:w="100" w:type="dxa"/>
            </w:tcMar>
          </w:tcPr>
          <w:p w14:paraId="20350C8F" w14:textId="77777777" w:rsidR="007E7DD3" w:rsidRDefault="0094325C">
            <w:pPr>
              <w:widowControl w:val="0"/>
              <w:pBdr>
                <w:top w:val="nil"/>
                <w:left w:val="nil"/>
                <w:bottom w:val="nil"/>
                <w:right w:val="nil"/>
                <w:between w:val="nil"/>
              </w:pBdr>
              <w:spacing w:after="0" w:line="360" w:lineRule="auto"/>
              <w:jc w:val="both"/>
              <w:rPr>
                <w:b/>
              </w:rPr>
            </w:pPr>
            <w:r>
              <w:rPr>
                <w:b/>
              </w:rPr>
              <w:t>Threats</w:t>
            </w:r>
          </w:p>
        </w:tc>
      </w:tr>
      <w:tr w:rsidR="007E7DD3" w14:paraId="794B801C" w14:textId="77777777">
        <w:trPr>
          <w:trHeight w:val="440"/>
        </w:trPr>
        <w:tc>
          <w:tcPr>
            <w:tcW w:w="4513" w:type="dxa"/>
            <w:shd w:val="clear" w:color="auto" w:fill="auto"/>
            <w:tcMar>
              <w:top w:w="100" w:type="dxa"/>
              <w:left w:w="100" w:type="dxa"/>
              <w:bottom w:w="100" w:type="dxa"/>
              <w:right w:w="100" w:type="dxa"/>
            </w:tcMar>
          </w:tcPr>
          <w:p w14:paraId="72190BAB" w14:textId="77777777" w:rsidR="007E7DD3" w:rsidRDefault="0094325C">
            <w:pPr>
              <w:widowControl w:val="0"/>
              <w:pBdr>
                <w:top w:val="nil"/>
                <w:left w:val="nil"/>
                <w:bottom w:val="nil"/>
                <w:right w:val="nil"/>
                <w:between w:val="nil"/>
              </w:pBdr>
              <w:spacing w:after="0" w:line="360" w:lineRule="auto"/>
              <w:jc w:val="both"/>
            </w:pPr>
            <w:r>
              <w:rPr>
                <w:b/>
              </w:rPr>
              <w:t xml:space="preserve">Fintech Collaborations: </w:t>
            </w:r>
            <w:r>
              <w:t>The evolution of fintech introduces opportunities for collaborations</w:t>
            </w:r>
            <w:sdt>
              <w:sdtPr>
                <w:id w:val="-922957190"/>
                <w:citation/>
              </w:sdtPr>
              <w:sdtContent>
                <w:r w:rsidR="00917B39">
                  <w:fldChar w:fldCharType="begin"/>
                </w:r>
                <w:r w:rsidR="00917B39">
                  <w:rPr>
                    <w:lang w:val="en-US"/>
                  </w:rPr>
                  <w:instrText xml:space="preserve"> CITATION Nil20 \l 1033 </w:instrText>
                </w:r>
                <w:r w:rsidR="00917B39">
                  <w:fldChar w:fldCharType="separate"/>
                </w:r>
                <w:r w:rsidR="008270DD">
                  <w:rPr>
                    <w:noProof/>
                    <w:lang w:val="en-US"/>
                  </w:rPr>
                  <w:t xml:space="preserve"> </w:t>
                </w:r>
                <w:r w:rsidR="008270DD" w:rsidRPr="008270DD">
                  <w:rPr>
                    <w:noProof/>
                    <w:lang w:val="en-US"/>
                  </w:rPr>
                  <w:t>(Nilsson, et al., 2020)</w:t>
                </w:r>
                <w:r w:rsidR="00917B39">
                  <w:fldChar w:fldCharType="end"/>
                </w:r>
              </w:sdtContent>
            </w:sdt>
            <w:r>
              <w:t xml:space="preserve">. </w:t>
            </w:r>
            <w:r>
              <w:lastRenderedPageBreak/>
              <w:t xml:space="preserve">Bonding with fintech </w:t>
            </w:r>
            <w:r w:rsidR="00E61194">
              <w:t>start-ups</w:t>
            </w:r>
            <w:r>
              <w:t xml:space="preserve"> can help American Express represent creative solutions and enlarge its assistance offerings and customer support.</w:t>
            </w:r>
          </w:p>
        </w:tc>
        <w:tc>
          <w:tcPr>
            <w:tcW w:w="4513" w:type="dxa"/>
            <w:shd w:val="clear" w:color="auto" w:fill="auto"/>
            <w:tcMar>
              <w:top w:w="100" w:type="dxa"/>
              <w:left w:w="100" w:type="dxa"/>
              <w:bottom w:w="100" w:type="dxa"/>
              <w:right w:w="100" w:type="dxa"/>
            </w:tcMar>
          </w:tcPr>
          <w:p w14:paraId="45E18F83"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Extreme Competition: </w:t>
            </w:r>
            <w:r>
              <w:t xml:space="preserve">The economic service industry is highly competitive. Conventional banks, other credit card </w:t>
            </w:r>
            <w:r>
              <w:lastRenderedPageBreak/>
              <w:t xml:space="preserve">representatives and evolving fintech </w:t>
            </w:r>
            <w:r w:rsidR="00E61194">
              <w:t>start-ups</w:t>
            </w:r>
            <w:r>
              <w:t xml:space="preserve"> create a threat by representing other economic solutions</w:t>
            </w:r>
          </w:p>
        </w:tc>
      </w:tr>
      <w:tr w:rsidR="007E7DD3" w14:paraId="59F60357" w14:textId="77777777">
        <w:trPr>
          <w:trHeight w:val="440"/>
        </w:trPr>
        <w:tc>
          <w:tcPr>
            <w:tcW w:w="4513" w:type="dxa"/>
            <w:shd w:val="clear" w:color="auto" w:fill="auto"/>
            <w:tcMar>
              <w:top w:w="100" w:type="dxa"/>
              <w:left w:w="100" w:type="dxa"/>
              <w:bottom w:w="100" w:type="dxa"/>
              <w:right w:w="100" w:type="dxa"/>
            </w:tcMar>
          </w:tcPr>
          <w:p w14:paraId="607EA51C" w14:textId="77777777" w:rsidR="007E7DD3" w:rsidRDefault="0094325C">
            <w:pPr>
              <w:widowControl w:val="0"/>
              <w:pBdr>
                <w:top w:val="nil"/>
                <w:left w:val="nil"/>
                <w:bottom w:val="nil"/>
                <w:right w:val="nil"/>
                <w:between w:val="nil"/>
              </w:pBdr>
              <w:spacing w:after="0" w:line="360" w:lineRule="auto"/>
              <w:jc w:val="both"/>
            </w:pPr>
            <w:r>
              <w:rPr>
                <w:b/>
              </w:rPr>
              <w:lastRenderedPageBreak/>
              <w:t xml:space="preserve">Digital Payment Growth: </w:t>
            </w:r>
            <w:r>
              <w:t xml:space="preserve">The high rate of adoption of digital remission represents an opportunity to increase its digital wallet offerings, moreover tapping into the tendencies of cashless expenditures. </w:t>
            </w:r>
          </w:p>
        </w:tc>
        <w:tc>
          <w:tcPr>
            <w:tcW w:w="4513" w:type="dxa"/>
            <w:shd w:val="clear" w:color="auto" w:fill="auto"/>
            <w:tcMar>
              <w:top w:w="100" w:type="dxa"/>
              <w:left w:w="100" w:type="dxa"/>
              <w:bottom w:w="100" w:type="dxa"/>
              <w:right w:w="100" w:type="dxa"/>
            </w:tcMar>
          </w:tcPr>
          <w:p w14:paraId="75911596" w14:textId="77777777" w:rsidR="007E7DD3" w:rsidRDefault="0094325C">
            <w:pPr>
              <w:widowControl w:val="0"/>
              <w:pBdr>
                <w:top w:val="nil"/>
                <w:left w:val="nil"/>
                <w:bottom w:val="nil"/>
                <w:right w:val="nil"/>
                <w:between w:val="nil"/>
              </w:pBdr>
              <w:spacing w:after="0" w:line="360" w:lineRule="auto"/>
              <w:jc w:val="both"/>
            </w:pPr>
            <w:r>
              <w:rPr>
                <w:b/>
              </w:rPr>
              <w:t xml:space="preserve">Regulatory Changes: </w:t>
            </w:r>
            <w:r>
              <w:t>The industry's regulatory environment is concerned to change</w:t>
            </w:r>
            <w:sdt>
              <w:sdtPr>
                <w:id w:val="2138829782"/>
                <w:citation/>
              </w:sdtPr>
              <w:sdtContent>
                <w:r w:rsidR="00917B39">
                  <w:fldChar w:fldCharType="begin"/>
                </w:r>
                <w:r w:rsidR="00917B39">
                  <w:rPr>
                    <w:lang w:val="en-US"/>
                  </w:rPr>
                  <w:instrText xml:space="preserve"> CITATION Pen21 \l 1033 </w:instrText>
                </w:r>
                <w:r w:rsidR="00917B39">
                  <w:fldChar w:fldCharType="separate"/>
                </w:r>
                <w:r w:rsidR="008270DD">
                  <w:rPr>
                    <w:noProof/>
                    <w:lang w:val="en-US"/>
                  </w:rPr>
                  <w:t xml:space="preserve"> </w:t>
                </w:r>
                <w:r w:rsidR="008270DD" w:rsidRPr="008270DD">
                  <w:rPr>
                    <w:noProof/>
                    <w:lang w:val="en-US"/>
                  </w:rPr>
                  <w:t>(Peng, 2021)</w:t>
                </w:r>
                <w:r w:rsidR="00917B39">
                  <w:fldChar w:fldCharType="end"/>
                </w:r>
              </w:sdtContent>
            </w:sdt>
            <w:r>
              <w:t xml:space="preserve">. Affecting American Express's processes and adherence efforts. Incorporating new regulations can be taxing and costly. </w:t>
            </w:r>
          </w:p>
        </w:tc>
      </w:tr>
      <w:tr w:rsidR="007E7DD3" w14:paraId="35FFD7F6" w14:textId="77777777">
        <w:trPr>
          <w:trHeight w:val="440"/>
        </w:trPr>
        <w:tc>
          <w:tcPr>
            <w:tcW w:w="4513" w:type="dxa"/>
            <w:shd w:val="clear" w:color="auto" w:fill="auto"/>
            <w:tcMar>
              <w:top w:w="100" w:type="dxa"/>
              <w:left w:w="100" w:type="dxa"/>
              <w:bottom w:w="100" w:type="dxa"/>
              <w:right w:w="100" w:type="dxa"/>
            </w:tcMar>
          </w:tcPr>
          <w:p w14:paraId="4DEB1784" w14:textId="77777777" w:rsidR="007E7DD3" w:rsidRDefault="0094325C">
            <w:pPr>
              <w:widowControl w:val="0"/>
              <w:pBdr>
                <w:top w:val="nil"/>
                <w:left w:val="nil"/>
                <w:bottom w:val="nil"/>
                <w:right w:val="nil"/>
                <w:between w:val="nil"/>
              </w:pBdr>
              <w:spacing w:after="0" w:line="360" w:lineRule="auto"/>
              <w:jc w:val="both"/>
            </w:pPr>
            <w:r>
              <w:rPr>
                <w:b/>
              </w:rPr>
              <w:t xml:space="preserve">Global Expansion: </w:t>
            </w:r>
            <w:r>
              <w:t xml:space="preserve">Enlarging its presence in evolving markets could open into new customer sections and revenue schemes, it also lines up with the evolving tendencies of global travel and cross-boundary remissions. </w:t>
            </w:r>
          </w:p>
        </w:tc>
        <w:tc>
          <w:tcPr>
            <w:tcW w:w="4513" w:type="dxa"/>
            <w:shd w:val="clear" w:color="auto" w:fill="auto"/>
            <w:tcMar>
              <w:top w:w="100" w:type="dxa"/>
              <w:left w:w="100" w:type="dxa"/>
              <w:bottom w:w="100" w:type="dxa"/>
              <w:right w:w="100" w:type="dxa"/>
            </w:tcMar>
          </w:tcPr>
          <w:p w14:paraId="4EF206E8" w14:textId="77777777" w:rsidR="007E7DD3" w:rsidRDefault="0094325C">
            <w:pPr>
              <w:widowControl w:val="0"/>
              <w:pBdr>
                <w:top w:val="nil"/>
                <w:left w:val="nil"/>
                <w:bottom w:val="nil"/>
                <w:right w:val="nil"/>
                <w:between w:val="nil"/>
              </w:pBdr>
              <w:spacing w:after="0" w:line="360" w:lineRule="auto"/>
              <w:jc w:val="both"/>
            </w:pPr>
            <w:r>
              <w:rPr>
                <w:b/>
              </w:rPr>
              <w:t xml:space="preserve">Economic Fluctuations: </w:t>
            </w:r>
            <w:r>
              <w:t>Economic fluctuations can create a lower amount of customer spending and requirement for premium assistance, affecting American Express's income brook.</w:t>
            </w:r>
          </w:p>
        </w:tc>
      </w:tr>
    </w:tbl>
    <w:p w14:paraId="330CBE80" w14:textId="77777777" w:rsidR="007E7DD3" w:rsidRDefault="0094325C">
      <w:pPr>
        <w:spacing w:line="360" w:lineRule="auto"/>
        <w:jc w:val="center"/>
      </w:pPr>
      <w:r>
        <w:rPr>
          <w:noProof/>
          <w:lang w:val="en-US"/>
        </w:rPr>
        <w:drawing>
          <wp:inline distT="114300" distB="114300" distL="114300" distR="114300" wp14:anchorId="48D15845" wp14:editId="2234363F">
            <wp:extent cx="3357563" cy="1924184"/>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cstate="print"/>
                    <a:srcRect/>
                    <a:stretch>
                      <a:fillRect/>
                    </a:stretch>
                  </pic:blipFill>
                  <pic:spPr>
                    <a:xfrm>
                      <a:off x="0" y="0"/>
                      <a:ext cx="3357563" cy="1924184"/>
                    </a:xfrm>
                    <a:prstGeom prst="rect">
                      <a:avLst/>
                    </a:prstGeom>
                    <a:ln/>
                  </pic:spPr>
                </pic:pic>
              </a:graphicData>
            </a:graphic>
          </wp:inline>
        </w:drawing>
      </w:r>
    </w:p>
    <w:p w14:paraId="0AF50EF1" w14:textId="77777777" w:rsidR="007E7DD3" w:rsidRDefault="0094325C">
      <w:pPr>
        <w:spacing w:line="360" w:lineRule="auto"/>
        <w:jc w:val="center"/>
        <w:rPr>
          <w:b/>
        </w:rPr>
      </w:pPr>
      <w:r>
        <w:rPr>
          <w:b/>
        </w:rPr>
        <w:t>Figure 6: SWOT Analysis</w:t>
      </w:r>
    </w:p>
    <w:p w14:paraId="764AF03D" w14:textId="77777777" w:rsidR="007E7DD3" w:rsidRDefault="0094325C">
      <w:pPr>
        <w:spacing w:line="360" w:lineRule="auto"/>
        <w:jc w:val="center"/>
      </w:pPr>
      <w:r>
        <w:t xml:space="preserve">(Source: </w:t>
      </w:r>
      <w:sdt>
        <w:sdtPr>
          <w:id w:val="1938100756"/>
          <w:citation/>
        </w:sdtPr>
        <w:sdtContent>
          <w:r w:rsidR="00917B39">
            <w:fldChar w:fldCharType="begin"/>
          </w:r>
          <w:r w:rsidR="00917B39">
            <w:rPr>
              <w:lang w:val="en-US"/>
            </w:rPr>
            <w:instrText xml:space="preserve"> CITATION Sha17 \l 1033 </w:instrText>
          </w:r>
          <w:r w:rsidR="00917B39">
            <w:fldChar w:fldCharType="separate"/>
          </w:r>
          <w:r w:rsidR="008270DD" w:rsidRPr="008270DD">
            <w:rPr>
              <w:noProof/>
              <w:lang w:val="en-US"/>
            </w:rPr>
            <w:t>(Shaw, 2017)</w:t>
          </w:r>
          <w:r w:rsidR="00917B39">
            <w:fldChar w:fldCharType="end"/>
          </w:r>
        </w:sdtContent>
      </w:sdt>
    </w:p>
    <w:p w14:paraId="33EF594F" w14:textId="77777777" w:rsidR="007E7DD3" w:rsidRDefault="0094325C">
      <w:pPr>
        <w:pStyle w:val="Heading1"/>
        <w:spacing w:line="360" w:lineRule="auto"/>
      </w:pPr>
      <w:bookmarkStart w:id="17" w:name="_Toc144413458"/>
      <w:r>
        <w:t>Strategies to Sustain Competitive Advantage</w:t>
      </w:r>
      <w:bookmarkEnd w:id="17"/>
      <w:r>
        <w:t xml:space="preserve"> </w:t>
      </w:r>
    </w:p>
    <w:p w14:paraId="0041FD00" w14:textId="77777777" w:rsidR="007E7DD3" w:rsidRDefault="0094325C">
      <w:pPr>
        <w:spacing w:line="360" w:lineRule="auto"/>
        <w:jc w:val="both"/>
      </w:pPr>
      <w:r>
        <w:t>Evaluation of the strategies of American Express to sustain its competitive advantage by utilising Porter's generic strategy and Blue Ocean Strategy.</w:t>
      </w:r>
    </w:p>
    <w:p w14:paraId="7E939F8B" w14:textId="77777777" w:rsidR="007E7DD3" w:rsidRDefault="0094325C">
      <w:pPr>
        <w:spacing w:line="360" w:lineRule="auto"/>
        <w:jc w:val="both"/>
        <w:rPr>
          <w:b/>
        </w:rPr>
      </w:pPr>
      <w:r>
        <w:rPr>
          <w:b/>
        </w:rPr>
        <w:t>Porter’s generic strategy</w:t>
      </w:r>
    </w:p>
    <w:tbl>
      <w:tblPr>
        <w:tblStyle w:val="a7"/>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5B403956" w14:textId="77777777">
        <w:tc>
          <w:tcPr>
            <w:tcW w:w="4513" w:type="dxa"/>
            <w:shd w:val="clear" w:color="auto" w:fill="auto"/>
            <w:tcMar>
              <w:top w:w="100" w:type="dxa"/>
              <w:left w:w="100" w:type="dxa"/>
              <w:bottom w:w="100" w:type="dxa"/>
              <w:right w:w="100" w:type="dxa"/>
            </w:tcMar>
          </w:tcPr>
          <w:p w14:paraId="005CA0B2"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Cost leadership</w:t>
            </w:r>
          </w:p>
        </w:tc>
        <w:tc>
          <w:tcPr>
            <w:tcW w:w="4513" w:type="dxa"/>
            <w:shd w:val="clear" w:color="auto" w:fill="auto"/>
            <w:tcMar>
              <w:top w:w="100" w:type="dxa"/>
              <w:left w:w="100" w:type="dxa"/>
              <w:bottom w:w="100" w:type="dxa"/>
              <w:right w:w="100" w:type="dxa"/>
            </w:tcMar>
          </w:tcPr>
          <w:p w14:paraId="7C8D7EA3" w14:textId="77777777" w:rsidR="007E7DD3" w:rsidRDefault="0094325C">
            <w:pPr>
              <w:widowControl w:val="0"/>
              <w:pBdr>
                <w:top w:val="nil"/>
                <w:left w:val="nil"/>
                <w:bottom w:val="nil"/>
                <w:right w:val="nil"/>
                <w:between w:val="nil"/>
              </w:pBdr>
              <w:spacing w:after="0" w:line="360" w:lineRule="auto"/>
              <w:jc w:val="both"/>
              <w:rPr>
                <w:b/>
              </w:rPr>
            </w:pPr>
            <w:r>
              <w:rPr>
                <w:b/>
              </w:rPr>
              <w:t>Differentiation</w:t>
            </w:r>
          </w:p>
        </w:tc>
      </w:tr>
      <w:tr w:rsidR="007E7DD3" w14:paraId="6526FFB7" w14:textId="77777777">
        <w:tc>
          <w:tcPr>
            <w:tcW w:w="4513" w:type="dxa"/>
            <w:shd w:val="clear" w:color="auto" w:fill="auto"/>
            <w:tcMar>
              <w:top w:w="100" w:type="dxa"/>
              <w:left w:w="100" w:type="dxa"/>
              <w:bottom w:w="100" w:type="dxa"/>
              <w:right w:w="100" w:type="dxa"/>
            </w:tcMar>
          </w:tcPr>
          <w:p w14:paraId="49E485B6" w14:textId="77777777" w:rsidR="007E7DD3" w:rsidRDefault="0094325C">
            <w:pPr>
              <w:widowControl w:val="0"/>
              <w:pBdr>
                <w:top w:val="nil"/>
                <w:left w:val="nil"/>
                <w:bottom w:val="nil"/>
                <w:right w:val="nil"/>
                <w:between w:val="nil"/>
              </w:pBdr>
              <w:spacing w:after="0" w:line="360" w:lineRule="auto"/>
              <w:jc w:val="both"/>
            </w:pPr>
            <w:r>
              <w:t>By successfully managing processes and assets American Express able to keep low the cost by representing aggressive pricing while maintaining its premium services</w:t>
            </w:r>
          </w:p>
        </w:tc>
        <w:tc>
          <w:tcPr>
            <w:tcW w:w="4513" w:type="dxa"/>
            <w:shd w:val="clear" w:color="auto" w:fill="auto"/>
            <w:tcMar>
              <w:top w:w="100" w:type="dxa"/>
              <w:left w:w="100" w:type="dxa"/>
              <w:bottom w:w="100" w:type="dxa"/>
              <w:right w:w="100" w:type="dxa"/>
            </w:tcMar>
          </w:tcPr>
          <w:p w14:paraId="5EEA7F6A" w14:textId="77777777" w:rsidR="007E7DD3" w:rsidRDefault="0094325C">
            <w:pPr>
              <w:widowControl w:val="0"/>
              <w:pBdr>
                <w:top w:val="nil"/>
                <w:left w:val="nil"/>
                <w:bottom w:val="nil"/>
                <w:right w:val="nil"/>
                <w:between w:val="nil"/>
              </w:pBdr>
              <w:spacing w:after="0" w:line="360" w:lineRule="auto"/>
              <w:jc w:val="both"/>
            </w:pPr>
            <w:r>
              <w:t>American Express differentiates itself by representing distinctive profits, premium customer assistance and comprehensive rewards establishing a unique value postulates for its consumers</w:t>
            </w:r>
            <w:sdt>
              <w:sdtPr>
                <w:id w:val="-81065960"/>
                <w:citation/>
              </w:sdtPr>
              <w:sdtContent>
                <w:r w:rsidR="00917B39">
                  <w:fldChar w:fldCharType="begin"/>
                </w:r>
                <w:r w:rsidR="00917B39">
                  <w:rPr>
                    <w:lang w:val="en-US"/>
                  </w:rPr>
                  <w:instrText xml:space="preserve">CITATION Put \l 1033 </w:instrText>
                </w:r>
                <w:r w:rsidR="00917B39">
                  <w:fldChar w:fldCharType="separate"/>
                </w:r>
                <w:r w:rsidR="008270DD">
                  <w:rPr>
                    <w:noProof/>
                    <w:lang w:val="en-US"/>
                  </w:rPr>
                  <w:t xml:space="preserve"> </w:t>
                </w:r>
                <w:r w:rsidR="008270DD" w:rsidRPr="008270DD">
                  <w:rPr>
                    <w:noProof/>
                    <w:lang w:val="en-US"/>
                  </w:rPr>
                  <w:t>(Putz, 2019)</w:t>
                </w:r>
                <w:r w:rsidR="00917B39">
                  <w:fldChar w:fldCharType="end"/>
                </w:r>
              </w:sdtContent>
            </w:sdt>
            <w:r>
              <w:t>.</w:t>
            </w:r>
          </w:p>
        </w:tc>
      </w:tr>
      <w:tr w:rsidR="007E7DD3" w14:paraId="018F77F0" w14:textId="77777777">
        <w:tc>
          <w:tcPr>
            <w:tcW w:w="4513" w:type="dxa"/>
            <w:shd w:val="clear" w:color="auto" w:fill="auto"/>
            <w:tcMar>
              <w:top w:w="100" w:type="dxa"/>
              <w:left w:w="100" w:type="dxa"/>
              <w:bottom w:w="100" w:type="dxa"/>
              <w:right w:w="100" w:type="dxa"/>
            </w:tcMar>
          </w:tcPr>
          <w:p w14:paraId="242CF323" w14:textId="77777777" w:rsidR="007E7DD3" w:rsidRDefault="0094325C">
            <w:pPr>
              <w:widowControl w:val="0"/>
              <w:pBdr>
                <w:top w:val="nil"/>
                <w:left w:val="nil"/>
                <w:bottom w:val="nil"/>
                <w:right w:val="nil"/>
                <w:between w:val="nil"/>
              </w:pBdr>
              <w:spacing w:after="0" w:line="360" w:lineRule="auto"/>
              <w:jc w:val="both"/>
              <w:rPr>
                <w:b/>
              </w:rPr>
            </w:pPr>
            <w:r>
              <w:rPr>
                <w:b/>
              </w:rPr>
              <w:t>Cost focus</w:t>
            </w:r>
          </w:p>
        </w:tc>
        <w:tc>
          <w:tcPr>
            <w:tcW w:w="4513" w:type="dxa"/>
            <w:shd w:val="clear" w:color="auto" w:fill="auto"/>
            <w:tcMar>
              <w:top w:w="100" w:type="dxa"/>
              <w:left w:w="100" w:type="dxa"/>
              <w:bottom w:w="100" w:type="dxa"/>
              <w:right w:w="100" w:type="dxa"/>
            </w:tcMar>
          </w:tcPr>
          <w:p w14:paraId="6B784F84" w14:textId="77777777" w:rsidR="007E7DD3" w:rsidRDefault="0094325C">
            <w:pPr>
              <w:widowControl w:val="0"/>
              <w:pBdr>
                <w:top w:val="nil"/>
                <w:left w:val="nil"/>
                <w:bottom w:val="nil"/>
                <w:right w:val="nil"/>
                <w:between w:val="nil"/>
              </w:pBdr>
              <w:spacing w:after="0" w:line="360" w:lineRule="auto"/>
              <w:jc w:val="both"/>
              <w:rPr>
                <w:b/>
              </w:rPr>
            </w:pPr>
            <w:r>
              <w:rPr>
                <w:b/>
              </w:rPr>
              <w:t>Differentiation focus</w:t>
            </w:r>
          </w:p>
        </w:tc>
      </w:tr>
      <w:tr w:rsidR="007E7DD3" w14:paraId="4A587633" w14:textId="77777777">
        <w:tc>
          <w:tcPr>
            <w:tcW w:w="4513" w:type="dxa"/>
            <w:shd w:val="clear" w:color="auto" w:fill="auto"/>
            <w:tcMar>
              <w:top w:w="100" w:type="dxa"/>
              <w:left w:w="100" w:type="dxa"/>
              <w:bottom w:w="100" w:type="dxa"/>
              <w:right w:w="100" w:type="dxa"/>
            </w:tcMar>
          </w:tcPr>
          <w:p w14:paraId="77F8E4C3" w14:textId="77777777" w:rsidR="007E7DD3" w:rsidRDefault="0094325C">
            <w:pPr>
              <w:widowControl w:val="0"/>
              <w:pBdr>
                <w:top w:val="nil"/>
                <w:left w:val="nil"/>
                <w:bottom w:val="nil"/>
                <w:right w:val="nil"/>
                <w:between w:val="nil"/>
              </w:pBdr>
              <w:spacing w:after="0" w:line="360" w:lineRule="auto"/>
              <w:jc w:val="both"/>
            </w:pPr>
            <w:r>
              <w:t>The establishment centred on cost control while representing a unique target section such as affluent individuals representing customised services and profits.</w:t>
            </w:r>
          </w:p>
        </w:tc>
        <w:tc>
          <w:tcPr>
            <w:tcW w:w="4513" w:type="dxa"/>
            <w:shd w:val="clear" w:color="auto" w:fill="auto"/>
            <w:tcMar>
              <w:top w:w="100" w:type="dxa"/>
              <w:left w:w="100" w:type="dxa"/>
              <w:bottom w:w="100" w:type="dxa"/>
              <w:right w:w="100" w:type="dxa"/>
            </w:tcMar>
          </w:tcPr>
          <w:p w14:paraId="226CFDFC" w14:textId="77777777" w:rsidR="007E7DD3" w:rsidRDefault="0094325C">
            <w:pPr>
              <w:widowControl w:val="0"/>
              <w:pBdr>
                <w:top w:val="nil"/>
                <w:left w:val="nil"/>
                <w:bottom w:val="nil"/>
                <w:right w:val="nil"/>
                <w:between w:val="nil"/>
              </w:pBdr>
              <w:spacing w:after="0" w:line="360" w:lineRule="auto"/>
              <w:jc w:val="both"/>
            </w:pPr>
            <w:r>
              <w:t xml:space="preserve">Aiming functional markets like corporate workers with their special products and services strengthen American Express’s differentiation in those sections supporting its competitive advantage. </w:t>
            </w:r>
          </w:p>
        </w:tc>
      </w:tr>
    </w:tbl>
    <w:p w14:paraId="3EBB7192" w14:textId="77777777" w:rsidR="007E7DD3" w:rsidRDefault="007E7DD3">
      <w:pPr>
        <w:spacing w:line="360" w:lineRule="auto"/>
        <w:jc w:val="both"/>
        <w:rPr>
          <w:b/>
        </w:rPr>
      </w:pPr>
    </w:p>
    <w:p w14:paraId="3800CF39" w14:textId="77777777" w:rsidR="007E7DD3" w:rsidRDefault="0094325C">
      <w:pPr>
        <w:spacing w:line="360" w:lineRule="auto"/>
        <w:jc w:val="center"/>
      </w:pPr>
      <w:r>
        <w:rPr>
          <w:noProof/>
          <w:lang w:val="en-US"/>
        </w:rPr>
        <w:drawing>
          <wp:inline distT="114300" distB="114300" distL="114300" distR="114300" wp14:anchorId="4811C6EF" wp14:editId="6D099391">
            <wp:extent cx="3567113" cy="3558348"/>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cstate="print"/>
                    <a:srcRect/>
                    <a:stretch>
                      <a:fillRect/>
                    </a:stretch>
                  </pic:blipFill>
                  <pic:spPr>
                    <a:xfrm>
                      <a:off x="0" y="0"/>
                      <a:ext cx="3567113" cy="3558348"/>
                    </a:xfrm>
                    <a:prstGeom prst="rect">
                      <a:avLst/>
                    </a:prstGeom>
                    <a:ln/>
                  </pic:spPr>
                </pic:pic>
              </a:graphicData>
            </a:graphic>
          </wp:inline>
        </w:drawing>
      </w:r>
    </w:p>
    <w:p w14:paraId="121A87BD" w14:textId="77777777" w:rsidR="007E7DD3" w:rsidRDefault="0094325C">
      <w:pPr>
        <w:spacing w:line="360" w:lineRule="auto"/>
        <w:jc w:val="center"/>
        <w:rPr>
          <w:b/>
        </w:rPr>
      </w:pPr>
      <w:r>
        <w:rPr>
          <w:b/>
        </w:rPr>
        <w:t>Figure 7: Porter's Generic Strategy</w:t>
      </w:r>
    </w:p>
    <w:p w14:paraId="1ED622D2" w14:textId="77777777" w:rsidR="007E7DD3" w:rsidRDefault="0094325C">
      <w:pPr>
        <w:spacing w:line="360" w:lineRule="auto"/>
        <w:jc w:val="center"/>
      </w:pPr>
      <w:r>
        <w:t xml:space="preserve">(Source: </w:t>
      </w:r>
      <w:sdt>
        <w:sdtPr>
          <w:id w:val="1306970305"/>
          <w:citation/>
        </w:sdtPr>
        <w:sdtContent>
          <w:r w:rsidR="00917B39">
            <w:fldChar w:fldCharType="begin"/>
          </w:r>
          <w:r w:rsidR="00917B39">
            <w:rPr>
              <w:lang w:val="en-US"/>
            </w:rPr>
            <w:instrText xml:space="preserve"> CITATION Die23 \l 1033 </w:instrText>
          </w:r>
          <w:r w:rsidR="00917B39">
            <w:fldChar w:fldCharType="separate"/>
          </w:r>
          <w:r w:rsidR="008270DD" w:rsidRPr="008270DD">
            <w:rPr>
              <w:noProof/>
              <w:lang w:val="en-US"/>
            </w:rPr>
            <w:t>(Dieffenbacher, 2023)</w:t>
          </w:r>
          <w:r w:rsidR="00917B39">
            <w:fldChar w:fldCharType="end"/>
          </w:r>
        </w:sdtContent>
      </w:sdt>
    </w:p>
    <w:p w14:paraId="18029EDE" w14:textId="77777777" w:rsidR="007E7DD3" w:rsidRDefault="0094325C">
      <w:pPr>
        <w:spacing w:line="360" w:lineRule="auto"/>
        <w:jc w:val="both"/>
        <w:rPr>
          <w:b/>
        </w:rPr>
      </w:pPr>
      <w:r>
        <w:rPr>
          <w:b/>
        </w:rPr>
        <w:t>Blue Ocean Strategy</w:t>
      </w:r>
    </w:p>
    <w:tbl>
      <w:tblPr>
        <w:tblStyle w:val="a8"/>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7E7DD3" w14:paraId="5EFA28FC" w14:textId="77777777">
        <w:tc>
          <w:tcPr>
            <w:tcW w:w="2256" w:type="dxa"/>
            <w:shd w:val="clear" w:color="auto" w:fill="auto"/>
            <w:tcMar>
              <w:top w:w="100" w:type="dxa"/>
              <w:left w:w="100" w:type="dxa"/>
              <w:bottom w:w="100" w:type="dxa"/>
              <w:right w:w="100" w:type="dxa"/>
            </w:tcMar>
          </w:tcPr>
          <w:p w14:paraId="3795768D" w14:textId="77777777" w:rsidR="007E7DD3" w:rsidRDefault="0094325C">
            <w:pPr>
              <w:widowControl w:val="0"/>
              <w:pBdr>
                <w:top w:val="nil"/>
                <w:left w:val="nil"/>
                <w:bottom w:val="nil"/>
                <w:right w:val="nil"/>
                <w:between w:val="nil"/>
              </w:pBdr>
              <w:spacing w:after="0" w:line="360" w:lineRule="auto"/>
              <w:jc w:val="both"/>
              <w:rPr>
                <w:b/>
              </w:rPr>
            </w:pPr>
            <w:r>
              <w:rPr>
                <w:b/>
              </w:rPr>
              <w:lastRenderedPageBreak/>
              <w:t>Raise</w:t>
            </w:r>
          </w:p>
        </w:tc>
        <w:tc>
          <w:tcPr>
            <w:tcW w:w="2256" w:type="dxa"/>
            <w:shd w:val="clear" w:color="auto" w:fill="auto"/>
            <w:tcMar>
              <w:top w:w="100" w:type="dxa"/>
              <w:left w:w="100" w:type="dxa"/>
              <w:bottom w:w="100" w:type="dxa"/>
              <w:right w:w="100" w:type="dxa"/>
            </w:tcMar>
          </w:tcPr>
          <w:p w14:paraId="7BF1D922" w14:textId="77777777" w:rsidR="007E7DD3" w:rsidRDefault="0094325C">
            <w:pPr>
              <w:widowControl w:val="0"/>
              <w:pBdr>
                <w:top w:val="nil"/>
                <w:left w:val="nil"/>
                <w:bottom w:val="nil"/>
                <w:right w:val="nil"/>
                <w:between w:val="nil"/>
              </w:pBdr>
              <w:spacing w:after="0" w:line="360" w:lineRule="auto"/>
              <w:jc w:val="both"/>
              <w:rPr>
                <w:b/>
              </w:rPr>
            </w:pPr>
            <w:r>
              <w:rPr>
                <w:b/>
              </w:rPr>
              <w:t>Create</w:t>
            </w:r>
          </w:p>
        </w:tc>
        <w:tc>
          <w:tcPr>
            <w:tcW w:w="2256" w:type="dxa"/>
            <w:shd w:val="clear" w:color="auto" w:fill="auto"/>
            <w:tcMar>
              <w:top w:w="100" w:type="dxa"/>
              <w:left w:w="100" w:type="dxa"/>
              <w:bottom w:w="100" w:type="dxa"/>
              <w:right w:w="100" w:type="dxa"/>
            </w:tcMar>
          </w:tcPr>
          <w:p w14:paraId="0823EC5C" w14:textId="77777777" w:rsidR="007E7DD3" w:rsidRDefault="0094325C">
            <w:pPr>
              <w:widowControl w:val="0"/>
              <w:pBdr>
                <w:top w:val="nil"/>
                <w:left w:val="nil"/>
                <w:bottom w:val="nil"/>
                <w:right w:val="nil"/>
                <w:between w:val="nil"/>
              </w:pBdr>
              <w:spacing w:after="0" w:line="360" w:lineRule="auto"/>
              <w:jc w:val="both"/>
              <w:rPr>
                <w:b/>
              </w:rPr>
            </w:pPr>
            <w:r>
              <w:rPr>
                <w:b/>
              </w:rPr>
              <w:t>Reduce</w:t>
            </w:r>
          </w:p>
        </w:tc>
        <w:tc>
          <w:tcPr>
            <w:tcW w:w="2256" w:type="dxa"/>
            <w:shd w:val="clear" w:color="auto" w:fill="auto"/>
            <w:tcMar>
              <w:top w:w="100" w:type="dxa"/>
              <w:left w:w="100" w:type="dxa"/>
              <w:bottom w:w="100" w:type="dxa"/>
              <w:right w:w="100" w:type="dxa"/>
            </w:tcMar>
          </w:tcPr>
          <w:p w14:paraId="652F3466" w14:textId="77777777" w:rsidR="007E7DD3" w:rsidRDefault="0094325C">
            <w:pPr>
              <w:widowControl w:val="0"/>
              <w:pBdr>
                <w:top w:val="nil"/>
                <w:left w:val="nil"/>
                <w:bottom w:val="nil"/>
                <w:right w:val="nil"/>
                <w:between w:val="nil"/>
              </w:pBdr>
              <w:spacing w:after="0" w:line="360" w:lineRule="auto"/>
              <w:jc w:val="both"/>
              <w:rPr>
                <w:b/>
              </w:rPr>
            </w:pPr>
            <w:r>
              <w:rPr>
                <w:b/>
              </w:rPr>
              <w:t>Eliminate</w:t>
            </w:r>
          </w:p>
        </w:tc>
      </w:tr>
      <w:tr w:rsidR="007E7DD3" w14:paraId="6A4B6D70" w14:textId="77777777">
        <w:tc>
          <w:tcPr>
            <w:tcW w:w="2256" w:type="dxa"/>
            <w:shd w:val="clear" w:color="auto" w:fill="auto"/>
            <w:tcMar>
              <w:top w:w="100" w:type="dxa"/>
              <w:left w:w="100" w:type="dxa"/>
              <w:bottom w:w="100" w:type="dxa"/>
              <w:right w:w="100" w:type="dxa"/>
            </w:tcMar>
          </w:tcPr>
          <w:p w14:paraId="3E033605" w14:textId="77777777" w:rsidR="007E7DD3" w:rsidRDefault="0094325C">
            <w:pPr>
              <w:widowControl w:val="0"/>
              <w:pBdr>
                <w:top w:val="nil"/>
                <w:left w:val="nil"/>
                <w:bottom w:val="nil"/>
                <w:right w:val="nil"/>
                <w:between w:val="nil"/>
              </w:pBdr>
              <w:spacing w:after="0" w:line="360" w:lineRule="auto"/>
              <w:jc w:val="both"/>
            </w:pPr>
            <w:r>
              <w:t>Improving customer events through customised services, premium profits and creative features to separate itself from competitors.</w:t>
            </w:r>
          </w:p>
        </w:tc>
        <w:tc>
          <w:tcPr>
            <w:tcW w:w="2256" w:type="dxa"/>
            <w:shd w:val="clear" w:color="auto" w:fill="auto"/>
            <w:tcMar>
              <w:top w:w="100" w:type="dxa"/>
              <w:left w:w="100" w:type="dxa"/>
              <w:bottom w:w="100" w:type="dxa"/>
              <w:right w:w="100" w:type="dxa"/>
            </w:tcMar>
          </w:tcPr>
          <w:p w14:paraId="1C3C3BEE" w14:textId="77777777" w:rsidR="007E7DD3" w:rsidRDefault="0094325C">
            <w:pPr>
              <w:widowControl w:val="0"/>
              <w:pBdr>
                <w:top w:val="nil"/>
                <w:left w:val="nil"/>
                <w:bottom w:val="nil"/>
                <w:right w:val="nil"/>
                <w:between w:val="nil"/>
              </w:pBdr>
              <w:spacing w:after="0" w:line="360" w:lineRule="auto"/>
              <w:jc w:val="both"/>
            </w:pPr>
            <w:r>
              <w:t>Creating new services, like personalised economy planning that recognise unfulfilled requirements of the customers and enlarge it representations beyond conventional credit cards.</w:t>
            </w:r>
          </w:p>
        </w:tc>
        <w:tc>
          <w:tcPr>
            <w:tcW w:w="2256" w:type="dxa"/>
            <w:shd w:val="clear" w:color="auto" w:fill="auto"/>
            <w:tcMar>
              <w:top w:w="100" w:type="dxa"/>
              <w:left w:w="100" w:type="dxa"/>
              <w:bottom w:w="100" w:type="dxa"/>
              <w:right w:w="100" w:type="dxa"/>
            </w:tcMar>
          </w:tcPr>
          <w:p w14:paraId="4DD3D255" w14:textId="77777777" w:rsidR="007E7DD3" w:rsidRDefault="0094325C">
            <w:pPr>
              <w:widowControl w:val="0"/>
              <w:pBdr>
                <w:top w:val="nil"/>
                <w:left w:val="nil"/>
                <w:bottom w:val="nil"/>
                <w:right w:val="nil"/>
                <w:between w:val="nil"/>
              </w:pBdr>
              <w:spacing w:after="0" w:line="360" w:lineRule="auto"/>
              <w:jc w:val="both"/>
            </w:pPr>
            <w:r>
              <w:t>Streamlining administration and operations to increase success, outcome in reducing the cost that can be utilised for the customers.</w:t>
            </w:r>
          </w:p>
        </w:tc>
        <w:tc>
          <w:tcPr>
            <w:tcW w:w="2256" w:type="dxa"/>
            <w:shd w:val="clear" w:color="auto" w:fill="auto"/>
            <w:tcMar>
              <w:top w:w="100" w:type="dxa"/>
              <w:left w:w="100" w:type="dxa"/>
              <w:bottom w:w="100" w:type="dxa"/>
              <w:right w:w="100" w:type="dxa"/>
            </w:tcMar>
          </w:tcPr>
          <w:p w14:paraId="5238DB8C" w14:textId="77777777" w:rsidR="007E7DD3" w:rsidRDefault="0094325C">
            <w:pPr>
              <w:widowControl w:val="0"/>
              <w:pBdr>
                <w:top w:val="nil"/>
                <w:left w:val="nil"/>
                <w:bottom w:val="nil"/>
                <w:right w:val="nil"/>
                <w:between w:val="nil"/>
              </w:pBdr>
              <w:spacing w:after="0" w:line="360" w:lineRule="auto"/>
              <w:jc w:val="both"/>
            </w:pPr>
            <w:r>
              <w:t xml:space="preserve">Eliminate unwanted fees or obstacles that hamper customer involvement representing a </w:t>
            </w:r>
            <w:r w:rsidR="00E61194">
              <w:t>barrier less</w:t>
            </w:r>
            <w:r>
              <w:t xml:space="preserve"> and open economic experience </w:t>
            </w:r>
            <w:sdt>
              <w:sdtPr>
                <w:id w:val="588043708"/>
                <w:citation/>
              </w:sdtPr>
              <w:sdtContent>
                <w:r w:rsidR="00917B39">
                  <w:fldChar w:fldCharType="begin"/>
                </w:r>
                <w:r w:rsidR="00917B39">
                  <w:rPr>
                    <w:lang w:val="en-US"/>
                  </w:rPr>
                  <w:instrText xml:space="preserve"> CITATION Raz21 \l 1033 </w:instrText>
                </w:r>
                <w:r w:rsidR="00917B39">
                  <w:fldChar w:fldCharType="separate"/>
                </w:r>
                <w:r w:rsidR="008270DD" w:rsidRPr="008270DD">
                  <w:rPr>
                    <w:noProof/>
                    <w:lang w:val="en-US"/>
                  </w:rPr>
                  <w:t>(Razak &amp; Pardhasaradhi, 2021)</w:t>
                </w:r>
                <w:r w:rsidR="00917B39">
                  <w:fldChar w:fldCharType="end"/>
                </w:r>
              </w:sdtContent>
            </w:sdt>
            <w:r w:rsidR="00917B39">
              <w:t xml:space="preserve">. </w:t>
            </w:r>
            <w:r>
              <w:t>This viewpoint sets American Express separate by representing unmatched value and flexibility</w:t>
            </w:r>
          </w:p>
        </w:tc>
      </w:tr>
    </w:tbl>
    <w:p w14:paraId="6AB24AE2" w14:textId="77777777" w:rsidR="007E7DD3" w:rsidRDefault="0094325C">
      <w:pPr>
        <w:spacing w:line="360" w:lineRule="auto"/>
        <w:jc w:val="both"/>
        <w:rPr>
          <w:b/>
        </w:rPr>
      </w:pPr>
      <w:r>
        <w:rPr>
          <w:b/>
        </w:rPr>
        <w:t xml:space="preserve"> </w:t>
      </w:r>
    </w:p>
    <w:p w14:paraId="54EFC134" w14:textId="77777777" w:rsidR="007E7DD3" w:rsidRDefault="0094325C">
      <w:pPr>
        <w:spacing w:after="160" w:line="360" w:lineRule="auto"/>
        <w:jc w:val="center"/>
        <w:rPr>
          <w:rFonts w:ascii="Arial" w:eastAsia="Arial" w:hAnsi="Arial" w:cs="Arial"/>
          <w:color w:val="366091"/>
          <w:sz w:val="22"/>
          <w:szCs w:val="22"/>
        </w:rPr>
      </w:pPr>
      <w:r>
        <w:rPr>
          <w:rFonts w:ascii="Arial" w:eastAsia="Arial" w:hAnsi="Arial" w:cs="Arial"/>
          <w:b/>
          <w:noProof/>
          <w:color w:val="366091"/>
          <w:lang w:val="en-US"/>
        </w:rPr>
        <w:drawing>
          <wp:inline distT="114300" distB="114300" distL="114300" distR="114300" wp14:anchorId="236F0C3A" wp14:editId="7634CBEF">
            <wp:extent cx="3719513" cy="20945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cstate="print"/>
                    <a:srcRect/>
                    <a:stretch>
                      <a:fillRect/>
                    </a:stretch>
                  </pic:blipFill>
                  <pic:spPr>
                    <a:xfrm>
                      <a:off x="0" y="0"/>
                      <a:ext cx="3719513" cy="2094543"/>
                    </a:xfrm>
                    <a:prstGeom prst="rect">
                      <a:avLst/>
                    </a:prstGeom>
                    <a:ln/>
                  </pic:spPr>
                </pic:pic>
              </a:graphicData>
            </a:graphic>
          </wp:inline>
        </w:drawing>
      </w:r>
    </w:p>
    <w:p w14:paraId="0CD3C076" w14:textId="77777777" w:rsidR="007E7DD3" w:rsidRDefault="0094325C">
      <w:pPr>
        <w:spacing w:after="160" w:line="360" w:lineRule="auto"/>
        <w:jc w:val="center"/>
        <w:rPr>
          <w:b/>
        </w:rPr>
      </w:pPr>
      <w:r>
        <w:rPr>
          <w:b/>
        </w:rPr>
        <w:t>Figure 8: Four Action Framework</w:t>
      </w:r>
    </w:p>
    <w:p w14:paraId="328B16CE" w14:textId="77777777" w:rsidR="007E7DD3" w:rsidRDefault="0094325C">
      <w:pPr>
        <w:spacing w:after="160" w:line="360" w:lineRule="auto"/>
        <w:jc w:val="center"/>
      </w:pPr>
      <w:r>
        <w:t xml:space="preserve">(Source: </w:t>
      </w:r>
      <w:sdt>
        <w:sdtPr>
          <w:id w:val="-1248960686"/>
          <w:citation/>
        </w:sdtPr>
        <w:sdtContent>
          <w:r w:rsidR="00917B39">
            <w:fldChar w:fldCharType="begin"/>
          </w:r>
          <w:r w:rsidR="00917B39">
            <w:rPr>
              <w:lang w:val="en-US"/>
            </w:rPr>
            <w:instrText xml:space="preserve"> CITATION Blu13 \l 1033 </w:instrText>
          </w:r>
          <w:r w:rsidR="00917B39">
            <w:fldChar w:fldCharType="separate"/>
          </w:r>
          <w:r w:rsidR="008270DD" w:rsidRPr="008270DD">
            <w:rPr>
              <w:noProof/>
              <w:lang w:val="en-US"/>
            </w:rPr>
            <w:t>(Ocean, 2013)</w:t>
          </w:r>
          <w:r w:rsidR="00917B39">
            <w:fldChar w:fldCharType="end"/>
          </w:r>
        </w:sdtContent>
      </w:sdt>
    </w:p>
    <w:p w14:paraId="1CF6AF8F" w14:textId="77777777" w:rsidR="007E7DD3" w:rsidRDefault="0094325C">
      <w:pPr>
        <w:pStyle w:val="Heading1"/>
        <w:spacing w:line="360" w:lineRule="auto"/>
      </w:pPr>
      <w:bookmarkStart w:id="18" w:name="_Toc144413459"/>
      <w:r>
        <w:lastRenderedPageBreak/>
        <w:t>Growth Strategies</w:t>
      </w:r>
      <w:bookmarkEnd w:id="18"/>
      <w:r>
        <w:t xml:space="preserve"> </w:t>
      </w:r>
    </w:p>
    <w:p w14:paraId="3EB9C8CE" w14:textId="77777777" w:rsidR="007E7DD3" w:rsidRDefault="0094325C">
      <w:pPr>
        <w:spacing w:line="360" w:lineRule="auto"/>
        <w:jc w:val="both"/>
      </w:pPr>
      <w:r>
        <w:rPr>
          <w:b/>
        </w:rPr>
        <w:t xml:space="preserve">Ansoff Matrix </w:t>
      </w:r>
    </w:p>
    <w:tbl>
      <w:tblPr>
        <w:tblStyle w:val="a9"/>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480"/>
      </w:tblGrid>
      <w:tr w:rsidR="007E7DD3" w14:paraId="77AF20F4" w14:textId="77777777">
        <w:tc>
          <w:tcPr>
            <w:tcW w:w="2520" w:type="dxa"/>
            <w:shd w:val="clear" w:color="auto" w:fill="auto"/>
            <w:tcMar>
              <w:top w:w="100" w:type="dxa"/>
              <w:left w:w="100" w:type="dxa"/>
              <w:bottom w:w="100" w:type="dxa"/>
              <w:right w:w="100" w:type="dxa"/>
            </w:tcMar>
          </w:tcPr>
          <w:p w14:paraId="78596817" w14:textId="77777777" w:rsidR="007E7DD3" w:rsidRDefault="0094325C">
            <w:pPr>
              <w:widowControl w:val="0"/>
              <w:pBdr>
                <w:top w:val="nil"/>
                <w:left w:val="nil"/>
                <w:bottom w:val="nil"/>
                <w:right w:val="nil"/>
                <w:between w:val="nil"/>
              </w:pBdr>
              <w:spacing w:after="0" w:line="360" w:lineRule="auto"/>
              <w:jc w:val="both"/>
              <w:rPr>
                <w:b/>
              </w:rPr>
            </w:pPr>
            <w:r>
              <w:rPr>
                <w:b/>
              </w:rPr>
              <w:t>Market Penetration:</w:t>
            </w:r>
          </w:p>
        </w:tc>
        <w:tc>
          <w:tcPr>
            <w:tcW w:w="6480" w:type="dxa"/>
            <w:shd w:val="clear" w:color="auto" w:fill="auto"/>
            <w:tcMar>
              <w:top w:w="100" w:type="dxa"/>
              <w:left w:w="100" w:type="dxa"/>
              <w:bottom w:w="100" w:type="dxa"/>
              <w:right w:w="100" w:type="dxa"/>
            </w:tcMar>
          </w:tcPr>
          <w:p w14:paraId="18FB31B8" w14:textId="77777777" w:rsidR="007E7DD3" w:rsidRDefault="0094325C">
            <w:pPr>
              <w:widowControl w:val="0"/>
              <w:pBdr>
                <w:top w:val="nil"/>
                <w:left w:val="nil"/>
                <w:bottom w:val="nil"/>
                <w:right w:val="nil"/>
                <w:between w:val="nil"/>
              </w:pBdr>
              <w:spacing w:after="0" w:line="360" w:lineRule="auto"/>
              <w:jc w:val="both"/>
            </w:pPr>
            <w:r>
              <w:t>Non-stop attracting new customers while maintaining existing ones by presenting loyalty based schemes, increasing customer even and enlarging marketing efforts.</w:t>
            </w:r>
          </w:p>
        </w:tc>
      </w:tr>
      <w:tr w:rsidR="007E7DD3" w14:paraId="1087B11C" w14:textId="77777777">
        <w:tc>
          <w:tcPr>
            <w:tcW w:w="2520" w:type="dxa"/>
            <w:shd w:val="clear" w:color="auto" w:fill="auto"/>
            <w:tcMar>
              <w:top w:w="100" w:type="dxa"/>
              <w:left w:w="100" w:type="dxa"/>
              <w:bottom w:w="100" w:type="dxa"/>
              <w:right w:w="100" w:type="dxa"/>
            </w:tcMar>
          </w:tcPr>
          <w:p w14:paraId="14902AED" w14:textId="77777777" w:rsidR="007E7DD3" w:rsidRDefault="0094325C">
            <w:pPr>
              <w:widowControl w:val="0"/>
              <w:pBdr>
                <w:top w:val="nil"/>
                <w:left w:val="nil"/>
                <w:bottom w:val="nil"/>
                <w:right w:val="nil"/>
                <w:between w:val="nil"/>
              </w:pBdr>
              <w:spacing w:after="0" w:line="360" w:lineRule="auto"/>
              <w:jc w:val="both"/>
              <w:rPr>
                <w:b/>
              </w:rPr>
            </w:pPr>
            <w:r>
              <w:rPr>
                <w:b/>
              </w:rPr>
              <w:t>Product Development:</w:t>
            </w:r>
          </w:p>
        </w:tc>
        <w:tc>
          <w:tcPr>
            <w:tcW w:w="6480" w:type="dxa"/>
            <w:shd w:val="clear" w:color="auto" w:fill="auto"/>
            <w:tcMar>
              <w:top w:w="100" w:type="dxa"/>
              <w:left w:w="100" w:type="dxa"/>
              <w:bottom w:w="100" w:type="dxa"/>
              <w:right w:w="100" w:type="dxa"/>
            </w:tcMar>
          </w:tcPr>
          <w:p w14:paraId="79CB8A5B" w14:textId="77777777" w:rsidR="007E7DD3" w:rsidRDefault="0094325C">
            <w:pPr>
              <w:widowControl w:val="0"/>
              <w:pBdr>
                <w:top w:val="nil"/>
                <w:left w:val="nil"/>
                <w:bottom w:val="nil"/>
                <w:right w:val="nil"/>
                <w:between w:val="nil"/>
              </w:pBdr>
              <w:spacing w:after="0" w:line="360" w:lineRule="auto"/>
              <w:jc w:val="both"/>
            </w:pPr>
            <w:r>
              <w:t>Representing new offers with cards, recompense schemes and digital remission solutions provide for rising customer requirements and choices.</w:t>
            </w:r>
          </w:p>
        </w:tc>
      </w:tr>
      <w:tr w:rsidR="007E7DD3" w14:paraId="5A85FB25" w14:textId="77777777">
        <w:tc>
          <w:tcPr>
            <w:tcW w:w="2520" w:type="dxa"/>
            <w:shd w:val="clear" w:color="auto" w:fill="auto"/>
            <w:tcMar>
              <w:top w:w="100" w:type="dxa"/>
              <w:left w:w="100" w:type="dxa"/>
              <w:bottom w:w="100" w:type="dxa"/>
              <w:right w:w="100" w:type="dxa"/>
            </w:tcMar>
          </w:tcPr>
          <w:p w14:paraId="40A22FF3" w14:textId="77777777" w:rsidR="007E7DD3" w:rsidRDefault="0094325C">
            <w:pPr>
              <w:widowControl w:val="0"/>
              <w:pBdr>
                <w:top w:val="nil"/>
                <w:left w:val="nil"/>
                <w:bottom w:val="nil"/>
                <w:right w:val="nil"/>
                <w:between w:val="nil"/>
              </w:pBdr>
              <w:spacing w:after="0" w:line="360" w:lineRule="auto"/>
              <w:jc w:val="both"/>
              <w:rPr>
                <w:b/>
              </w:rPr>
            </w:pPr>
            <w:r>
              <w:rPr>
                <w:b/>
              </w:rPr>
              <w:t>Market Development:</w:t>
            </w:r>
          </w:p>
        </w:tc>
        <w:tc>
          <w:tcPr>
            <w:tcW w:w="6480" w:type="dxa"/>
            <w:shd w:val="clear" w:color="auto" w:fill="auto"/>
            <w:tcMar>
              <w:top w:w="100" w:type="dxa"/>
              <w:left w:w="100" w:type="dxa"/>
              <w:bottom w:w="100" w:type="dxa"/>
              <w:right w:w="100" w:type="dxa"/>
            </w:tcMar>
          </w:tcPr>
          <w:p w14:paraId="291660A2" w14:textId="77777777" w:rsidR="007E7DD3" w:rsidRDefault="0094325C">
            <w:pPr>
              <w:widowControl w:val="0"/>
              <w:pBdr>
                <w:top w:val="nil"/>
                <w:left w:val="nil"/>
                <w:bottom w:val="nil"/>
                <w:right w:val="nil"/>
                <w:between w:val="nil"/>
              </w:pBdr>
              <w:spacing w:after="0" w:line="360" w:lineRule="auto"/>
              <w:jc w:val="both"/>
            </w:pPr>
            <w:r>
              <w:t>Entering into new geographic markets and aims needy customer sections to enter into evolving finance and diversify its customer support.</w:t>
            </w:r>
          </w:p>
        </w:tc>
      </w:tr>
      <w:tr w:rsidR="007E7DD3" w14:paraId="3529580E" w14:textId="77777777">
        <w:tc>
          <w:tcPr>
            <w:tcW w:w="2520" w:type="dxa"/>
            <w:shd w:val="clear" w:color="auto" w:fill="auto"/>
            <w:tcMar>
              <w:top w:w="100" w:type="dxa"/>
              <w:left w:w="100" w:type="dxa"/>
              <w:bottom w:w="100" w:type="dxa"/>
              <w:right w:w="100" w:type="dxa"/>
            </w:tcMar>
          </w:tcPr>
          <w:p w14:paraId="6100A18B" w14:textId="77777777" w:rsidR="007E7DD3" w:rsidRDefault="0094325C">
            <w:pPr>
              <w:widowControl w:val="0"/>
              <w:pBdr>
                <w:top w:val="nil"/>
                <w:left w:val="nil"/>
                <w:bottom w:val="nil"/>
                <w:right w:val="nil"/>
                <w:between w:val="nil"/>
              </w:pBdr>
              <w:spacing w:after="0" w:line="360" w:lineRule="auto"/>
              <w:jc w:val="both"/>
              <w:rPr>
                <w:b/>
              </w:rPr>
            </w:pPr>
            <w:r>
              <w:rPr>
                <w:b/>
              </w:rPr>
              <w:t>Diversification:</w:t>
            </w:r>
          </w:p>
        </w:tc>
        <w:tc>
          <w:tcPr>
            <w:tcW w:w="6480" w:type="dxa"/>
            <w:shd w:val="clear" w:color="auto" w:fill="auto"/>
            <w:tcMar>
              <w:top w:w="100" w:type="dxa"/>
              <w:left w:w="100" w:type="dxa"/>
              <w:bottom w:w="100" w:type="dxa"/>
              <w:right w:w="100" w:type="dxa"/>
            </w:tcMar>
          </w:tcPr>
          <w:p w14:paraId="704228EF" w14:textId="77777777" w:rsidR="007E7DD3" w:rsidRDefault="0094325C">
            <w:pPr>
              <w:widowControl w:val="0"/>
              <w:pBdr>
                <w:top w:val="nil"/>
                <w:left w:val="nil"/>
                <w:bottom w:val="nil"/>
                <w:right w:val="nil"/>
                <w:between w:val="nil"/>
              </w:pBdr>
              <w:spacing w:after="0" w:line="360" w:lineRule="auto"/>
              <w:jc w:val="both"/>
            </w:pPr>
            <w:r>
              <w:t>Inspecting strategic bonds or purchases in related economic assistance such as fintech collaborations or enlarging into supportive sections to represent creative services and enlarge its assistance portfolio</w:t>
            </w:r>
            <w:sdt>
              <w:sdtPr>
                <w:id w:val="-1826041412"/>
                <w:citation/>
              </w:sdtPr>
              <w:sdtContent>
                <w:r w:rsidR="00917B39">
                  <w:fldChar w:fldCharType="begin"/>
                </w:r>
                <w:r w:rsidR="00917B39">
                  <w:rPr>
                    <w:lang w:val="en-US"/>
                  </w:rPr>
                  <w:instrText xml:space="preserve"> CITATION Sla18 \l 1033 </w:instrText>
                </w:r>
                <w:r w:rsidR="00917B39">
                  <w:fldChar w:fldCharType="separate"/>
                </w:r>
                <w:r w:rsidR="008270DD">
                  <w:rPr>
                    <w:noProof/>
                    <w:lang w:val="en-US"/>
                  </w:rPr>
                  <w:t xml:space="preserve"> </w:t>
                </w:r>
                <w:r w:rsidR="008270DD" w:rsidRPr="008270DD">
                  <w:rPr>
                    <w:noProof/>
                    <w:lang w:val="en-US"/>
                  </w:rPr>
                  <w:t>(Slack &amp; Brandon-Jones, 2018)</w:t>
                </w:r>
                <w:r w:rsidR="00917B39">
                  <w:fldChar w:fldCharType="end"/>
                </w:r>
              </w:sdtContent>
            </w:sdt>
            <w:r>
              <w:t>.</w:t>
            </w:r>
          </w:p>
        </w:tc>
      </w:tr>
    </w:tbl>
    <w:p w14:paraId="0E23D50D" w14:textId="77777777" w:rsidR="007E7DD3" w:rsidRDefault="007E7DD3">
      <w:pPr>
        <w:spacing w:line="360" w:lineRule="auto"/>
        <w:rPr>
          <w:b/>
        </w:rPr>
      </w:pPr>
    </w:p>
    <w:p w14:paraId="0FB0FD89" w14:textId="77777777" w:rsidR="007E7DD3" w:rsidRDefault="0094325C">
      <w:pPr>
        <w:spacing w:line="360" w:lineRule="auto"/>
        <w:rPr>
          <w:b/>
        </w:rPr>
      </w:pPr>
      <w:r>
        <w:rPr>
          <w:b/>
        </w:rPr>
        <w:t>International Strategies</w:t>
      </w:r>
    </w:p>
    <w:tbl>
      <w:tblPr>
        <w:tblStyle w:val="a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1BD6CD71" w14:textId="77777777">
        <w:tc>
          <w:tcPr>
            <w:tcW w:w="4513" w:type="dxa"/>
            <w:shd w:val="clear" w:color="auto" w:fill="auto"/>
            <w:tcMar>
              <w:top w:w="100" w:type="dxa"/>
              <w:left w:w="100" w:type="dxa"/>
              <w:bottom w:w="100" w:type="dxa"/>
              <w:right w:w="100" w:type="dxa"/>
            </w:tcMar>
          </w:tcPr>
          <w:p w14:paraId="13FB31E3" w14:textId="77777777" w:rsidR="007E7DD3" w:rsidRDefault="0094325C">
            <w:pPr>
              <w:widowControl w:val="0"/>
              <w:pBdr>
                <w:top w:val="nil"/>
                <w:left w:val="nil"/>
                <w:bottom w:val="nil"/>
                <w:right w:val="nil"/>
                <w:between w:val="nil"/>
              </w:pBdr>
              <w:spacing w:after="0" w:line="360" w:lineRule="auto"/>
              <w:jc w:val="center"/>
              <w:rPr>
                <w:b/>
              </w:rPr>
            </w:pPr>
            <w:r>
              <w:rPr>
                <w:b/>
              </w:rPr>
              <w:t>Global strategy</w:t>
            </w:r>
          </w:p>
        </w:tc>
        <w:tc>
          <w:tcPr>
            <w:tcW w:w="4513" w:type="dxa"/>
            <w:shd w:val="clear" w:color="auto" w:fill="auto"/>
            <w:tcMar>
              <w:top w:w="100" w:type="dxa"/>
              <w:left w:w="100" w:type="dxa"/>
              <w:bottom w:w="100" w:type="dxa"/>
              <w:right w:w="100" w:type="dxa"/>
            </w:tcMar>
          </w:tcPr>
          <w:p w14:paraId="26B57F06" w14:textId="77777777" w:rsidR="007E7DD3" w:rsidRDefault="0094325C">
            <w:pPr>
              <w:widowControl w:val="0"/>
              <w:pBdr>
                <w:top w:val="nil"/>
                <w:left w:val="nil"/>
                <w:bottom w:val="nil"/>
                <w:right w:val="nil"/>
                <w:between w:val="nil"/>
              </w:pBdr>
              <w:spacing w:after="0" w:line="360" w:lineRule="auto"/>
              <w:jc w:val="center"/>
              <w:rPr>
                <w:b/>
              </w:rPr>
            </w:pPr>
            <w:r>
              <w:rPr>
                <w:b/>
              </w:rPr>
              <w:t>Transnational strategy</w:t>
            </w:r>
          </w:p>
        </w:tc>
      </w:tr>
      <w:tr w:rsidR="007E7DD3" w14:paraId="6600584D" w14:textId="77777777">
        <w:tc>
          <w:tcPr>
            <w:tcW w:w="4513" w:type="dxa"/>
            <w:shd w:val="clear" w:color="auto" w:fill="auto"/>
            <w:tcMar>
              <w:top w:w="100" w:type="dxa"/>
              <w:left w:w="100" w:type="dxa"/>
              <w:bottom w:w="100" w:type="dxa"/>
              <w:right w:w="100" w:type="dxa"/>
            </w:tcMar>
          </w:tcPr>
          <w:p w14:paraId="1A942DBD" w14:textId="77777777" w:rsidR="007E7DD3" w:rsidRDefault="0094325C">
            <w:pPr>
              <w:widowControl w:val="0"/>
              <w:pBdr>
                <w:top w:val="nil"/>
                <w:left w:val="nil"/>
                <w:bottom w:val="nil"/>
                <w:right w:val="nil"/>
                <w:between w:val="nil"/>
              </w:pBdr>
              <w:spacing w:after="0" w:line="360" w:lineRule="auto"/>
              <w:jc w:val="both"/>
            </w:pPr>
            <w:r>
              <w:t>American Express follows up global strategy by maintaining a compatible trade name identity and represents systemised products and assistance across different markets</w:t>
            </w:r>
            <w:sdt>
              <w:sdtPr>
                <w:id w:val="1259416402"/>
                <w:citation/>
              </w:sdtPr>
              <w:sdtContent>
                <w:r w:rsidR="00917B39">
                  <w:fldChar w:fldCharType="begin"/>
                </w:r>
                <w:r w:rsidR="00917B39">
                  <w:rPr>
                    <w:lang w:val="en-US"/>
                  </w:rPr>
                  <w:instrText xml:space="preserve"> CITATION Wan19 \l 1033 </w:instrText>
                </w:r>
                <w:r w:rsidR="00917B39">
                  <w:fldChar w:fldCharType="separate"/>
                </w:r>
                <w:r w:rsidR="008270DD">
                  <w:rPr>
                    <w:noProof/>
                    <w:lang w:val="en-US"/>
                  </w:rPr>
                  <w:t xml:space="preserve"> </w:t>
                </w:r>
                <w:r w:rsidR="008270DD" w:rsidRPr="008270DD">
                  <w:rPr>
                    <w:noProof/>
                    <w:lang w:val="en-US"/>
                  </w:rPr>
                  <w:t>(Wang, 2019)</w:t>
                </w:r>
                <w:r w:rsidR="00917B39">
                  <w:fldChar w:fldCharType="end"/>
                </w:r>
              </w:sdtContent>
            </w:sdt>
            <w:r>
              <w:t xml:space="preserve">. This viewpoint enables finance of scale and compatible customer experience globally. </w:t>
            </w:r>
          </w:p>
        </w:tc>
        <w:tc>
          <w:tcPr>
            <w:tcW w:w="4513" w:type="dxa"/>
            <w:shd w:val="clear" w:color="auto" w:fill="auto"/>
            <w:tcMar>
              <w:top w:w="100" w:type="dxa"/>
              <w:left w:w="100" w:type="dxa"/>
              <w:bottom w:w="100" w:type="dxa"/>
              <w:right w:w="100" w:type="dxa"/>
            </w:tcMar>
          </w:tcPr>
          <w:p w14:paraId="41AB5C4A" w14:textId="77777777" w:rsidR="007E7DD3" w:rsidRDefault="0094325C">
            <w:pPr>
              <w:widowControl w:val="0"/>
              <w:pBdr>
                <w:top w:val="nil"/>
                <w:left w:val="nil"/>
                <w:bottom w:val="nil"/>
                <w:right w:val="nil"/>
                <w:between w:val="nil"/>
              </w:pBdr>
              <w:spacing w:after="0" w:line="360" w:lineRule="auto"/>
              <w:jc w:val="both"/>
            </w:pPr>
            <w:r>
              <w:t>The establishment incorporates transnational strategy by integrating global integration with local impartiality. It Undertaker its offerings to provide according to local choices and government needs while maintaining core global characteristics, striking a balanced amount of success and tailoring.</w:t>
            </w:r>
          </w:p>
        </w:tc>
      </w:tr>
      <w:tr w:rsidR="007E7DD3" w14:paraId="7284173F" w14:textId="77777777">
        <w:tc>
          <w:tcPr>
            <w:tcW w:w="4513" w:type="dxa"/>
            <w:shd w:val="clear" w:color="auto" w:fill="auto"/>
            <w:tcMar>
              <w:top w:w="100" w:type="dxa"/>
              <w:left w:w="100" w:type="dxa"/>
              <w:bottom w:w="100" w:type="dxa"/>
              <w:right w:w="100" w:type="dxa"/>
            </w:tcMar>
          </w:tcPr>
          <w:p w14:paraId="36485E83" w14:textId="77777777" w:rsidR="007E7DD3" w:rsidRDefault="0094325C">
            <w:pPr>
              <w:widowControl w:val="0"/>
              <w:pBdr>
                <w:top w:val="nil"/>
                <w:left w:val="nil"/>
                <w:bottom w:val="nil"/>
                <w:right w:val="nil"/>
                <w:between w:val="nil"/>
              </w:pBdr>
              <w:spacing w:after="0" w:line="360" w:lineRule="auto"/>
              <w:jc w:val="center"/>
              <w:rPr>
                <w:b/>
              </w:rPr>
            </w:pPr>
            <w:r>
              <w:rPr>
                <w:b/>
              </w:rPr>
              <w:t>International strategy</w:t>
            </w:r>
          </w:p>
        </w:tc>
        <w:tc>
          <w:tcPr>
            <w:tcW w:w="4513" w:type="dxa"/>
            <w:shd w:val="clear" w:color="auto" w:fill="auto"/>
            <w:tcMar>
              <w:top w:w="100" w:type="dxa"/>
              <w:left w:w="100" w:type="dxa"/>
              <w:bottom w:w="100" w:type="dxa"/>
              <w:right w:w="100" w:type="dxa"/>
            </w:tcMar>
          </w:tcPr>
          <w:p w14:paraId="115E8795" w14:textId="77777777" w:rsidR="007E7DD3" w:rsidRDefault="0094325C">
            <w:pPr>
              <w:widowControl w:val="0"/>
              <w:pBdr>
                <w:top w:val="nil"/>
                <w:left w:val="nil"/>
                <w:bottom w:val="nil"/>
                <w:right w:val="nil"/>
                <w:between w:val="nil"/>
              </w:pBdr>
              <w:spacing w:after="0" w:line="360" w:lineRule="auto"/>
              <w:jc w:val="center"/>
              <w:rPr>
                <w:b/>
              </w:rPr>
            </w:pPr>
            <w:r>
              <w:rPr>
                <w:b/>
              </w:rPr>
              <w:t>Multidomestic strategy</w:t>
            </w:r>
          </w:p>
        </w:tc>
      </w:tr>
      <w:tr w:rsidR="007E7DD3" w14:paraId="27871D33" w14:textId="77777777">
        <w:tc>
          <w:tcPr>
            <w:tcW w:w="4513" w:type="dxa"/>
            <w:shd w:val="clear" w:color="auto" w:fill="auto"/>
            <w:tcMar>
              <w:top w:w="100" w:type="dxa"/>
              <w:left w:w="100" w:type="dxa"/>
              <w:bottom w:w="100" w:type="dxa"/>
              <w:right w:w="100" w:type="dxa"/>
            </w:tcMar>
          </w:tcPr>
          <w:p w14:paraId="507CCDF6" w14:textId="77777777" w:rsidR="007E7DD3" w:rsidRDefault="0094325C">
            <w:pPr>
              <w:widowControl w:val="0"/>
              <w:pBdr>
                <w:top w:val="nil"/>
                <w:left w:val="nil"/>
                <w:bottom w:val="nil"/>
                <w:right w:val="nil"/>
                <w:between w:val="nil"/>
              </w:pBdr>
              <w:spacing w:after="0" w:line="360" w:lineRule="auto"/>
              <w:jc w:val="both"/>
            </w:pPr>
            <w:r>
              <w:lastRenderedPageBreak/>
              <w:t>American Express International strategy includes entering new markets with its pre-existing products and services. This viewpoint allowed the establishment to grasp its core strength while undertaking local market variation and requirements.</w:t>
            </w:r>
          </w:p>
        </w:tc>
        <w:tc>
          <w:tcPr>
            <w:tcW w:w="4513" w:type="dxa"/>
            <w:shd w:val="clear" w:color="auto" w:fill="auto"/>
            <w:tcMar>
              <w:top w:w="100" w:type="dxa"/>
              <w:left w:w="100" w:type="dxa"/>
              <w:bottom w:w="100" w:type="dxa"/>
              <w:right w:w="100" w:type="dxa"/>
            </w:tcMar>
          </w:tcPr>
          <w:p w14:paraId="5EF63CCB" w14:textId="77777777" w:rsidR="007E7DD3" w:rsidRDefault="0094325C">
            <w:pPr>
              <w:widowControl w:val="0"/>
              <w:pBdr>
                <w:top w:val="nil"/>
                <w:left w:val="nil"/>
                <w:bottom w:val="nil"/>
                <w:right w:val="nil"/>
                <w:between w:val="nil"/>
              </w:pBdr>
              <w:spacing w:after="0" w:line="360" w:lineRule="auto"/>
              <w:jc w:val="both"/>
            </w:pPr>
            <w:r>
              <w:t>In some continents, American Express undertaker multidomestic strategy by customising its representations to local choices and cultures</w:t>
            </w:r>
            <w:sdt>
              <w:sdtPr>
                <w:id w:val="-795599087"/>
                <w:citation/>
              </w:sdtPr>
              <w:sdtContent>
                <w:r w:rsidR="00917B39">
                  <w:fldChar w:fldCharType="begin"/>
                </w:r>
                <w:r w:rsidR="00917B39">
                  <w:rPr>
                    <w:lang w:val="en-US"/>
                  </w:rPr>
                  <w:instrText xml:space="preserve"> CITATION Wen20 \l 1033 </w:instrText>
                </w:r>
                <w:r w:rsidR="00917B39">
                  <w:fldChar w:fldCharType="separate"/>
                </w:r>
                <w:r w:rsidR="008270DD">
                  <w:rPr>
                    <w:noProof/>
                    <w:lang w:val="en-US"/>
                  </w:rPr>
                  <w:t xml:space="preserve"> </w:t>
                </w:r>
                <w:r w:rsidR="008270DD" w:rsidRPr="008270DD">
                  <w:rPr>
                    <w:noProof/>
                    <w:lang w:val="en-US"/>
                  </w:rPr>
                  <w:t>(Wenzel, et al., 2020)</w:t>
                </w:r>
                <w:r w:rsidR="00917B39">
                  <w:fldChar w:fldCharType="end"/>
                </w:r>
              </w:sdtContent>
            </w:sdt>
            <w:r>
              <w:t xml:space="preserve">. This viewpoint underscores the differences of customer requirements and lining up with its assistant accordingly. </w:t>
            </w:r>
          </w:p>
        </w:tc>
      </w:tr>
    </w:tbl>
    <w:p w14:paraId="0578051F" w14:textId="77777777" w:rsidR="007E7DD3" w:rsidRDefault="0094325C">
      <w:pPr>
        <w:spacing w:line="360" w:lineRule="auto"/>
      </w:pPr>
      <w:r>
        <w:rPr>
          <w:b/>
        </w:rPr>
        <w:t xml:space="preserve">Entry Mode Strategies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6030"/>
      </w:tblGrid>
      <w:tr w:rsidR="008270DD" w14:paraId="4ECF6A5A" w14:textId="77777777" w:rsidTr="006150D2">
        <w:tc>
          <w:tcPr>
            <w:tcW w:w="2970" w:type="dxa"/>
            <w:shd w:val="clear" w:color="auto" w:fill="auto"/>
            <w:tcMar>
              <w:top w:w="100" w:type="dxa"/>
              <w:left w:w="100" w:type="dxa"/>
              <w:bottom w:w="100" w:type="dxa"/>
              <w:right w:w="100" w:type="dxa"/>
            </w:tcMar>
          </w:tcPr>
          <w:p w14:paraId="686936B3" w14:textId="77777777" w:rsidR="008270DD" w:rsidRDefault="008270DD" w:rsidP="006150D2">
            <w:pPr>
              <w:widowControl w:val="0"/>
              <w:pBdr>
                <w:top w:val="nil"/>
                <w:left w:val="nil"/>
                <w:bottom w:val="nil"/>
                <w:right w:val="nil"/>
                <w:between w:val="nil"/>
              </w:pBdr>
              <w:spacing w:after="0" w:line="360" w:lineRule="auto"/>
              <w:rPr>
                <w:b/>
              </w:rPr>
            </w:pPr>
            <w:r>
              <w:rPr>
                <w:b/>
              </w:rPr>
              <w:t>Licensing and Franchising</w:t>
            </w:r>
          </w:p>
        </w:tc>
        <w:tc>
          <w:tcPr>
            <w:tcW w:w="6030" w:type="dxa"/>
            <w:shd w:val="clear" w:color="auto" w:fill="auto"/>
            <w:tcMar>
              <w:top w:w="100" w:type="dxa"/>
              <w:left w:w="100" w:type="dxa"/>
              <w:bottom w:w="100" w:type="dxa"/>
              <w:right w:w="100" w:type="dxa"/>
            </w:tcMar>
          </w:tcPr>
          <w:p w14:paraId="276452F6" w14:textId="77777777" w:rsidR="008270DD" w:rsidRDefault="008270DD" w:rsidP="006150D2">
            <w:pPr>
              <w:widowControl w:val="0"/>
              <w:pBdr>
                <w:top w:val="nil"/>
                <w:left w:val="nil"/>
                <w:bottom w:val="nil"/>
                <w:right w:val="nil"/>
                <w:between w:val="nil"/>
              </w:pBdr>
              <w:spacing w:after="0" w:line="360" w:lineRule="auto"/>
              <w:jc w:val="both"/>
            </w:pPr>
            <w:r>
              <w:t>Bonding with local economic organisations to licence its brand and technology for card distribution in lodging its market area.</w:t>
            </w:r>
          </w:p>
        </w:tc>
      </w:tr>
      <w:tr w:rsidR="008270DD" w14:paraId="09EF9BCC" w14:textId="77777777" w:rsidTr="006150D2">
        <w:tc>
          <w:tcPr>
            <w:tcW w:w="2970" w:type="dxa"/>
            <w:shd w:val="clear" w:color="auto" w:fill="auto"/>
            <w:tcMar>
              <w:top w:w="100" w:type="dxa"/>
              <w:left w:w="100" w:type="dxa"/>
              <w:bottom w:w="100" w:type="dxa"/>
              <w:right w:w="100" w:type="dxa"/>
            </w:tcMar>
          </w:tcPr>
          <w:p w14:paraId="062FE760" w14:textId="77777777" w:rsidR="008270DD" w:rsidRDefault="008270DD" w:rsidP="006150D2">
            <w:pPr>
              <w:widowControl w:val="0"/>
              <w:pBdr>
                <w:top w:val="nil"/>
                <w:left w:val="nil"/>
                <w:bottom w:val="nil"/>
                <w:right w:val="nil"/>
                <w:between w:val="nil"/>
              </w:pBdr>
              <w:spacing w:after="0" w:line="360" w:lineRule="auto"/>
              <w:rPr>
                <w:b/>
              </w:rPr>
            </w:pPr>
            <w:r>
              <w:rPr>
                <w:b/>
              </w:rPr>
              <w:t>Joint Ventures</w:t>
            </w:r>
          </w:p>
        </w:tc>
        <w:tc>
          <w:tcPr>
            <w:tcW w:w="6030" w:type="dxa"/>
            <w:shd w:val="clear" w:color="auto" w:fill="auto"/>
            <w:tcMar>
              <w:top w:w="100" w:type="dxa"/>
              <w:left w:w="100" w:type="dxa"/>
              <w:bottom w:w="100" w:type="dxa"/>
              <w:right w:w="100" w:type="dxa"/>
            </w:tcMar>
          </w:tcPr>
          <w:p w14:paraId="76CBF7D5" w14:textId="77777777" w:rsidR="008270DD" w:rsidRDefault="008270DD" w:rsidP="006150D2">
            <w:pPr>
              <w:widowControl w:val="0"/>
              <w:pBdr>
                <w:top w:val="nil"/>
                <w:left w:val="nil"/>
                <w:bottom w:val="nil"/>
                <w:right w:val="nil"/>
                <w:between w:val="nil"/>
              </w:pBdr>
              <w:spacing w:after="0" w:line="360" w:lineRule="auto"/>
              <w:jc w:val="both"/>
            </w:pPr>
            <w:r>
              <w:t>Partnering with local banks or economic enterprises to create joint ventures grasp local knowledge while maintaining a certain level of control</w:t>
            </w:r>
            <w:sdt>
              <w:sdtPr>
                <w:id w:val="2109383944"/>
                <w:citation/>
              </w:sdtPr>
              <w:sdtContent>
                <w:r>
                  <w:fldChar w:fldCharType="begin"/>
                </w:r>
                <w:r>
                  <w:rPr>
                    <w:lang w:val="en-US"/>
                  </w:rPr>
                  <w:instrText xml:space="preserve"> CITATION Joh20 \l 1033 </w:instrText>
                </w:r>
                <w:r>
                  <w:fldChar w:fldCharType="separate"/>
                </w:r>
                <w:r>
                  <w:rPr>
                    <w:noProof/>
                    <w:lang w:val="en-US"/>
                  </w:rPr>
                  <w:t xml:space="preserve"> </w:t>
                </w:r>
                <w:r w:rsidRPr="008270DD">
                  <w:rPr>
                    <w:noProof/>
                    <w:lang w:val="en-US"/>
                  </w:rPr>
                  <w:t>(Johnson, 2020)</w:t>
                </w:r>
                <w:r>
                  <w:fldChar w:fldCharType="end"/>
                </w:r>
              </w:sdtContent>
            </w:sdt>
            <w:r>
              <w:t>.</w:t>
            </w:r>
          </w:p>
        </w:tc>
      </w:tr>
      <w:tr w:rsidR="008270DD" w14:paraId="1E283134" w14:textId="77777777" w:rsidTr="006150D2">
        <w:tc>
          <w:tcPr>
            <w:tcW w:w="2970" w:type="dxa"/>
            <w:shd w:val="clear" w:color="auto" w:fill="auto"/>
            <w:tcMar>
              <w:top w:w="100" w:type="dxa"/>
              <w:left w:w="100" w:type="dxa"/>
              <w:bottom w:w="100" w:type="dxa"/>
              <w:right w:w="100" w:type="dxa"/>
            </w:tcMar>
          </w:tcPr>
          <w:p w14:paraId="48388680" w14:textId="77777777" w:rsidR="008270DD" w:rsidRDefault="008270DD" w:rsidP="006150D2">
            <w:pPr>
              <w:widowControl w:val="0"/>
              <w:pBdr>
                <w:top w:val="nil"/>
                <w:left w:val="nil"/>
                <w:bottom w:val="nil"/>
                <w:right w:val="nil"/>
                <w:between w:val="nil"/>
              </w:pBdr>
              <w:spacing w:after="0" w:line="360" w:lineRule="auto"/>
              <w:rPr>
                <w:b/>
              </w:rPr>
            </w:pPr>
            <w:r>
              <w:rPr>
                <w:b/>
              </w:rPr>
              <w:t>Acquisitions</w:t>
            </w:r>
          </w:p>
        </w:tc>
        <w:tc>
          <w:tcPr>
            <w:tcW w:w="6030" w:type="dxa"/>
            <w:shd w:val="clear" w:color="auto" w:fill="auto"/>
            <w:tcMar>
              <w:top w:w="100" w:type="dxa"/>
              <w:left w:w="100" w:type="dxa"/>
              <w:bottom w:w="100" w:type="dxa"/>
              <w:right w:w="100" w:type="dxa"/>
            </w:tcMar>
          </w:tcPr>
          <w:p w14:paraId="3B8CA87A" w14:textId="77777777" w:rsidR="008270DD" w:rsidRDefault="008270DD" w:rsidP="006150D2">
            <w:pPr>
              <w:widowControl w:val="0"/>
              <w:pBdr>
                <w:top w:val="nil"/>
                <w:left w:val="nil"/>
                <w:bottom w:val="nil"/>
                <w:right w:val="nil"/>
                <w:between w:val="nil"/>
              </w:pBdr>
              <w:spacing w:after="0" w:line="360" w:lineRule="auto"/>
              <w:jc w:val="both"/>
            </w:pPr>
            <w:r>
              <w:t>Acquiring fintech start-ups or creating players to enter in new technology and market swiftly creating its service representations.</w:t>
            </w:r>
          </w:p>
        </w:tc>
      </w:tr>
      <w:tr w:rsidR="008270DD" w14:paraId="2FB68976" w14:textId="77777777" w:rsidTr="006150D2">
        <w:tc>
          <w:tcPr>
            <w:tcW w:w="2970" w:type="dxa"/>
            <w:shd w:val="clear" w:color="auto" w:fill="auto"/>
            <w:tcMar>
              <w:top w:w="100" w:type="dxa"/>
              <w:left w:w="100" w:type="dxa"/>
              <w:bottom w:w="100" w:type="dxa"/>
              <w:right w:w="100" w:type="dxa"/>
            </w:tcMar>
          </w:tcPr>
          <w:p w14:paraId="06F46C6A" w14:textId="77777777" w:rsidR="008270DD" w:rsidRDefault="008270DD" w:rsidP="006150D2">
            <w:pPr>
              <w:widowControl w:val="0"/>
              <w:pBdr>
                <w:top w:val="nil"/>
                <w:left w:val="nil"/>
                <w:bottom w:val="nil"/>
                <w:right w:val="nil"/>
                <w:between w:val="nil"/>
              </w:pBdr>
              <w:spacing w:after="0" w:line="360" w:lineRule="auto"/>
              <w:rPr>
                <w:b/>
              </w:rPr>
            </w:pPr>
            <w:r>
              <w:rPr>
                <w:b/>
              </w:rPr>
              <w:t>Strategic Alliances</w:t>
            </w:r>
          </w:p>
        </w:tc>
        <w:tc>
          <w:tcPr>
            <w:tcW w:w="6030" w:type="dxa"/>
            <w:shd w:val="clear" w:color="auto" w:fill="auto"/>
            <w:tcMar>
              <w:top w:w="100" w:type="dxa"/>
              <w:left w:w="100" w:type="dxa"/>
              <w:bottom w:w="100" w:type="dxa"/>
              <w:right w:w="100" w:type="dxa"/>
            </w:tcMar>
          </w:tcPr>
          <w:p w14:paraId="69EFCDC9" w14:textId="77777777" w:rsidR="008270DD" w:rsidRDefault="008270DD" w:rsidP="006150D2">
            <w:pPr>
              <w:widowControl w:val="0"/>
              <w:pBdr>
                <w:top w:val="nil"/>
                <w:left w:val="nil"/>
                <w:bottom w:val="nil"/>
                <w:right w:val="nil"/>
                <w:between w:val="nil"/>
              </w:pBdr>
              <w:spacing w:after="0" w:line="360" w:lineRule="auto"/>
              <w:jc w:val="both"/>
            </w:pPr>
            <w:r>
              <w:t>Building collaboration with global remission networks to increase compatibility and enlarge is international existence.</w:t>
            </w:r>
          </w:p>
        </w:tc>
      </w:tr>
      <w:tr w:rsidR="008270DD" w14:paraId="04EC04C6" w14:textId="77777777" w:rsidTr="006150D2">
        <w:tc>
          <w:tcPr>
            <w:tcW w:w="2970" w:type="dxa"/>
            <w:shd w:val="clear" w:color="auto" w:fill="auto"/>
            <w:tcMar>
              <w:top w:w="100" w:type="dxa"/>
              <w:left w:w="100" w:type="dxa"/>
              <w:bottom w:w="100" w:type="dxa"/>
              <w:right w:w="100" w:type="dxa"/>
            </w:tcMar>
          </w:tcPr>
          <w:p w14:paraId="08C44DDC" w14:textId="77777777" w:rsidR="008270DD" w:rsidRDefault="008270DD" w:rsidP="006150D2">
            <w:pPr>
              <w:widowControl w:val="0"/>
              <w:pBdr>
                <w:top w:val="nil"/>
                <w:left w:val="nil"/>
                <w:bottom w:val="nil"/>
                <w:right w:val="nil"/>
                <w:between w:val="nil"/>
              </w:pBdr>
              <w:spacing w:after="0" w:line="360" w:lineRule="auto"/>
              <w:rPr>
                <w:b/>
              </w:rPr>
            </w:pPr>
            <w:r>
              <w:rPr>
                <w:b/>
              </w:rPr>
              <w:t>Greenfield investments</w:t>
            </w:r>
          </w:p>
        </w:tc>
        <w:tc>
          <w:tcPr>
            <w:tcW w:w="6030" w:type="dxa"/>
            <w:shd w:val="clear" w:color="auto" w:fill="auto"/>
            <w:tcMar>
              <w:top w:w="100" w:type="dxa"/>
              <w:left w:w="100" w:type="dxa"/>
              <w:bottom w:w="100" w:type="dxa"/>
              <w:right w:w="100" w:type="dxa"/>
            </w:tcMar>
          </w:tcPr>
          <w:p w14:paraId="6DEBAA2A" w14:textId="77777777" w:rsidR="008270DD" w:rsidRDefault="008270DD" w:rsidP="006150D2">
            <w:pPr>
              <w:widowControl w:val="0"/>
              <w:pBdr>
                <w:top w:val="nil"/>
                <w:left w:val="nil"/>
                <w:bottom w:val="nil"/>
                <w:right w:val="nil"/>
                <w:between w:val="nil"/>
              </w:pBdr>
              <w:spacing w:after="0" w:line="360" w:lineRule="auto"/>
              <w:jc w:val="both"/>
            </w:pPr>
            <w:r>
              <w:t>Creating fully owned subordinates in new markets, helps to get full control over processes and service standards while undertaking the local circumstances.</w:t>
            </w:r>
          </w:p>
        </w:tc>
      </w:tr>
    </w:tbl>
    <w:p w14:paraId="6D7FC89D" w14:textId="77777777" w:rsidR="007E7DD3" w:rsidRDefault="007E7DD3">
      <w:pPr>
        <w:spacing w:after="160" w:line="360" w:lineRule="auto"/>
      </w:pPr>
    </w:p>
    <w:p w14:paraId="5A402113" w14:textId="77777777" w:rsidR="007E7DD3" w:rsidRDefault="0094325C">
      <w:pPr>
        <w:spacing w:after="160" w:line="360" w:lineRule="auto"/>
        <w:jc w:val="center"/>
      </w:pPr>
      <w:r>
        <w:rPr>
          <w:noProof/>
          <w:lang w:val="en-US"/>
        </w:rPr>
        <w:lastRenderedPageBreak/>
        <w:drawing>
          <wp:inline distT="114300" distB="114300" distL="114300" distR="114300" wp14:anchorId="628078DF" wp14:editId="75A9F653">
            <wp:extent cx="3929063" cy="2245179"/>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cstate="print"/>
                    <a:srcRect/>
                    <a:stretch>
                      <a:fillRect/>
                    </a:stretch>
                  </pic:blipFill>
                  <pic:spPr>
                    <a:xfrm>
                      <a:off x="0" y="0"/>
                      <a:ext cx="3929063" cy="2245179"/>
                    </a:xfrm>
                    <a:prstGeom prst="rect">
                      <a:avLst/>
                    </a:prstGeom>
                    <a:ln/>
                  </pic:spPr>
                </pic:pic>
              </a:graphicData>
            </a:graphic>
          </wp:inline>
        </w:drawing>
      </w:r>
    </w:p>
    <w:p w14:paraId="6941C16C" w14:textId="77777777" w:rsidR="007E7DD3" w:rsidRDefault="0094325C">
      <w:pPr>
        <w:spacing w:after="160" w:line="360" w:lineRule="auto"/>
        <w:jc w:val="center"/>
        <w:rPr>
          <w:b/>
        </w:rPr>
      </w:pPr>
      <w:r>
        <w:rPr>
          <w:b/>
        </w:rPr>
        <w:t>Figure 9: International Mode</w:t>
      </w:r>
    </w:p>
    <w:p w14:paraId="1AA63F2D" w14:textId="77777777" w:rsidR="007E7DD3" w:rsidRDefault="0094325C">
      <w:pPr>
        <w:spacing w:after="160" w:line="360" w:lineRule="auto"/>
        <w:jc w:val="center"/>
      </w:pPr>
      <w:r>
        <w:t xml:space="preserve">(Source: </w:t>
      </w:r>
      <w:sdt>
        <w:sdtPr>
          <w:id w:val="-1443752370"/>
          <w:citation/>
        </w:sdtPr>
        <w:sdtContent>
          <w:r w:rsidR="001571F6">
            <w:fldChar w:fldCharType="begin"/>
          </w:r>
          <w:r w:rsidR="001571F6">
            <w:rPr>
              <w:lang w:val="en-US"/>
            </w:rPr>
            <w:instrText xml:space="preserve">CITATION SAX18 \l 1033 </w:instrText>
          </w:r>
          <w:r w:rsidR="001571F6">
            <w:fldChar w:fldCharType="separate"/>
          </w:r>
          <w:r w:rsidR="008270DD" w:rsidRPr="008270DD">
            <w:rPr>
              <w:noProof/>
              <w:lang w:val="en-US"/>
            </w:rPr>
            <w:t>(SAXENA, 2019)</w:t>
          </w:r>
          <w:r w:rsidR="001571F6">
            <w:fldChar w:fldCharType="end"/>
          </w:r>
        </w:sdtContent>
      </w:sdt>
    </w:p>
    <w:p w14:paraId="76D26D3F" w14:textId="77777777" w:rsidR="007E7DD3" w:rsidRDefault="0094325C">
      <w:pPr>
        <w:pStyle w:val="Heading1"/>
        <w:spacing w:line="360" w:lineRule="auto"/>
      </w:pPr>
      <w:bookmarkStart w:id="19" w:name="_Toc144413460"/>
      <w:r>
        <w:t>Green Strategy and CSR</w:t>
      </w:r>
      <w:bookmarkEnd w:id="19"/>
    </w:p>
    <w:p w14:paraId="01B60A2B" w14:textId="77777777" w:rsidR="007E7DD3" w:rsidRDefault="0094325C">
      <w:pPr>
        <w:spacing w:line="360" w:lineRule="auto"/>
        <w:rPr>
          <w:b/>
        </w:rPr>
      </w:pPr>
      <w:r>
        <w:rPr>
          <w:b/>
        </w:rPr>
        <w:t>Green Strategy</w:t>
      </w:r>
    </w:p>
    <w:tbl>
      <w:tblPr>
        <w:tblStyle w:val="ac"/>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E7DD3" w14:paraId="7EDECD40" w14:textId="77777777">
        <w:tc>
          <w:tcPr>
            <w:tcW w:w="4513" w:type="dxa"/>
            <w:shd w:val="clear" w:color="auto" w:fill="auto"/>
            <w:tcMar>
              <w:top w:w="100" w:type="dxa"/>
              <w:left w:w="100" w:type="dxa"/>
              <w:bottom w:w="100" w:type="dxa"/>
              <w:right w:w="100" w:type="dxa"/>
            </w:tcMar>
          </w:tcPr>
          <w:p w14:paraId="3FB0C5E6" w14:textId="77777777" w:rsidR="007E7DD3" w:rsidRDefault="0094325C">
            <w:pPr>
              <w:widowControl w:val="0"/>
              <w:pBdr>
                <w:top w:val="nil"/>
                <w:left w:val="nil"/>
                <w:bottom w:val="nil"/>
                <w:right w:val="nil"/>
                <w:between w:val="nil"/>
              </w:pBdr>
              <w:spacing w:after="0" w:line="360" w:lineRule="auto"/>
              <w:rPr>
                <w:b/>
              </w:rPr>
            </w:pPr>
            <w:r>
              <w:rPr>
                <w:b/>
              </w:rPr>
              <w:t xml:space="preserve">Manufacturing </w:t>
            </w:r>
          </w:p>
        </w:tc>
        <w:tc>
          <w:tcPr>
            <w:tcW w:w="4513" w:type="dxa"/>
            <w:shd w:val="clear" w:color="auto" w:fill="auto"/>
            <w:tcMar>
              <w:top w:w="100" w:type="dxa"/>
              <w:left w:w="100" w:type="dxa"/>
              <w:bottom w:w="100" w:type="dxa"/>
              <w:right w:w="100" w:type="dxa"/>
            </w:tcMar>
          </w:tcPr>
          <w:p w14:paraId="7BA4DDD2" w14:textId="77777777" w:rsidR="007E7DD3" w:rsidRDefault="0094325C">
            <w:pPr>
              <w:widowControl w:val="0"/>
              <w:pBdr>
                <w:top w:val="nil"/>
                <w:left w:val="nil"/>
                <w:bottom w:val="nil"/>
                <w:right w:val="nil"/>
                <w:between w:val="nil"/>
              </w:pBdr>
              <w:spacing w:after="0" w:line="360" w:lineRule="auto"/>
              <w:jc w:val="both"/>
            </w:pPr>
            <w:r>
              <w:t>Using eco-friendly materials and legitimate manufacturing processes for its credit cards lowering the environment affect and increasing trade name reputation</w:t>
            </w:r>
          </w:p>
        </w:tc>
      </w:tr>
      <w:tr w:rsidR="007E7DD3" w14:paraId="405B82C4" w14:textId="77777777">
        <w:tc>
          <w:tcPr>
            <w:tcW w:w="4513" w:type="dxa"/>
            <w:shd w:val="clear" w:color="auto" w:fill="auto"/>
            <w:tcMar>
              <w:top w:w="100" w:type="dxa"/>
              <w:left w:w="100" w:type="dxa"/>
              <w:bottom w:w="100" w:type="dxa"/>
              <w:right w:w="100" w:type="dxa"/>
            </w:tcMar>
          </w:tcPr>
          <w:p w14:paraId="44751C24" w14:textId="77777777" w:rsidR="007E7DD3" w:rsidRDefault="0094325C">
            <w:pPr>
              <w:widowControl w:val="0"/>
              <w:pBdr>
                <w:top w:val="nil"/>
                <w:left w:val="nil"/>
                <w:bottom w:val="nil"/>
                <w:right w:val="nil"/>
                <w:between w:val="nil"/>
              </w:pBdr>
              <w:spacing w:after="0" w:line="360" w:lineRule="auto"/>
              <w:rPr>
                <w:b/>
              </w:rPr>
            </w:pPr>
            <w:r>
              <w:rPr>
                <w:b/>
              </w:rPr>
              <w:t>Transporting</w:t>
            </w:r>
          </w:p>
        </w:tc>
        <w:tc>
          <w:tcPr>
            <w:tcW w:w="4513" w:type="dxa"/>
            <w:shd w:val="clear" w:color="auto" w:fill="auto"/>
            <w:tcMar>
              <w:top w:w="100" w:type="dxa"/>
              <w:left w:w="100" w:type="dxa"/>
              <w:bottom w:w="100" w:type="dxa"/>
              <w:right w:w="100" w:type="dxa"/>
            </w:tcMar>
          </w:tcPr>
          <w:p w14:paraId="5BC56FB6" w14:textId="77777777" w:rsidR="007E7DD3" w:rsidRDefault="0094325C">
            <w:pPr>
              <w:widowControl w:val="0"/>
              <w:pBdr>
                <w:top w:val="nil"/>
                <w:left w:val="nil"/>
                <w:bottom w:val="nil"/>
                <w:right w:val="nil"/>
                <w:between w:val="nil"/>
              </w:pBdr>
              <w:spacing w:after="0" w:line="360" w:lineRule="auto"/>
              <w:jc w:val="both"/>
            </w:pPr>
            <w:r>
              <w:t>Incorporating successful arrangements and carbon-neutral transportation processes for delivering cards and services helping in environment preservation</w:t>
            </w:r>
            <w:sdt>
              <w:sdtPr>
                <w:id w:val="-318105534"/>
                <w:citation/>
              </w:sdtPr>
              <w:sdtContent>
                <w:r w:rsidR="001571F6">
                  <w:fldChar w:fldCharType="begin"/>
                </w:r>
                <w:r w:rsidR="001571F6">
                  <w:rPr>
                    <w:lang w:val="en-US"/>
                  </w:rPr>
                  <w:instrText xml:space="preserve"> CITATION Bow191 \l 1033 </w:instrText>
                </w:r>
                <w:r w:rsidR="001571F6">
                  <w:fldChar w:fldCharType="separate"/>
                </w:r>
                <w:r w:rsidR="008270DD">
                  <w:rPr>
                    <w:noProof/>
                    <w:lang w:val="en-US"/>
                  </w:rPr>
                  <w:t xml:space="preserve"> </w:t>
                </w:r>
                <w:r w:rsidR="008270DD" w:rsidRPr="008270DD">
                  <w:rPr>
                    <w:noProof/>
                    <w:lang w:val="en-US"/>
                  </w:rPr>
                  <w:t>(Bowman &amp; Raspin, 2019)</w:t>
                </w:r>
                <w:r w:rsidR="001571F6">
                  <w:fldChar w:fldCharType="end"/>
                </w:r>
              </w:sdtContent>
            </w:sdt>
            <w:r w:rsidR="001571F6">
              <w:t>.</w:t>
            </w:r>
            <w:r>
              <w:t xml:space="preserve"> </w:t>
            </w:r>
          </w:p>
        </w:tc>
      </w:tr>
      <w:tr w:rsidR="007E7DD3" w14:paraId="7D9AFD2A" w14:textId="77777777">
        <w:tc>
          <w:tcPr>
            <w:tcW w:w="4513" w:type="dxa"/>
            <w:shd w:val="clear" w:color="auto" w:fill="auto"/>
            <w:tcMar>
              <w:top w:w="100" w:type="dxa"/>
              <w:left w:w="100" w:type="dxa"/>
              <w:bottom w:w="100" w:type="dxa"/>
              <w:right w:w="100" w:type="dxa"/>
            </w:tcMar>
          </w:tcPr>
          <w:p w14:paraId="11B47764" w14:textId="77777777" w:rsidR="007E7DD3" w:rsidRDefault="0094325C">
            <w:pPr>
              <w:widowControl w:val="0"/>
              <w:pBdr>
                <w:top w:val="nil"/>
                <w:left w:val="nil"/>
                <w:bottom w:val="nil"/>
                <w:right w:val="nil"/>
                <w:between w:val="nil"/>
              </w:pBdr>
              <w:spacing w:after="0" w:line="360" w:lineRule="auto"/>
              <w:rPr>
                <w:b/>
              </w:rPr>
            </w:pPr>
            <w:r>
              <w:rPr>
                <w:b/>
              </w:rPr>
              <w:t>Product use</w:t>
            </w:r>
          </w:p>
        </w:tc>
        <w:tc>
          <w:tcPr>
            <w:tcW w:w="4513" w:type="dxa"/>
            <w:shd w:val="clear" w:color="auto" w:fill="auto"/>
            <w:tcMar>
              <w:top w:w="100" w:type="dxa"/>
              <w:left w:w="100" w:type="dxa"/>
              <w:bottom w:w="100" w:type="dxa"/>
              <w:right w:w="100" w:type="dxa"/>
            </w:tcMar>
          </w:tcPr>
          <w:p w14:paraId="5354F72B" w14:textId="77777777" w:rsidR="007E7DD3" w:rsidRDefault="0094325C">
            <w:pPr>
              <w:widowControl w:val="0"/>
              <w:pBdr>
                <w:top w:val="nil"/>
                <w:left w:val="nil"/>
                <w:bottom w:val="nil"/>
                <w:right w:val="nil"/>
                <w:between w:val="nil"/>
              </w:pBdr>
              <w:spacing w:after="0" w:line="360" w:lineRule="auto"/>
              <w:jc w:val="both"/>
            </w:pPr>
            <w:r>
              <w:t xml:space="preserve">Support digital remission and paperless statements to lower cardholders ecological impression and support legitimate economic executions. </w:t>
            </w:r>
          </w:p>
        </w:tc>
      </w:tr>
      <w:tr w:rsidR="007E7DD3" w14:paraId="29917281" w14:textId="77777777">
        <w:tc>
          <w:tcPr>
            <w:tcW w:w="4513" w:type="dxa"/>
            <w:shd w:val="clear" w:color="auto" w:fill="auto"/>
            <w:tcMar>
              <w:top w:w="100" w:type="dxa"/>
              <w:left w:w="100" w:type="dxa"/>
              <w:bottom w:w="100" w:type="dxa"/>
              <w:right w:w="100" w:type="dxa"/>
            </w:tcMar>
          </w:tcPr>
          <w:p w14:paraId="3DEF3E93" w14:textId="77777777" w:rsidR="007E7DD3" w:rsidRDefault="0094325C">
            <w:pPr>
              <w:widowControl w:val="0"/>
              <w:pBdr>
                <w:top w:val="nil"/>
                <w:left w:val="nil"/>
                <w:bottom w:val="nil"/>
                <w:right w:val="nil"/>
                <w:between w:val="nil"/>
              </w:pBdr>
              <w:spacing w:after="0" w:line="360" w:lineRule="auto"/>
              <w:rPr>
                <w:b/>
              </w:rPr>
            </w:pPr>
            <w:r>
              <w:rPr>
                <w:b/>
              </w:rPr>
              <w:t>Recycling</w:t>
            </w:r>
          </w:p>
        </w:tc>
        <w:tc>
          <w:tcPr>
            <w:tcW w:w="4513" w:type="dxa"/>
            <w:shd w:val="clear" w:color="auto" w:fill="auto"/>
            <w:tcMar>
              <w:top w:w="100" w:type="dxa"/>
              <w:left w:w="100" w:type="dxa"/>
              <w:bottom w:w="100" w:type="dxa"/>
              <w:right w:w="100" w:type="dxa"/>
            </w:tcMar>
          </w:tcPr>
          <w:p w14:paraId="1E40733B" w14:textId="1B5A9A82" w:rsidR="007E7DD3" w:rsidRDefault="0094325C">
            <w:pPr>
              <w:widowControl w:val="0"/>
              <w:pBdr>
                <w:top w:val="nil"/>
                <w:left w:val="nil"/>
                <w:bottom w:val="nil"/>
                <w:right w:val="nil"/>
                <w:between w:val="nil"/>
              </w:pBdr>
              <w:spacing w:after="0" w:line="360" w:lineRule="auto"/>
              <w:jc w:val="both"/>
            </w:pPr>
            <w:r>
              <w:t xml:space="preserve">Creating recycling programs for expired cards and other materials securing </w:t>
            </w:r>
            <w:r>
              <w:lastRenderedPageBreak/>
              <w:t>responsible discarding and lowering the waste</w:t>
            </w:r>
            <w:sdt>
              <w:sdtPr>
                <w:id w:val="-266089340"/>
                <w:citation/>
              </w:sdtPr>
              <w:sdtContent>
                <w:r w:rsidR="001571F6">
                  <w:fldChar w:fldCharType="begin"/>
                </w:r>
                <w:r w:rsidR="00EF2120">
                  <w:rPr>
                    <w:lang w:val="en-US"/>
                  </w:rPr>
                  <w:instrText xml:space="preserve">CITATION Bro18 \l 1033 </w:instrText>
                </w:r>
                <w:r w:rsidR="001571F6">
                  <w:fldChar w:fldCharType="separate"/>
                </w:r>
                <w:r w:rsidR="00EF2120">
                  <w:rPr>
                    <w:noProof/>
                    <w:lang w:val="en-US"/>
                  </w:rPr>
                  <w:t xml:space="preserve"> </w:t>
                </w:r>
                <w:r w:rsidR="00EF2120" w:rsidRPr="00EF2120">
                  <w:rPr>
                    <w:noProof/>
                    <w:lang w:val="en-US"/>
                  </w:rPr>
                  <w:t>(Brown, 2018)</w:t>
                </w:r>
                <w:r w:rsidR="001571F6">
                  <w:fldChar w:fldCharType="end"/>
                </w:r>
              </w:sdtContent>
            </w:sdt>
            <w:r>
              <w:t>.</w:t>
            </w:r>
          </w:p>
        </w:tc>
      </w:tr>
      <w:tr w:rsidR="007E7DD3" w14:paraId="37B9255B" w14:textId="77777777">
        <w:tc>
          <w:tcPr>
            <w:tcW w:w="4513" w:type="dxa"/>
            <w:shd w:val="clear" w:color="auto" w:fill="auto"/>
            <w:tcMar>
              <w:top w:w="100" w:type="dxa"/>
              <w:left w:w="100" w:type="dxa"/>
              <w:bottom w:w="100" w:type="dxa"/>
              <w:right w:w="100" w:type="dxa"/>
            </w:tcMar>
          </w:tcPr>
          <w:p w14:paraId="4BE2910F" w14:textId="77777777" w:rsidR="007E7DD3" w:rsidRDefault="0094325C">
            <w:pPr>
              <w:widowControl w:val="0"/>
              <w:pBdr>
                <w:top w:val="nil"/>
                <w:left w:val="nil"/>
                <w:bottom w:val="nil"/>
                <w:right w:val="nil"/>
                <w:between w:val="nil"/>
              </w:pBdr>
              <w:spacing w:after="0" w:line="360" w:lineRule="auto"/>
              <w:rPr>
                <w:b/>
              </w:rPr>
            </w:pPr>
            <w:r>
              <w:rPr>
                <w:b/>
              </w:rPr>
              <w:lastRenderedPageBreak/>
              <w:t>Facilities</w:t>
            </w:r>
          </w:p>
        </w:tc>
        <w:tc>
          <w:tcPr>
            <w:tcW w:w="4513" w:type="dxa"/>
            <w:shd w:val="clear" w:color="auto" w:fill="auto"/>
            <w:tcMar>
              <w:top w:w="100" w:type="dxa"/>
              <w:left w:w="100" w:type="dxa"/>
              <w:bottom w:w="100" w:type="dxa"/>
              <w:right w:w="100" w:type="dxa"/>
            </w:tcMar>
          </w:tcPr>
          <w:p w14:paraId="4DE3D041" w14:textId="77777777" w:rsidR="007E7DD3" w:rsidRDefault="0094325C">
            <w:pPr>
              <w:widowControl w:val="0"/>
              <w:pBdr>
                <w:top w:val="nil"/>
                <w:left w:val="nil"/>
                <w:bottom w:val="nil"/>
                <w:right w:val="nil"/>
                <w:between w:val="nil"/>
              </w:pBdr>
              <w:spacing w:after="0" w:line="360" w:lineRule="auto"/>
              <w:jc w:val="both"/>
            </w:pPr>
            <w:r>
              <w:t>Customising energy consumption and implementing green building practices in establishment facilities lower the footprints and processing cost.</w:t>
            </w:r>
          </w:p>
        </w:tc>
      </w:tr>
    </w:tbl>
    <w:p w14:paraId="54DAE26F" w14:textId="77777777" w:rsidR="007E7DD3" w:rsidRDefault="007E7DD3">
      <w:pPr>
        <w:spacing w:line="360" w:lineRule="auto"/>
      </w:pPr>
    </w:p>
    <w:p w14:paraId="6C2D9603" w14:textId="77777777" w:rsidR="007E7DD3" w:rsidRDefault="0094325C">
      <w:pPr>
        <w:spacing w:line="360" w:lineRule="auto"/>
      </w:pPr>
      <w:r>
        <w:rPr>
          <w:b/>
        </w:rPr>
        <w:t>Corporate social responsibility (CSR)</w:t>
      </w:r>
    </w:p>
    <w:p w14:paraId="2BE0DB31" w14:textId="77777777" w:rsidR="007E7DD3" w:rsidRDefault="0094325C">
      <w:pPr>
        <w:spacing w:line="360" w:lineRule="auto"/>
        <w:jc w:val="both"/>
      </w:pPr>
      <w:r>
        <w:t xml:space="preserve">American Express represents robust Corporate Social Responsibility (CSR) by initiatives like </w:t>
      </w:r>
      <w:r w:rsidR="00E61194">
        <w:t>cantering</w:t>
      </w:r>
      <w:r>
        <w:t xml:space="preserve"> on education, group development and environmental legitimacy. The establishment assists educational initiatives for unprivileged youth, supports contribution among workers and champions variety and insertion</w:t>
      </w:r>
      <w:sdt>
        <w:sdtPr>
          <w:id w:val="-650447350"/>
          <w:citation/>
        </w:sdtPr>
        <w:sdtContent>
          <w:r w:rsidR="001571F6">
            <w:fldChar w:fldCharType="begin"/>
          </w:r>
          <w:r w:rsidR="00782EAA">
            <w:rPr>
              <w:lang w:val="en-US"/>
            </w:rPr>
            <w:instrText xml:space="preserve">CITATION Ale18 \l 1033 </w:instrText>
          </w:r>
          <w:r w:rsidR="001571F6">
            <w:fldChar w:fldCharType="separate"/>
          </w:r>
          <w:r w:rsidR="00782EAA">
            <w:rPr>
              <w:noProof/>
              <w:lang w:val="en-US"/>
            </w:rPr>
            <w:t xml:space="preserve"> </w:t>
          </w:r>
          <w:r w:rsidR="00782EAA" w:rsidRPr="00782EAA">
            <w:rPr>
              <w:noProof/>
              <w:lang w:val="en-US"/>
            </w:rPr>
            <w:t>(Chernev, 2018)</w:t>
          </w:r>
          <w:r w:rsidR="001571F6">
            <w:fldChar w:fldCharType="end"/>
          </w:r>
        </w:sdtContent>
      </w:sdt>
      <w:r>
        <w:t>. American Express also supports environmentally responsible executions such as lowering the carbon emissions, supporting green technology and fostering legitimate distribution chains</w:t>
      </w:r>
      <w:sdt>
        <w:sdtPr>
          <w:id w:val="1616632302"/>
          <w:citation/>
        </w:sdtPr>
        <w:sdtContent>
          <w:r w:rsidR="001571F6">
            <w:fldChar w:fldCharType="begin"/>
          </w:r>
          <w:r w:rsidR="00782EAA">
            <w:rPr>
              <w:lang w:val="en-US"/>
            </w:rPr>
            <w:instrText xml:space="preserve">CITATION Ame23 \l 1033 </w:instrText>
          </w:r>
          <w:r w:rsidR="001571F6">
            <w:fldChar w:fldCharType="separate"/>
          </w:r>
          <w:r w:rsidR="00782EAA">
            <w:rPr>
              <w:noProof/>
              <w:lang w:val="en-US"/>
            </w:rPr>
            <w:t xml:space="preserve"> </w:t>
          </w:r>
          <w:r w:rsidR="00782EAA" w:rsidRPr="00782EAA">
            <w:rPr>
              <w:noProof/>
              <w:lang w:val="en-US"/>
            </w:rPr>
            <w:t>(Express, 2023)</w:t>
          </w:r>
          <w:r w:rsidR="001571F6">
            <w:fldChar w:fldCharType="end"/>
          </w:r>
        </w:sdtContent>
      </w:sdt>
      <w:r>
        <w:t>. These efforts displaying the establishment's dedication to social and environmental improvement while validate the ethical standards in its processes and interchange with different collaborators</w:t>
      </w:r>
    </w:p>
    <w:p w14:paraId="6C45A211" w14:textId="77777777" w:rsidR="007E7DD3" w:rsidRDefault="0094325C">
      <w:pPr>
        <w:pStyle w:val="Heading1"/>
        <w:spacing w:line="360" w:lineRule="auto"/>
      </w:pPr>
      <w:bookmarkStart w:id="20" w:name="_Toc144413461"/>
      <w:r>
        <w:t>Conclusion</w:t>
      </w:r>
      <w:bookmarkEnd w:id="20"/>
      <w:r>
        <w:t xml:space="preserve"> </w:t>
      </w:r>
    </w:p>
    <w:p w14:paraId="46675A04" w14:textId="77777777" w:rsidR="007E7DD3" w:rsidRDefault="0094325C">
      <w:pPr>
        <w:spacing w:line="360" w:lineRule="auto"/>
        <w:jc w:val="both"/>
      </w:pPr>
      <w:r>
        <w:t>After analysing all the facts it can be concluded that American Express's strategic evaluation underscores its strength in trade name addressing data analytics and technological creativity. The establishment's International reach and customer-based viewpoints positioning it for development. However obstacles include competition, parliamentary changes and limited acceptance. By grasping chances like fintech partnership and digital remission tendencies, while recognising weaknesses, American Express can able to address the dynamic scenario and legitimate its leadership in the economic service industry.</w:t>
      </w:r>
    </w:p>
    <w:p w14:paraId="05F51E67" w14:textId="77777777" w:rsidR="007E7DD3" w:rsidRDefault="0094325C">
      <w:pPr>
        <w:pStyle w:val="Heading1"/>
        <w:spacing w:line="360" w:lineRule="auto"/>
      </w:pPr>
      <w:bookmarkStart w:id="21" w:name="_Toc144413462"/>
      <w:r>
        <w:t>Recommendation</w:t>
      </w:r>
      <w:bookmarkEnd w:id="21"/>
      <w:r>
        <w:t xml:space="preserve"> </w:t>
      </w:r>
    </w:p>
    <w:p w14:paraId="279C0BD1" w14:textId="77777777" w:rsidR="007E7DD3" w:rsidRDefault="0094325C">
      <w:pPr>
        <w:spacing w:line="360" w:lineRule="auto"/>
      </w:pPr>
      <w:r>
        <w:t xml:space="preserve">The probable recommendations for American Express after strategic evaluation are- </w:t>
      </w:r>
    </w:p>
    <w:p w14:paraId="287E25D2" w14:textId="77777777" w:rsidR="007E7DD3" w:rsidRDefault="0094325C">
      <w:pPr>
        <w:numPr>
          <w:ilvl w:val="0"/>
          <w:numId w:val="2"/>
        </w:numPr>
        <w:spacing w:after="0" w:line="360" w:lineRule="auto"/>
        <w:jc w:val="both"/>
        <w:rPr>
          <w:b/>
        </w:rPr>
      </w:pPr>
      <w:r>
        <w:rPr>
          <w:b/>
        </w:rPr>
        <w:t xml:space="preserve">Enhance Digital Integration: </w:t>
      </w:r>
      <w:r>
        <w:t>Contribute in smooth digital experience and mobile remission solution to fulfil the rising customer choices.</w:t>
      </w:r>
    </w:p>
    <w:p w14:paraId="0A7DBB6A" w14:textId="77777777" w:rsidR="007E7DD3" w:rsidRDefault="0094325C">
      <w:pPr>
        <w:numPr>
          <w:ilvl w:val="0"/>
          <w:numId w:val="2"/>
        </w:numPr>
        <w:spacing w:after="0" w:line="360" w:lineRule="auto"/>
        <w:jc w:val="both"/>
        <w:rPr>
          <w:b/>
        </w:rPr>
      </w:pPr>
      <w:r>
        <w:rPr>
          <w:b/>
        </w:rPr>
        <w:lastRenderedPageBreak/>
        <w:t xml:space="preserve">Expand Global Partnership: </w:t>
      </w:r>
      <w:r>
        <w:t xml:space="preserve">build strategic association with fintech </w:t>
      </w:r>
      <w:r w:rsidR="00E61194">
        <w:t>start-ups</w:t>
      </w:r>
      <w:r>
        <w:t xml:space="preserve"> and international emission networks to expand the service representation and market reach.</w:t>
      </w:r>
    </w:p>
    <w:p w14:paraId="148B87FC" w14:textId="77777777" w:rsidR="007E7DD3" w:rsidRDefault="0094325C">
      <w:pPr>
        <w:numPr>
          <w:ilvl w:val="0"/>
          <w:numId w:val="2"/>
        </w:numPr>
        <w:spacing w:after="0" w:line="360" w:lineRule="auto"/>
        <w:jc w:val="both"/>
        <w:rPr>
          <w:b/>
        </w:rPr>
      </w:pPr>
      <w:r>
        <w:rPr>
          <w:b/>
        </w:rPr>
        <w:t xml:space="preserve">Mitigate Regulatory Risk: </w:t>
      </w:r>
      <w:r>
        <w:t>Carefully observe and undertake the changing regulations to secure adherence in and lower the rate of possible disturbance.</w:t>
      </w:r>
    </w:p>
    <w:p w14:paraId="47EC840C" w14:textId="77777777" w:rsidR="007E7DD3" w:rsidRDefault="0094325C">
      <w:pPr>
        <w:numPr>
          <w:ilvl w:val="0"/>
          <w:numId w:val="2"/>
        </w:numPr>
        <w:spacing w:line="360" w:lineRule="auto"/>
        <w:jc w:val="both"/>
        <w:rPr>
          <w:b/>
        </w:rPr>
      </w:pPr>
      <w:r>
        <w:rPr>
          <w:b/>
        </w:rPr>
        <w:t xml:space="preserve">Innovate Personalization: </w:t>
      </w:r>
      <w:r>
        <w:t>Additionally grasping data analytics to build customised remunerate, offers and economic planning services, increasing customer involvement and loyalty.</w:t>
      </w:r>
    </w:p>
    <w:p w14:paraId="57928E5C" w14:textId="77777777" w:rsidR="007E7DD3" w:rsidRDefault="0094325C">
      <w:pPr>
        <w:pStyle w:val="Heading1"/>
        <w:spacing w:line="360" w:lineRule="auto"/>
      </w:pPr>
      <w:bookmarkStart w:id="22" w:name="_8lqdq8x9gr05" w:colFirst="0" w:colLast="0"/>
      <w:bookmarkEnd w:id="22"/>
      <w:r>
        <w:br w:type="page"/>
      </w:r>
    </w:p>
    <w:p w14:paraId="2C6C3CA2" w14:textId="77777777" w:rsidR="00EC7E33" w:rsidRPr="00EC7E33" w:rsidRDefault="0094325C" w:rsidP="00EC7E33">
      <w:pPr>
        <w:pStyle w:val="Heading1"/>
        <w:spacing w:line="360" w:lineRule="auto"/>
      </w:pPr>
      <w:bookmarkStart w:id="23" w:name="_Toc144413463"/>
      <w:r>
        <w:lastRenderedPageBreak/>
        <w:t>Reference List</w:t>
      </w:r>
      <w:bookmarkEnd w:id="23"/>
    </w:p>
    <w:p w14:paraId="4F5EEB31" w14:textId="77777777" w:rsidR="00EC7E33" w:rsidRPr="005D00DC" w:rsidRDefault="00EC7E33" w:rsidP="005D00DC">
      <w:pPr>
        <w:pStyle w:val="NoSpacing"/>
      </w:pPr>
      <w:r w:rsidRPr="00EC7E33">
        <w:t xml:space="preserve">Alexander, C. (2018). </w:t>
      </w:r>
      <w:r w:rsidRPr="00EC7E33">
        <w:rPr>
          <w:i/>
        </w:rPr>
        <w:t>Strategic Marketing Management, 9th Edition</w:t>
      </w:r>
      <w:r w:rsidRPr="00EC7E33">
        <w:t>. [online]. Cerebellum Press</w:t>
      </w:r>
      <w:r w:rsidRPr="005D00DC">
        <w:t>.</w:t>
      </w:r>
      <w:r w:rsidR="005D00DC" w:rsidRPr="005D00DC">
        <w:t xml:space="preserve"> </w:t>
      </w:r>
      <w:r w:rsidRPr="005D00DC">
        <w:t>Available at: https://books.google.co.in/books?hl=en&amp;lr=&amp;id=CUlNDwAAQBAJ&amp;oi=fnd&amp;pg=PT11&amp;dq=strategic+analysis+of+american+express&amp;ots=JJncIvPAkK&amp;sig=TPf_KkaL_VRHi8rCL_G2MIimSTg&amp;redir_esc=y#v=onepage&amp;q&amp;f=false [Accessed 29 Aug. 2023].</w:t>
      </w:r>
    </w:p>
    <w:p w14:paraId="0771969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American Express (2023). </w:t>
      </w:r>
      <w:r w:rsidRPr="00EC7E33">
        <w:rPr>
          <w:i/>
          <w:color w:val="000000" w:themeColor="text1"/>
        </w:rPr>
        <w:t>About American Express</w:t>
      </w:r>
      <w:r w:rsidRPr="00EC7E33">
        <w:rPr>
          <w:color w:val="000000" w:themeColor="text1"/>
        </w:rPr>
        <w:t>. [online] www.americanexpress.com. Available at: https://www.americanexpress.com/en-us/company/.</w:t>
      </w:r>
    </w:p>
    <w:p w14:paraId="2BA9CB09"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American Express (2023). </w:t>
      </w:r>
      <w:r w:rsidRPr="00EC7E33">
        <w:rPr>
          <w:i/>
          <w:color w:val="000000" w:themeColor="text1"/>
        </w:rPr>
        <w:t>Smart Earn Credit Card Benefits | American Express IN</w:t>
      </w:r>
      <w:r w:rsidRPr="00EC7E33">
        <w:rPr>
          <w:color w:val="000000" w:themeColor="text1"/>
        </w:rPr>
        <w:t>. [online] www.americanexpress.com. Available at: https://www.americanexpress.com/in/benefits/smart-earn-credit-card/ [Accessed 30 Aug. 2023].</w:t>
      </w:r>
    </w:p>
    <w:p w14:paraId="2BDEDF01"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American express annual report (2023). </w:t>
      </w:r>
      <w:r w:rsidRPr="00EC7E33">
        <w:rPr>
          <w:i/>
          <w:color w:val="000000" w:themeColor="text1"/>
        </w:rPr>
        <w:t>American Express Company - Financials - Annual Reports &amp; Proxy Statements</w:t>
      </w:r>
      <w:r w:rsidRPr="00EC7E33">
        <w:rPr>
          <w:color w:val="000000" w:themeColor="text1"/>
        </w:rPr>
        <w:t>. [online] ir.americanexpress.com. Available at: https://ir.americanexpress.com/financials/annual-reports-and-proxy-statements/default.aspx.</w:t>
      </w:r>
    </w:p>
    <w:p w14:paraId="201DEED3"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Ansoff, H.I., Kipley, D., Lewis, A.O., Helm-Stevens, R. and Ansoff, R. (2018). </w:t>
      </w:r>
      <w:r w:rsidRPr="00EC7E33">
        <w:rPr>
          <w:i/>
          <w:color w:val="000000" w:themeColor="text1"/>
        </w:rPr>
        <w:t>Implanting Strategic Management</w:t>
      </w:r>
      <w:r w:rsidRPr="00EC7E33">
        <w:rPr>
          <w:color w:val="000000" w:themeColor="text1"/>
        </w:rPr>
        <w:t>. [online</w:t>
      </w:r>
      <w:r w:rsidR="006F667D">
        <w:rPr>
          <w:color w:val="000000" w:themeColor="text1"/>
        </w:rPr>
        <w:t>]</w:t>
      </w:r>
      <w:r w:rsidRPr="00EC7E33">
        <w:rPr>
          <w:color w:val="000000" w:themeColor="text1"/>
        </w:rPr>
        <w:t>. Springer. Available at: https://books.google.co.in/books?hl=en&amp;lr=&amp;id=YSt1DwAAQBAJ&amp;oi=fnd&amp;pg=PR9&amp;dq=strategic+analysis+of+american+express&amp;ots=qTQwavsYsy&amp;sig=cAYlzDnz9y2vgGwLxn1XyGBbvqI&amp;redir_esc=y#v=onepage&amp;q&amp;f=false [Accessed 29 Aug. 2023].</w:t>
      </w:r>
    </w:p>
    <w:p w14:paraId="375FD6BD"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Barney, J.B. and Hesterly, W.S. (2018). </w:t>
      </w:r>
      <w:r w:rsidRPr="00EC7E33">
        <w:rPr>
          <w:i/>
          <w:color w:val="000000" w:themeColor="text1"/>
        </w:rPr>
        <w:t>Strategic Management and Competitive Advantage: Concepts and Cases, Global Edition</w:t>
      </w:r>
      <w:r w:rsidRPr="00EC7E33">
        <w:rPr>
          <w:color w:val="000000" w:themeColor="text1"/>
        </w:rPr>
        <w:t>. [online]. Pearson Education. Available at: https://www.google.co.in/books/edition/Strategic_Management_and_Competitive_Adv/I7-GEAAAQBAJ?hl=en [Accessed 29 Aug. 2023].</w:t>
      </w:r>
    </w:p>
    <w:p w14:paraId="72BDF27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Blakeman, R. (2023). </w:t>
      </w:r>
      <w:r w:rsidRPr="00EC7E33">
        <w:rPr>
          <w:i/>
          <w:color w:val="000000" w:themeColor="text1"/>
        </w:rPr>
        <w:t>Integrated Marketing Communication: Creative Strategy from Idea to Implementation</w:t>
      </w:r>
      <w:r w:rsidRPr="00EC7E33">
        <w:rPr>
          <w:color w:val="000000" w:themeColor="text1"/>
        </w:rPr>
        <w:t>. [online]. Rowman &amp; Littlefield. Available at: https://books.google.co.in/books?hl=en&amp;lr=&amp;id=tPDIEAAAQBAJ&amp;oi=fnd&amp;pg=PP1&amp;dq=strategic+analysis+of+american+express&amp;ots=kO2nBJxHCS&amp;sig=B8YXYMy69LjaV-EFnNIOl12oTLo&amp;redir_esc=y#v=onepage&amp;q&amp;f=false [Accessed 29 Aug. 2023].</w:t>
      </w:r>
    </w:p>
    <w:p w14:paraId="7C0AB476" w14:textId="77777777" w:rsidR="00EC7E33" w:rsidRPr="00EC7E33" w:rsidRDefault="00EC7E33" w:rsidP="00EC7E33">
      <w:pPr>
        <w:spacing w:after="240" w:line="360" w:lineRule="auto"/>
        <w:jc w:val="both"/>
        <w:rPr>
          <w:color w:val="000000" w:themeColor="text1"/>
        </w:rPr>
      </w:pPr>
      <w:r w:rsidRPr="00EC7E33">
        <w:rPr>
          <w:color w:val="000000" w:themeColor="text1"/>
        </w:rPr>
        <w:lastRenderedPageBreak/>
        <w:t xml:space="preserve">Blue Ocean (2013). </w:t>
      </w:r>
      <w:r w:rsidRPr="00EC7E33">
        <w:rPr>
          <w:i/>
          <w:color w:val="000000" w:themeColor="text1"/>
        </w:rPr>
        <w:t>Four Actions Framework: Reconstruct Buyer Value | Blue Ocean Strategy &amp; Shift</w:t>
      </w:r>
      <w:r w:rsidRPr="00EC7E33">
        <w:rPr>
          <w:color w:val="000000" w:themeColor="text1"/>
        </w:rPr>
        <w:t>. [online] Blue Ocean Strategy. Available at: https://www.blueoceanstrategy.com/tools/four-actions-framework/ [Accessed 30 Aug. 2023].</w:t>
      </w:r>
    </w:p>
    <w:p w14:paraId="41BA03C9"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Bowman, C. and Raspin, P. (2019). </w:t>
      </w:r>
      <w:r w:rsidRPr="00EC7E33">
        <w:rPr>
          <w:i/>
          <w:color w:val="000000" w:themeColor="text1"/>
        </w:rPr>
        <w:t>What’s Your Competitive Advantage?: 7 Strategies To Discover Your Next Source Of Value</w:t>
      </w:r>
      <w:r w:rsidRPr="00EC7E33">
        <w:rPr>
          <w:color w:val="000000" w:themeColor="text1"/>
        </w:rPr>
        <w:t>. [online]. Pearson UK. Available at: https://www.google.co.in/books/edition/What_s_Your_Competitive_Advantage/g-ksEAAAQBAJ?hl=en&amp;gbpv=1&amp;dq=exploring+strategy&amp;pg=PT183&amp;printsec=frontcover [Accessed 29 Aug. 2023].</w:t>
      </w:r>
    </w:p>
    <w:p w14:paraId="183005AC"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Brown, S. (2018). </w:t>
      </w:r>
      <w:r w:rsidRPr="00EC7E33">
        <w:rPr>
          <w:i/>
          <w:color w:val="000000" w:themeColor="text1"/>
        </w:rPr>
        <w:t>Strategic Operations Management</w:t>
      </w:r>
      <w:r w:rsidRPr="00EC7E33">
        <w:rPr>
          <w:color w:val="000000" w:themeColor="text1"/>
        </w:rPr>
        <w:t>. Routledge. doi:https://doi.org/10.4324/9781315123370.</w:t>
      </w:r>
    </w:p>
    <w:p w14:paraId="05564E3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Bruin, L. de (2018). </w:t>
      </w:r>
      <w:r w:rsidRPr="00EC7E33">
        <w:rPr>
          <w:i/>
          <w:color w:val="000000" w:themeColor="text1"/>
        </w:rPr>
        <w:t>Value Chain Analysis EXPLAINED with EXAMPLES | B2U</w:t>
      </w:r>
      <w:r w:rsidRPr="00EC7E33">
        <w:rPr>
          <w:color w:val="000000" w:themeColor="text1"/>
        </w:rPr>
        <w:t>. [online] B2U - Business-to-you.com. Available at: https://www.business-to-you.com/value-chain/ [Accessed 30 Aug. 2023].</w:t>
      </w:r>
    </w:p>
    <w:p w14:paraId="5B022B7A"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Burgelman, R.A. (2020). </w:t>
      </w:r>
      <w:r w:rsidRPr="00EC7E33">
        <w:rPr>
          <w:i/>
          <w:color w:val="000000" w:themeColor="text1"/>
        </w:rPr>
        <w:t>Strategy Is Destiny: How Strategy-Making Shapes a Company’s Future</w:t>
      </w:r>
      <w:r w:rsidRPr="00EC7E33">
        <w:rPr>
          <w:color w:val="000000" w:themeColor="text1"/>
        </w:rPr>
        <w:t>. [online]. Simon and Schuster. Available at: https://books.google.co.in/books?hl=en&amp;lr=&amp;id=VazSDwAAQBAJ&amp;oi=fnd&amp;pg=PR11&amp;dq=strategic+management&amp;ots=xC-nf3xFAg&amp;sig=pj7ZPJ9rQNYonIcHGLC-Xf2rg88&amp;redir_esc=y#v=onepage&amp;q=strategic%20management&amp;f=false [Accessed 29 Aug. 2023].</w:t>
      </w:r>
    </w:p>
    <w:p w14:paraId="7D4ACF51"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Chauhan, R. (2022). </w:t>
      </w:r>
      <w:r w:rsidRPr="00EC7E33">
        <w:rPr>
          <w:i/>
          <w:color w:val="000000" w:themeColor="text1"/>
        </w:rPr>
        <w:t>Beyond Strategic Management: Achievers Have No Barriers</w:t>
      </w:r>
      <w:r w:rsidRPr="00EC7E33">
        <w:rPr>
          <w:color w:val="000000" w:themeColor="text1"/>
        </w:rPr>
        <w:t>. [online]. Notion Press. Available at: https://www.google.co.in/books/edition/Beyond_Strategic_Management/A_d3EAAAQBAJ?hl=en&amp;gbpv=1&amp;dq=strategic+management&amp;printsec=frontcover [Accessed 29 Aug. 2023].</w:t>
      </w:r>
    </w:p>
    <w:p w14:paraId="3A005B2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Choi, T.-M., Wallace, S.W. and Wang, Y. (2018). Big Data Analytics in Operations Management. </w:t>
      </w:r>
      <w:r w:rsidRPr="00EC7E33">
        <w:rPr>
          <w:i/>
          <w:color w:val="000000" w:themeColor="text1"/>
        </w:rPr>
        <w:t>Production and Operations Management</w:t>
      </w:r>
      <w:r w:rsidRPr="00EC7E33">
        <w:rPr>
          <w:color w:val="000000" w:themeColor="text1"/>
        </w:rPr>
        <w:t>, [online] 27(10), pp.1868–1883. doi:https://doi.org/10.1111/poms.12838.</w:t>
      </w:r>
    </w:p>
    <w:p w14:paraId="3AB4A87A"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Crowder, M., Roohanifar, M. and Brown, T.A. (2022). </w:t>
      </w:r>
      <w:r w:rsidRPr="00EC7E33">
        <w:rPr>
          <w:i/>
          <w:color w:val="000000" w:themeColor="text1"/>
        </w:rPr>
        <w:t>Public Sector Strategy: Concepts, Cases and Tools</w:t>
      </w:r>
      <w:r w:rsidRPr="00EC7E33">
        <w:rPr>
          <w:color w:val="000000" w:themeColor="text1"/>
        </w:rPr>
        <w:t>. [online</w:t>
      </w:r>
      <w:r w:rsidR="006F667D">
        <w:rPr>
          <w:color w:val="000000" w:themeColor="text1"/>
        </w:rPr>
        <w:t>]</w:t>
      </w:r>
      <w:r w:rsidRPr="00EC7E33">
        <w:rPr>
          <w:color w:val="000000" w:themeColor="text1"/>
        </w:rPr>
        <w:t xml:space="preserve">. Routledge. Available at: </w:t>
      </w:r>
      <w:r w:rsidRPr="00EC7E33">
        <w:rPr>
          <w:color w:val="000000" w:themeColor="text1"/>
        </w:rPr>
        <w:lastRenderedPageBreak/>
        <w:t>https://www.google.co.in/books/edition/Public_Sector_Strategy/6mxbEAAAQBAJ?hl=en&amp;gbpv=1&amp;dq=exploring+strategy&amp;pg=PT14&amp;printsec=frontcover [Accessed 29 Aug. 2023].</w:t>
      </w:r>
    </w:p>
    <w:p w14:paraId="3FB01F98"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Daft, R.L. (2021). </w:t>
      </w:r>
      <w:r w:rsidRPr="00EC7E33">
        <w:rPr>
          <w:i/>
          <w:color w:val="000000" w:themeColor="text1"/>
        </w:rPr>
        <w:t>Management</w:t>
      </w:r>
      <w:r w:rsidRPr="00EC7E33">
        <w:rPr>
          <w:color w:val="000000" w:themeColor="text1"/>
        </w:rPr>
        <w:t>. [online]. Cengage Learning. Available at: https://books.google.co.in/books?hl=en&amp;lr=&amp;id=HBQcEAAAQBAJ&amp;oi=fnd&amp;pg=PP1&amp;dq=strategic+management&amp;ots=4-vzMpFP2u&amp;sig=vOBZgsfeTAEQC9ZsNgVq4rjepus&amp;redir_esc=y#v=onepage&amp;q=strategic%20management&amp;f=false [Accessed 29 Aug. 2023].</w:t>
      </w:r>
    </w:p>
    <w:p w14:paraId="62B8EACD"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Dhir, S. and Sushil (2019). </w:t>
      </w:r>
      <w:r w:rsidRPr="00EC7E33">
        <w:rPr>
          <w:i/>
          <w:color w:val="000000" w:themeColor="text1"/>
        </w:rPr>
        <w:t>Cases in Strategic Management: A Flexibility Perspective</w:t>
      </w:r>
      <w:r w:rsidRPr="00EC7E33">
        <w:rPr>
          <w:color w:val="000000" w:themeColor="text1"/>
        </w:rPr>
        <w:t>. [online]. Springer. Available at: https://www.google.co.in/books/edition/Cases_in_Strategic_Management/gsiSDwAAQBAJ?hl=en&amp;gbpv=1&amp;dq=strategic+management&amp;printsec=frontcover [Accessed 29 Aug. 2023].</w:t>
      </w:r>
    </w:p>
    <w:p w14:paraId="6B14997B"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Dieffenbacher, S. (2023). </w:t>
      </w:r>
      <w:r w:rsidRPr="00EC7E33">
        <w:rPr>
          <w:i/>
          <w:color w:val="000000" w:themeColor="text1"/>
        </w:rPr>
        <w:t>Porter’s Generic Strategies: Cost Leadership, Differentiation and Focus</w:t>
      </w:r>
      <w:r w:rsidRPr="00EC7E33">
        <w:rPr>
          <w:color w:val="000000" w:themeColor="text1"/>
        </w:rPr>
        <w:t>. [online] Digital Leadership. Available at: https://digitalleadership.com/blog/porters-generic-strategies/ [Accessed 30 Aug. 2023].</w:t>
      </w:r>
    </w:p>
    <w:p w14:paraId="1050E9D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Dyer, J.H., Godfrey, P.C., Jensen, R.J. and Bryce, D.J. (2020). </w:t>
      </w:r>
      <w:r w:rsidRPr="00EC7E33">
        <w:rPr>
          <w:i/>
          <w:color w:val="000000" w:themeColor="text1"/>
        </w:rPr>
        <w:t>Strategic Management: Concepts and Cases</w:t>
      </w:r>
      <w:r w:rsidRPr="00EC7E33">
        <w:rPr>
          <w:color w:val="000000" w:themeColor="text1"/>
        </w:rPr>
        <w:t>. [online</w:t>
      </w:r>
      <w:r w:rsidR="006F667D">
        <w:rPr>
          <w:color w:val="000000" w:themeColor="text1"/>
        </w:rPr>
        <w:t>]</w:t>
      </w:r>
      <w:r w:rsidRPr="00EC7E33">
        <w:rPr>
          <w:color w:val="000000" w:themeColor="text1"/>
        </w:rPr>
        <w:t>. John Wiley &amp; Sons. Available at: https://www.google.co.in/books/edition/Strategic_Management/emfDDwAAQBAJ?hl=en&amp;gbpv=1&amp;dq=strategic+management&amp;printsec=frontcover [Accessed 29 Aug. 2023].</w:t>
      </w:r>
    </w:p>
    <w:p w14:paraId="0B269A38"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Ferlie, E. and Ongaro, E. (2022). </w:t>
      </w:r>
      <w:r w:rsidRPr="00EC7E33">
        <w:rPr>
          <w:i/>
          <w:color w:val="000000" w:themeColor="text1"/>
        </w:rPr>
        <w:t>Strategic Management in Public Services Organizations: Concepts, Schools and Contemporary Issues</w:t>
      </w:r>
      <w:r w:rsidRPr="00EC7E33">
        <w:rPr>
          <w:color w:val="000000" w:themeColor="text1"/>
        </w:rPr>
        <w:t>. [online</w:t>
      </w:r>
      <w:r w:rsidR="006F667D">
        <w:rPr>
          <w:color w:val="000000" w:themeColor="text1"/>
        </w:rPr>
        <w:t>]</w:t>
      </w:r>
      <w:r w:rsidRPr="00EC7E33">
        <w:rPr>
          <w:color w:val="000000" w:themeColor="text1"/>
        </w:rPr>
        <w:t>. Routledge. Available at: https://books.google.co.in/books?hl=en&amp;lr=&amp;id=IiJfEAAAQBAJ&amp;oi=fnd&amp;pg=PT7&amp;dq=strategic+management&amp;ots=_OePuUD9s1&amp;sig=IENmesDj2TwUKv35Id7IG8Ks7Ek&amp;redir_esc=y#v=onepage&amp;q=strategic%20management&amp;f=false [Accessed 29 Aug. 2023].</w:t>
      </w:r>
    </w:p>
    <w:p w14:paraId="62F71F06"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Freepik (2023). </w:t>
      </w:r>
      <w:r w:rsidRPr="00EC7E33">
        <w:rPr>
          <w:i/>
          <w:color w:val="000000" w:themeColor="text1"/>
        </w:rPr>
        <w:t>Premium Vector | Pestle analysis banner. vector illustration</w:t>
      </w:r>
      <w:r w:rsidRPr="00EC7E33">
        <w:rPr>
          <w:color w:val="000000" w:themeColor="text1"/>
        </w:rPr>
        <w:t>. [online] Freepik. Available at: https://www.freepik.com/premium-vector/pestle-analysis-banner-vector-illustration_30162654.htm [Accessed 30 Aug. 2023].</w:t>
      </w:r>
    </w:p>
    <w:p w14:paraId="3D6E0A5D"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Fuertes, G., Alfaro, M., Vargas, M., Gutierrez, S., Ternero, R. and Sabattin, J. (2020). </w:t>
      </w:r>
      <w:r w:rsidRPr="00EC7E33">
        <w:rPr>
          <w:i/>
          <w:color w:val="000000" w:themeColor="text1"/>
        </w:rPr>
        <w:t>Conceptual Framework for the Strategic Management: A Literature Review—Descriptive</w:t>
      </w:r>
      <w:r w:rsidRPr="00EC7E33">
        <w:rPr>
          <w:color w:val="000000" w:themeColor="text1"/>
        </w:rPr>
        <w:t xml:space="preserve">. </w:t>
      </w:r>
      <w:r w:rsidRPr="00EC7E33">
        <w:rPr>
          <w:color w:val="000000" w:themeColor="text1"/>
        </w:rPr>
        <w:lastRenderedPageBreak/>
        <w:t>[online] Journal of Engineering. Available at: https://www.hindawi.com/journals/JE/2020/6253013/.</w:t>
      </w:r>
    </w:p>
    <w:p w14:paraId="41905BD1"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Gao, H., Hsu, P.-H. and Li, K. (2018). Innovation Strategy of Private Firms. </w:t>
      </w:r>
      <w:r w:rsidRPr="00EC7E33">
        <w:rPr>
          <w:i/>
          <w:color w:val="000000" w:themeColor="text1"/>
        </w:rPr>
        <w:t>Journal of Financial and Quantitative Analysis</w:t>
      </w:r>
      <w:r w:rsidRPr="00EC7E33">
        <w:rPr>
          <w:color w:val="000000" w:themeColor="text1"/>
        </w:rPr>
        <w:t>, [online] 53(1), pp.1–32. doi:https://doi.org/10.1017/s0022109017001119.</w:t>
      </w:r>
    </w:p>
    <w:p w14:paraId="5A1F2615"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Goldberg, S.B., Sander, F.E.A., Rogers, N.H. and Cole, S.R. (2020). </w:t>
      </w:r>
      <w:r w:rsidRPr="00EC7E33">
        <w:rPr>
          <w:i/>
          <w:color w:val="000000" w:themeColor="text1"/>
        </w:rPr>
        <w:t>Dispute Resolution: Negotiation, Mediation, Arbitration, and Other Processes</w:t>
      </w:r>
      <w:r w:rsidRPr="00EC7E33">
        <w:rPr>
          <w:color w:val="000000" w:themeColor="text1"/>
        </w:rPr>
        <w:t>. [online]. Aspen Publishing. Available at: https://books.google.co.in/books?hl=en&amp;lr=&amp;id=tAGBEAAAQBAJ&amp;oi=fnd&amp;pg=PR21&amp;dq=strategic+analysis+of+american+express&amp;ots=7SJk9wTp6Z&amp;sig=60V62j7NhO1F_1OHaYqtbKIga3g&amp;redir_esc=y#v=onepage&amp;q&amp;f=false [Accessed 29 Aug. 2023].</w:t>
      </w:r>
    </w:p>
    <w:p w14:paraId="7804E691"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Grant, R.M. (2021). </w:t>
      </w:r>
      <w:r w:rsidRPr="00EC7E33">
        <w:rPr>
          <w:i/>
          <w:color w:val="000000" w:themeColor="text1"/>
        </w:rPr>
        <w:t>Contemporary Strategy Analysis</w:t>
      </w:r>
      <w:r w:rsidRPr="00EC7E33">
        <w:rPr>
          <w:color w:val="000000" w:themeColor="text1"/>
        </w:rPr>
        <w:t xml:space="preserve">. [online] </w:t>
      </w:r>
      <w:r w:rsidRPr="00EC7E33">
        <w:rPr>
          <w:i/>
          <w:color w:val="000000" w:themeColor="text1"/>
        </w:rPr>
        <w:t>Google Books</w:t>
      </w:r>
      <w:r w:rsidRPr="00EC7E33">
        <w:rPr>
          <w:color w:val="000000" w:themeColor="text1"/>
        </w:rPr>
        <w:t>. John Wiley &amp; Sons. Available at: https://books.google.co.in/books?hl=en&amp;lr=&amp;id=TadJEAAAQBAJ&amp;oi=fnd&amp;pg=PR5&amp;dq=strategic+analysis+of+american+express&amp;ots=oR-5WJiqR3&amp;sig=Ryh4L9tpRmStWXBzujnql2aK4M8&amp;redir_esc=y#v=onepage&amp;q=strategic%20analysis%20of%20american%20express&amp;f=false [Accessed 29 Aug. 2023].</w:t>
      </w:r>
    </w:p>
    <w:p w14:paraId="6F0E3AF0"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Gupta, S. (2018). </w:t>
      </w:r>
      <w:r w:rsidRPr="00EC7E33">
        <w:rPr>
          <w:i/>
          <w:color w:val="000000" w:themeColor="text1"/>
        </w:rPr>
        <w:t>Driving Digital Strategy: A Guide to Reimagining Your Business</w:t>
      </w:r>
      <w:r w:rsidRPr="00EC7E33">
        <w:rPr>
          <w:color w:val="000000" w:themeColor="text1"/>
        </w:rPr>
        <w:t>. [online]. Harvard Business Press. Available at: https://books.google.co.in/books?hl=en&amp;lr=&amp;id=HtJJDwAAQBAJ&amp;oi=fnd&amp;pg=PT8&amp;dq=strategic+analysis+of+american+express&amp;ots=syYMbDYFv1&amp;sig=-EpGvKlrkWH3nLIQKxVth9RmB34&amp;redir_esc=y#v=onepage&amp;q&amp;f=false [Accessed 29 Aug. 2023].</w:t>
      </w:r>
    </w:p>
    <w:p w14:paraId="0FF8098B"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Hanson, D., Backhouse, K., Leaney, D., Hitt, M.A., Ireland, R.D. and Hoskisson, R.E. (2021). </w:t>
      </w:r>
      <w:r w:rsidRPr="00EC7E33">
        <w:rPr>
          <w:i/>
          <w:color w:val="000000" w:themeColor="text1"/>
        </w:rPr>
        <w:t>Strategic Management: Competitiveness and Globalisation</w:t>
      </w:r>
      <w:r w:rsidRPr="00EC7E33">
        <w:rPr>
          <w:color w:val="000000" w:themeColor="text1"/>
        </w:rPr>
        <w:t xml:space="preserve">. [online] </w:t>
      </w:r>
      <w:r w:rsidRPr="00EC7E33">
        <w:rPr>
          <w:i/>
          <w:color w:val="000000" w:themeColor="text1"/>
        </w:rPr>
        <w:t>Google Books</w:t>
      </w:r>
      <w:r w:rsidRPr="00EC7E33">
        <w:rPr>
          <w:color w:val="000000" w:themeColor="text1"/>
        </w:rPr>
        <w:t>. Cengage AU. Available at: https://www.google.co.in/books/edition/Strategic_Management_Competitiveness_and/sy5MEAAAQBAJ?hl=en&amp;gbpv=1&amp;dq=strategic+management&amp;printsec=frontcover [Accessed 29 Aug. 2023].</w:t>
      </w:r>
    </w:p>
    <w:p w14:paraId="3992D2D1" w14:textId="77777777" w:rsidR="00EC7E33" w:rsidRPr="00EC7E33" w:rsidRDefault="00EC7E33" w:rsidP="00EC7E33">
      <w:pPr>
        <w:spacing w:after="240" w:line="360" w:lineRule="auto"/>
        <w:jc w:val="both"/>
        <w:rPr>
          <w:color w:val="000000" w:themeColor="text1"/>
        </w:rPr>
      </w:pPr>
      <w:r w:rsidRPr="00EC7E33">
        <w:rPr>
          <w:color w:val="000000" w:themeColor="text1"/>
        </w:rPr>
        <w:lastRenderedPageBreak/>
        <w:t xml:space="preserve">Helmold, M. (2021). </w:t>
      </w:r>
      <w:r w:rsidRPr="00EC7E33">
        <w:rPr>
          <w:i/>
          <w:color w:val="000000" w:themeColor="text1"/>
        </w:rPr>
        <w:t>Successful Management Strategies and Tools: Industry Insights, Case Studies and Best Practices</w:t>
      </w:r>
      <w:r w:rsidRPr="00EC7E33">
        <w:rPr>
          <w:color w:val="000000" w:themeColor="text1"/>
        </w:rPr>
        <w:t>. [online]. Springer Nature. Available at: https://www.google.co.in/books/edition/Successful_Management_Strategies_and_Too/t4NSEAAAQBAJ?hl=en&amp;gbpv=1&amp;dq=strategic+management&amp;printsec=frontcover [Accessed 29 Aug. 2023].</w:t>
      </w:r>
    </w:p>
    <w:p w14:paraId="50AE740A"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Helmold, M., Yılmaz, A.K., Dathe, T. and Flouris, T.G. (2022). </w:t>
      </w:r>
      <w:r w:rsidRPr="00EC7E33">
        <w:rPr>
          <w:i/>
          <w:color w:val="000000" w:themeColor="text1"/>
        </w:rPr>
        <w:t>Supply Chain Risk Management: Cases and Industry Insights</w:t>
      </w:r>
      <w:r w:rsidRPr="00EC7E33">
        <w:rPr>
          <w:color w:val="000000" w:themeColor="text1"/>
        </w:rPr>
        <w:t>. [online]. Springer Nature. Available at: https://www.google.co.in/books/edition/Supply_Chain_Risk_Management/UNtiEAAAQBAJ?hl=en&amp;gbpv=1&amp;dq=exploring+strategy&amp;pg=PA34&amp;printsec=frontcover [Accessed 29 Aug. 2023].</w:t>
      </w:r>
    </w:p>
    <w:p w14:paraId="4FA694D9"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Henry, A. (2021). </w:t>
      </w:r>
      <w:r w:rsidRPr="00EC7E33">
        <w:rPr>
          <w:i/>
          <w:color w:val="000000" w:themeColor="text1"/>
        </w:rPr>
        <w:t>Understanding Strategic Management</w:t>
      </w:r>
      <w:r w:rsidRPr="00EC7E33">
        <w:rPr>
          <w:color w:val="000000" w:themeColor="text1"/>
        </w:rPr>
        <w:t xml:space="preserve">. [online] </w:t>
      </w:r>
      <w:r w:rsidRPr="00EC7E33">
        <w:rPr>
          <w:i/>
          <w:color w:val="000000" w:themeColor="text1"/>
        </w:rPr>
        <w:t>Google Books</w:t>
      </w:r>
      <w:r w:rsidRPr="00EC7E33">
        <w:rPr>
          <w:color w:val="000000" w:themeColor="text1"/>
        </w:rPr>
        <w:t>. Oxford University Press. Available at: https://www.google.co.in/books/edition/Understanding_Strategic_Management/M7wyEAAAQBAJ?hl=en&amp;gbpv=1&amp;dq=strategic+management&amp;printsec=frontcover [Accessed 29 Aug. 2023].</w:t>
      </w:r>
    </w:p>
    <w:p w14:paraId="44A93447"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Hickman, C.R. and Silva, M.A. (2018). </w:t>
      </w:r>
      <w:r w:rsidRPr="00EC7E33">
        <w:rPr>
          <w:i/>
          <w:color w:val="000000" w:themeColor="text1"/>
        </w:rPr>
        <w:t>Creating Excellence: Managing Corporate Culture, Strategy, and Change in the New Age</w:t>
      </w:r>
      <w:r w:rsidRPr="00EC7E33">
        <w:rPr>
          <w:color w:val="000000" w:themeColor="text1"/>
        </w:rPr>
        <w:t>. [online]. Routledge. Available at: https://books.google.co.in/books?hl=en&amp;lr=&amp;id=-R9WDwAAQBAJ&amp;oi=fnd&amp;pg=PT12&amp;dq=strategic+analysis+of+american+express&amp;ots=jc2bfJ3_CG&amp;sig=ihnmGigJNmsmObd32Izmu-VwouE&amp;redir_esc=y#v=onepage&amp;q&amp;f=false [Accessed 29 Aug. 2023].</w:t>
      </w:r>
    </w:p>
    <w:p w14:paraId="2A4773C4"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Hitt, M.A., Ireland, R.D. and Hoskisson, R.E. (2019). </w:t>
      </w:r>
      <w:r w:rsidRPr="00EC7E33">
        <w:rPr>
          <w:i/>
          <w:color w:val="000000" w:themeColor="text1"/>
        </w:rPr>
        <w:t>Strategic Management: Concepts and Cases: Competitiveness and Globalization</w:t>
      </w:r>
      <w:r w:rsidRPr="00EC7E33">
        <w:rPr>
          <w:color w:val="000000" w:themeColor="text1"/>
        </w:rPr>
        <w:t>. [online]. Cengage Learning. Available at: https://books.google.co.in/books?hl=en&amp;lr=&amp;id=WbWLDwAAQBAJ&amp;oi=fnd&amp;pg=PP1&amp;dq=strategic+analysis+of+american+express&amp;ots=uTw-49P2LT&amp;sig=8yK9_M5i2t85-wDdTIb0vi0IEFE&amp;redir_esc=y#v=onepage&amp;q=strategic%20analysis%20of%20american%20express&amp;f=false [Accessed 29 Aug. 2023].</w:t>
      </w:r>
    </w:p>
    <w:p w14:paraId="1230F63B"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Iedunote (2019). </w:t>
      </w:r>
      <w:r w:rsidRPr="00EC7E33">
        <w:rPr>
          <w:i/>
          <w:color w:val="000000" w:themeColor="text1"/>
        </w:rPr>
        <w:t>Industry Life Cycle</w:t>
      </w:r>
      <w:r w:rsidRPr="00EC7E33">
        <w:rPr>
          <w:color w:val="000000" w:themeColor="text1"/>
        </w:rPr>
        <w:t>. [online] iEduNote.com. Available at: https://www.iedunote.com/industry-life-cycle [Accessed 30 Aug. 2023].</w:t>
      </w:r>
    </w:p>
    <w:p w14:paraId="7B62E89B" w14:textId="77777777" w:rsidR="00EC7E33" w:rsidRPr="00EC7E33" w:rsidRDefault="00EC7E33" w:rsidP="00EC7E33">
      <w:pPr>
        <w:spacing w:after="240" w:line="360" w:lineRule="auto"/>
        <w:jc w:val="both"/>
        <w:rPr>
          <w:color w:val="000000" w:themeColor="text1"/>
        </w:rPr>
      </w:pPr>
      <w:r w:rsidRPr="00EC7E33">
        <w:rPr>
          <w:color w:val="000000" w:themeColor="text1"/>
        </w:rPr>
        <w:lastRenderedPageBreak/>
        <w:t xml:space="preserve">Ionica, O., Sorinel, C., Ioan, T., Dan and Maria (Oprea), C., Dana (2020). </w:t>
      </w:r>
      <w:r w:rsidRPr="00EC7E33">
        <w:rPr>
          <w:i/>
          <w:color w:val="000000" w:themeColor="text1"/>
        </w:rPr>
        <w:t>Sustainability Reporting, Ethics, and Strategic Management Strategies for Modern Organizations</w:t>
      </w:r>
      <w:r w:rsidRPr="00EC7E33">
        <w:rPr>
          <w:color w:val="000000" w:themeColor="text1"/>
        </w:rPr>
        <w:t>. [online]. IGI Global. Available at: https://www.google.co.in/books/edition/Sustainability_Reporting_Ethics_and_Stra/OLkIEAAAQBAJ?hl=en&amp;gbpv=1&amp;dq=strategic+management&amp;printsec=frontcover [Accessed 29 Aug. 2023].</w:t>
      </w:r>
    </w:p>
    <w:p w14:paraId="1C8284D6"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Jarrahi, M.H. (2018). Artificial Intelligence and the Future of work: Human-AI Symbiosis in Organizational Decision Making. </w:t>
      </w:r>
      <w:r w:rsidRPr="00EC7E33">
        <w:rPr>
          <w:i/>
          <w:color w:val="000000" w:themeColor="text1"/>
        </w:rPr>
        <w:t>Business Horizons</w:t>
      </w:r>
      <w:r w:rsidRPr="00EC7E33">
        <w:rPr>
          <w:color w:val="000000" w:themeColor="text1"/>
        </w:rPr>
        <w:t>, 61(4), pp.577–586. doi:https://doi.org/10.1016/j.bushor.2018.03.007.</w:t>
      </w:r>
    </w:p>
    <w:p w14:paraId="562EC967"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Johnson, G. (2019). </w:t>
      </w:r>
      <w:r w:rsidRPr="00EC7E33">
        <w:rPr>
          <w:i/>
          <w:color w:val="000000" w:themeColor="text1"/>
        </w:rPr>
        <w:t>Exploring Strategy, Text and Cases, 12th Edition</w:t>
      </w:r>
      <w:r w:rsidRPr="00EC7E33">
        <w:rPr>
          <w:color w:val="000000" w:themeColor="text1"/>
        </w:rPr>
        <w:t>. [online]. Pearson UK. Available</w:t>
      </w:r>
      <w:r w:rsidR="006F667D">
        <w:rPr>
          <w:color w:val="000000" w:themeColor="text1"/>
        </w:rPr>
        <w:t xml:space="preserve"> </w:t>
      </w:r>
      <w:r w:rsidRPr="00EC7E33">
        <w:rPr>
          <w:color w:val="000000" w:themeColor="text1"/>
        </w:rPr>
        <w:t>at: https://www.google.co.in/books/edition/Exploring_Strategy_Text_and_Cases_12th_E/GeksEAAAQBAJ?hl=en&amp;gbpv=1&amp;dq=exploring+strategy&amp;printsec=frontcover [Accessed 29 Aug. 2023].</w:t>
      </w:r>
    </w:p>
    <w:p w14:paraId="5BF14F14"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Johnson, J., Whittington, R., Regnér, P., Angwin, D., Johnson, G. and Scholes, K. (2020). </w:t>
      </w:r>
      <w:r w:rsidRPr="00EC7E33">
        <w:rPr>
          <w:i/>
          <w:color w:val="000000" w:themeColor="text1"/>
        </w:rPr>
        <w:t>Exploring Strategy</w:t>
      </w:r>
      <w:r w:rsidRPr="00EC7E33">
        <w:rPr>
          <w:color w:val="000000" w:themeColor="text1"/>
        </w:rPr>
        <w:t>. [online]. Pearson UK. Available at: https://www.google.co.in/books/edition/Exploring_Strategy/ieksEAAAQBAJ?hl=en&amp;gbpv=1&amp;dq=exploring+strategy+:+text+and+causes&amp;printsec=frontcover [Accessed 29 Aug. 2023].</w:t>
      </w:r>
    </w:p>
    <w:p w14:paraId="5373AA3A"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Kingsnorth, S. (2022). </w:t>
      </w:r>
      <w:r w:rsidRPr="00EC7E33">
        <w:rPr>
          <w:i/>
          <w:color w:val="000000" w:themeColor="text1"/>
        </w:rPr>
        <w:t>Digital Marketing Strategy: An Integrated Approach to Online Marketing</w:t>
      </w:r>
      <w:r w:rsidRPr="00EC7E33">
        <w:rPr>
          <w:color w:val="000000" w:themeColor="text1"/>
        </w:rPr>
        <w:t>. [online]. Kogan Page Publishers. Available at: https://books.google.co.in/books?hl=en&amp;lr=&amp;id=acdsEAAAQBAJ&amp;oi=fnd&amp;pg=PP1&amp;dq=strategic+analysis+of+american+express&amp;ots=Ztjm5WDGoK&amp;sig=7jIn8jj8iqZFq70-Dz7whVBpeDo&amp;redir_esc=y#v=onepage&amp;q=strategic%20analysis%20of%20american%20express&amp;f=false [Accessed 29 Aug. 2023].</w:t>
      </w:r>
    </w:p>
    <w:p w14:paraId="1756457F"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Kotsantonis, S. and Serafeim, G. (2019). Four Things No One Will Tell You About ESG Data. </w:t>
      </w:r>
      <w:r w:rsidRPr="00EC7E33">
        <w:rPr>
          <w:i/>
          <w:color w:val="000000" w:themeColor="text1"/>
        </w:rPr>
        <w:t>Journal of Applied Corporate Finance</w:t>
      </w:r>
      <w:r w:rsidRPr="00EC7E33">
        <w:rPr>
          <w:color w:val="000000" w:themeColor="text1"/>
        </w:rPr>
        <w:t>, 31(2), pp.50–58. doi:https://doi.org/10.1111/jacf.12346.</w:t>
      </w:r>
    </w:p>
    <w:p w14:paraId="63B4C51E"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Lasserre, P. and Monteiro, F. (2022). </w:t>
      </w:r>
      <w:r w:rsidRPr="00EC7E33">
        <w:rPr>
          <w:i/>
          <w:color w:val="000000" w:themeColor="text1"/>
        </w:rPr>
        <w:t>Global Strategic Management</w:t>
      </w:r>
      <w:r w:rsidRPr="00EC7E33">
        <w:rPr>
          <w:color w:val="000000" w:themeColor="text1"/>
        </w:rPr>
        <w:t xml:space="preserve">. [online]. Bloomsbury Publishing. Available at: </w:t>
      </w:r>
      <w:r w:rsidRPr="00EC7E33">
        <w:rPr>
          <w:color w:val="000000" w:themeColor="text1"/>
        </w:rPr>
        <w:lastRenderedPageBreak/>
        <w:t>https://www.google.co.in/books/edition/Global_Strategic_Management/VtiVEAAAQBAJ?hl=en&amp;gbpv=1&amp;dq=strategic+management&amp;printsec=frontcover [Accessed 29 Aug. 2023].</w:t>
      </w:r>
    </w:p>
    <w:p w14:paraId="28FB01A4"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Lynch, R. (2018). </w:t>
      </w:r>
      <w:r w:rsidRPr="00EC7E33">
        <w:rPr>
          <w:i/>
          <w:color w:val="000000" w:themeColor="text1"/>
        </w:rPr>
        <w:t>Strategic Management</w:t>
      </w:r>
      <w:r w:rsidRPr="00EC7E33">
        <w:rPr>
          <w:color w:val="000000" w:themeColor="text1"/>
        </w:rPr>
        <w:t xml:space="preserve">. [online] </w:t>
      </w:r>
      <w:r w:rsidRPr="00EC7E33">
        <w:rPr>
          <w:i/>
          <w:color w:val="000000" w:themeColor="text1"/>
        </w:rPr>
        <w:t>Google Books</w:t>
      </w:r>
      <w:r w:rsidRPr="00EC7E33">
        <w:rPr>
          <w:color w:val="000000" w:themeColor="text1"/>
        </w:rPr>
        <w:t>. Pearson UK. Available at: https://www.google.co.in/books/edition/Strategic_Management/i71dDwAAQBAJ?hl=en&amp;gbpv=1&amp;dq=strategic+management+eighth+edition&amp;printsec=frontcover [Accessed 29 Aug. 2023].</w:t>
      </w:r>
    </w:p>
    <w:p w14:paraId="407AC014"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Mintzberg, H., Ahlstrand, B. and Lampel, J.B. (2020). </w:t>
      </w:r>
      <w:r w:rsidRPr="00EC7E33">
        <w:rPr>
          <w:i/>
          <w:color w:val="000000" w:themeColor="text1"/>
        </w:rPr>
        <w:t>Strategy Safari: The complete guide through the wilds of strategic management</w:t>
      </w:r>
      <w:r w:rsidRPr="00EC7E33">
        <w:rPr>
          <w:color w:val="000000" w:themeColor="text1"/>
        </w:rPr>
        <w:t xml:space="preserve">. [online] </w:t>
      </w:r>
      <w:r w:rsidRPr="00EC7E33">
        <w:rPr>
          <w:i/>
          <w:color w:val="000000" w:themeColor="text1"/>
        </w:rPr>
        <w:t>Google Books</w:t>
      </w:r>
      <w:r w:rsidRPr="00EC7E33">
        <w:rPr>
          <w:color w:val="000000" w:themeColor="text1"/>
        </w:rPr>
        <w:t>. Pearson UK. Available at: https://books.google.co.in/books?hl=en&amp;lr=&amp;id=2y3vDwAAQBAJ&amp;oi=fnd&amp;pg=PT10&amp;dq=strategic+management&amp;ots=RValThE3yJ&amp;sig=lwaIpbkrlJ_IOtEKDg5omMZ481s&amp;redir_esc=y#v=onepage&amp;q=strategic%20management&amp;f=false [Accessed 29 Aug. 2023].</w:t>
      </w:r>
    </w:p>
    <w:p w14:paraId="40278E64"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Morin, J.-F. and Paquin, J. (2018). </w:t>
      </w:r>
      <w:r w:rsidRPr="00EC7E33">
        <w:rPr>
          <w:i/>
          <w:color w:val="000000" w:themeColor="text1"/>
        </w:rPr>
        <w:t>Foreign Policy Analysis: A Toolbox</w:t>
      </w:r>
      <w:r w:rsidRPr="00EC7E33">
        <w:rPr>
          <w:color w:val="000000" w:themeColor="text1"/>
        </w:rPr>
        <w:t xml:space="preserve">. [online] </w:t>
      </w:r>
      <w:r w:rsidRPr="00EC7E33">
        <w:rPr>
          <w:i/>
          <w:color w:val="000000" w:themeColor="text1"/>
        </w:rPr>
        <w:t>Google Books</w:t>
      </w:r>
      <w:r w:rsidRPr="00EC7E33">
        <w:rPr>
          <w:color w:val="000000" w:themeColor="text1"/>
        </w:rPr>
        <w:t>. Springer. Available at: https://books.google.co.in/books?hl=en&amp;lr=&amp;id=Uj5FDwAAQBAJ&amp;oi=fnd&amp;pg=PR6&amp;dq=strategic+analysis+of+american+express&amp;ots=sbdtRdRVgQ&amp;sig=gmzSA3Ce1UZ35bH26UodW6yrIQ8&amp;redir_esc=y#v=onepage&amp;q=strategic%20analysis%20of%20american%20express&amp;f=false [Accessed 29 Aug. 2023].</w:t>
      </w:r>
    </w:p>
    <w:p w14:paraId="488E64F9"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Nilsson, F., Petri, C.-J. and Westelius, A. (2020). </w:t>
      </w:r>
      <w:r w:rsidRPr="00EC7E33">
        <w:rPr>
          <w:i/>
          <w:color w:val="000000" w:themeColor="text1"/>
        </w:rPr>
        <w:t>Strategic Management Control: Successful Strategies Based on Dialogue and Collaboration</w:t>
      </w:r>
      <w:r w:rsidRPr="00EC7E33">
        <w:rPr>
          <w:color w:val="000000" w:themeColor="text1"/>
        </w:rPr>
        <w:t xml:space="preserve">. [online] </w:t>
      </w:r>
      <w:r w:rsidRPr="00EC7E33">
        <w:rPr>
          <w:i/>
          <w:color w:val="000000" w:themeColor="text1"/>
        </w:rPr>
        <w:t>Google Books</w:t>
      </w:r>
      <w:r w:rsidRPr="00EC7E33">
        <w:rPr>
          <w:color w:val="000000" w:themeColor="text1"/>
        </w:rPr>
        <w:t>. Springer Nature. Available at: https://www.google.co.in/books/edition/Strategic_Management_Control/rJjuDwAAQBAJ?hl=en&amp;gbpv=1&amp;dq=strategic+management&amp;printsec=frontcover [Accessed 29 Aug. 2023].</w:t>
      </w:r>
    </w:p>
    <w:p w14:paraId="19C48BB6"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Peng, M.W. (2021). </w:t>
      </w:r>
      <w:r w:rsidRPr="00EC7E33">
        <w:rPr>
          <w:i/>
          <w:color w:val="000000" w:themeColor="text1"/>
        </w:rPr>
        <w:t>Global Strategy</w:t>
      </w:r>
      <w:r w:rsidRPr="00EC7E33">
        <w:rPr>
          <w:color w:val="000000" w:themeColor="text1"/>
        </w:rPr>
        <w:t xml:space="preserve">. [online] </w:t>
      </w:r>
      <w:r w:rsidRPr="00EC7E33">
        <w:rPr>
          <w:i/>
          <w:color w:val="000000" w:themeColor="text1"/>
        </w:rPr>
        <w:t>Google Books</w:t>
      </w:r>
      <w:r w:rsidRPr="00EC7E33">
        <w:rPr>
          <w:color w:val="000000" w:themeColor="text1"/>
        </w:rPr>
        <w:t>. Cengage Learning. Available at: https://books.google.co.in/books?hl=en&amp;lr=&amp;id=hgcPEAAAQBAJ&amp;oi=fnd&amp;pg=PP1&amp;dq=strategic+management&amp;ots=UF_9RBuNgT&amp;sig=3CZI2-FRcKqLpWy3t0euKPL4k5E&amp;redir_esc=y#v=onepage&amp;q=strategic%20management&amp;f=false [Accessed 29 Aug. 2023].</w:t>
      </w:r>
    </w:p>
    <w:p w14:paraId="24308422" w14:textId="77777777" w:rsidR="00EC7E33" w:rsidRPr="00EC7E33" w:rsidRDefault="00EC7E33" w:rsidP="00EC7E33">
      <w:pPr>
        <w:spacing w:after="240" w:line="360" w:lineRule="auto"/>
        <w:jc w:val="both"/>
        <w:rPr>
          <w:color w:val="000000" w:themeColor="text1"/>
        </w:rPr>
      </w:pPr>
      <w:r w:rsidRPr="00EC7E33">
        <w:rPr>
          <w:color w:val="000000" w:themeColor="text1"/>
        </w:rPr>
        <w:lastRenderedPageBreak/>
        <w:t xml:space="preserve">Pratyush (2021). </w:t>
      </w:r>
      <w:r w:rsidRPr="00EC7E33">
        <w:rPr>
          <w:i/>
          <w:color w:val="000000" w:themeColor="text1"/>
        </w:rPr>
        <w:t>How Porter’s Five Forces Help in E-commerce Business Analysis? -</w:t>
      </w:r>
      <w:r w:rsidRPr="00EC7E33">
        <w:rPr>
          <w:color w:val="000000" w:themeColor="text1"/>
        </w:rPr>
        <w:t>. [online] anscommerce. Available at: https://www.anscommerce.com/blog/how-porters-five-forces-help-in-e-commerce-business-analysis/ [Accessed 30 Aug. 2023].</w:t>
      </w:r>
    </w:p>
    <w:p w14:paraId="7449DCF9"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Putz, M.V. (2019). </w:t>
      </w:r>
      <w:r w:rsidRPr="00EC7E33">
        <w:rPr>
          <w:i/>
          <w:color w:val="000000" w:themeColor="text1"/>
        </w:rPr>
        <w:t>The Cube of Strategic Management: The Distinctive Advantage of Organizations</w:t>
      </w:r>
      <w:r w:rsidRPr="00EC7E33">
        <w:rPr>
          <w:color w:val="000000" w:themeColor="text1"/>
        </w:rPr>
        <w:t xml:space="preserve">. [online] </w:t>
      </w:r>
      <w:r w:rsidRPr="00EC7E33">
        <w:rPr>
          <w:i/>
          <w:color w:val="000000" w:themeColor="text1"/>
        </w:rPr>
        <w:t>Google Books</w:t>
      </w:r>
      <w:r w:rsidRPr="00EC7E33">
        <w:rPr>
          <w:color w:val="000000" w:themeColor="text1"/>
        </w:rPr>
        <w:t>. CRC Press. Available at: https://www.google.co.in/books/edition/The_Cube_of_Strategic_Management/BfK2DwAAQBAJ?hl=en&amp;gbpv=1&amp;dq=strategic+management&amp;printsec=frontcover [Accessed 29 Aug. 2023].</w:t>
      </w:r>
    </w:p>
    <w:p w14:paraId="50AF2761"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Razak, D.A. and Pardhasaradhi, D.S. (2021). </w:t>
      </w:r>
      <w:r w:rsidRPr="00EC7E33">
        <w:rPr>
          <w:i/>
          <w:color w:val="000000" w:themeColor="text1"/>
        </w:rPr>
        <w:t>Strategic Management Tools: Text &amp; Cases</w:t>
      </w:r>
      <w:r w:rsidRPr="00EC7E33">
        <w:rPr>
          <w:color w:val="000000" w:themeColor="text1"/>
        </w:rPr>
        <w:t>. [online</w:t>
      </w:r>
      <w:r w:rsidR="006F667D">
        <w:rPr>
          <w:color w:val="000000" w:themeColor="text1"/>
        </w:rPr>
        <w:t>]</w:t>
      </w:r>
      <w:r w:rsidRPr="00EC7E33">
        <w:rPr>
          <w:color w:val="000000" w:themeColor="text1"/>
        </w:rPr>
        <w:t>. Readworthy Publications. Available at: https://www.google.co.in/books/edition/Strategic_Management_Tools/0R9YEAAAQBAJ?hl=en&amp;gbpv=1&amp;dq=strategic+management&amp;printsec=frontcover [Accessed 29 Aug. 2023].</w:t>
      </w:r>
    </w:p>
    <w:p w14:paraId="6A8695DE"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SAXENA, D. (2019). </w:t>
      </w:r>
      <w:r w:rsidRPr="00EC7E33">
        <w:rPr>
          <w:i/>
          <w:color w:val="000000" w:themeColor="text1"/>
        </w:rPr>
        <w:t>Modes of Entry into International Business [Advantages &amp; Disadvantages] - Super Heuristics</w:t>
      </w:r>
      <w:r w:rsidRPr="00EC7E33">
        <w:rPr>
          <w:color w:val="000000" w:themeColor="text1"/>
        </w:rPr>
        <w:t>. [online] Super Heuristics. Available at: https://www.superheuristics.com/5-modes-of-entry-into-international-markets/ [Accessed 30 Aug. 2023].</w:t>
      </w:r>
    </w:p>
    <w:p w14:paraId="4830597D"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Shaw, J. (2017). </w:t>
      </w:r>
      <w:r w:rsidRPr="00EC7E33">
        <w:rPr>
          <w:i/>
          <w:color w:val="000000" w:themeColor="text1"/>
        </w:rPr>
        <w:t>How to Complete a Personal SWOT Analysis</w:t>
      </w:r>
      <w:r w:rsidRPr="00EC7E33">
        <w:rPr>
          <w:color w:val="000000" w:themeColor="text1"/>
        </w:rPr>
        <w:t>. [online] Medium. Available at: https://medium.com/thrive-global/how-to-complete-a-personal-swot-analysis-2f8769aebd5e [Accessed 30 Aug. 2023].</w:t>
      </w:r>
    </w:p>
    <w:p w14:paraId="01E5E336"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Slack, N. and Brandon-Jones, A. (2018). </w:t>
      </w:r>
      <w:r w:rsidRPr="00EC7E33">
        <w:rPr>
          <w:i/>
          <w:color w:val="000000" w:themeColor="text1"/>
        </w:rPr>
        <w:t>Operations and Process Management: Principles and Practice for Strategic Impact</w:t>
      </w:r>
      <w:r w:rsidRPr="00EC7E33">
        <w:rPr>
          <w:color w:val="000000" w:themeColor="text1"/>
        </w:rPr>
        <w:t xml:space="preserve">. [online] </w:t>
      </w:r>
      <w:r w:rsidRPr="00EC7E33">
        <w:rPr>
          <w:i/>
          <w:color w:val="000000" w:themeColor="text1"/>
        </w:rPr>
        <w:t>Google Books</w:t>
      </w:r>
      <w:r w:rsidRPr="00EC7E33">
        <w:rPr>
          <w:color w:val="000000" w:themeColor="text1"/>
        </w:rPr>
        <w:t>. Pearson UK. Available at: https://books.google.co.in/books?hl=en&amp;lr=&amp;id=vA5MDwAAQBAJ&amp;oi=fnd&amp;pg=PT11&amp;dq=strategic+management&amp;ots=F1-HCuLp6b&amp;sig=dufYnaf-3Wmrb3CEx8G19qnY5Xg&amp;redir_esc=y#v=onepage&amp;q=strategic%20management&amp;f=false [Accessed 29 Aug. 2023].</w:t>
      </w:r>
    </w:p>
    <w:p w14:paraId="6B4A3713" w14:textId="77777777" w:rsidR="00EC7E33" w:rsidRPr="00EC7E33" w:rsidRDefault="00EC7E33" w:rsidP="00EC7E33">
      <w:pPr>
        <w:spacing w:after="240" w:line="360" w:lineRule="auto"/>
        <w:jc w:val="both"/>
        <w:rPr>
          <w:color w:val="000000" w:themeColor="text1"/>
        </w:rPr>
      </w:pPr>
      <w:r w:rsidRPr="00EC7E33">
        <w:rPr>
          <w:color w:val="000000" w:themeColor="text1"/>
        </w:rPr>
        <w:t xml:space="preserve">Wang, W., Hoang, D.T., Hu, P., Xiong, Z., Niyato, D., Wang, P., Wen, Y. and Kim, D.I. (2019). A Survey on Consensus Mechanisms and Mining Strategy Management in Blockchain Networks. </w:t>
      </w:r>
      <w:r w:rsidRPr="00EC7E33">
        <w:rPr>
          <w:i/>
          <w:color w:val="000000" w:themeColor="text1"/>
        </w:rPr>
        <w:t>IEEE Access</w:t>
      </w:r>
      <w:r w:rsidRPr="00EC7E33">
        <w:rPr>
          <w:color w:val="000000" w:themeColor="text1"/>
        </w:rPr>
        <w:t>, [online] 7, pp.22328–22370. doi:https://doi.org/10.1109/access.2019.2896108.</w:t>
      </w:r>
    </w:p>
    <w:p w14:paraId="192FD768" w14:textId="77777777" w:rsidR="00EC7E33" w:rsidRDefault="00EC7E33" w:rsidP="00EC7E33">
      <w:pPr>
        <w:spacing w:after="240" w:line="360" w:lineRule="auto"/>
        <w:jc w:val="both"/>
        <w:rPr>
          <w:color w:val="000000" w:themeColor="text1"/>
        </w:rPr>
      </w:pPr>
      <w:r w:rsidRPr="00EC7E33">
        <w:rPr>
          <w:color w:val="000000" w:themeColor="text1"/>
        </w:rPr>
        <w:lastRenderedPageBreak/>
        <w:t xml:space="preserve">Wenzel, M., Stanske, S. and Lieberman, M.B. (2020). Strategic responses to crisis. </w:t>
      </w:r>
      <w:r w:rsidRPr="00EC7E33">
        <w:rPr>
          <w:i/>
          <w:color w:val="000000" w:themeColor="text1"/>
        </w:rPr>
        <w:t>Strategic Management Journal</w:t>
      </w:r>
      <w:r w:rsidRPr="00EC7E33">
        <w:rPr>
          <w:color w:val="000000" w:themeColor="text1"/>
        </w:rPr>
        <w:t xml:space="preserve">, 41(2). </w:t>
      </w:r>
      <w:proofErr w:type="spellStart"/>
      <w:proofErr w:type="gramStart"/>
      <w:r w:rsidRPr="00EC7E33">
        <w:rPr>
          <w:color w:val="000000" w:themeColor="text1"/>
        </w:rPr>
        <w:t>doi:https</w:t>
      </w:r>
      <w:proofErr w:type="spellEnd"/>
      <w:r w:rsidRPr="00EC7E33">
        <w:rPr>
          <w:color w:val="000000" w:themeColor="text1"/>
        </w:rPr>
        <w:t>://doi.org/10.1002/smj.3161</w:t>
      </w:r>
      <w:proofErr w:type="gramEnd"/>
      <w:r w:rsidRPr="00EC7E33">
        <w:rPr>
          <w:color w:val="000000" w:themeColor="text1"/>
        </w:rPr>
        <w:t>.</w:t>
      </w:r>
    </w:p>
    <w:p w14:paraId="5B6772CB" w14:textId="77777777" w:rsidR="008270DD" w:rsidRDefault="008270DD" w:rsidP="00EC7E33">
      <w:pPr>
        <w:spacing w:after="240" w:line="360" w:lineRule="auto"/>
        <w:jc w:val="both"/>
        <w:rPr>
          <w:color w:val="000000" w:themeColor="text1"/>
        </w:rPr>
      </w:pPr>
    </w:p>
    <w:p w14:paraId="2AABB090" w14:textId="77777777" w:rsidR="008270DD" w:rsidRDefault="008270DD" w:rsidP="00EC7E33">
      <w:pPr>
        <w:spacing w:after="240" w:line="360" w:lineRule="auto"/>
        <w:jc w:val="both"/>
        <w:rPr>
          <w:color w:val="000000" w:themeColor="text1"/>
        </w:rPr>
      </w:pPr>
    </w:p>
    <w:p w14:paraId="17A13D7C" w14:textId="77777777" w:rsidR="008270DD" w:rsidRDefault="008270DD" w:rsidP="00EC7E33">
      <w:pPr>
        <w:spacing w:after="240" w:line="360" w:lineRule="auto"/>
        <w:jc w:val="both"/>
        <w:rPr>
          <w:color w:val="000000" w:themeColor="text1"/>
        </w:rPr>
      </w:pPr>
    </w:p>
    <w:sdt>
      <w:sdtPr>
        <w:rPr>
          <w:rFonts w:ascii="Times New Roman" w:eastAsia="Times New Roman" w:hAnsi="Times New Roman" w:cs="Times New Roman"/>
          <w:b w:val="0"/>
          <w:color w:val="auto"/>
        </w:rPr>
        <w:id w:val="111145805"/>
        <w:bibliography/>
      </w:sdtPr>
      <w:sdtContent>
        <w:sdt>
          <w:sdtPr>
            <w:rPr>
              <w:rFonts w:ascii="Times New Roman" w:eastAsia="Times New Roman" w:hAnsi="Times New Roman" w:cs="Times New Roman"/>
              <w:b w:val="0"/>
              <w:color w:val="auto"/>
            </w:rPr>
            <w:id w:val="367260255"/>
            <w:docPartObj>
              <w:docPartGallery w:val="Bibliographies"/>
              <w:docPartUnique/>
            </w:docPartObj>
          </w:sdtPr>
          <w:sdtContent>
            <w:p w14:paraId="1FC0883A" w14:textId="77777777" w:rsidR="008270DD" w:rsidRDefault="008270DD" w:rsidP="008270DD">
              <w:pPr>
                <w:pStyle w:val="Heading1"/>
              </w:pPr>
            </w:p>
            <w:p w14:paraId="3836EC2B" w14:textId="77777777" w:rsidR="008270DD" w:rsidRDefault="00000000" w:rsidP="008270DD"/>
          </w:sdtContent>
        </w:sdt>
      </w:sdtContent>
    </w:sdt>
    <w:p w14:paraId="2E0EF1F5" w14:textId="77777777" w:rsidR="008270DD" w:rsidRPr="00EC7E33" w:rsidRDefault="008270DD" w:rsidP="00EC7E33">
      <w:pPr>
        <w:spacing w:after="240" w:line="360" w:lineRule="auto"/>
        <w:jc w:val="both"/>
        <w:rPr>
          <w:color w:val="000000" w:themeColor="text1"/>
        </w:rPr>
      </w:pPr>
    </w:p>
    <w:sectPr w:rsidR="008270DD" w:rsidRPr="00EC7E33" w:rsidSect="00EC7E3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50BF5" w14:textId="77777777" w:rsidR="005A0A2E" w:rsidRDefault="005A0A2E">
      <w:pPr>
        <w:spacing w:after="0" w:line="240" w:lineRule="auto"/>
      </w:pPr>
      <w:r>
        <w:separator/>
      </w:r>
    </w:p>
  </w:endnote>
  <w:endnote w:type="continuationSeparator" w:id="0">
    <w:p w14:paraId="0109444F" w14:textId="77777777" w:rsidR="005A0A2E" w:rsidRDefault="005A0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037E7"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EE58A" w14:textId="77777777" w:rsidR="00E8263F" w:rsidRDefault="00E8263F">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8</w:t>
    </w:r>
    <w:r>
      <w:rPr>
        <w:color w:val="000000"/>
      </w:rPr>
      <w:fldChar w:fldCharType="end"/>
    </w:r>
    <w:r>
      <w:rPr>
        <w:color w:val="000000"/>
      </w:rPr>
      <w:t xml:space="preserve"> | </w:t>
    </w:r>
    <w:r>
      <w:rPr>
        <w:color w:val="7F7F7F"/>
      </w:rPr>
      <w:t>Page</w:t>
    </w:r>
  </w:p>
  <w:p w14:paraId="7048C2DC"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B6179"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53F8B" w14:textId="77777777" w:rsidR="005A0A2E" w:rsidRDefault="005A0A2E">
      <w:pPr>
        <w:spacing w:after="0" w:line="240" w:lineRule="auto"/>
      </w:pPr>
      <w:r>
        <w:separator/>
      </w:r>
    </w:p>
  </w:footnote>
  <w:footnote w:type="continuationSeparator" w:id="0">
    <w:p w14:paraId="697C1A5B" w14:textId="77777777" w:rsidR="005A0A2E" w:rsidRDefault="005A0A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A5E20"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0799D"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p w14:paraId="5BD673EB"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33718" w14:textId="77777777" w:rsidR="00E8263F" w:rsidRDefault="00E8263F">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1F35"/>
    <w:multiLevelType w:val="multilevel"/>
    <w:tmpl w:val="C494E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9C47BA"/>
    <w:multiLevelType w:val="multilevel"/>
    <w:tmpl w:val="F048A3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1ED51BC"/>
    <w:multiLevelType w:val="multilevel"/>
    <w:tmpl w:val="A2565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0244165">
    <w:abstractNumId w:val="1"/>
  </w:num>
  <w:num w:numId="2" w16cid:durableId="1502163525">
    <w:abstractNumId w:val="0"/>
  </w:num>
  <w:num w:numId="3" w16cid:durableId="1328901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7DD3"/>
    <w:rsid w:val="00022709"/>
    <w:rsid w:val="001571F6"/>
    <w:rsid w:val="00382826"/>
    <w:rsid w:val="005A0A2E"/>
    <w:rsid w:val="005D00DC"/>
    <w:rsid w:val="005F376B"/>
    <w:rsid w:val="006F667D"/>
    <w:rsid w:val="00782EAA"/>
    <w:rsid w:val="007E7DD3"/>
    <w:rsid w:val="007F1145"/>
    <w:rsid w:val="008270DD"/>
    <w:rsid w:val="00917B39"/>
    <w:rsid w:val="0094325C"/>
    <w:rsid w:val="009861CB"/>
    <w:rsid w:val="00A25B1C"/>
    <w:rsid w:val="00BA0359"/>
    <w:rsid w:val="00C67B8E"/>
    <w:rsid w:val="00D72C57"/>
    <w:rsid w:val="00DF31A8"/>
    <w:rsid w:val="00E14728"/>
    <w:rsid w:val="00E61194"/>
    <w:rsid w:val="00E8263F"/>
    <w:rsid w:val="00EC7E33"/>
    <w:rsid w:val="00EF2120"/>
    <w:rsid w:val="00F002CD"/>
    <w:rsid w:val="00FD3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A2EA4"/>
  <w15:docId w15:val="{6FDF34A5-4498-4EAF-9452-45AD18B87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1A8"/>
  </w:style>
  <w:style w:type="paragraph" w:styleId="Heading1">
    <w:name w:val="heading 1"/>
    <w:basedOn w:val="Normal"/>
    <w:next w:val="Normal"/>
    <w:link w:val="Heading1Char"/>
    <w:uiPriority w:val="9"/>
    <w:qFormat/>
    <w:rsid w:val="00DF31A8"/>
    <w:pPr>
      <w:keepNext/>
      <w:keepLines/>
      <w:spacing w:before="360" w:after="240"/>
      <w:jc w:val="both"/>
      <w:outlineLvl w:val="0"/>
    </w:pPr>
    <w:rPr>
      <w:rFonts w:ascii="Arial" w:eastAsia="Arial" w:hAnsi="Arial" w:cs="Arial"/>
      <w:b/>
      <w:color w:val="17365D"/>
    </w:rPr>
  </w:style>
  <w:style w:type="paragraph" w:styleId="Heading2">
    <w:name w:val="heading 2"/>
    <w:basedOn w:val="Normal"/>
    <w:next w:val="Normal"/>
    <w:uiPriority w:val="9"/>
    <w:unhideWhenUsed/>
    <w:qFormat/>
    <w:rsid w:val="00DF31A8"/>
    <w:pPr>
      <w:keepNext/>
      <w:keepLines/>
      <w:spacing w:before="40" w:after="0" w:line="360" w:lineRule="auto"/>
      <w:jc w:val="both"/>
      <w:outlineLvl w:val="1"/>
    </w:pPr>
    <w:rPr>
      <w:rFonts w:ascii="Arial" w:eastAsia="Arial" w:hAnsi="Arial" w:cs="Arial"/>
      <w:b/>
      <w:color w:val="366091"/>
    </w:rPr>
  </w:style>
  <w:style w:type="paragraph" w:styleId="Heading3">
    <w:name w:val="heading 3"/>
    <w:basedOn w:val="Normal"/>
    <w:next w:val="Normal"/>
    <w:uiPriority w:val="9"/>
    <w:unhideWhenUsed/>
    <w:qFormat/>
    <w:rsid w:val="00DF31A8"/>
    <w:pPr>
      <w:keepNext/>
      <w:keepLines/>
      <w:spacing w:before="240" w:after="240"/>
      <w:jc w:val="both"/>
      <w:outlineLvl w:val="2"/>
    </w:pPr>
    <w:rPr>
      <w:rFonts w:ascii="Arial" w:eastAsia="Arial" w:hAnsi="Arial" w:cs="Arial"/>
      <w:b/>
      <w:color w:val="244061"/>
    </w:rPr>
  </w:style>
  <w:style w:type="paragraph" w:styleId="Heading4">
    <w:name w:val="heading 4"/>
    <w:basedOn w:val="Normal"/>
    <w:next w:val="Normal"/>
    <w:uiPriority w:val="9"/>
    <w:semiHidden/>
    <w:unhideWhenUsed/>
    <w:qFormat/>
    <w:rsid w:val="00DF31A8"/>
    <w:pPr>
      <w:keepNext/>
      <w:keepLines/>
      <w:spacing w:before="40" w:after="0"/>
      <w:outlineLvl w:val="3"/>
    </w:pPr>
    <w:rPr>
      <w:rFonts w:ascii="Arial" w:eastAsia="Arial" w:hAnsi="Arial" w:cs="Arial"/>
      <w:b/>
      <w:color w:val="632423"/>
    </w:rPr>
  </w:style>
  <w:style w:type="paragraph" w:styleId="Heading5">
    <w:name w:val="heading 5"/>
    <w:basedOn w:val="Normal"/>
    <w:next w:val="Normal"/>
    <w:uiPriority w:val="9"/>
    <w:semiHidden/>
    <w:unhideWhenUsed/>
    <w:qFormat/>
    <w:rsid w:val="00DF31A8"/>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DF31A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F31A8"/>
    <w:pPr>
      <w:keepNext/>
      <w:keepLines/>
      <w:spacing w:before="480" w:after="120"/>
    </w:pPr>
    <w:rPr>
      <w:b/>
      <w:sz w:val="72"/>
      <w:szCs w:val="72"/>
    </w:rPr>
  </w:style>
  <w:style w:type="paragraph" w:styleId="Subtitle">
    <w:name w:val="Subtitle"/>
    <w:basedOn w:val="Normal"/>
    <w:next w:val="Normal"/>
    <w:uiPriority w:val="11"/>
    <w:qFormat/>
    <w:rsid w:val="00DF31A8"/>
    <w:pPr>
      <w:keepNext/>
      <w:keepLines/>
      <w:spacing w:before="360" w:after="80"/>
    </w:pPr>
    <w:rPr>
      <w:rFonts w:ascii="Georgia" w:eastAsia="Georgia" w:hAnsi="Georgia" w:cs="Georgia"/>
      <w:i/>
      <w:color w:val="666666"/>
      <w:sz w:val="48"/>
      <w:szCs w:val="48"/>
    </w:rPr>
  </w:style>
  <w:style w:type="table" w:customStyle="1" w:styleId="a">
    <w:basedOn w:val="TableNormal"/>
    <w:rsid w:val="00DF31A8"/>
    <w:tblPr>
      <w:tblStyleRowBandSize w:val="1"/>
      <w:tblStyleColBandSize w:val="1"/>
      <w:tblCellMar>
        <w:top w:w="100" w:type="dxa"/>
        <w:left w:w="100" w:type="dxa"/>
        <w:bottom w:w="100" w:type="dxa"/>
        <w:right w:w="100" w:type="dxa"/>
      </w:tblCellMar>
    </w:tblPr>
  </w:style>
  <w:style w:type="table" w:customStyle="1" w:styleId="a0">
    <w:basedOn w:val="TableNormal"/>
    <w:rsid w:val="00DF31A8"/>
    <w:tblPr>
      <w:tblStyleRowBandSize w:val="1"/>
      <w:tblStyleColBandSize w:val="1"/>
      <w:tblCellMar>
        <w:top w:w="100" w:type="dxa"/>
        <w:left w:w="100" w:type="dxa"/>
        <w:bottom w:w="100" w:type="dxa"/>
        <w:right w:w="100" w:type="dxa"/>
      </w:tblCellMar>
    </w:tblPr>
  </w:style>
  <w:style w:type="table" w:customStyle="1" w:styleId="a1">
    <w:basedOn w:val="TableNormal"/>
    <w:rsid w:val="00DF31A8"/>
    <w:tblPr>
      <w:tblStyleRowBandSize w:val="1"/>
      <w:tblStyleColBandSize w:val="1"/>
      <w:tblCellMar>
        <w:top w:w="100" w:type="dxa"/>
        <w:left w:w="100" w:type="dxa"/>
        <w:bottom w:w="100" w:type="dxa"/>
        <w:right w:w="100" w:type="dxa"/>
      </w:tblCellMar>
    </w:tblPr>
  </w:style>
  <w:style w:type="table" w:customStyle="1" w:styleId="a2">
    <w:basedOn w:val="TableNormal"/>
    <w:rsid w:val="00DF31A8"/>
    <w:tblPr>
      <w:tblStyleRowBandSize w:val="1"/>
      <w:tblStyleColBandSize w:val="1"/>
      <w:tblCellMar>
        <w:top w:w="100" w:type="dxa"/>
        <w:left w:w="100" w:type="dxa"/>
        <w:bottom w:w="100" w:type="dxa"/>
        <w:right w:w="100" w:type="dxa"/>
      </w:tblCellMar>
    </w:tblPr>
  </w:style>
  <w:style w:type="table" w:customStyle="1" w:styleId="a3">
    <w:basedOn w:val="TableNormal"/>
    <w:rsid w:val="00DF31A8"/>
    <w:tblPr>
      <w:tblStyleRowBandSize w:val="1"/>
      <w:tblStyleColBandSize w:val="1"/>
      <w:tblCellMar>
        <w:top w:w="100" w:type="dxa"/>
        <w:left w:w="100" w:type="dxa"/>
        <w:bottom w:w="100" w:type="dxa"/>
        <w:right w:w="100" w:type="dxa"/>
      </w:tblCellMar>
    </w:tblPr>
  </w:style>
  <w:style w:type="table" w:customStyle="1" w:styleId="a4">
    <w:basedOn w:val="TableNormal"/>
    <w:rsid w:val="00DF31A8"/>
    <w:tblPr>
      <w:tblStyleRowBandSize w:val="1"/>
      <w:tblStyleColBandSize w:val="1"/>
      <w:tblCellMar>
        <w:top w:w="100" w:type="dxa"/>
        <w:left w:w="100" w:type="dxa"/>
        <w:bottom w:w="100" w:type="dxa"/>
        <w:right w:w="100" w:type="dxa"/>
      </w:tblCellMar>
    </w:tblPr>
  </w:style>
  <w:style w:type="table" w:customStyle="1" w:styleId="a5">
    <w:basedOn w:val="TableNormal"/>
    <w:rsid w:val="00DF31A8"/>
    <w:tblPr>
      <w:tblStyleRowBandSize w:val="1"/>
      <w:tblStyleColBandSize w:val="1"/>
      <w:tblCellMar>
        <w:top w:w="100" w:type="dxa"/>
        <w:left w:w="100" w:type="dxa"/>
        <w:bottom w:w="100" w:type="dxa"/>
        <w:right w:w="100" w:type="dxa"/>
      </w:tblCellMar>
    </w:tblPr>
  </w:style>
  <w:style w:type="table" w:customStyle="1" w:styleId="a6">
    <w:basedOn w:val="TableNormal"/>
    <w:rsid w:val="00DF31A8"/>
    <w:tblPr>
      <w:tblStyleRowBandSize w:val="1"/>
      <w:tblStyleColBandSize w:val="1"/>
      <w:tblCellMar>
        <w:top w:w="100" w:type="dxa"/>
        <w:left w:w="100" w:type="dxa"/>
        <w:bottom w:w="100" w:type="dxa"/>
        <w:right w:w="100" w:type="dxa"/>
      </w:tblCellMar>
    </w:tblPr>
  </w:style>
  <w:style w:type="table" w:customStyle="1" w:styleId="a7">
    <w:basedOn w:val="TableNormal"/>
    <w:rsid w:val="00DF31A8"/>
    <w:tblPr>
      <w:tblStyleRowBandSize w:val="1"/>
      <w:tblStyleColBandSize w:val="1"/>
      <w:tblCellMar>
        <w:top w:w="100" w:type="dxa"/>
        <w:left w:w="100" w:type="dxa"/>
        <w:bottom w:w="100" w:type="dxa"/>
        <w:right w:w="100" w:type="dxa"/>
      </w:tblCellMar>
    </w:tblPr>
  </w:style>
  <w:style w:type="table" w:customStyle="1" w:styleId="a8">
    <w:basedOn w:val="TableNormal"/>
    <w:rsid w:val="00DF31A8"/>
    <w:tblPr>
      <w:tblStyleRowBandSize w:val="1"/>
      <w:tblStyleColBandSize w:val="1"/>
      <w:tblCellMar>
        <w:top w:w="100" w:type="dxa"/>
        <w:left w:w="100" w:type="dxa"/>
        <w:bottom w:w="100" w:type="dxa"/>
        <w:right w:w="100" w:type="dxa"/>
      </w:tblCellMar>
    </w:tblPr>
  </w:style>
  <w:style w:type="table" w:customStyle="1" w:styleId="a9">
    <w:basedOn w:val="TableNormal"/>
    <w:rsid w:val="00DF31A8"/>
    <w:tblPr>
      <w:tblStyleRowBandSize w:val="1"/>
      <w:tblStyleColBandSize w:val="1"/>
      <w:tblCellMar>
        <w:top w:w="100" w:type="dxa"/>
        <w:left w:w="100" w:type="dxa"/>
        <w:bottom w:w="100" w:type="dxa"/>
        <w:right w:w="100" w:type="dxa"/>
      </w:tblCellMar>
    </w:tblPr>
  </w:style>
  <w:style w:type="table" w:customStyle="1" w:styleId="aa">
    <w:basedOn w:val="TableNormal"/>
    <w:rsid w:val="00DF31A8"/>
    <w:tblPr>
      <w:tblStyleRowBandSize w:val="1"/>
      <w:tblStyleColBandSize w:val="1"/>
      <w:tblCellMar>
        <w:top w:w="100" w:type="dxa"/>
        <w:left w:w="100" w:type="dxa"/>
        <w:bottom w:w="100" w:type="dxa"/>
        <w:right w:w="100" w:type="dxa"/>
      </w:tblCellMar>
    </w:tblPr>
  </w:style>
  <w:style w:type="table" w:customStyle="1" w:styleId="ab">
    <w:basedOn w:val="TableNormal"/>
    <w:rsid w:val="00DF31A8"/>
    <w:tblPr>
      <w:tblStyleRowBandSize w:val="1"/>
      <w:tblStyleColBandSize w:val="1"/>
      <w:tblCellMar>
        <w:top w:w="100" w:type="dxa"/>
        <w:left w:w="100" w:type="dxa"/>
        <w:bottom w:w="100" w:type="dxa"/>
        <w:right w:w="100" w:type="dxa"/>
      </w:tblCellMar>
    </w:tblPr>
  </w:style>
  <w:style w:type="table" w:customStyle="1" w:styleId="ac">
    <w:basedOn w:val="TableNormal"/>
    <w:rsid w:val="00DF31A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D39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9E6"/>
    <w:rPr>
      <w:rFonts w:ascii="Tahoma" w:hAnsi="Tahoma" w:cs="Tahoma"/>
      <w:sz w:val="16"/>
      <w:szCs w:val="16"/>
    </w:rPr>
  </w:style>
  <w:style w:type="paragraph" w:styleId="TOC1">
    <w:name w:val="toc 1"/>
    <w:basedOn w:val="Normal"/>
    <w:next w:val="Normal"/>
    <w:autoRedefine/>
    <w:uiPriority w:val="39"/>
    <w:unhideWhenUsed/>
    <w:rsid w:val="00FD39E6"/>
    <w:pPr>
      <w:spacing w:after="100"/>
    </w:pPr>
  </w:style>
  <w:style w:type="paragraph" w:styleId="TOC2">
    <w:name w:val="toc 2"/>
    <w:basedOn w:val="Normal"/>
    <w:next w:val="Normal"/>
    <w:autoRedefine/>
    <w:uiPriority w:val="39"/>
    <w:unhideWhenUsed/>
    <w:rsid w:val="00FD39E6"/>
    <w:pPr>
      <w:spacing w:after="100"/>
      <w:ind w:left="240"/>
    </w:pPr>
  </w:style>
  <w:style w:type="paragraph" w:styleId="TOC3">
    <w:name w:val="toc 3"/>
    <w:basedOn w:val="Normal"/>
    <w:next w:val="Normal"/>
    <w:autoRedefine/>
    <w:uiPriority w:val="39"/>
    <w:unhideWhenUsed/>
    <w:rsid w:val="00FD39E6"/>
    <w:pPr>
      <w:spacing w:after="100"/>
      <w:ind w:left="480"/>
    </w:pPr>
  </w:style>
  <w:style w:type="character" w:styleId="Hyperlink">
    <w:name w:val="Hyperlink"/>
    <w:basedOn w:val="DefaultParagraphFont"/>
    <w:uiPriority w:val="99"/>
    <w:unhideWhenUsed/>
    <w:rsid w:val="00FD39E6"/>
    <w:rPr>
      <w:color w:val="0000FF" w:themeColor="hyperlink"/>
      <w:u w:val="single"/>
    </w:rPr>
  </w:style>
  <w:style w:type="character" w:customStyle="1" w:styleId="Heading1Char">
    <w:name w:val="Heading 1 Char"/>
    <w:basedOn w:val="DefaultParagraphFont"/>
    <w:link w:val="Heading1"/>
    <w:uiPriority w:val="9"/>
    <w:rsid w:val="00FD39E6"/>
    <w:rPr>
      <w:rFonts w:ascii="Arial" w:eastAsia="Arial" w:hAnsi="Arial" w:cs="Arial"/>
      <w:b/>
      <w:color w:val="17365D"/>
    </w:rPr>
  </w:style>
  <w:style w:type="paragraph" w:styleId="FootnoteText">
    <w:name w:val="footnote text"/>
    <w:basedOn w:val="Normal"/>
    <w:link w:val="FootnoteTextChar"/>
    <w:uiPriority w:val="99"/>
    <w:semiHidden/>
    <w:unhideWhenUsed/>
    <w:rsid w:val="00A25B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5B1C"/>
    <w:rPr>
      <w:sz w:val="20"/>
      <w:szCs w:val="20"/>
    </w:rPr>
  </w:style>
  <w:style w:type="character" w:styleId="FootnoteReference">
    <w:name w:val="footnote reference"/>
    <w:basedOn w:val="DefaultParagraphFont"/>
    <w:uiPriority w:val="99"/>
    <w:semiHidden/>
    <w:unhideWhenUsed/>
    <w:rsid w:val="00A25B1C"/>
    <w:rPr>
      <w:vertAlign w:val="superscript"/>
    </w:rPr>
  </w:style>
  <w:style w:type="paragraph" w:styleId="Bibliography">
    <w:name w:val="Bibliography"/>
    <w:basedOn w:val="Normal"/>
    <w:next w:val="Normal"/>
    <w:uiPriority w:val="37"/>
    <w:unhideWhenUsed/>
    <w:rsid w:val="008270DD"/>
  </w:style>
  <w:style w:type="paragraph" w:styleId="NoSpacing">
    <w:name w:val="No Spacing"/>
    <w:uiPriority w:val="1"/>
    <w:qFormat/>
    <w:rsid w:val="005D00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6569">
      <w:bodyDiv w:val="1"/>
      <w:marLeft w:val="0"/>
      <w:marRight w:val="0"/>
      <w:marTop w:val="0"/>
      <w:marBottom w:val="0"/>
      <w:divBdr>
        <w:top w:val="none" w:sz="0" w:space="0" w:color="auto"/>
        <w:left w:val="none" w:sz="0" w:space="0" w:color="auto"/>
        <w:bottom w:val="none" w:sz="0" w:space="0" w:color="auto"/>
        <w:right w:val="none" w:sz="0" w:space="0" w:color="auto"/>
      </w:divBdr>
    </w:div>
    <w:div w:id="50927167">
      <w:bodyDiv w:val="1"/>
      <w:marLeft w:val="0"/>
      <w:marRight w:val="0"/>
      <w:marTop w:val="0"/>
      <w:marBottom w:val="0"/>
      <w:divBdr>
        <w:top w:val="none" w:sz="0" w:space="0" w:color="auto"/>
        <w:left w:val="none" w:sz="0" w:space="0" w:color="auto"/>
        <w:bottom w:val="none" w:sz="0" w:space="0" w:color="auto"/>
        <w:right w:val="none" w:sz="0" w:space="0" w:color="auto"/>
      </w:divBdr>
    </w:div>
    <w:div w:id="63264545">
      <w:bodyDiv w:val="1"/>
      <w:marLeft w:val="0"/>
      <w:marRight w:val="0"/>
      <w:marTop w:val="0"/>
      <w:marBottom w:val="0"/>
      <w:divBdr>
        <w:top w:val="none" w:sz="0" w:space="0" w:color="auto"/>
        <w:left w:val="none" w:sz="0" w:space="0" w:color="auto"/>
        <w:bottom w:val="none" w:sz="0" w:space="0" w:color="auto"/>
        <w:right w:val="none" w:sz="0" w:space="0" w:color="auto"/>
      </w:divBdr>
    </w:div>
    <w:div w:id="72750403">
      <w:bodyDiv w:val="1"/>
      <w:marLeft w:val="0"/>
      <w:marRight w:val="0"/>
      <w:marTop w:val="0"/>
      <w:marBottom w:val="0"/>
      <w:divBdr>
        <w:top w:val="none" w:sz="0" w:space="0" w:color="auto"/>
        <w:left w:val="none" w:sz="0" w:space="0" w:color="auto"/>
        <w:bottom w:val="none" w:sz="0" w:space="0" w:color="auto"/>
        <w:right w:val="none" w:sz="0" w:space="0" w:color="auto"/>
      </w:divBdr>
    </w:div>
    <w:div w:id="73205159">
      <w:bodyDiv w:val="1"/>
      <w:marLeft w:val="0"/>
      <w:marRight w:val="0"/>
      <w:marTop w:val="0"/>
      <w:marBottom w:val="0"/>
      <w:divBdr>
        <w:top w:val="none" w:sz="0" w:space="0" w:color="auto"/>
        <w:left w:val="none" w:sz="0" w:space="0" w:color="auto"/>
        <w:bottom w:val="none" w:sz="0" w:space="0" w:color="auto"/>
        <w:right w:val="none" w:sz="0" w:space="0" w:color="auto"/>
      </w:divBdr>
    </w:div>
    <w:div w:id="93913318">
      <w:bodyDiv w:val="1"/>
      <w:marLeft w:val="0"/>
      <w:marRight w:val="0"/>
      <w:marTop w:val="0"/>
      <w:marBottom w:val="0"/>
      <w:divBdr>
        <w:top w:val="none" w:sz="0" w:space="0" w:color="auto"/>
        <w:left w:val="none" w:sz="0" w:space="0" w:color="auto"/>
        <w:bottom w:val="none" w:sz="0" w:space="0" w:color="auto"/>
        <w:right w:val="none" w:sz="0" w:space="0" w:color="auto"/>
      </w:divBdr>
    </w:div>
    <w:div w:id="126361743">
      <w:bodyDiv w:val="1"/>
      <w:marLeft w:val="0"/>
      <w:marRight w:val="0"/>
      <w:marTop w:val="0"/>
      <w:marBottom w:val="0"/>
      <w:divBdr>
        <w:top w:val="none" w:sz="0" w:space="0" w:color="auto"/>
        <w:left w:val="none" w:sz="0" w:space="0" w:color="auto"/>
        <w:bottom w:val="none" w:sz="0" w:space="0" w:color="auto"/>
        <w:right w:val="none" w:sz="0" w:space="0" w:color="auto"/>
      </w:divBdr>
    </w:div>
    <w:div w:id="126555996">
      <w:bodyDiv w:val="1"/>
      <w:marLeft w:val="0"/>
      <w:marRight w:val="0"/>
      <w:marTop w:val="0"/>
      <w:marBottom w:val="0"/>
      <w:divBdr>
        <w:top w:val="none" w:sz="0" w:space="0" w:color="auto"/>
        <w:left w:val="none" w:sz="0" w:space="0" w:color="auto"/>
        <w:bottom w:val="none" w:sz="0" w:space="0" w:color="auto"/>
        <w:right w:val="none" w:sz="0" w:space="0" w:color="auto"/>
      </w:divBdr>
    </w:div>
    <w:div w:id="143549234">
      <w:bodyDiv w:val="1"/>
      <w:marLeft w:val="0"/>
      <w:marRight w:val="0"/>
      <w:marTop w:val="0"/>
      <w:marBottom w:val="0"/>
      <w:divBdr>
        <w:top w:val="none" w:sz="0" w:space="0" w:color="auto"/>
        <w:left w:val="none" w:sz="0" w:space="0" w:color="auto"/>
        <w:bottom w:val="none" w:sz="0" w:space="0" w:color="auto"/>
        <w:right w:val="none" w:sz="0" w:space="0" w:color="auto"/>
      </w:divBdr>
    </w:div>
    <w:div w:id="158927770">
      <w:bodyDiv w:val="1"/>
      <w:marLeft w:val="0"/>
      <w:marRight w:val="0"/>
      <w:marTop w:val="0"/>
      <w:marBottom w:val="0"/>
      <w:divBdr>
        <w:top w:val="none" w:sz="0" w:space="0" w:color="auto"/>
        <w:left w:val="none" w:sz="0" w:space="0" w:color="auto"/>
        <w:bottom w:val="none" w:sz="0" w:space="0" w:color="auto"/>
        <w:right w:val="none" w:sz="0" w:space="0" w:color="auto"/>
      </w:divBdr>
    </w:div>
    <w:div w:id="171383767">
      <w:bodyDiv w:val="1"/>
      <w:marLeft w:val="0"/>
      <w:marRight w:val="0"/>
      <w:marTop w:val="0"/>
      <w:marBottom w:val="0"/>
      <w:divBdr>
        <w:top w:val="none" w:sz="0" w:space="0" w:color="auto"/>
        <w:left w:val="none" w:sz="0" w:space="0" w:color="auto"/>
        <w:bottom w:val="none" w:sz="0" w:space="0" w:color="auto"/>
        <w:right w:val="none" w:sz="0" w:space="0" w:color="auto"/>
      </w:divBdr>
    </w:div>
    <w:div w:id="180751239">
      <w:bodyDiv w:val="1"/>
      <w:marLeft w:val="0"/>
      <w:marRight w:val="0"/>
      <w:marTop w:val="0"/>
      <w:marBottom w:val="0"/>
      <w:divBdr>
        <w:top w:val="none" w:sz="0" w:space="0" w:color="auto"/>
        <w:left w:val="none" w:sz="0" w:space="0" w:color="auto"/>
        <w:bottom w:val="none" w:sz="0" w:space="0" w:color="auto"/>
        <w:right w:val="none" w:sz="0" w:space="0" w:color="auto"/>
      </w:divBdr>
    </w:div>
    <w:div w:id="188493753">
      <w:bodyDiv w:val="1"/>
      <w:marLeft w:val="0"/>
      <w:marRight w:val="0"/>
      <w:marTop w:val="0"/>
      <w:marBottom w:val="0"/>
      <w:divBdr>
        <w:top w:val="none" w:sz="0" w:space="0" w:color="auto"/>
        <w:left w:val="none" w:sz="0" w:space="0" w:color="auto"/>
        <w:bottom w:val="none" w:sz="0" w:space="0" w:color="auto"/>
        <w:right w:val="none" w:sz="0" w:space="0" w:color="auto"/>
      </w:divBdr>
    </w:div>
    <w:div w:id="217782703">
      <w:bodyDiv w:val="1"/>
      <w:marLeft w:val="0"/>
      <w:marRight w:val="0"/>
      <w:marTop w:val="0"/>
      <w:marBottom w:val="0"/>
      <w:divBdr>
        <w:top w:val="none" w:sz="0" w:space="0" w:color="auto"/>
        <w:left w:val="none" w:sz="0" w:space="0" w:color="auto"/>
        <w:bottom w:val="none" w:sz="0" w:space="0" w:color="auto"/>
        <w:right w:val="none" w:sz="0" w:space="0" w:color="auto"/>
      </w:divBdr>
    </w:div>
    <w:div w:id="219948820">
      <w:bodyDiv w:val="1"/>
      <w:marLeft w:val="0"/>
      <w:marRight w:val="0"/>
      <w:marTop w:val="0"/>
      <w:marBottom w:val="0"/>
      <w:divBdr>
        <w:top w:val="none" w:sz="0" w:space="0" w:color="auto"/>
        <w:left w:val="none" w:sz="0" w:space="0" w:color="auto"/>
        <w:bottom w:val="none" w:sz="0" w:space="0" w:color="auto"/>
        <w:right w:val="none" w:sz="0" w:space="0" w:color="auto"/>
      </w:divBdr>
    </w:div>
    <w:div w:id="229847159">
      <w:bodyDiv w:val="1"/>
      <w:marLeft w:val="0"/>
      <w:marRight w:val="0"/>
      <w:marTop w:val="0"/>
      <w:marBottom w:val="0"/>
      <w:divBdr>
        <w:top w:val="none" w:sz="0" w:space="0" w:color="auto"/>
        <w:left w:val="none" w:sz="0" w:space="0" w:color="auto"/>
        <w:bottom w:val="none" w:sz="0" w:space="0" w:color="auto"/>
        <w:right w:val="none" w:sz="0" w:space="0" w:color="auto"/>
      </w:divBdr>
    </w:div>
    <w:div w:id="278952637">
      <w:bodyDiv w:val="1"/>
      <w:marLeft w:val="0"/>
      <w:marRight w:val="0"/>
      <w:marTop w:val="0"/>
      <w:marBottom w:val="0"/>
      <w:divBdr>
        <w:top w:val="none" w:sz="0" w:space="0" w:color="auto"/>
        <w:left w:val="none" w:sz="0" w:space="0" w:color="auto"/>
        <w:bottom w:val="none" w:sz="0" w:space="0" w:color="auto"/>
        <w:right w:val="none" w:sz="0" w:space="0" w:color="auto"/>
      </w:divBdr>
    </w:div>
    <w:div w:id="322244551">
      <w:bodyDiv w:val="1"/>
      <w:marLeft w:val="0"/>
      <w:marRight w:val="0"/>
      <w:marTop w:val="0"/>
      <w:marBottom w:val="0"/>
      <w:divBdr>
        <w:top w:val="none" w:sz="0" w:space="0" w:color="auto"/>
        <w:left w:val="none" w:sz="0" w:space="0" w:color="auto"/>
        <w:bottom w:val="none" w:sz="0" w:space="0" w:color="auto"/>
        <w:right w:val="none" w:sz="0" w:space="0" w:color="auto"/>
      </w:divBdr>
    </w:div>
    <w:div w:id="329985956">
      <w:bodyDiv w:val="1"/>
      <w:marLeft w:val="0"/>
      <w:marRight w:val="0"/>
      <w:marTop w:val="0"/>
      <w:marBottom w:val="0"/>
      <w:divBdr>
        <w:top w:val="none" w:sz="0" w:space="0" w:color="auto"/>
        <w:left w:val="none" w:sz="0" w:space="0" w:color="auto"/>
        <w:bottom w:val="none" w:sz="0" w:space="0" w:color="auto"/>
        <w:right w:val="none" w:sz="0" w:space="0" w:color="auto"/>
      </w:divBdr>
    </w:div>
    <w:div w:id="339897757">
      <w:bodyDiv w:val="1"/>
      <w:marLeft w:val="0"/>
      <w:marRight w:val="0"/>
      <w:marTop w:val="0"/>
      <w:marBottom w:val="0"/>
      <w:divBdr>
        <w:top w:val="none" w:sz="0" w:space="0" w:color="auto"/>
        <w:left w:val="none" w:sz="0" w:space="0" w:color="auto"/>
        <w:bottom w:val="none" w:sz="0" w:space="0" w:color="auto"/>
        <w:right w:val="none" w:sz="0" w:space="0" w:color="auto"/>
      </w:divBdr>
    </w:div>
    <w:div w:id="394553972">
      <w:bodyDiv w:val="1"/>
      <w:marLeft w:val="0"/>
      <w:marRight w:val="0"/>
      <w:marTop w:val="0"/>
      <w:marBottom w:val="0"/>
      <w:divBdr>
        <w:top w:val="none" w:sz="0" w:space="0" w:color="auto"/>
        <w:left w:val="none" w:sz="0" w:space="0" w:color="auto"/>
        <w:bottom w:val="none" w:sz="0" w:space="0" w:color="auto"/>
        <w:right w:val="none" w:sz="0" w:space="0" w:color="auto"/>
      </w:divBdr>
    </w:div>
    <w:div w:id="397436585">
      <w:bodyDiv w:val="1"/>
      <w:marLeft w:val="0"/>
      <w:marRight w:val="0"/>
      <w:marTop w:val="0"/>
      <w:marBottom w:val="0"/>
      <w:divBdr>
        <w:top w:val="none" w:sz="0" w:space="0" w:color="auto"/>
        <w:left w:val="none" w:sz="0" w:space="0" w:color="auto"/>
        <w:bottom w:val="none" w:sz="0" w:space="0" w:color="auto"/>
        <w:right w:val="none" w:sz="0" w:space="0" w:color="auto"/>
      </w:divBdr>
    </w:div>
    <w:div w:id="402143681">
      <w:bodyDiv w:val="1"/>
      <w:marLeft w:val="0"/>
      <w:marRight w:val="0"/>
      <w:marTop w:val="0"/>
      <w:marBottom w:val="0"/>
      <w:divBdr>
        <w:top w:val="none" w:sz="0" w:space="0" w:color="auto"/>
        <w:left w:val="none" w:sz="0" w:space="0" w:color="auto"/>
        <w:bottom w:val="none" w:sz="0" w:space="0" w:color="auto"/>
        <w:right w:val="none" w:sz="0" w:space="0" w:color="auto"/>
      </w:divBdr>
    </w:div>
    <w:div w:id="410201922">
      <w:bodyDiv w:val="1"/>
      <w:marLeft w:val="0"/>
      <w:marRight w:val="0"/>
      <w:marTop w:val="0"/>
      <w:marBottom w:val="0"/>
      <w:divBdr>
        <w:top w:val="none" w:sz="0" w:space="0" w:color="auto"/>
        <w:left w:val="none" w:sz="0" w:space="0" w:color="auto"/>
        <w:bottom w:val="none" w:sz="0" w:space="0" w:color="auto"/>
        <w:right w:val="none" w:sz="0" w:space="0" w:color="auto"/>
      </w:divBdr>
    </w:div>
    <w:div w:id="410273392">
      <w:bodyDiv w:val="1"/>
      <w:marLeft w:val="0"/>
      <w:marRight w:val="0"/>
      <w:marTop w:val="0"/>
      <w:marBottom w:val="0"/>
      <w:divBdr>
        <w:top w:val="none" w:sz="0" w:space="0" w:color="auto"/>
        <w:left w:val="none" w:sz="0" w:space="0" w:color="auto"/>
        <w:bottom w:val="none" w:sz="0" w:space="0" w:color="auto"/>
        <w:right w:val="none" w:sz="0" w:space="0" w:color="auto"/>
      </w:divBdr>
    </w:div>
    <w:div w:id="418403149">
      <w:bodyDiv w:val="1"/>
      <w:marLeft w:val="0"/>
      <w:marRight w:val="0"/>
      <w:marTop w:val="0"/>
      <w:marBottom w:val="0"/>
      <w:divBdr>
        <w:top w:val="none" w:sz="0" w:space="0" w:color="auto"/>
        <w:left w:val="none" w:sz="0" w:space="0" w:color="auto"/>
        <w:bottom w:val="none" w:sz="0" w:space="0" w:color="auto"/>
        <w:right w:val="none" w:sz="0" w:space="0" w:color="auto"/>
      </w:divBdr>
    </w:div>
    <w:div w:id="464930390">
      <w:bodyDiv w:val="1"/>
      <w:marLeft w:val="0"/>
      <w:marRight w:val="0"/>
      <w:marTop w:val="0"/>
      <w:marBottom w:val="0"/>
      <w:divBdr>
        <w:top w:val="none" w:sz="0" w:space="0" w:color="auto"/>
        <w:left w:val="none" w:sz="0" w:space="0" w:color="auto"/>
        <w:bottom w:val="none" w:sz="0" w:space="0" w:color="auto"/>
        <w:right w:val="none" w:sz="0" w:space="0" w:color="auto"/>
      </w:divBdr>
    </w:div>
    <w:div w:id="470440195">
      <w:bodyDiv w:val="1"/>
      <w:marLeft w:val="0"/>
      <w:marRight w:val="0"/>
      <w:marTop w:val="0"/>
      <w:marBottom w:val="0"/>
      <w:divBdr>
        <w:top w:val="none" w:sz="0" w:space="0" w:color="auto"/>
        <w:left w:val="none" w:sz="0" w:space="0" w:color="auto"/>
        <w:bottom w:val="none" w:sz="0" w:space="0" w:color="auto"/>
        <w:right w:val="none" w:sz="0" w:space="0" w:color="auto"/>
      </w:divBdr>
    </w:div>
    <w:div w:id="477304101">
      <w:bodyDiv w:val="1"/>
      <w:marLeft w:val="0"/>
      <w:marRight w:val="0"/>
      <w:marTop w:val="0"/>
      <w:marBottom w:val="0"/>
      <w:divBdr>
        <w:top w:val="none" w:sz="0" w:space="0" w:color="auto"/>
        <w:left w:val="none" w:sz="0" w:space="0" w:color="auto"/>
        <w:bottom w:val="none" w:sz="0" w:space="0" w:color="auto"/>
        <w:right w:val="none" w:sz="0" w:space="0" w:color="auto"/>
      </w:divBdr>
    </w:div>
    <w:div w:id="483861748">
      <w:bodyDiv w:val="1"/>
      <w:marLeft w:val="0"/>
      <w:marRight w:val="0"/>
      <w:marTop w:val="0"/>
      <w:marBottom w:val="0"/>
      <w:divBdr>
        <w:top w:val="none" w:sz="0" w:space="0" w:color="auto"/>
        <w:left w:val="none" w:sz="0" w:space="0" w:color="auto"/>
        <w:bottom w:val="none" w:sz="0" w:space="0" w:color="auto"/>
        <w:right w:val="none" w:sz="0" w:space="0" w:color="auto"/>
      </w:divBdr>
    </w:div>
    <w:div w:id="490950269">
      <w:bodyDiv w:val="1"/>
      <w:marLeft w:val="0"/>
      <w:marRight w:val="0"/>
      <w:marTop w:val="0"/>
      <w:marBottom w:val="0"/>
      <w:divBdr>
        <w:top w:val="none" w:sz="0" w:space="0" w:color="auto"/>
        <w:left w:val="none" w:sz="0" w:space="0" w:color="auto"/>
        <w:bottom w:val="none" w:sz="0" w:space="0" w:color="auto"/>
        <w:right w:val="none" w:sz="0" w:space="0" w:color="auto"/>
      </w:divBdr>
    </w:div>
    <w:div w:id="491681857">
      <w:bodyDiv w:val="1"/>
      <w:marLeft w:val="0"/>
      <w:marRight w:val="0"/>
      <w:marTop w:val="0"/>
      <w:marBottom w:val="0"/>
      <w:divBdr>
        <w:top w:val="none" w:sz="0" w:space="0" w:color="auto"/>
        <w:left w:val="none" w:sz="0" w:space="0" w:color="auto"/>
        <w:bottom w:val="none" w:sz="0" w:space="0" w:color="auto"/>
        <w:right w:val="none" w:sz="0" w:space="0" w:color="auto"/>
      </w:divBdr>
    </w:div>
    <w:div w:id="498039080">
      <w:bodyDiv w:val="1"/>
      <w:marLeft w:val="0"/>
      <w:marRight w:val="0"/>
      <w:marTop w:val="0"/>
      <w:marBottom w:val="0"/>
      <w:divBdr>
        <w:top w:val="none" w:sz="0" w:space="0" w:color="auto"/>
        <w:left w:val="none" w:sz="0" w:space="0" w:color="auto"/>
        <w:bottom w:val="none" w:sz="0" w:space="0" w:color="auto"/>
        <w:right w:val="none" w:sz="0" w:space="0" w:color="auto"/>
      </w:divBdr>
    </w:div>
    <w:div w:id="512261467">
      <w:bodyDiv w:val="1"/>
      <w:marLeft w:val="0"/>
      <w:marRight w:val="0"/>
      <w:marTop w:val="0"/>
      <w:marBottom w:val="0"/>
      <w:divBdr>
        <w:top w:val="none" w:sz="0" w:space="0" w:color="auto"/>
        <w:left w:val="none" w:sz="0" w:space="0" w:color="auto"/>
        <w:bottom w:val="none" w:sz="0" w:space="0" w:color="auto"/>
        <w:right w:val="none" w:sz="0" w:space="0" w:color="auto"/>
      </w:divBdr>
    </w:div>
    <w:div w:id="530143822">
      <w:bodyDiv w:val="1"/>
      <w:marLeft w:val="0"/>
      <w:marRight w:val="0"/>
      <w:marTop w:val="0"/>
      <w:marBottom w:val="0"/>
      <w:divBdr>
        <w:top w:val="none" w:sz="0" w:space="0" w:color="auto"/>
        <w:left w:val="none" w:sz="0" w:space="0" w:color="auto"/>
        <w:bottom w:val="none" w:sz="0" w:space="0" w:color="auto"/>
        <w:right w:val="none" w:sz="0" w:space="0" w:color="auto"/>
      </w:divBdr>
    </w:div>
    <w:div w:id="536434599">
      <w:bodyDiv w:val="1"/>
      <w:marLeft w:val="0"/>
      <w:marRight w:val="0"/>
      <w:marTop w:val="0"/>
      <w:marBottom w:val="0"/>
      <w:divBdr>
        <w:top w:val="none" w:sz="0" w:space="0" w:color="auto"/>
        <w:left w:val="none" w:sz="0" w:space="0" w:color="auto"/>
        <w:bottom w:val="none" w:sz="0" w:space="0" w:color="auto"/>
        <w:right w:val="none" w:sz="0" w:space="0" w:color="auto"/>
      </w:divBdr>
    </w:div>
    <w:div w:id="555627400">
      <w:bodyDiv w:val="1"/>
      <w:marLeft w:val="0"/>
      <w:marRight w:val="0"/>
      <w:marTop w:val="0"/>
      <w:marBottom w:val="0"/>
      <w:divBdr>
        <w:top w:val="none" w:sz="0" w:space="0" w:color="auto"/>
        <w:left w:val="none" w:sz="0" w:space="0" w:color="auto"/>
        <w:bottom w:val="none" w:sz="0" w:space="0" w:color="auto"/>
        <w:right w:val="none" w:sz="0" w:space="0" w:color="auto"/>
      </w:divBdr>
    </w:div>
    <w:div w:id="589192991">
      <w:bodyDiv w:val="1"/>
      <w:marLeft w:val="0"/>
      <w:marRight w:val="0"/>
      <w:marTop w:val="0"/>
      <w:marBottom w:val="0"/>
      <w:divBdr>
        <w:top w:val="none" w:sz="0" w:space="0" w:color="auto"/>
        <w:left w:val="none" w:sz="0" w:space="0" w:color="auto"/>
        <w:bottom w:val="none" w:sz="0" w:space="0" w:color="auto"/>
        <w:right w:val="none" w:sz="0" w:space="0" w:color="auto"/>
      </w:divBdr>
    </w:div>
    <w:div w:id="602616175">
      <w:bodyDiv w:val="1"/>
      <w:marLeft w:val="0"/>
      <w:marRight w:val="0"/>
      <w:marTop w:val="0"/>
      <w:marBottom w:val="0"/>
      <w:divBdr>
        <w:top w:val="none" w:sz="0" w:space="0" w:color="auto"/>
        <w:left w:val="none" w:sz="0" w:space="0" w:color="auto"/>
        <w:bottom w:val="none" w:sz="0" w:space="0" w:color="auto"/>
        <w:right w:val="none" w:sz="0" w:space="0" w:color="auto"/>
      </w:divBdr>
    </w:div>
    <w:div w:id="626013844">
      <w:bodyDiv w:val="1"/>
      <w:marLeft w:val="0"/>
      <w:marRight w:val="0"/>
      <w:marTop w:val="0"/>
      <w:marBottom w:val="0"/>
      <w:divBdr>
        <w:top w:val="none" w:sz="0" w:space="0" w:color="auto"/>
        <w:left w:val="none" w:sz="0" w:space="0" w:color="auto"/>
        <w:bottom w:val="none" w:sz="0" w:space="0" w:color="auto"/>
        <w:right w:val="none" w:sz="0" w:space="0" w:color="auto"/>
      </w:divBdr>
    </w:div>
    <w:div w:id="628827273">
      <w:bodyDiv w:val="1"/>
      <w:marLeft w:val="0"/>
      <w:marRight w:val="0"/>
      <w:marTop w:val="0"/>
      <w:marBottom w:val="0"/>
      <w:divBdr>
        <w:top w:val="none" w:sz="0" w:space="0" w:color="auto"/>
        <w:left w:val="none" w:sz="0" w:space="0" w:color="auto"/>
        <w:bottom w:val="none" w:sz="0" w:space="0" w:color="auto"/>
        <w:right w:val="none" w:sz="0" w:space="0" w:color="auto"/>
      </w:divBdr>
    </w:div>
    <w:div w:id="635455475">
      <w:bodyDiv w:val="1"/>
      <w:marLeft w:val="0"/>
      <w:marRight w:val="0"/>
      <w:marTop w:val="0"/>
      <w:marBottom w:val="0"/>
      <w:divBdr>
        <w:top w:val="none" w:sz="0" w:space="0" w:color="auto"/>
        <w:left w:val="none" w:sz="0" w:space="0" w:color="auto"/>
        <w:bottom w:val="none" w:sz="0" w:space="0" w:color="auto"/>
        <w:right w:val="none" w:sz="0" w:space="0" w:color="auto"/>
      </w:divBdr>
    </w:div>
    <w:div w:id="639386449">
      <w:bodyDiv w:val="1"/>
      <w:marLeft w:val="0"/>
      <w:marRight w:val="0"/>
      <w:marTop w:val="0"/>
      <w:marBottom w:val="0"/>
      <w:divBdr>
        <w:top w:val="none" w:sz="0" w:space="0" w:color="auto"/>
        <w:left w:val="none" w:sz="0" w:space="0" w:color="auto"/>
        <w:bottom w:val="none" w:sz="0" w:space="0" w:color="auto"/>
        <w:right w:val="none" w:sz="0" w:space="0" w:color="auto"/>
      </w:divBdr>
    </w:div>
    <w:div w:id="664867566">
      <w:bodyDiv w:val="1"/>
      <w:marLeft w:val="0"/>
      <w:marRight w:val="0"/>
      <w:marTop w:val="0"/>
      <w:marBottom w:val="0"/>
      <w:divBdr>
        <w:top w:val="none" w:sz="0" w:space="0" w:color="auto"/>
        <w:left w:val="none" w:sz="0" w:space="0" w:color="auto"/>
        <w:bottom w:val="none" w:sz="0" w:space="0" w:color="auto"/>
        <w:right w:val="none" w:sz="0" w:space="0" w:color="auto"/>
      </w:divBdr>
    </w:div>
    <w:div w:id="676690834">
      <w:bodyDiv w:val="1"/>
      <w:marLeft w:val="0"/>
      <w:marRight w:val="0"/>
      <w:marTop w:val="0"/>
      <w:marBottom w:val="0"/>
      <w:divBdr>
        <w:top w:val="none" w:sz="0" w:space="0" w:color="auto"/>
        <w:left w:val="none" w:sz="0" w:space="0" w:color="auto"/>
        <w:bottom w:val="none" w:sz="0" w:space="0" w:color="auto"/>
        <w:right w:val="none" w:sz="0" w:space="0" w:color="auto"/>
      </w:divBdr>
    </w:div>
    <w:div w:id="687216178">
      <w:bodyDiv w:val="1"/>
      <w:marLeft w:val="0"/>
      <w:marRight w:val="0"/>
      <w:marTop w:val="0"/>
      <w:marBottom w:val="0"/>
      <w:divBdr>
        <w:top w:val="none" w:sz="0" w:space="0" w:color="auto"/>
        <w:left w:val="none" w:sz="0" w:space="0" w:color="auto"/>
        <w:bottom w:val="none" w:sz="0" w:space="0" w:color="auto"/>
        <w:right w:val="none" w:sz="0" w:space="0" w:color="auto"/>
      </w:divBdr>
    </w:div>
    <w:div w:id="736170357">
      <w:bodyDiv w:val="1"/>
      <w:marLeft w:val="0"/>
      <w:marRight w:val="0"/>
      <w:marTop w:val="0"/>
      <w:marBottom w:val="0"/>
      <w:divBdr>
        <w:top w:val="none" w:sz="0" w:space="0" w:color="auto"/>
        <w:left w:val="none" w:sz="0" w:space="0" w:color="auto"/>
        <w:bottom w:val="none" w:sz="0" w:space="0" w:color="auto"/>
        <w:right w:val="none" w:sz="0" w:space="0" w:color="auto"/>
      </w:divBdr>
    </w:div>
    <w:div w:id="741023027">
      <w:bodyDiv w:val="1"/>
      <w:marLeft w:val="0"/>
      <w:marRight w:val="0"/>
      <w:marTop w:val="0"/>
      <w:marBottom w:val="0"/>
      <w:divBdr>
        <w:top w:val="none" w:sz="0" w:space="0" w:color="auto"/>
        <w:left w:val="none" w:sz="0" w:space="0" w:color="auto"/>
        <w:bottom w:val="none" w:sz="0" w:space="0" w:color="auto"/>
        <w:right w:val="none" w:sz="0" w:space="0" w:color="auto"/>
      </w:divBdr>
    </w:div>
    <w:div w:id="769812063">
      <w:bodyDiv w:val="1"/>
      <w:marLeft w:val="0"/>
      <w:marRight w:val="0"/>
      <w:marTop w:val="0"/>
      <w:marBottom w:val="0"/>
      <w:divBdr>
        <w:top w:val="none" w:sz="0" w:space="0" w:color="auto"/>
        <w:left w:val="none" w:sz="0" w:space="0" w:color="auto"/>
        <w:bottom w:val="none" w:sz="0" w:space="0" w:color="auto"/>
        <w:right w:val="none" w:sz="0" w:space="0" w:color="auto"/>
      </w:divBdr>
    </w:div>
    <w:div w:id="774980140">
      <w:bodyDiv w:val="1"/>
      <w:marLeft w:val="0"/>
      <w:marRight w:val="0"/>
      <w:marTop w:val="0"/>
      <w:marBottom w:val="0"/>
      <w:divBdr>
        <w:top w:val="none" w:sz="0" w:space="0" w:color="auto"/>
        <w:left w:val="none" w:sz="0" w:space="0" w:color="auto"/>
        <w:bottom w:val="none" w:sz="0" w:space="0" w:color="auto"/>
        <w:right w:val="none" w:sz="0" w:space="0" w:color="auto"/>
      </w:divBdr>
    </w:div>
    <w:div w:id="782115069">
      <w:bodyDiv w:val="1"/>
      <w:marLeft w:val="0"/>
      <w:marRight w:val="0"/>
      <w:marTop w:val="0"/>
      <w:marBottom w:val="0"/>
      <w:divBdr>
        <w:top w:val="none" w:sz="0" w:space="0" w:color="auto"/>
        <w:left w:val="none" w:sz="0" w:space="0" w:color="auto"/>
        <w:bottom w:val="none" w:sz="0" w:space="0" w:color="auto"/>
        <w:right w:val="none" w:sz="0" w:space="0" w:color="auto"/>
      </w:divBdr>
    </w:div>
    <w:div w:id="788547863">
      <w:bodyDiv w:val="1"/>
      <w:marLeft w:val="0"/>
      <w:marRight w:val="0"/>
      <w:marTop w:val="0"/>
      <w:marBottom w:val="0"/>
      <w:divBdr>
        <w:top w:val="none" w:sz="0" w:space="0" w:color="auto"/>
        <w:left w:val="none" w:sz="0" w:space="0" w:color="auto"/>
        <w:bottom w:val="none" w:sz="0" w:space="0" w:color="auto"/>
        <w:right w:val="none" w:sz="0" w:space="0" w:color="auto"/>
      </w:divBdr>
    </w:div>
    <w:div w:id="849444091">
      <w:bodyDiv w:val="1"/>
      <w:marLeft w:val="0"/>
      <w:marRight w:val="0"/>
      <w:marTop w:val="0"/>
      <w:marBottom w:val="0"/>
      <w:divBdr>
        <w:top w:val="none" w:sz="0" w:space="0" w:color="auto"/>
        <w:left w:val="none" w:sz="0" w:space="0" w:color="auto"/>
        <w:bottom w:val="none" w:sz="0" w:space="0" w:color="auto"/>
        <w:right w:val="none" w:sz="0" w:space="0" w:color="auto"/>
      </w:divBdr>
    </w:div>
    <w:div w:id="849560620">
      <w:bodyDiv w:val="1"/>
      <w:marLeft w:val="0"/>
      <w:marRight w:val="0"/>
      <w:marTop w:val="0"/>
      <w:marBottom w:val="0"/>
      <w:divBdr>
        <w:top w:val="none" w:sz="0" w:space="0" w:color="auto"/>
        <w:left w:val="none" w:sz="0" w:space="0" w:color="auto"/>
        <w:bottom w:val="none" w:sz="0" w:space="0" w:color="auto"/>
        <w:right w:val="none" w:sz="0" w:space="0" w:color="auto"/>
      </w:divBdr>
    </w:div>
    <w:div w:id="852301810">
      <w:bodyDiv w:val="1"/>
      <w:marLeft w:val="0"/>
      <w:marRight w:val="0"/>
      <w:marTop w:val="0"/>
      <w:marBottom w:val="0"/>
      <w:divBdr>
        <w:top w:val="none" w:sz="0" w:space="0" w:color="auto"/>
        <w:left w:val="none" w:sz="0" w:space="0" w:color="auto"/>
        <w:bottom w:val="none" w:sz="0" w:space="0" w:color="auto"/>
        <w:right w:val="none" w:sz="0" w:space="0" w:color="auto"/>
      </w:divBdr>
    </w:div>
    <w:div w:id="855384770">
      <w:bodyDiv w:val="1"/>
      <w:marLeft w:val="0"/>
      <w:marRight w:val="0"/>
      <w:marTop w:val="0"/>
      <w:marBottom w:val="0"/>
      <w:divBdr>
        <w:top w:val="none" w:sz="0" w:space="0" w:color="auto"/>
        <w:left w:val="none" w:sz="0" w:space="0" w:color="auto"/>
        <w:bottom w:val="none" w:sz="0" w:space="0" w:color="auto"/>
        <w:right w:val="none" w:sz="0" w:space="0" w:color="auto"/>
      </w:divBdr>
    </w:div>
    <w:div w:id="856886531">
      <w:bodyDiv w:val="1"/>
      <w:marLeft w:val="0"/>
      <w:marRight w:val="0"/>
      <w:marTop w:val="0"/>
      <w:marBottom w:val="0"/>
      <w:divBdr>
        <w:top w:val="none" w:sz="0" w:space="0" w:color="auto"/>
        <w:left w:val="none" w:sz="0" w:space="0" w:color="auto"/>
        <w:bottom w:val="none" w:sz="0" w:space="0" w:color="auto"/>
        <w:right w:val="none" w:sz="0" w:space="0" w:color="auto"/>
      </w:divBdr>
    </w:div>
    <w:div w:id="912466410">
      <w:bodyDiv w:val="1"/>
      <w:marLeft w:val="0"/>
      <w:marRight w:val="0"/>
      <w:marTop w:val="0"/>
      <w:marBottom w:val="0"/>
      <w:divBdr>
        <w:top w:val="none" w:sz="0" w:space="0" w:color="auto"/>
        <w:left w:val="none" w:sz="0" w:space="0" w:color="auto"/>
        <w:bottom w:val="none" w:sz="0" w:space="0" w:color="auto"/>
        <w:right w:val="none" w:sz="0" w:space="0" w:color="auto"/>
      </w:divBdr>
    </w:div>
    <w:div w:id="927152110">
      <w:bodyDiv w:val="1"/>
      <w:marLeft w:val="0"/>
      <w:marRight w:val="0"/>
      <w:marTop w:val="0"/>
      <w:marBottom w:val="0"/>
      <w:divBdr>
        <w:top w:val="none" w:sz="0" w:space="0" w:color="auto"/>
        <w:left w:val="none" w:sz="0" w:space="0" w:color="auto"/>
        <w:bottom w:val="none" w:sz="0" w:space="0" w:color="auto"/>
        <w:right w:val="none" w:sz="0" w:space="0" w:color="auto"/>
      </w:divBdr>
    </w:div>
    <w:div w:id="992681598">
      <w:bodyDiv w:val="1"/>
      <w:marLeft w:val="0"/>
      <w:marRight w:val="0"/>
      <w:marTop w:val="0"/>
      <w:marBottom w:val="0"/>
      <w:divBdr>
        <w:top w:val="none" w:sz="0" w:space="0" w:color="auto"/>
        <w:left w:val="none" w:sz="0" w:space="0" w:color="auto"/>
        <w:bottom w:val="none" w:sz="0" w:space="0" w:color="auto"/>
        <w:right w:val="none" w:sz="0" w:space="0" w:color="auto"/>
      </w:divBdr>
    </w:div>
    <w:div w:id="1009676358">
      <w:bodyDiv w:val="1"/>
      <w:marLeft w:val="0"/>
      <w:marRight w:val="0"/>
      <w:marTop w:val="0"/>
      <w:marBottom w:val="0"/>
      <w:divBdr>
        <w:top w:val="none" w:sz="0" w:space="0" w:color="auto"/>
        <w:left w:val="none" w:sz="0" w:space="0" w:color="auto"/>
        <w:bottom w:val="none" w:sz="0" w:space="0" w:color="auto"/>
        <w:right w:val="none" w:sz="0" w:space="0" w:color="auto"/>
      </w:divBdr>
    </w:div>
    <w:div w:id="1012874517">
      <w:bodyDiv w:val="1"/>
      <w:marLeft w:val="0"/>
      <w:marRight w:val="0"/>
      <w:marTop w:val="0"/>
      <w:marBottom w:val="0"/>
      <w:divBdr>
        <w:top w:val="none" w:sz="0" w:space="0" w:color="auto"/>
        <w:left w:val="none" w:sz="0" w:space="0" w:color="auto"/>
        <w:bottom w:val="none" w:sz="0" w:space="0" w:color="auto"/>
        <w:right w:val="none" w:sz="0" w:space="0" w:color="auto"/>
      </w:divBdr>
    </w:div>
    <w:div w:id="1056778634">
      <w:bodyDiv w:val="1"/>
      <w:marLeft w:val="0"/>
      <w:marRight w:val="0"/>
      <w:marTop w:val="0"/>
      <w:marBottom w:val="0"/>
      <w:divBdr>
        <w:top w:val="none" w:sz="0" w:space="0" w:color="auto"/>
        <w:left w:val="none" w:sz="0" w:space="0" w:color="auto"/>
        <w:bottom w:val="none" w:sz="0" w:space="0" w:color="auto"/>
        <w:right w:val="none" w:sz="0" w:space="0" w:color="auto"/>
      </w:divBdr>
    </w:div>
    <w:div w:id="1060444903">
      <w:bodyDiv w:val="1"/>
      <w:marLeft w:val="0"/>
      <w:marRight w:val="0"/>
      <w:marTop w:val="0"/>
      <w:marBottom w:val="0"/>
      <w:divBdr>
        <w:top w:val="none" w:sz="0" w:space="0" w:color="auto"/>
        <w:left w:val="none" w:sz="0" w:space="0" w:color="auto"/>
        <w:bottom w:val="none" w:sz="0" w:space="0" w:color="auto"/>
        <w:right w:val="none" w:sz="0" w:space="0" w:color="auto"/>
      </w:divBdr>
    </w:div>
    <w:div w:id="1083066883">
      <w:bodyDiv w:val="1"/>
      <w:marLeft w:val="0"/>
      <w:marRight w:val="0"/>
      <w:marTop w:val="0"/>
      <w:marBottom w:val="0"/>
      <w:divBdr>
        <w:top w:val="none" w:sz="0" w:space="0" w:color="auto"/>
        <w:left w:val="none" w:sz="0" w:space="0" w:color="auto"/>
        <w:bottom w:val="none" w:sz="0" w:space="0" w:color="auto"/>
        <w:right w:val="none" w:sz="0" w:space="0" w:color="auto"/>
      </w:divBdr>
    </w:div>
    <w:div w:id="1087069843">
      <w:bodyDiv w:val="1"/>
      <w:marLeft w:val="0"/>
      <w:marRight w:val="0"/>
      <w:marTop w:val="0"/>
      <w:marBottom w:val="0"/>
      <w:divBdr>
        <w:top w:val="none" w:sz="0" w:space="0" w:color="auto"/>
        <w:left w:val="none" w:sz="0" w:space="0" w:color="auto"/>
        <w:bottom w:val="none" w:sz="0" w:space="0" w:color="auto"/>
        <w:right w:val="none" w:sz="0" w:space="0" w:color="auto"/>
      </w:divBdr>
    </w:div>
    <w:div w:id="1104303568">
      <w:bodyDiv w:val="1"/>
      <w:marLeft w:val="0"/>
      <w:marRight w:val="0"/>
      <w:marTop w:val="0"/>
      <w:marBottom w:val="0"/>
      <w:divBdr>
        <w:top w:val="none" w:sz="0" w:space="0" w:color="auto"/>
        <w:left w:val="none" w:sz="0" w:space="0" w:color="auto"/>
        <w:bottom w:val="none" w:sz="0" w:space="0" w:color="auto"/>
        <w:right w:val="none" w:sz="0" w:space="0" w:color="auto"/>
      </w:divBdr>
    </w:div>
    <w:div w:id="1106123816">
      <w:bodyDiv w:val="1"/>
      <w:marLeft w:val="0"/>
      <w:marRight w:val="0"/>
      <w:marTop w:val="0"/>
      <w:marBottom w:val="0"/>
      <w:divBdr>
        <w:top w:val="none" w:sz="0" w:space="0" w:color="auto"/>
        <w:left w:val="none" w:sz="0" w:space="0" w:color="auto"/>
        <w:bottom w:val="none" w:sz="0" w:space="0" w:color="auto"/>
        <w:right w:val="none" w:sz="0" w:space="0" w:color="auto"/>
      </w:divBdr>
    </w:div>
    <w:div w:id="1110663291">
      <w:bodyDiv w:val="1"/>
      <w:marLeft w:val="0"/>
      <w:marRight w:val="0"/>
      <w:marTop w:val="0"/>
      <w:marBottom w:val="0"/>
      <w:divBdr>
        <w:top w:val="none" w:sz="0" w:space="0" w:color="auto"/>
        <w:left w:val="none" w:sz="0" w:space="0" w:color="auto"/>
        <w:bottom w:val="none" w:sz="0" w:space="0" w:color="auto"/>
        <w:right w:val="none" w:sz="0" w:space="0" w:color="auto"/>
      </w:divBdr>
    </w:div>
    <w:div w:id="1135874658">
      <w:bodyDiv w:val="1"/>
      <w:marLeft w:val="0"/>
      <w:marRight w:val="0"/>
      <w:marTop w:val="0"/>
      <w:marBottom w:val="0"/>
      <w:divBdr>
        <w:top w:val="none" w:sz="0" w:space="0" w:color="auto"/>
        <w:left w:val="none" w:sz="0" w:space="0" w:color="auto"/>
        <w:bottom w:val="none" w:sz="0" w:space="0" w:color="auto"/>
        <w:right w:val="none" w:sz="0" w:space="0" w:color="auto"/>
      </w:divBdr>
    </w:div>
    <w:div w:id="1144738760">
      <w:bodyDiv w:val="1"/>
      <w:marLeft w:val="0"/>
      <w:marRight w:val="0"/>
      <w:marTop w:val="0"/>
      <w:marBottom w:val="0"/>
      <w:divBdr>
        <w:top w:val="none" w:sz="0" w:space="0" w:color="auto"/>
        <w:left w:val="none" w:sz="0" w:space="0" w:color="auto"/>
        <w:bottom w:val="none" w:sz="0" w:space="0" w:color="auto"/>
        <w:right w:val="none" w:sz="0" w:space="0" w:color="auto"/>
      </w:divBdr>
    </w:div>
    <w:div w:id="1157649302">
      <w:bodyDiv w:val="1"/>
      <w:marLeft w:val="0"/>
      <w:marRight w:val="0"/>
      <w:marTop w:val="0"/>
      <w:marBottom w:val="0"/>
      <w:divBdr>
        <w:top w:val="none" w:sz="0" w:space="0" w:color="auto"/>
        <w:left w:val="none" w:sz="0" w:space="0" w:color="auto"/>
        <w:bottom w:val="none" w:sz="0" w:space="0" w:color="auto"/>
        <w:right w:val="none" w:sz="0" w:space="0" w:color="auto"/>
      </w:divBdr>
    </w:div>
    <w:div w:id="1173881230">
      <w:bodyDiv w:val="1"/>
      <w:marLeft w:val="0"/>
      <w:marRight w:val="0"/>
      <w:marTop w:val="0"/>
      <w:marBottom w:val="0"/>
      <w:divBdr>
        <w:top w:val="none" w:sz="0" w:space="0" w:color="auto"/>
        <w:left w:val="none" w:sz="0" w:space="0" w:color="auto"/>
        <w:bottom w:val="none" w:sz="0" w:space="0" w:color="auto"/>
        <w:right w:val="none" w:sz="0" w:space="0" w:color="auto"/>
      </w:divBdr>
    </w:div>
    <w:div w:id="1186753539">
      <w:bodyDiv w:val="1"/>
      <w:marLeft w:val="0"/>
      <w:marRight w:val="0"/>
      <w:marTop w:val="0"/>
      <w:marBottom w:val="0"/>
      <w:divBdr>
        <w:top w:val="none" w:sz="0" w:space="0" w:color="auto"/>
        <w:left w:val="none" w:sz="0" w:space="0" w:color="auto"/>
        <w:bottom w:val="none" w:sz="0" w:space="0" w:color="auto"/>
        <w:right w:val="none" w:sz="0" w:space="0" w:color="auto"/>
      </w:divBdr>
    </w:div>
    <w:div w:id="1237321680">
      <w:bodyDiv w:val="1"/>
      <w:marLeft w:val="0"/>
      <w:marRight w:val="0"/>
      <w:marTop w:val="0"/>
      <w:marBottom w:val="0"/>
      <w:divBdr>
        <w:top w:val="none" w:sz="0" w:space="0" w:color="auto"/>
        <w:left w:val="none" w:sz="0" w:space="0" w:color="auto"/>
        <w:bottom w:val="none" w:sz="0" w:space="0" w:color="auto"/>
        <w:right w:val="none" w:sz="0" w:space="0" w:color="auto"/>
      </w:divBdr>
    </w:div>
    <w:div w:id="1264418360">
      <w:bodyDiv w:val="1"/>
      <w:marLeft w:val="0"/>
      <w:marRight w:val="0"/>
      <w:marTop w:val="0"/>
      <w:marBottom w:val="0"/>
      <w:divBdr>
        <w:top w:val="none" w:sz="0" w:space="0" w:color="auto"/>
        <w:left w:val="none" w:sz="0" w:space="0" w:color="auto"/>
        <w:bottom w:val="none" w:sz="0" w:space="0" w:color="auto"/>
        <w:right w:val="none" w:sz="0" w:space="0" w:color="auto"/>
      </w:divBdr>
    </w:div>
    <w:div w:id="1275598753">
      <w:bodyDiv w:val="1"/>
      <w:marLeft w:val="0"/>
      <w:marRight w:val="0"/>
      <w:marTop w:val="0"/>
      <w:marBottom w:val="0"/>
      <w:divBdr>
        <w:top w:val="none" w:sz="0" w:space="0" w:color="auto"/>
        <w:left w:val="none" w:sz="0" w:space="0" w:color="auto"/>
        <w:bottom w:val="none" w:sz="0" w:space="0" w:color="auto"/>
        <w:right w:val="none" w:sz="0" w:space="0" w:color="auto"/>
      </w:divBdr>
    </w:div>
    <w:div w:id="1276018104">
      <w:bodyDiv w:val="1"/>
      <w:marLeft w:val="0"/>
      <w:marRight w:val="0"/>
      <w:marTop w:val="0"/>
      <w:marBottom w:val="0"/>
      <w:divBdr>
        <w:top w:val="none" w:sz="0" w:space="0" w:color="auto"/>
        <w:left w:val="none" w:sz="0" w:space="0" w:color="auto"/>
        <w:bottom w:val="none" w:sz="0" w:space="0" w:color="auto"/>
        <w:right w:val="none" w:sz="0" w:space="0" w:color="auto"/>
      </w:divBdr>
    </w:div>
    <w:div w:id="1304308687">
      <w:bodyDiv w:val="1"/>
      <w:marLeft w:val="0"/>
      <w:marRight w:val="0"/>
      <w:marTop w:val="0"/>
      <w:marBottom w:val="0"/>
      <w:divBdr>
        <w:top w:val="none" w:sz="0" w:space="0" w:color="auto"/>
        <w:left w:val="none" w:sz="0" w:space="0" w:color="auto"/>
        <w:bottom w:val="none" w:sz="0" w:space="0" w:color="auto"/>
        <w:right w:val="none" w:sz="0" w:space="0" w:color="auto"/>
      </w:divBdr>
    </w:div>
    <w:div w:id="1310550480">
      <w:bodyDiv w:val="1"/>
      <w:marLeft w:val="0"/>
      <w:marRight w:val="0"/>
      <w:marTop w:val="0"/>
      <w:marBottom w:val="0"/>
      <w:divBdr>
        <w:top w:val="none" w:sz="0" w:space="0" w:color="auto"/>
        <w:left w:val="none" w:sz="0" w:space="0" w:color="auto"/>
        <w:bottom w:val="none" w:sz="0" w:space="0" w:color="auto"/>
        <w:right w:val="none" w:sz="0" w:space="0" w:color="auto"/>
      </w:divBdr>
    </w:div>
    <w:div w:id="1318653390">
      <w:bodyDiv w:val="1"/>
      <w:marLeft w:val="0"/>
      <w:marRight w:val="0"/>
      <w:marTop w:val="0"/>
      <w:marBottom w:val="0"/>
      <w:divBdr>
        <w:top w:val="none" w:sz="0" w:space="0" w:color="auto"/>
        <w:left w:val="none" w:sz="0" w:space="0" w:color="auto"/>
        <w:bottom w:val="none" w:sz="0" w:space="0" w:color="auto"/>
        <w:right w:val="none" w:sz="0" w:space="0" w:color="auto"/>
      </w:divBdr>
    </w:div>
    <w:div w:id="1323847746">
      <w:bodyDiv w:val="1"/>
      <w:marLeft w:val="0"/>
      <w:marRight w:val="0"/>
      <w:marTop w:val="0"/>
      <w:marBottom w:val="0"/>
      <w:divBdr>
        <w:top w:val="none" w:sz="0" w:space="0" w:color="auto"/>
        <w:left w:val="none" w:sz="0" w:space="0" w:color="auto"/>
        <w:bottom w:val="none" w:sz="0" w:space="0" w:color="auto"/>
        <w:right w:val="none" w:sz="0" w:space="0" w:color="auto"/>
      </w:divBdr>
    </w:div>
    <w:div w:id="1325864476">
      <w:bodyDiv w:val="1"/>
      <w:marLeft w:val="0"/>
      <w:marRight w:val="0"/>
      <w:marTop w:val="0"/>
      <w:marBottom w:val="0"/>
      <w:divBdr>
        <w:top w:val="none" w:sz="0" w:space="0" w:color="auto"/>
        <w:left w:val="none" w:sz="0" w:space="0" w:color="auto"/>
        <w:bottom w:val="none" w:sz="0" w:space="0" w:color="auto"/>
        <w:right w:val="none" w:sz="0" w:space="0" w:color="auto"/>
      </w:divBdr>
    </w:div>
    <w:div w:id="1342703955">
      <w:bodyDiv w:val="1"/>
      <w:marLeft w:val="0"/>
      <w:marRight w:val="0"/>
      <w:marTop w:val="0"/>
      <w:marBottom w:val="0"/>
      <w:divBdr>
        <w:top w:val="none" w:sz="0" w:space="0" w:color="auto"/>
        <w:left w:val="none" w:sz="0" w:space="0" w:color="auto"/>
        <w:bottom w:val="none" w:sz="0" w:space="0" w:color="auto"/>
        <w:right w:val="none" w:sz="0" w:space="0" w:color="auto"/>
      </w:divBdr>
    </w:div>
    <w:div w:id="1355613055">
      <w:bodyDiv w:val="1"/>
      <w:marLeft w:val="0"/>
      <w:marRight w:val="0"/>
      <w:marTop w:val="0"/>
      <w:marBottom w:val="0"/>
      <w:divBdr>
        <w:top w:val="none" w:sz="0" w:space="0" w:color="auto"/>
        <w:left w:val="none" w:sz="0" w:space="0" w:color="auto"/>
        <w:bottom w:val="none" w:sz="0" w:space="0" w:color="auto"/>
        <w:right w:val="none" w:sz="0" w:space="0" w:color="auto"/>
      </w:divBdr>
    </w:div>
    <w:div w:id="1415056879">
      <w:bodyDiv w:val="1"/>
      <w:marLeft w:val="0"/>
      <w:marRight w:val="0"/>
      <w:marTop w:val="0"/>
      <w:marBottom w:val="0"/>
      <w:divBdr>
        <w:top w:val="none" w:sz="0" w:space="0" w:color="auto"/>
        <w:left w:val="none" w:sz="0" w:space="0" w:color="auto"/>
        <w:bottom w:val="none" w:sz="0" w:space="0" w:color="auto"/>
        <w:right w:val="none" w:sz="0" w:space="0" w:color="auto"/>
      </w:divBdr>
    </w:div>
    <w:div w:id="1437795459">
      <w:bodyDiv w:val="1"/>
      <w:marLeft w:val="0"/>
      <w:marRight w:val="0"/>
      <w:marTop w:val="0"/>
      <w:marBottom w:val="0"/>
      <w:divBdr>
        <w:top w:val="none" w:sz="0" w:space="0" w:color="auto"/>
        <w:left w:val="none" w:sz="0" w:space="0" w:color="auto"/>
        <w:bottom w:val="none" w:sz="0" w:space="0" w:color="auto"/>
        <w:right w:val="none" w:sz="0" w:space="0" w:color="auto"/>
      </w:divBdr>
    </w:div>
    <w:div w:id="1440637575">
      <w:bodyDiv w:val="1"/>
      <w:marLeft w:val="0"/>
      <w:marRight w:val="0"/>
      <w:marTop w:val="0"/>
      <w:marBottom w:val="0"/>
      <w:divBdr>
        <w:top w:val="none" w:sz="0" w:space="0" w:color="auto"/>
        <w:left w:val="none" w:sz="0" w:space="0" w:color="auto"/>
        <w:bottom w:val="none" w:sz="0" w:space="0" w:color="auto"/>
        <w:right w:val="none" w:sz="0" w:space="0" w:color="auto"/>
      </w:divBdr>
    </w:div>
    <w:div w:id="1452283915">
      <w:bodyDiv w:val="1"/>
      <w:marLeft w:val="0"/>
      <w:marRight w:val="0"/>
      <w:marTop w:val="0"/>
      <w:marBottom w:val="0"/>
      <w:divBdr>
        <w:top w:val="none" w:sz="0" w:space="0" w:color="auto"/>
        <w:left w:val="none" w:sz="0" w:space="0" w:color="auto"/>
        <w:bottom w:val="none" w:sz="0" w:space="0" w:color="auto"/>
        <w:right w:val="none" w:sz="0" w:space="0" w:color="auto"/>
      </w:divBdr>
    </w:div>
    <w:div w:id="1463647255">
      <w:bodyDiv w:val="1"/>
      <w:marLeft w:val="0"/>
      <w:marRight w:val="0"/>
      <w:marTop w:val="0"/>
      <w:marBottom w:val="0"/>
      <w:divBdr>
        <w:top w:val="none" w:sz="0" w:space="0" w:color="auto"/>
        <w:left w:val="none" w:sz="0" w:space="0" w:color="auto"/>
        <w:bottom w:val="none" w:sz="0" w:space="0" w:color="auto"/>
        <w:right w:val="none" w:sz="0" w:space="0" w:color="auto"/>
      </w:divBdr>
    </w:div>
    <w:div w:id="1486585287">
      <w:bodyDiv w:val="1"/>
      <w:marLeft w:val="0"/>
      <w:marRight w:val="0"/>
      <w:marTop w:val="0"/>
      <w:marBottom w:val="0"/>
      <w:divBdr>
        <w:top w:val="none" w:sz="0" w:space="0" w:color="auto"/>
        <w:left w:val="none" w:sz="0" w:space="0" w:color="auto"/>
        <w:bottom w:val="none" w:sz="0" w:space="0" w:color="auto"/>
        <w:right w:val="none" w:sz="0" w:space="0" w:color="auto"/>
      </w:divBdr>
    </w:div>
    <w:div w:id="1498808902">
      <w:bodyDiv w:val="1"/>
      <w:marLeft w:val="0"/>
      <w:marRight w:val="0"/>
      <w:marTop w:val="0"/>
      <w:marBottom w:val="0"/>
      <w:divBdr>
        <w:top w:val="none" w:sz="0" w:space="0" w:color="auto"/>
        <w:left w:val="none" w:sz="0" w:space="0" w:color="auto"/>
        <w:bottom w:val="none" w:sz="0" w:space="0" w:color="auto"/>
        <w:right w:val="none" w:sz="0" w:space="0" w:color="auto"/>
      </w:divBdr>
    </w:div>
    <w:div w:id="1517770557">
      <w:bodyDiv w:val="1"/>
      <w:marLeft w:val="0"/>
      <w:marRight w:val="0"/>
      <w:marTop w:val="0"/>
      <w:marBottom w:val="0"/>
      <w:divBdr>
        <w:top w:val="none" w:sz="0" w:space="0" w:color="auto"/>
        <w:left w:val="none" w:sz="0" w:space="0" w:color="auto"/>
        <w:bottom w:val="none" w:sz="0" w:space="0" w:color="auto"/>
        <w:right w:val="none" w:sz="0" w:space="0" w:color="auto"/>
      </w:divBdr>
    </w:div>
    <w:div w:id="1532693695">
      <w:bodyDiv w:val="1"/>
      <w:marLeft w:val="0"/>
      <w:marRight w:val="0"/>
      <w:marTop w:val="0"/>
      <w:marBottom w:val="0"/>
      <w:divBdr>
        <w:top w:val="none" w:sz="0" w:space="0" w:color="auto"/>
        <w:left w:val="none" w:sz="0" w:space="0" w:color="auto"/>
        <w:bottom w:val="none" w:sz="0" w:space="0" w:color="auto"/>
        <w:right w:val="none" w:sz="0" w:space="0" w:color="auto"/>
      </w:divBdr>
    </w:div>
    <w:div w:id="1543248638">
      <w:bodyDiv w:val="1"/>
      <w:marLeft w:val="0"/>
      <w:marRight w:val="0"/>
      <w:marTop w:val="0"/>
      <w:marBottom w:val="0"/>
      <w:divBdr>
        <w:top w:val="none" w:sz="0" w:space="0" w:color="auto"/>
        <w:left w:val="none" w:sz="0" w:space="0" w:color="auto"/>
        <w:bottom w:val="none" w:sz="0" w:space="0" w:color="auto"/>
        <w:right w:val="none" w:sz="0" w:space="0" w:color="auto"/>
      </w:divBdr>
    </w:div>
    <w:div w:id="1557203619">
      <w:bodyDiv w:val="1"/>
      <w:marLeft w:val="0"/>
      <w:marRight w:val="0"/>
      <w:marTop w:val="0"/>
      <w:marBottom w:val="0"/>
      <w:divBdr>
        <w:top w:val="none" w:sz="0" w:space="0" w:color="auto"/>
        <w:left w:val="none" w:sz="0" w:space="0" w:color="auto"/>
        <w:bottom w:val="none" w:sz="0" w:space="0" w:color="auto"/>
        <w:right w:val="none" w:sz="0" w:space="0" w:color="auto"/>
      </w:divBdr>
    </w:div>
    <w:div w:id="1590581746">
      <w:bodyDiv w:val="1"/>
      <w:marLeft w:val="0"/>
      <w:marRight w:val="0"/>
      <w:marTop w:val="0"/>
      <w:marBottom w:val="0"/>
      <w:divBdr>
        <w:top w:val="none" w:sz="0" w:space="0" w:color="auto"/>
        <w:left w:val="none" w:sz="0" w:space="0" w:color="auto"/>
        <w:bottom w:val="none" w:sz="0" w:space="0" w:color="auto"/>
        <w:right w:val="none" w:sz="0" w:space="0" w:color="auto"/>
      </w:divBdr>
    </w:div>
    <w:div w:id="1611281243">
      <w:bodyDiv w:val="1"/>
      <w:marLeft w:val="0"/>
      <w:marRight w:val="0"/>
      <w:marTop w:val="0"/>
      <w:marBottom w:val="0"/>
      <w:divBdr>
        <w:top w:val="none" w:sz="0" w:space="0" w:color="auto"/>
        <w:left w:val="none" w:sz="0" w:space="0" w:color="auto"/>
        <w:bottom w:val="none" w:sz="0" w:space="0" w:color="auto"/>
        <w:right w:val="none" w:sz="0" w:space="0" w:color="auto"/>
      </w:divBdr>
    </w:div>
    <w:div w:id="1700862243">
      <w:bodyDiv w:val="1"/>
      <w:marLeft w:val="0"/>
      <w:marRight w:val="0"/>
      <w:marTop w:val="0"/>
      <w:marBottom w:val="0"/>
      <w:divBdr>
        <w:top w:val="none" w:sz="0" w:space="0" w:color="auto"/>
        <w:left w:val="none" w:sz="0" w:space="0" w:color="auto"/>
        <w:bottom w:val="none" w:sz="0" w:space="0" w:color="auto"/>
        <w:right w:val="none" w:sz="0" w:space="0" w:color="auto"/>
      </w:divBdr>
    </w:div>
    <w:div w:id="1740709421">
      <w:bodyDiv w:val="1"/>
      <w:marLeft w:val="0"/>
      <w:marRight w:val="0"/>
      <w:marTop w:val="0"/>
      <w:marBottom w:val="0"/>
      <w:divBdr>
        <w:top w:val="none" w:sz="0" w:space="0" w:color="auto"/>
        <w:left w:val="none" w:sz="0" w:space="0" w:color="auto"/>
        <w:bottom w:val="none" w:sz="0" w:space="0" w:color="auto"/>
        <w:right w:val="none" w:sz="0" w:space="0" w:color="auto"/>
      </w:divBdr>
    </w:div>
    <w:div w:id="1745449564">
      <w:bodyDiv w:val="1"/>
      <w:marLeft w:val="0"/>
      <w:marRight w:val="0"/>
      <w:marTop w:val="0"/>
      <w:marBottom w:val="0"/>
      <w:divBdr>
        <w:top w:val="none" w:sz="0" w:space="0" w:color="auto"/>
        <w:left w:val="none" w:sz="0" w:space="0" w:color="auto"/>
        <w:bottom w:val="none" w:sz="0" w:space="0" w:color="auto"/>
        <w:right w:val="none" w:sz="0" w:space="0" w:color="auto"/>
      </w:divBdr>
    </w:div>
    <w:div w:id="1803158579">
      <w:bodyDiv w:val="1"/>
      <w:marLeft w:val="0"/>
      <w:marRight w:val="0"/>
      <w:marTop w:val="0"/>
      <w:marBottom w:val="0"/>
      <w:divBdr>
        <w:top w:val="none" w:sz="0" w:space="0" w:color="auto"/>
        <w:left w:val="none" w:sz="0" w:space="0" w:color="auto"/>
        <w:bottom w:val="none" w:sz="0" w:space="0" w:color="auto"/>
        <w:right w:val="none" w:sz="0" w:space="0" w:color="auto"/>
      </w:divBdr>
    </w:div>
    <w:div w:id="1825003314">
      <w:bodyDiv w:val="1"/>
      <w:marLeft w:val="0"/>
      <w:marRight w:val="0"/>
      <w:marTop w:val="0"/>
      <w:marBottom w:val="0"/>
      <w:divBdr>
        <w:top w:val="none" w:sz="0" w:space="0" w:color="auto"/>
        <w:left w:val="none" w:sz="0" w:space="0" w:color="auto"/>
        <w:bottom w:val="none" w:sz="0" w:space="0" w:color="auto"/>
        <w:right w:val="none" w:sz="0" w:space="0" w:color="auto"/>
      </w:divBdr>
    </w:div>
    <w:div w:id="1825117917">
      <w:bodyDiv w:val="1"/>
      <w:marLeft w:val="0"/>
      <w:marRight w:val="0"/>
      <w:marTop w:val="0"/>
      <w:marBottom w:val="0"/>
      <w:divBdr>
        <w:top w:val="none" w:sz="0" w:space="0" w:color="auto"/>
        <w:left w:val="none" w:sz="0" w:space="0" w:color="auto"/>
        <w:bottom w:val="none" w:sz="0" w:space="0" w:color="auto"/>
        <w:right w:val="none" w:sz="0" w:space="0" w:color="auto"/>
      </w:divBdr>
    </w:div>
    <w:div w:id="1826702231">
      <w:bodyDiv w:val="1"/>
      <w:marLeft w:val="0"/>
      <w:marRight w:val="0"/>
      <w:marTop w:val="0"/>
      <w:marBottom w:val="0"/>
      <w:divBdr>
        <w:top w:val="none" w:sz="0" w:space="0" w:color="auto"/>
        <w:left w:val="none" w:sz="0" w:space="0" w:color="auto"/>
        <w:bottom w:val="none" w:sz="0" w:space="0" w:color="auto"/>
        <w:right w:val="none" w:sz="0" w:space="0" w:color="auto"/>
      </w:divBdr>
    </w:div>
    <w:div w:id="1835291664">
      <w:bodyDiv w:val="1"/>
      <w:marLeft w:val="0"/>
      <w:marRight w:val="0"/>
      <w:marTop w:val="0"/>
      <w:marBottom w:val="0"/>
      <w:divBdr>
        <w:top w:val="none" w:sz="0" w:space="0" w:color="auto"/>
        <w:left w:val="none" w:sz="0" w:space="0" w:color="auto"/>
        <w:bottom w:val="none" w:sz="0" w:space="0" w:color="auto"/>
        <w:right w:val="none" w:sz="0" w:space="0" w:color="auto"/>
      </w:divBdr>
    </w:div>
    <w:div w:id="1864439941">
      <w:bodyDiv w:val="1"/>
      <w:marLeft w:val="0"/>
      <w:marRight w:val="0"/>
      <w:marTop w:val="0"/>
      <w:marBottom w:val="0"/>
      <w:divBdr>
        <w:top w:val="none" w:sz="0" w:space="0" w:color="auto"/>
        <w:left w:val="none" w:sz="0" w:space="0" w:color="auto"/>
        <w:bottom w:val="none" w:sz="0" w:space="0" w:color="auto"/>
        <w:right w:val="none" w:sz="0" w:space="0" w:color="auto"/>
      </w:divBdr>
    </w:div>
    <w:div w:id="1881438142">
      <w:bodyDiv w:val="1"/>
      <w:marLeft w:val="0"/>
      <w:marRight w:val="0"/>
      <w:marTop w:val="0"/>
      <w:marBottom w:val="0"/>
      <w:divBdr>
        <w:top w:val="none" w:sz="0" w:space="0" w:color="auto"/>
        <w:left w:val="none" w:sz="0" w:space="0" w:color="auto"/>
        <w:bottom w:val="none" w:sz="0" w:space="0" w:color="auto"/>
        <w:right w:val="none" w:sz="0" w:space="0" w:color="auto"/>
      </w:divBdr>
    </w:div>
    <w:div w:id="1889224246">
      <w:bodyDiv w:val="1"/>
      <w:marLeft w:val="0"/>
      <w:marRight w:val="0"/>
      <w:marTop w:val="0"/>
      <w:marBottom w:val="0"/>
      <w:divBdr>
        <w:top w:val="none" w:sz="0" w:space="0" w:color="auto"/>
        <w:left w:val="none" w:sz="0" w:space="0" w:color="auto"/>
        <w:bottom w:val="none" w:sz="0" w:space="0" w:color="auto"/>
        <w:right w:val="none" w:sz="0" w:space="0" w:color="auto"/>
      </w:divBdr>
    </w:div>
    <w:div w:id="1901401213">
      <w:bodyDiv w:val="1"/>
      <w:marLeft w:val="0"/>
      <w:marRight w:val="0"/>
      <w:marTop w:val="0"/>
      <w:marBottom w:val="0"/>
      <w:divBdr>
        <w:top w:val="none" w:sz="0" w:space="0" w:color="auto"/>
        <w:left w:val="none" w:sz="0" w:space="0" w:color="auto"/>
        <w:bottom w:val="none" w:sz="0" w:space="0" w:color="auto"/>
        <w:right w:val="none" w:sz="0" w:space="0" w:color="auto"/>
      </w:divBdr>
    </w:div>
    <w:div w:id="1905606141">
      <w:bodyDiv w:val="1"/>
      <w:marLeft w:val="0"/>
      <w:marRight w:val="0"/>
      <w:marTop w:val="0"/>
      <w:marBottom w:val="0"/>
      <w:divBdr>
        <w:top w:val="none" w:sz="0" w:space="0" w:color="auto"/>
        <w:left w:val="none" w:sz="0" w:space="0" w:color="auto"/>
        <w:bottom w:val="none" w:sz="0" w:space="0" w:color="auto"/>
        <w:right w:val="none" w:sz="0" w:space="0" w:color="auto"/>
      </w:divBdr>
    </w:div>
    <w:div w:id="1928688559">
      <w:bodyDiv w:val="1"/>
      <w:marLeft w:val="0"/>
      <w:marRight w:val="0"/>
      <w:marTop w:val="0"/>
      <w:marBottom w:val="0"/>
      <w:divBdr>
        <w:top w:val="none" w:sz="0" w:space="0" w:color="auto"/>
        <w:left w:val="none" w:sz="0" w:space="0" w:color="auto"/>
        <w:bottom w:val="none" w:sz="0" w:space="0" w:color="auto"/>
        <w:right w:val="none" w:sz="0" w:space="0" w:color="auto"/>
      </w:divBdr>
    </w:div>
    <w:div w:id="1961182432">
      <w:bodyDiv w:val="1"/>
      <w:marLeft w:val="0"/>
      <w:marRight w:val="0"/>
      <w:marTop w:val="0"/>
      <w:marBottom w:val="0"/>
      <w:divBdr>
        <w:top w:val="none" w:sz="0" w:space="0" w:color="auto"/>
        <w:left w:val="none" w:sz="0" w:space="0" w:color="auto"/>
        <w:bottom w:val="none" w:sz="0" w:space="0" w:color="auto"/>
        <w:right w:val="none" w:sz="0" w:space="0" w:color="auto"/>
      </w:divBdr>
    </w:div>
    <w:div w:id="2036425569">
      <w:bodyDiv w:val="1"/>
      <w:marLeft w:val="0"/>
      <w:marRight w:val="0"/>
      <w:marTop w:val="0"/>
      <w:marBottom w:val="0"/>
      <w:divBdr>
        <w:top w:val="none" w:sz="0" w:space="0" w:color="auto"/>
        <w:left w:val="none" w:sz="0" w:space="0" w:color="auto"/>
        <w:bottom w:val="none" w:sz="0" w:space="0" w:color="auto"/>
        <w:right w:val="none" w:sz="0" w:space="0" w:color="auto"/>
      </w:divBdr>
    </w:div>
    <w:div w:id="2078699501">
      <w:bodyDiv w:val="1"/>
      <w:marLeft w:val="0"/>
      <w:marRight w:val="0"/>
      <w:marTop w:val="0"/>
      <w:marBottom w:val="0"/>
      <w:divBdr>
        <w:top w:val="none" w:sz="0" w:space="0" w:color="auto"/>
        <w:left w:val="none" w:sz="0" w:space="0" w:color="auto"/>
        <w:bottom w:val="none" w:sz="0" w:space="0" w:color="auto"/>
        <w:right w:val="none" w:sz="0" w:space="0" w:color="auto"/>
      </w:divBdr>
    </w:div>
    <w:div w:id="2085567922">
      <w:bodyDiv w:val="1"/>
      <w:marLeft w:val="0"/>
      <w:marRight w:val="0"/>
      <w:marTop w:val="0"/>
      <w:marBottom w:val="0"/>
      <w:divBdr>
        <w:top w:val="none" w:sz="0" w:space="0" w:color="auto"/>
        <w:left w:val="none" w:sz="0" w:space="0" w:color="auto"/>
        <w:bottom w:val="none" w:sz="0" w:space="0" w:color="auto"/>
        <w:right w:val="none" w:sz="0" w:space="0" w:color="auto"/>
      </w:divBdr>
    </w:div>
    <w:div w:id="2104371676">
      <w:bodyDiv w:val="1"/>
      <w:marLeft w:val="0"/>
      <w:marRight w:val="0"/>
      <w:marTop w:val="0"/>
      <w:marBottom w:val="0"/>
      <w:divBdr>
        <w:top w:val="none" w:sz="0" w:space="0" w:color="auto"/>
        <w:left w:val="none" w:sz="0" w:space="0" w:color="auto"/>
        <w:bottom w:val="none" w:sz="0" w:space="0" w:color="auto"/>
        <w:right w:val="none" w:sz="0" w:space="0" w:color="auto"/>
      </w:divBdr>
    </w:div>
    <w:div w:id="2110418845">
      <w:bodyDiv w:val="1"/>
      <w:marLeft w:val="0"/>
      <w:marRight w:val="0"/>
      <w:marTop w:val="0"/>
      <w:marBottom w:val="0"/>
      <w:divBdr>
        <w:top w:val="none" w:sz="0" w:space="0" w:color="auto"/>
        <w:left w:val="none" w:sz="0" w:space="0" w:color="auto"/>
        <w:bottom w:val="none" w:sz="0" w:space="0" w:color="auto"/>
        <w:right w:val="none" w:sz="0" w:space="0" w:color="auto"/>
      </w:divBdr>
    </w:div>
    <w:div w:id="2121947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b:Tag>
    <b:SourceType>Book</b:SourceType>
    <b:Guid>{E6D8395A-B333-411D-92B9-993E2925BA50}</b:Guid>
    <b:Author>
      <b:Author>
        <b:NameList>
          <b:Person>
            <b:Last>Express</b:Last>
            <b:First>American</b:First>
          </b:Person>
        </b:NameList>
      </b:Author>
    </b:Author>
    <b:RefOrder>39</b:RefOrder>
  </b:Source>
  <b:Source>
    <b:Tag>Bow19</b:Tag>
    <b:SourceType>JournalArticle</b:SourceType>
    <b:Guid>{86334CBD-4162-4F1F-828A-66C1B838EBF2}</b:Guid>
    <b:Author>
      <b:Author>
        <b:NameList>
          <b:Person>
            <b:Last>Raspin</b:Last>
            <b:First>Bowman</b:First>
            <b:Middle>and</b:Middle>
          </b:Person>
        </b:NameList>
      </b:Author>
    </b:Author>
    <b:Year>2019</b:Year>
    <b:RefOrder>40</b:RefOrder>
  </b:Source>
  <b:Source>
    <b:Tag>Bow191</b:Tag>
    <b:SourceType>JournalArticle</b:SourceType>
    <b:Guid>{E91B27A4-2E1B-4266-B8A3-2AB208D8E3B7}</b:Guid>
    <b:Author>
      <b:Author>
        <b:NameList>
          <b:Person>
            <b:Last>Bowman</b:Last>
          </b:Person>
          <b:Person>
            <b:Last>Raspin</b:Last>
          </b:Person>
        </b:NameList>
      </b:Author>
    </b:Author>
    <b:Year>2019</b:Year>
    <b:RefOrder>4</b:RefOrder>
  </b:Source>
  <b:Source>
    <b:Tag>Cho18</b:Tag>
    <b:SourceType>JournalArticle</b:SourceType>
    <b:Guid>{E2EBAC0B-2589-4501-95D6-000FA51F251F}</b:Guid>
    <b:Author>
      <b:Author>
        <b:NameList>
          <b:Person>
            <b:Last>Choi</b:Last>
            <b:First>Wallace</b:First>
            <b:Middle>and Wang,</b:Middle>
          </b:Person>
        </b:NameList>
      </b:Author>
    </b:Author>
    <b:Year>2018</b:Year>
    <b:RefOrder>41</b:RefOrder>
  </b:Source>
  <b:Source>
    <b:Tag>Cho181</b:Tag>
    <b:SourceType>JournalArticle</b:SourceType>
    <b:Guid>{D4FB55FB-5577-40B2-85F3-666EC5601A81}</b:Guid>
    <b:Author>
      <b:Author>
        <b:NameList>
          <b:Person>
            <b:Last>Choi</b:Last>
          </b:Person>
          <b:Person>
            <b:Last>and</b:Last>
            <b:First>Wallace</b:First>
          </b:Person>
          <b:Person>
            <b:Last>Wang</b:Last>
          </b:Person>
        </b:NameList>
      </b:Author>
    </b:Author>
    <b:Year>2018</b:Year>
    <b:RefOrder>7</b:RefOrder>
  </b:Source>
  <b:Source>
    <b:Tag>Crowderetal</b:Tag>
    <b:SourceType>Book</b:SourceType>
    <b:Guid>{761C9366-87D8-4E4C-B59E-83C0DF4CB6F5}</b:Guid>
    <b:Author>
      <b:Author>
        <b:NameList>
          <b:Person>
            <b:Last>Crowder</b:Last>
          </b:Person>
          <b:Person>
            <b:Last>Roohanifar</b:Last>
          </b:Person>
          <b:Person>
            <b:Last>Brown</b:Last>
          </b:Person>
        </b:NameList>
      </b:Author>
    </b:Author>
    <b:Year>2022</b:Year>
    <b:RefOrder>10</b:RefOrder>
  </b:Source>
  <b:Source>
    <b:Tag>Daf21</b:Tag>
    <b:SourceType>Book</b:SourceType>
    <b:Guid>{D96D273B-2C78-4301-A04E-D294E5EB98F6}</b:Guid>
    <b:Author>
      <b:Author>
        <b:NameList>
          <b:Person>
            <b:Last>Daft</b:Last>
          </b:Person>
        </b:NameList>
      </b:Author>
    </b:Author>
    <b:Year>2021</b:Year>
    <b:RefOrder>11</b:RefOrder>
  </b:Source>
  <b:Source>
    <b:Tag>Dhi19</b:Tag>
    <b:SourceType>Book</b:SourceType>
    <b:Guid>{FC34BAC7-8D2B-4190-9F2A-6E9C1A701720}</b:Guid>
    <b:Author>
      <b:Author>
        <b:NameList>
          <b:Person>
            <b:Last>Dhir</b:Last>
          </b:Person>
          <b:Person>
            <b:Last>Sushil</b:Last>
          </b:Person>
        </b:NameList>
      </b:Author>
    </b:Author>
    <b:Year>2019</b:Year>
    <b:RefOrder>12</b:RefOrder>
  </b:Source>
  <b:Source xmlns:b="http://schemas.openxmlformats.org/officeDocument/2006/bibliography">
    <b:Tag>DYE20</b:Tag>
    <b:SourceType>Book</b:SourceType>
    <b:Guid>{DB833318-0444-497C-951B-EABE2651D2DE}</b:Guid>
    <b:Author>
      <b:Author>
        <b:NameList>
          <b:Person>
            <b:Last>al.</b:Last>
            <b:First>DYER</b:First>
            <b:Middle>et</b:Middle>
          </b:Person>
        </b:NameList>
      </b:Author>
    </b:Author>
    <b:Year>2020</b:Year>
    <b:RefOrder>42</b:RefOrder>
  </b:Source>
  <b:Source>
    <b:Tag>Dye20</b:Tag>
    <b:SourceType>Book</b:SourceType>
    <b:Guid>{5377980D-A745-4178-A970-D6D463F7A6A2}</b:Guid>
    <b:Author>
      <b:Author>
        <b:NameList>
          <b:Person>
            <b:Last>Dyer</b:Last>
          </b:Person>
        </b:NameList>
      </b:Author>
    </b:Author>
    <b:Year>2020</b:Year>
    <b:RefOrder>13</b:RefOrder>
  </b:Source>
  <b:Source>
    <b:Tag>Ied19</b:Tag>
    <b:SourceType>Book</b:SourceType>
    <b:Guid>{0715EE17-FA99-47E9-A258-54B7FAF865AA}</b:Guid>
    <b:Author>
      <b:Author>
        <b:NameList>
          <b:Person>
            <b:Last>Iedunote</b:Last>
          </b:Person>
        </b:NameList>
      </b:Author>
    </b:Author>
    <b:Year>2019</b:Year>
    <b:RefOrder>14</b:RefOrder>
  </b:Source>
  <b:Source>
    <b:Tag>Fer22</b:Tag>
    <b:SourceType>Book</b:SourceType>
    <b:Guid>{F10F5323-198D-4008-85A4-FC3B68CB8721}</b:Guid>
    <b:Author>
      <b:Author>
        <b:NameList>
          <b:Person>
            <b:Last>Ferlie</b:Last>
          </b:Person>
          <b:Person>
            <b:Last>Ongaro</b:Last>
          </b:Person>
        </b:NameList>
      </b:Author>
    </b:Author>
    <b:Year>2022</b:Year>
    <b:RefOrder>15</b:RefOrder>
  </b:Source>
  <b:Source>
    <b:Tag>Fue20</b:Tag>
    <b:SourceType>Book</b:SourceType>
    <b:Guid>{0F2FAB3A-4BBB-417E-848B-210A8A18A257}</b:Guid>
    <b:Author>
      <b:Author>
        <b:NameList>
          <b:Person>
            <b:Last>Fuertes</b:Last>
          </b:Person>
        </b:NameList>
      </b:Author>
    </b:Author>
    <b:Year>2020</b:Year>
    <b:RefOrder>16</b:RefOrder>
  </b:Source>
  <b:Source>
    <b:Tag>Gao18</b:Tag>
    <b:SourceType>Book</b:SourceType>
    <b:Guid>{DBA08CE3-68FE-4F9F-B71B-241608BA536C}</b:Guid>
    <b:Author>
      <b:Author>
        <b:NameList>
          <b:Person>
            <b:Last>Gao</b:Last>
          </b:Person>
          <b:Person>
            <b:Last>Hsu</b:Last>
          </b:Person>
          <b:Person>
            <b:Last>Li</b:Last>
          </b:Person>
        </b:NameList>
      </b:Author>
    </b:Author>
    <b:Year>2018</b:Year>
    <b:RefOrder>17</b:RefOrder>
  </b:Source>
  <b:Source>
    <b:Tag>Gol20</b:Tag>
    <b:SourceType>Book</b:SourceType>
    <b:Guid>{5FE6CB7D-1CFE-40E1-BFAC-DFEA4939903E}</b:Guid>
    <b:Author>
      <b:Author>
        <b:NameList>
          <b:Person>
            <b:Last>Goldberg</b:Last>
          </b:Person>
        </b:NameList>
      </b:Author>
    </b:Author>
    <b:Year>2020</b:Year>
    <b:RefOrder>18</b:RefOrder>
  </b:Source>
  <b:Source>
    <b:Tag>SAX18</b:Tag>
    <b:SourceType>Book</b:SourceType>
    <b:Guid>{DD7C194A-ECB6-4819-9E26-06584D06DEB5}</b:Guid>
    <b:Author>
      <b:Author>
        <b:NameList>
          <b:Person>
            <b:Last>SAXENA</b:Last>
          </b:Person>
        </b:NameList>
      </b:Author>
    </b:Author>
    <b:Year>2019</b:Year>
    <b:RefOrder>38</b:RefOrder>
  </b:Source>
  <b:Source>
    <b:Tag>Joh20</b:Tag>
    <b:SourceType>Book</b:SourceType>
    <b:Guid>{517425DA-D1D2-486D-B09A-36245EB3AEDD}</b:Guid>
    <b:Author>
      <b:Author>
        <b:NameList>
          <b:Person>
            <b:Last>Johnson</b:Last>
          </b:Person>
        </b:NameList>
      </b:Author>
    </b:Author>
    <b:Year>2020</b:Year>
    <b:RefOrder>19</b:RefOrder>
  </b:Source>
  <b:Source>
    <b:Tag>Wen20</b:Tag>
    <b:SourceType>Book</b:SourceType>
    <b:Guid>{997D8725-38A1-4259-9F56-A22ADC45051C}</b:Guid>
    <b:Author>
      <b:Author>
        <b:NameList>
          <b:Person>
            <b:Last>Wenzel</b:Last>
          </b:Person>
          <b:Person>
            <b:Last>Stanske</b:Last>
          </b:Person>
          <b:Person>
            <b:Last>Lieberman</b:Last>
          </b:Person>
        </b:NameList>
      </b:Author>
    </b:Author>
    <b:Year>2020</b:Year>
    <b:RefOrder>37</b:RefOrder>
  </b:Source>
  <b:Source>
    <b:Tag>Wan19</b:Tag>
    <b:SourceType>Book</b:SourceType>
    <b:Guid>{344B7FCB-4B34-46AC-9110-42D062463FAD}</b:Guid>
    <b:Author>
      <b:Author>
        <b:NameList>
          <b:Person>
            <b:Last>Wang</b:Last>
          </b:Person>
        </b:NameList>
      </b:Author>
    </b:Author>
    <b:Year>2019</b:Year>
    <b:RefOrder>36</b:RefOrder>
  </b:Source>
  <b:Source>
    <b:Tag>Sla18</b:Tag>
    <b:SourceType>Book</b:SourceType>
    <b:Guid>{DB2CF1E6-F9C3-4632-888A-2D15A8F58D34}</b:Guid>
    <b:Author>
      <b:Author>
        <b:NameList>
          <b:Person>
            <b:Last>Slack</b:Last>
          </b:Person>
          <b:Person>
            <b:Last>Brandon-Jones</b:Last>
          </b:Person>
        </b:NameList>
      </b:Author>
    </b:Author>
    <b:Year>2018</b:Year>
    <b:RefOrder>35</b:RefOrder>
  </b:Source>
  <b:Source>
    <b:Tag>Blu13</b:Tag>
    <b:SourceType>Book</b:SourceType>
    <b:Guid>{3A7F5865-0567-4C34-A111-DBEFA5252171}</b:Guid>
    <b:Author>
      <b:Author>
        <b:NameList>
          <b:Person>
            <b:Last>Ocean</b:Last>
            <b:First>Blue</b:First>
          </b:Person>
        </b:NameList>
      </b:Author>
    </b:Author>
    <b:Year>2013</b:Year>
    <b:RefOrder>34</b:RefOrder>
  </b:Source>
  <b:Source>
    <b:Tag>Raz21</b:Tag>
    <b:SourceType>Book</b:SourceType>
    <b:Guid>{808F0372-21DC-4DB7-B45A-D2916B91BE05}</b:Guid>
    <b:Author>
      <b:Author>
        <b:NameList>
          <b:Person>
            <b:Last>Razak</b:Last>
          </b:Person>
          <b:Person>
            <b:Last>Pardhasaradhi</b:Last>
          </b:Person>
        </b:NameList>
      </b:Author>
    </b:Author>
    <b:Year>2021</b:Year>
    <b:RefOrder>33</b:RefOrder>
  </b:Source>
  <b:Source>
    <b:Tag>Die23</b:Tag>
    <b:SourceType>Book</b:SourceType>
    <b:Guid>{C2D125B2-34D7-4F8E-B731-594E59B9DB1F}</b:Guid>
    <b:Author>
      <b:Author>
        <b:NameList>
          <b:Person>
            <b:Last>Dieffenbacher</b:Last>
          </b:Person>
        </b:NameList>
      </b:Author>
    </b:Author>
    <b:Year>2023</b:Year>
    <b:RefOrder>32</b:RefOrder>
  </b:Source>
  <b:Source>
    <b:Tag>Put</b:Tag>
    <b:SourceType>Book</b:SourceType>
    <b:Guid>{3FE1BD76-082B-4AE6-9A56-E868EB41BD47}</b:Guid>
    <b:Author>
      <b:Author>
        <b:NameList>
          <b:Person>
            <b:Last>Putz</b:Last>
          </b:Person>
        </b:NameList>
      </b:Author>
    </b:Author>
    <b:Year>2019</b:Year>
    <b:RefOrder>31</b:RefOrder>
  </b:Source>
  <b:Source>
    <b:Tag>Sha17</b:Tag>
    <b:SourceType>Book</b:SourceType>
    <b:Guid>{41714A3E-4C66-4107-A64D-534FAF4FB774}</b:Guid>
    <b:Author>
      <b:Author>
        <b:NameList>
          <b:Person>
            <b:Last>Shaw</b:Last>
          </b:Person>
        </b:NameList>
      </b:Author>
    </b:Author>
    <b:Year>2017</b:Year>
    <b:RefOrder>30</b:RefOrder>
  </b:Source>
  <b:Source>
    <b:Tag>Pen21</b:Tag>
    <b:SourceType>Book</b:SourceType>
    <b:Guid>{566397D5-87C4-4514-8DC5-35236BEED727}</b:Guid>
    <b:Author>
      <b:Author>
        <b:NameList>
          <b:Person>
            <b:Last>Peng</b:Last>
          </b:Person>
        </b:NameList>
      </b:Author>
    </b:Author>
    <b:Year>2021</b:Year>
    <b:RefOrder>29</b:RefOrder>
  </b:Source>
  <b:Source>
    <b:Tag>Nil20</b:Tag>
    <b:SourceType>Book</b:SourceType>
    <b:Guid>{E21E07A5-C3BA-4A34-9C40-EC3A01A98F8E}</b:Guid>
    <b:Author>
      <b:Author>
        <b:NameList>
          <b:Person>
            <b:Last>Nilsson</b:Last>
          </b:Person>
          <b:Person>
            <b:Last>Petri</b:Last>
          </b:Person>
          <b:Person>
            <b:Last>Westelius</b:Last>
          </b:Person>
        </b:NameList>
      </b:Author>
    </b:Author>
    <b:Year>2020</b:Year>
    <b:RefOrder>28</b:RefOrder>
  </b:Source>
  <b:Source>
    <b:Tag>Lyn18</b:Tag>
    <b:SourceType>Book</b:SourceType>
    <b:Guid>{9A1D6892-6891-4070-974D-A54528D08D47}</b:Guid>
    <b:Author>
      <b:Author>
        <b:NameList>
          <b:Person>
            <b:Last>Lynch</b:Last>
          </b:Person>
        </b:NameList>
      </b:Author>
    </b:Author>
    <b:Year>2018</b:Year>
    <b:RefOrder>27</b:RefOrder>
  </b:Source>
  <b:Source>
    <b:Tag>Mor18</b:Tag>
    <b:SourceType>Book</b:SourceType>
    <b:Guid>{A95C1384-07E9-448F-9804-0AC8DB3EA045}</b:Guid>
    <b:Author>
      <b:Author>
        <b:NameList>
          <b:Person>
            <b:Last>Morin</b:Last>
          </b:Person>
          <b:Person>
            <b:Last>Paquin</b:Last>
          </b:Person>
        </b:NameList>
      </b:Author>
    </b:Author>
    <b:Year>2018</b:Year>
    <b:RefOrder>26</b:RefOrder>
  </b:Source>
  <b:Source>
    <b:Tag>Las22</b:Tag>
    <b:SourceType>Book</b:SourceType>
    <b:Guid>{D8E3F85B-E7D4-4ED5-BFC8-28E0AF4E2E87}</b:Guid>
    <b:Author>
      <b:Author>
        <b:NameList>
          <b:Person>
            <b:Last>Lasserre</b:Last>
          </b:Person>
          <b:Person>
            <b:Last>Monteiro</b:Last>
          </b:Person>
        </b:NameList>
      </b:Author>
    </b:Author>
    <b:Year>2022</b:Year>
    <b:RefOrder>22</b:RefOrder>
  </b:Source>
  <b:Source>
    <b:Tag>Min20</b:Tag>
    <b:SourceType>Book</b:SourceType>
    <b:Guid>{D90F0670-9DF6-4A9A-8A82-26B556F43ED3}</b:Guid>
    <b:Author>
      <b:Author>
        <b:NameList>
          <b:Person>
            <b:Last>Mintzberg</b:Last>
          </b:Person>
          <b:Person>
            <b:Last>Ahlstrand</b:Last>
          </b:Person>
          <b:Person>
            <b:Last>Lampel</b:Last>
          </b:Person>
        </b:NameList>
      </b:Author>
    </b:Author>
    <b:Year>2020</b:Year>
    <b:RefOrder>24</b:RefOrder>
  </b:Source>
  <b:Source>
    <b:Tag>Mor181</b:Tag>
    <b:SourceType>Book</b:SourceType>
    <b:Guid>{6CFDA198-7968-4B2E-97FF-E6232330ABB3}</b:Guid>
    <b:Author>
      <b:Author>
        <b:NameList>
          <b:Person>
            <b:Last>Morin</b:Last>
          </b:Person>
          <b:Person>
            <b:Last>Paquin</b:Last>
          </b:Person>
        </b:NameList>
      </b:Author>
    </b:Author>
    <b:Year>2018</b:Year>
    <b:RefOrder>25</b:RefOrder>
  </b:Source>
  <b:Source>
    <b:Tag>Kot19</b:Tag>
    <b:SourceType>Book</b:SourceType>
    <b:Guid>{6538AF02-FB07-4BB4-A5DB-C7F45B6FFE48}</b:Guid>
    <b:Author>
      <b:Author>
        <b:NameList>
          <b:Person>
            <b:Last>Kotsantonis</b:Last>
          </b:Person>
          <b:Person>
            <b:Last>Serafeim</b:Last>
          </b:Person>
        </b:NameList>
      </b:Author>
    </b:Author>
    <b:Year>2019</b:Year>
    <b:RefOrder>23</b:RefOrder>
  </b:Source>
  <b:Source>
    <b:Tag>Bru18</b:Tag>
    <b:SourceType>Book</b:SourceType>
    <b:Guid>{DBA152FB-1B7C-4F44-B1A6-4F8AC6EBCD39}</b:Guid>
    <b:Author>
      <b:Author>
        <b:NameList>
          <b:Person>
            <b:Last>Bruin</b:Last>
          </b:Person>
        </b:NameList>
      </b:Author>
    </b:Author>
    <b:Year>2018</b:Year>
    <b:RefOrder>21</b:RefOrder>
  </b:Source>
  <b:Source>
    <b:Tag>Kin22</b:Tag>
    <b:SourceType>Book</b:SourceType>
    <b:Guid>{CEFD2E91-726B-44AE-BA5D-72DAD8B5FB34}</b:Guid>
    <b:Author>
      <b:Author>
        <b:NameList>
          <b:Person>
            <b:Last>Kingsnorth</b:Last>
          </b:Person>
        </b:NameList>
      </b:Author>
    </b:Author>
    <b:Year>2022</b:Year>
    <b:RefOrder>20</b:RefOrder>
  </b:Source>
  <b:Source>
    <b:Tag>Ale18</b:Tag>
    <b:SourceType>Book</b:SourceType>
    <b:Guid>{2A198438-4376-4DDD-BA52-AFF0C40CF419}</b:Guid>
    <b:Author>
      <b:Author>
        <b:NameList>
          <b:Person>
            <b:Last>Chernev</b:Last>
            <b:First>Alexander</b:First>
          </b:Person>
        </b:NameList>
      </b:Author>
    </b:Author>
    <b:Year>2018</b:Year>
    <b:Title>Strategic Marketing Management</b:Title>
    <b:Publisher>Cerebellum Press</b:Publisher>
    <b:Edition>9th</b:Edition>
    <b:RefOrder>2</b:RefOrder>
  </b:Source>
  <b:Source>
    <b:Tag>Ame23</b:Tag>
    <b:SourceType>InternetSite</b:SourceType>
    <b:Guid>{B5287F19-9CED-4DC1-A58D-AA4E1FCFDE4E}</b:Guid>
    <b:Author>
      <b:Author>
        <b:NameList>
          <b:Person>
            <b:Last>Express</b:Last>
            <b:First>American</b:First>
          </b:Person>
        </b:NameList>
      </b:Author>
    </b:Author>
    <b:Year>2023</b:Year>
    <b:URL>https://www.americanexpress.com/en-us/company/.</b:URL>
    <b:Title>American Express</b:Title>
    <b:RefOrder>1</b:RefOrder>
  </b:Source>
  <b:Source>
    <b:Tag>Bla23</b:Tag>
    <b:SourceType>Book</b:SourceType>
    <b:Guid>{9868CB49-EC8F-4406-9F55-20BFCED34119}</b:Guid>
    <b:Author>
      <b:Author>
        <b:NameList>
          <b:Person>
            <b:Last>Blakeman</b:Last>
          </b:Person>
        </b:NameList>
      </b:Author>
    </b:Author>
    <b:Year>2023</b:Year>
    <b:Title>Integrated marketing communication</b:Title>
    <b:Publisher>Rowman and Littlefield</b:Publisher>
    <b:RefOrder>3</b:RefOrder>
  </b:Source>
  <b:Source>
    <b:Tag>Bro18</b:Tag>
    <b:SourceType>Book</b:SourceType>
    <b:Guid>{532DBAB6-2C7E-4BE9-9B73-DAF137606E3E}</b:Guid>
    <b:Author>
      <b:Author>
        <b:NameList>
          <b:Person>
            <b:Last>Brown</b:Last>
          </b:Person>
        </b:NameList>
      </b:Author>
    </b:Author>
    <b:Year>2018</b:Year>
    <b:Title>Strategic Operations Management</b:Title>
    <b:Edition>4th</b:Edition>
    <b:RefOrder>5</b:RefOrder>
  </b:Source>
  <b:Source>
    <b:Tag>Bur20</b:Tag>
    <b:SourceType>JournalArticle</b:SourceType>
    <b:Guid>{0DE3326E-DFBA-430C-8CEB-4C7EA5746390}</b:Guid>
    <b:Author>
      <b:Author>
        <b:NameList>
          <b:Person>
            <b:Last>Burgelman</b:Last>
          </b:Person>
        </b:NameList>
      </b:Author>
    </b:Author>
    <b:Year>2020</b:Year>
    <b:Title>How Strategy-Making Shapes a Company’s Future</b:Title>
    <b:JournalName>Strategy is destiny</b:JournalName>
    <b:RefOrder>6</b:RefOrder>
  </b:Source>
  <b:Source>
    <b:Tag>Fre23</b:Tag>
    <b:SourceType>InternetSite</b:SourceType>
    <b:Guid>{F1049A01-B2DD-4715-808D-CB4740A8D00C}</b:Guid>
    <b:Author>
      <b:Author>
        <b:NameList>
          <b:Person>
            <b:Last>Freepik</b:Last>
          </b:Person>
        </b:NameList>
      </b:Author>
    </b:Author>
    <b:Year>2023</b:Year>
    <b:URL>https://www.freepik.com/premium-vector/pestle-analysis-banner-vector-illustration_30162654.htm</b:URL>
    <b:RefOrder>8</b:RefOrder>
  </b:Source>
  <b:Source>
    <b:Tag>Bar18</b:Tag>
    <b:SourceType>JournalArticle</b:SourceType>
    <b:Guid>{1993A777-A10F-40A6-9ACF-88A7A79C9110}</b:Guid>
    <b:Author>
      <b:Author>
        <b:NameList>
          <b:Person>
            <b:Last>Barney</b:Last>
          </b:Person>
          <b:Person>
            <b:Last>Hesterly</b:Last>
          </b:Person>
        </b:NameList>
      </b:Author>
    </b:Author>
    <b:Year>2018</b:Year>
    <b:Title>Concepts and Cases</b:Title>
    <b:JournalName>Strategic management and competitive advantage</b:JournalName>
    <b:RefOrder>9</b:RefOrder>
  </b:Source>
</b:Sources>
</file>

<file path=customXml/itemProps1.xml><?xml version="1.0" encoding="utf-8"?>
<ds:datastoreItem xmlns:ds="http://schemas.openxmlformats.org/officeDocument/2006/customXml" ds:itemID="{8B5DEC2D-BBBC-4232-A918-1DA796B6E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41</Pages>
  <Words>8579</Words>
  <Characters>48905</Characters>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2023-08-29T21:34:00Z</dcterms:created>
  <dcterms:modified xsi:type="dcterms:W3CDTF">2023-09-01T12:57:00Z</dcterms:modified>
</cp:coreProperties>
</file>