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B531C" w14:textId="77777777" w:rsidR="00715F8A" w:rsidRPr="00074402" w:rsidRDefault="00715F8A" w:rsidP="00715F8A">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5B85CEAB" wp14:editId="375663BE">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E404691" w14:textId="77777777" w:rsidR="00715F8A" w:rsidRPr="00074402" w:rsidRDefault="00715F8A" w:rsidP="00715F8A">
      <w:pPr>
        <w:spacing w:line="360" w:lineRule="auto"/>
        <w:rPr>
          <w:rFonts w:ascii="Arial" w:hAnsi="Arial" w:cs="Arial"/>
          <w:szCs w:val="24"/>
        </w:rPr>
      </w:pPr>
    </w:p>
    <w:p w14:paraId="62E00A01" w14:textId="77777777" w:rsidR="00715F8A" w:rsidRPr="00074402" w:rsidRDefault="00715F8A" w:rsidP="00715F8A">
      <w:pPr>
        <w:spacing w:line="360" w:lineRule="auto"/>
        <w:rPr>
          <w:rFonts w:ascii="Arial" w:hAnsi="Arial" w:cs="Arial"/>
          <w:szCs w:val="24"/>
        </w:rPr>
      </w:pPr>
    </w:p>
    <w:p w14:paraId="47ECC6B1" w14:textId="77777777" w:rsidR="00715F8A" w:rsidRPr="00074402" w:rsidRDefault="00715F8A" w:rsidP="00715F8A">
      <w:pPr>
        <w:spacing w:line="360" w:lineRule="auto"/>
        <w:rPr>
          <w:rFonts w:ascii="Arial" w:hAnsi="Arial" w:cs="Arial"/>
          <w:szCs w:val="24"/>
        </w:rPr>
      </w:pPr>
    </w:p>
    <w:p w14:paraId="618F5794" w14:textId="77777777" w:rsidR="00715F8A" w:rsidRDefault="00715F8A" w:rsidP="00715F8A">
      <w:pPr>
        <w:tabs>
          <w:tab w:val="left" w:pos="6540"/>
        </w:tabs>
        <w:spacing w:line="360" w:lineRule="auto"/>
        <w:rPr>
          <w:rFonts w:ascii="Arial" w:hAnsi="Arial" w:cs="Arial"/>
          <w:sz w:val="28"/>
          <w:szCs w:val="28"/>
        </w:rPr>
      </w:pPr>
    </w:p>
    <w:p w14:paraId="531FBC74" w14:textId="77777777" w:rsidR="00715F8A" w:rsidRPr="00C83A82" w:rsidRDefault="00715F8A" w:rsidP="00715F8A">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Beatriz Mardegan Canas</w:t>
      </w:r>
    </w:p>
    <w:p w14:paraId="038D995E" w14:textId="253C5352" w:rsidR="00715F8A" w:rsidRPr="00C83A82" w:rsidRDefault="00715F8A" w:rsidP="00715F8A">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sidR="008918EE">
        <w:rPr>
          <w:rFonts w:ascii="Arial" w:hAnsi="Arial" w:cs="Arial"/>
          <w:sz w:val="28"/>
          <w:szCs w:val="28"/>
          <w:lang w:val="nl-NL"/>
        </w:rPr>
        <w:t>2241031</w:t>
      </w:r>
    </w:p>
    <w:p w14:paraId="6A415BD9" w14:textId="77777777" w:rsidR="00715F8A" w:rsidRPr="00C83A82" w:rsidRDefault="00715F8A" w:rsidP="00715F8A">
      <w:pPr>
        <w:tabs>
          <w:tab w:val="left" w:pos="6540"/>
        </w:tabs>
        <w:spacing w:line="360" w:lineRule="auto"/>
        <w:rPr>
          <w:rFonts w:ascii="Arial" w:hAnsi="Arial" w:cs="Arial"/>
          <w:sz w:val="28"/>
          <w:szCs w:val="28"/>
          <w:lang w:val="nl-NL"/>
        </w:rPr>
      </w:pPr>
    </w:p>
    <w:p w14:paraId="686D9694" w14:textId="332DFDD3" w:rsidR="00715F8A" w:rsidRPr="00C83A82" w:rsidRDefault="00715F8A" w:rsidP="00715F8A">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9B2A55">
        <w:rPr>
          <w:rFonts w:ascii="Arial" w:hAnsi="Arial" w:cs="Arial"/>
          <w:sz w:val="28"/>
          <w:szCs w:val="28"/>
          <w:lang w:val="nl-NL"/>
        </w:rPr>
        <w:t>Introduction</w:t>
      </w:r>
      <w:proofErr w:type="spellEnd"/>
      <w:r w:rsidR="009B2A55">
        <w:rPr>
          <w:rFonts w:ascii="Arial" w:hAnsi="Arial" w:cs="Arial"/>
          <w:sz w:val="28"/>
          <w:szCs w:val="28"/>
          <w:lang w:val="nl-NL"/>
        </w:rPr>
        <w:t xml:space="preserve"> </w:t>
      </w:r>
      <w:proofErr w:type="spellStart"/>
      <w:r w:rsidR="009B2A55">
        <w:rPr>
          <w:rFonts w:ascii="Arial" w:hAnsi="Arial" w:cs="Arial"/>
          <w:sz w:val="28"/>
          <w:szCs w:val="28"/>
          <w:lang w:val="nl-NL"/>
        </w:rPr>
        <w:t>to</w:t>
      </w:r>
      <w:proofErr w:type="spellEnd"/>
      <w:r w:rsidR="009B2A55">
        <w:rPr>
          <w:rFonts w:ascii="Arial" w:hAnsi="Arial" w:cs="Arial"/>
          <w:sz w:val="28"/>
          <w:szCs w:val="28"/>
          <w:lang w:val="nl-NL"/>
        </w:rPr>
        <w:t xml:space="preserve"> Public Health</w:t>
      </w:r>
    </w:p>
    <w:p w14:paraId="4F36AA8B" w14:textId="20DA8AE1" w:rsidR="00715F8A" w:rsidRPr="0020413D" w:rsidRDefault="00715F8A" w:rsidP="00715F8A">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9B2A55">
        <w:rPr>
          <w:rFonts w:ascii="Arial" w:hAnsi="Arial" w:cs="Arial"/>
          <w:sz w:val="28"/>
          <w:szCs w:val="28"/>
        </w:rPr>
        <w:t xml:space="preserve"> LCHS4008</w:t>
      </w:r>
    </w:p>
    <w:p w14:paraId="7F397D38" w14:textId="63F29BCD" w:rsidR="00715F8A" w:rsidRPr="0020413D" w:rsidRDefault="00715F8A" w:rsidP="00715F8A">
      <w:r w:rsidRPr="0020413D">
        <w:rPr>
          <w:rFonts w:ascii="Arial" w:hAnsi="Arial" w:cs="Arial"/>
          <w:b/>
          <w:bCs/>
          <w:sz w:val="28"/>
          <w:szCs w:val="28"/>
        </w:rPr>
        <w:t>Lecturer nam</w:t>
      </w:r>
      <w:r w:rsidR="008918EE">
        <w:rPr>
          <w:rFonts w:ascii="Arial" w:hAnsi="Arial" w:cs="Arial"/>
          <w:b/>
          <w:bCs/>
          <w:sz w:val="28"/>
          <w:szCs w:val="28"/>
        </w:rPr>
        <w:t xml:space="preserve">e: </w:t>
      </w:r>
      <w:r w:rsidR="008918EE" w:rsidRPr="008918EE">
        <w:rPr>
          <w:rFonts w:ascii="Arial" w:hAnsi="Arial" w:cs="Arial"/>
          <w:sz w:val="28"/>
          <w:szCs w:val="28"/>
        </w:rPr>
        <w:t xml:space="preserve">Dr Pascal </w:t>
      </w:r>
      <w:proofErr w:type="spellStart"/>
      <w:r w:rsidR="008918EE" w:rsidRPr="008918EE">
        <w:rPr>
          <w:rFonts w:ascii="Arial" w:hAnsi="Arial" w:cs="Arial"/>
          <w:sz w:val="28"/>
          <w:szCs w:val="28"/>
        </w:rPr>
        <w:t>Navalle</w:t>
      </w:r>
      <w:proofErr w:type="spellEnd"/>
    </w:p>
    <w:bookmarkEnd w:id="0"/>
    <w:p w14:paraId="4A54EC49" w14:textId="77777777" w:rsidR="00715F8A" w:rsidRDefault="00715F8A"/>
    <w:p w14:paraId="4140B28F" w14:textId="77777777" w:rsidR="00715F8A" w:rsidRDefault="00715F8A"/>
    <w:p w14:paraId="6F10A1AA" w14:textId="77777777" w:rsidR="00715F8A" w:rsidRDefault="00715F8A"/>
    <w:p w14:paraId="4888A7A1" w14:textId="77777777" w:rsidR="00715F8A" w:rsidRDefault="00715F8A"/>
    <w:p w14:paraId="62B36AC6" w14:textId="77777777" w:rsidR="00715F8A" w:rsidRDefault="00715F8A"/>
    <w:p w14:paraId="56EA7AAA" w14:textId="77777777" w:rsidR="00715F8A" w:rsidRDefault="00715F8A"/>
    <w:p w14:paraId="093A287F" w14:textId="77777777" w:rsidR="00715F8A" w:rsidRDefault="00715F8A"/>
    <w:p w14:paraId="34C38B7F" w14:textId="77777777" w:rsidR="00715F8A" w:rsidRDefault="00715F8A"/>
    <w:p w14:paraId="30CFEE71" w14:textId="77777777" w:rsidR="00715F8A" w:rsidRDefault="00715F8A"/>
    <w:p w14:paraId="48410728" w14:textId="77777777" w:rsidR="00715F8A" w:rsidRDefault="00715F8A"/>
    <w:p w14:paraId="32684EC1" w14:textId="77777777" w:rsidR="00715F8A" w:rsidRDefault="00715F8A"/>
    <w:p w14:paraId="73BB4C73" w14:textId="77777777" w:rsidR="00715F8A" w:rsidRDefault="00715F8A"/>
    <w:p w14:paraId="4C315D4F" w14:textId="77777777" w:rsidR="00715F8A" w:rsidRDefault="00715F8A"/>
    <w:p w14:paraId="47EBCF0B" w14:textId="77777777" w:rsidR="00715F8A" w:rsidRDefault="00715F8A"/>
    <w:p w14:paraId="1515E682" w14:textId="77777777" w:rsidR="00715F8A" w:rsidRDefault="00715F8A"/>
    <w:p w14:paraId="57A3AF22" w14:textId="77777777" w:rsidR="00715F8A" w:rsidRDefault="00715F8A"/>
    <w:p w14:paraId="6E08C56B" w14:textId="06E9232D" w:rsidR="00715F8A" w:rsidRPr="00715F8A" w:rsidRDefault="00715F8A" w:rsidP="00715F8A">
      <w:pPr>
        <w:rPr>
          <w:sz w:val="28"/>
          <w:szCs w:val="28"/>
        </w:rPr>
      </w:pPr>
      <w:r w:rsidRPr="00715F8A">
        <w:rPr>
          <w:sz w:val="28"/>
          <w:szCs w:val="28"/>
        </w:rPr>
        <w:lastRenderedPageBreak/>
        <w:t xml:space="preserve">Non-Infectious </w:t>
      </w:r>
      <w:proofErr w:type="gramStart"/>
      <w:r w:rsidRPr="00715F8A">
        <w:rPr>
          <w:sz w:val="28"/>
          <w:szCs w:val="28"/>
        </w:rPr>
        <w:t>Disease</w:t>
      </w:r>
      <w:r w:rsidRPr="00715F8A">
        <w:rPr>
          <w:sz w:val="28"/>
          <w:szCs w:val="28"/>
        </w:rPr>
        <w:t>;</w:t>
      </w:r>
      <w:proofErr w:type="gramEnd"/>
    </w:p>
    <w:p w14:paraId="618A8817" w14:textId="5455558E" w:rsidR="00715F8A" w:rsidRPr="00715F8A" w:rsidRDefault="00715F8A" w:rsidP="00715F8A">
      <w:pPr>
        <w:rPr>
          <w:sz w:val="28"/>
          <w:szCs w:val="28"/>
        </w:rPr>
      </w:pPr>
      <w:r w:rsidRPr="00715F8A">
        <w:rPr>
          <w:sz w:val="28"/>
          <w:szCs w:val="28"/>
        </w:rPr>
        <w:t>Bowel Cancer</w:t>
      </w:r>
    </w:p>
    <w:p w14:paraId="309426E8" w14:textId="397C660B" w:rsidR="00715F8A" w:rsidRPr="00715F8A" w:rsidRDefault="00715F8A" w:rsidP="00715F8A">
      <w:pPr>
        <w:rPr>
          <w:sz w:val="28"/>
          <w:szCs w:val="28"/>
        </w:rPr>
      </w:pPr>
    </w:p>
    <w:p w14:paraId="66DC24DA" w14:textId="74638FA1" w:rsidR="00715F8A" w:rsidRPr="00715F8A" w:rsidRDefault="00715F8A" w:rsidP="00715F8A">
      <w:pPr>
        <w:rPr>
          <w:sz w:val="32"/>
          <w:szCs w:val="32"/>
        </w:rPr>
      </w:pPr>
      <w:r w:rsidRPr="00715F8A">
        <w:rPr>
          <w:sz w:val="32"/>
          <w:szCs w:val="32"/>
        </w:rPr>
        <w:t xml:space="preserve">Introduction </w:t>
      </w:r>
    </w:p>
    <w:p w14:paraId="267EAA6B" w14:textId="77777777" w:rsidR="00715F8A" w:rsidRPr="00715F8A" w:rsidRDefault="00715F8A" w:rsidP="00715F8A">
      <w:pPr>
        <w:rPr>
          <w:sz w:val="28"/>
          <w:szCs w:val="28"/>
        </w:rPr>
      </w:pPr>
    </w:p>
    <w:p w14:paraId="645CA1F0" w14:textId="77777777" w:rsidR="00715F8A" w:rsidRPr="00715F8A" w:rsidRDefault="00715F8A" w:rsidP="00715F8A">
      <w:pPr>
        <w:rPr>
          <w:sz w:val="28"/>
          <w:szCs w:val="28"/>
        </w:rPr>
      </w:pPr>
      <w:r w:rsidRPr="00715F8A">
        <w:rPr>
          <w:sz w:val="28"/>
          <w:szCs w:val="28"/>
        </w:rPr>
        <w:t>Bowel cancer, medically referred to as colorectal cancer, is a chronic non-infectious condition that affects the large intestine, including the colon and rectum. The disease often develops gradually from benign polyps, which may become malignant if they are not identified and treated at an early stage (NHS, 2023). From a public health perspective, bowel cancer presents a major challenge due to its prevalence, delayed symptom presentation, and significant impact on mortality and long-term well-being.</w:t>
      </w:r>
    </w:p>
    <w:p w14:paraId="50BD5093" w14:textId="77777777" w:rsidR="00715F8A" w:rsidRPr="00715F8A" w:rsidRDefault="00715F8A" w:rsidP="00715F8A">
      <w:pPr>
        <w:rPr>
          <w:sz w:val="28"/>
          <w:szCs w:val="28"/>
        </w:rPr>
      </w:pPr>
    </w:p>
    <w:p w14:paraId="09C8EFD2" w14:textId="77777777" w:rsidR="00715F8A" w:rsidRPr="00715F8A" w:rsidRDefault="00715F8A" w:rsidP="00715F8A">
      <w:pPr>
        <w:rPr>
          <w:sz w:val="28"/>
          <w:szCs w:val="28"/>
        </w:rPr>
      </w:pPr>
      <w:r w:rsidRPr="00715F8A">
        <w:rPr>
          <w:sz w:val="28"/>
          <w:szCs w:val="28"/>
        </w:rPr>
        <w:t>Globally, colorectal cancer is among the most frequently diagnosed cancers, with close to two million new cases recorded each year (World Health Organization, 2022). In the UK alone, approximately 42,000 people are diagnosed annually, highlighting the ongoing burden on individuals and healthcare services (Cancer Research UK, 2023). Although symptoms such as altered bowel habits, rectal bleeding, fatigue, and unexplained weight loss may occur, early disease often remains asymptomatic, reinforcing the importance of screening and prevention strategies.</w:t>
      </w:r>
    </w:p>
    <w:p w14:paraId="30A6AFF7" w14:textId="77777777" w:rsidR="00715F8A" w:rsidRPr="00715F8A" w:rsidRDefault="00715F8A" w:rsidP="00715F8A">
      <w:pPr>
        <w:rPr>
          <w:sz w:val="32"/>
          <w:szCs w:val="32"/>
        </w:rPr>
      </w:pPr>
    </w:p>
    <w:p w14:paraId="05B96BC7" w14:textId="77777777" w:rsidR="00715F8A" w:rsidRPr="00715F8A" w:rsidRDefault="00715F8A" w:rsidP="00715F8A">
      <w:pPr>
        <w:rPr>
          <w:sz w:val="32"/>
          <w:szCs w:val="32"/>
        </w:rPr>
      </w:pPr>
      <w:r w:rsidRPr="00715F8A">
        <w:rPr>
          <w:sz w:val="32"/>
          <w:szCs w:val="32"/>
        </w:rPr>
        <w:t>Implications of Bowel Cancer in Communities</w:t>
      </w:r>
    </w:p>
    <w:p w14:paraId="35686AFD" w14:textId="77777777" w:rsidR="00715F8A" w:rsidRPr="00715F8A" w:rsidRDefault="00715F8A" w:rsidP="00715F8A">
      <w:pPr>
        <w:rPr>
          <w:sz w:val="28"/>
          <w:szCs w:val="28"/>
        </w:rPr>
      </w:pPr>
    </w:p>
    <w:p w14:paraId="01DD4082" w14:textId="77777777" w:rsidR="00715F8A" w:rsidRPr="00715F8A" w:rsidRDefault="00715F8A" w:rsidP="00715F8A">
      <w:pPr>
        <w:rPr>
          <w:sz w:val="28"/>
          <w:szCs w:val="28"/>
        </w:rPr>
      </w:pPr>
      <w:r w:rsidRPr="00715F8A">
        <w:rPr>
          <w:sz w:val="28"/>
          <w:szCs w:val="28"/>
        </w:rPr>
        <w:t>Bowel cancer has far-reaching consequences that extend beyond the individual, affecting families, communities, and healthcare systems. For many people, the condition results in long-term physical changes, including persistent bowel dysfunction, chronic fatigue, pain, and, in some cases, permanent stoma formation. These outcomes can significantly alter daily routines, employment opportunities, and social participation, often leading to reduced independence and confidence (Macmillan Cancer Support, 2022).</w:t>
      </w:r>
    </w:p>
    <w:p w14:paraId="2000717A" w14:textId="77777777" w:rsidR="00715F8A" w:rsidRPr="00715F8A" w:rsidRDefault="00715F8A" w:rsidP="00715F8A">
      <w:pPr>
        <w:rPr>
          <w:sz w:val="28"/>
          <w:szCs w:val="28"/>
        </w:rPr>
      </w:pPr>
    </w:p>
    <w:p w14:paraId="4C0E1C48" w14:textId="77777777" w:rsidR="00715F8A" w:rsidRPr="00715F8A" w:rsidRDefault="00715F8A" w:rsidP="00715F8A">
      <w:pPr>
        <w:rPr>
          <w:sz w:val="28"/>
          <w:szCs w:val="28"/>
        </w:rPr>
      </w:pPr>
      <w:r w:rsidRPr="00715F8A">
        <w:rPr>
          <w:sz w:val="28"/>
          <w:szCs w:val="28"/>
        </w:rPr>
        <w:t xml:space="preserve">When considering community impact, the three </w:t>
      </w:r>
      <w:proofErr w:type="gramStart"/>
      <w:r w:rsidRPr="00715F8A">
        <w:rPr>
          <w:sz w:val="28"/>
          <w:szCs w:val="28"/>
        </w:rPr>
        <w:t>P’s</w:t>
      </w:r>
      <w:proofErr w:type="gramEnd"/>
      <w:r w:rsidRPr="00715F8A">
        <w:rPr>
          <w:sz w:val="28"/>
          <w:szCs w:val="28"/>
        </w:rPr>
        <w:t xml:space="preserve"> of public health — prevention, protection, and promotion — provide a useful framework. Prevention aims to reduce exposure to modifiable risk factors such as poor diet, physical inactivity, smoking, and alcohol consumption. Protection focuses on organised interventions, particularly bowel cancer screening, which can identify disease early or prevent cancer by removing pre-cancerous lesions. Promotion involves increasing public awareness, encouraging symptom recognition, and reducing stigma associated with bowel health.</w:t>
      </w:r>
    </w:p>
    <w:p w14:paraId="545FC129" w14:textId="77777777" w:rsidR="00715F8A" w:rsidRPr="00715F8A" w:rsidRDefault="00715F8A" w:rsidP="00715F8A">
      <w:pPr>
        <w:rPr>
          <w:sz w:val="28"/>
          <w:szCs w:val="28"/>
        </w:rPr>
      </w:pPr>
    </w:p>
    <w:p w14:paraId="2CB27B82" w14:textId="7D3DA41A" w:rsidR="00715F8A" w:rsidRPr="00715F8A" w:rsidRDefault="00715F8A" w:rsidP="00715F8A">
      <w:pPr>
        <w:rPr>
          <w:sz w:val="28"/>
          <w:szCs w:val="28"/>
        </w:rPr>
      </w:pPr>
      <w:r w:rsidRPr="00715F8A">
        <w:rPr>
          <w:sz w:val="28"/>
          <w:szCs w:val="28"/>
        </w:rPr>
        <w:t>Evidence suggests that individuals living in socioeconomically deprived areas are more likely to experience poorer outcomes, as lower screening uptake and delayed presentation remain common in these communities (Public Health England, 2021). As a result, bowel cancer contributes to ongoing health inequalities across the UK.</w:t>
      </w:r>
    </w:p>
    <w:p w14:paraId="563903B1" w14:textId="77777777" w:rsidR="00715F8A" w:rsidRPr="00715F8A" w:rsidRDefault="00715F8A" w:rsidP="00715F8A">
      <w:pPr>
        <w:rPr>
          <w:sz w:val="32"/>
          <w:szCs w:val="32"/>
        </w:rPr>
      </w:pPr>
    </w:p>
    <w:p w14:paraId="644F727E" w14:textId="6C111BBD" w:rsidR="00715F8A" w:rsidRPr="00715F8A" w:rsidRDefault="00715F8A" w:rsidP="00715F8A">
      <w:pPr>
        <w:rPr>
          <w:sz w:val="32"/>
          <w:szCs w:val="32"/>
        </w:rPr>
      </w:pPr>
      <w:r w:rsidRPr="00715F8A">
        <w:rPr>
          <w:sz w:val="32"/>
          <w:szCs w:val="32"/>
        </w:rPr>
        <w:t>Determinants and Risk Factors</w:t>
      </w:r>
      <w:r>
        <w:rPr>
          <w:sz w:val="32"/>
          <w:szCs w:val="32"/>
        </w:rPr>
        <w:t>.</w:t>
      </w:r>
    </w:p>
    <w:p w14:paraId="56E839C4" w14:textId="77777777" w:rsidR="00715F8A" w:rsidRPr="00715F8A" w:rsidRDefault="00715F8A" w:rsidP="00715F8A">
      <w:pPr>
        <w:rPr>
          <w:sz w:val="28"/>
          <w:szCs w:val="28"/>
        </w:rPr>
      </w:pPr>
    </w:p>
    <w:p w14:paraId="25FD06EC" w14:textId="77777777" w:rsidR="00715F8A" w:rsidRPr="00715F8A" w:rsidRDefault="00715F8A" w:rsidP="00715F8A">
      <w:pPr>
        <w:rPr>
          <w:sz w:val="28"/>
          <w:szCs w:val="28"/>
        </w:rPr>
      </w:pPr>
      <w:r w:rsidRPr="00715F8A">
        <w:rPr>
          <w:sz w:val="28"/>
          <w:szCs w:val="28"/>
        </w:rPr>
        <w:t>The development of bowel cancer is influenced by a complex interaction of biological, behavioural, and social factors. Age is one of the most significant determinants, with incidence increasing markedly after the age of 50. Lifestyle-related behaviours, including diets high in red and processed meat, low fibre intake, obesity, smoking, and excessive alcohol use, are well-established contributors to increased risk (NHS, 2023).</w:t>
      </w:r>
    </w:p>
    <w:p w14:paraId="76FF42BB" w14:textId="77777777" w:rsidR="00715F8A" w:rsidRPr="00715F8A" w:rsidRDefault="00715F8A" w:rsidP="00715F8A">
      <w:pPr>
        <w:rPr>
          <w:sz w:val="28"/>
          <w:szCs w:val="28"/>
        </w:rPr>
      </w:pPr>
    </w:p>
    <w:p w14:paraId="39AFE636" w14:textId="77777777" w:rsidR="00715F8A" w:rsidRPr="00715F8A" w:rsidRDefault="00715F8A" w:rsidP="00715F8A">
      <w:pPr>
        <w:rPr>
          <w:sz w:val="28"/>
          <w:szCs w:val="28"/>
        </w:rPr>
      </w:pPr>
      <w:r w:rsidRPr="00715F8A">
        <w:rPr>
          <w:sz w:val="28"/>
          <w:szCs w:val="28"/>
        </w:rPr>
        <w:t>Genetic susceptibility also plays a role, particularly for individuals with a family history of bowel cancer or inherited syndromes such as Lynch syndrome. However, risk is not determined by biology alone. Wider social determinants — such as education, income, access to healthcare, and health literacy — strongly influence both exposure to risk factors and engagement with preventive services.</w:t>
      </w:r>
    </w:p>
    <w:p w14:paraId="2C1F7D36" w14:textId="77777777" w:rsidR="00715F8A" w:rsidRPr="00715F8A" w:rsidRDefault="00715F8A" w:rsidP="00715F8A">
      <w:pPr>
        <w:rPr>
          <w:sz w:val="28"/>
          <w:szCs w:val="28"/>
        </w:rPr>
      </w:pPr>
    </w:p>
    <w:p w14:paraId="74DBBACD" w14:textId="228A8C0A" w:rsidR="00715F8A" w:rsidRPr="00715F8A" w:rsidRDefault="00715F8A" w:rsidP="00715F8A">
      <w:pPr>
        <w:rPr>
          <w:sz w:val="28"/>
          <w:szCs w:val="28"/>
        </w:rPr>
      </w:pPr>
      <w:r w:rsidRPr="00715F8A">
        <w:rPr>
          <w:sz w:val="28"/>
          <w:szCs w:val="28"/>
        </w:rPr>
        <w:lastRenderedPageBreak/>
        <w:t>In addition, emotional barriers such as fear of diagnosis, embarrassment, or misunderstanding of symptoms may discourage individuals from seeking timely medical advice. These factors frequently result in later diagnosis, poorer prognosis, and increased mortality at a population level.</w:t>
      </w:r>
    </w:p>
    <w:p w14:paraId="2C9A3326" w14:textId="77777777" w:rsidR="00715F8A" w:rsidRPr="00715F8A" w:rsidRDefault="00715F8A" w:rsidP="00715F8A">
      <w:pPr>
        <w:rPr>
          <w:sz w:val="32"/>
          <w:szCs w:val="32"/>
        </w:rPr>
      </w:pPr>
    </w:p>
    <w:p w14:paraId="32A90934" w14:textId="382B315A" w:rsidR="00715F8A" w:rsidRPr="00715F8A" w:rsidRDefault="00715F8A" w:rsidP="00715F8A">
      <w:pPr>
        <w:rPr>
          <w:sz w:val="32"/>
          <w:szCs w:val="32"/>
        </w:rPr>
      </w:pPr>
      <w:r w:rsidRPr="00715F8A">
        <w:rPr>
          <w:sz w:val="32"/>
          <w:szCs w:val="32"/>
        </w:rPr>
        <w:t>Factors Affecting Health and Well-being of Individuals and Communities</w:t>
      </w:r>
      <w:r>
        <w:rPr>
          <w:sz w:val="32"/>
          <w:szCs w:val="32"/>
        </w:rPr>
        <w:t>.</w:t>
      </w:r>
    </w:p>
    <w:p w14:paraId="19D2E5E9" w14:textId="77777777" w:rsidR="00715F8A" w:rsidRPr="00715F8A" w:rsidRDefault="00715F8A" w:rsidP="00715F8A">
      <w:pPr>
        <w:rPr>
          <w:sz w:val="28"/>
          <w:szCs w:val="28"/>
        </w:rPr>
      </w:pPr>
    </w:p>
    <w:p w14:paraId="4ACAE333" w14:textId="77777777" w:rsidR="00715F8A" w:rsidRPr="00715F8A" w:rsidRDefault="00715F8A" w:rsidP="00715F8A">
      <w:pPr>
        <w:rPr>
          <w:sz w:val="28"/>
          <w:szCs w:val="28"/>
        </w:rPr>
      </w:pPr>
      <w:r w:rsidRPr="00715F8A">
        <w:rPr>
          <w:sz w:val="28"/>
          <w:szCs w:val="28"/>
        </w:rPr>
        <w:t>The impact of bowel cancer on health and well-being is multidimensional. Physically, individuals may experience long-term side effects following treatment, including altered bowel habits, reduced stamina, pain, and sexual dysfunction. These changes can persist well beyond the completion of treatment and affect overall quality of life.</w:t>
      </w:r>
    </w:p>
    <w:p w14:paraId="647B0746" w14:textId="77777777" w:rsidR="00715F8A" w:rsidRPr="00715F8A" w:rsidRDefault="00715F8A" w:rsidP="00715F8A">
      <w:pPr>
        <w:rPr>
          <w:sz w:val="28"/>
          <w:szCs w:val="28"/>
        </w:rPr>
      </w:pPr>
    </w:p>
    <w:p w14:paraId="5ED2E9E9" w14:textId="77777777" w:rsidR="00715F8A" w:rsidRPr="00715F8A" w:rsidRDefault="00715F8A" w:rsidP="00715F8A">
      <w:pPr>
        <w:rPr>
          <w:sz w:val="28"/>
          <w:szCs w:val="28"/>
        </w:rPr>
      </w:pPr>
      <w:r w:rsidRPr="00715F8A">
        <w:rPr>
          <w:sz w:val="28"/>
          <w:szCs w:val="28"/>
        </w:rPr>
        <w:t>Psychological well-being is also commonly affected. Many individuals report anxiety, low mood, or ongoing fear of cancer recurrence, which can interfere with personal relationships and return to work. The emotional burden often extends to family members and informal carers, who may experience stress, exhaustion, and financial pressure while providing support (Macmillan Cancer Support, 2022).</w:t>
      </w:r>
    </w:p>
    <w:p w14:paraId="5C64758C" w14:textId="77777777" w:rsidR="00715F8A" w:rsidRPr="00715F8A" w:rsidRDefault="00715F8A" w:rsidP="00715F8A">
      <w:pPr>
        <w:rPr>
          <w:sz w:val="28"/>
          <w:szCs w:val="28"/>
        </w:rPr>
      </w:pPr>
    </w:p>
    <w:p w14:paraId="14FE56E6" w14:textId="77777777" w:rsidR="00715F8A" w:rsidRPr="00715F8A" w:rsidRDefault="00715F8A" w:rsidP="00715F8A">
      <w:pPr>
        <w:rPr>
          <w:sz w:val="28"/>
          <w:szCs w:val="28"/>
        </w:rPr>
      </w:pPr>
      <w:r w:rsidRPr="00715F8A">
        <w:rPr>
          <w:sz w:val="28"/>
          <w:szCs w:val="28"/>
        </w:rPr>
        <w:t>From a community and service perspective, bowel cancer places sustained pressure on NHS provision. Demand for screening, diagnostic investigations, treatment, rehabilitation, and long-term follow-up requires substantial resources. As survival rates improve, the need for ongoing supportive and community-based care continues to grow.</w:t>
      </w:r>
    </w:p>
    <w:p w14:paraId="6ABE9BAA" w14:textId="67621DE4" w:rsidR="00715F8A" w:rsidRPr="00715F8A" w:rsidRDefault="00715F8A" w:rsidP="00715F8A">
      <w:pPr>
        <w:rPr>
          <w:sz w:val="28"/>
          <w:szCs w:val="28"/>
        </w:rPr>
      </w:pPr>
    </w:p>
    <w:p w14:paraId="2D66C36B" w14:textId="77777777" w:rsidR="00715F8A" w:rsidRPr="00715F8A" w:rsidRDefault="00715F8A" w:rsidP="00715F8A">
      <w:pPr>
        <w:rPr>
          <w:sz w:val="28"/>
          <w:szCs w:val="28"/>
        </w:rPr>
      </w:pPr>
    </w:p>
    <w:p w14:paraId="1A363757" w14:textId="77777777" w:rsidR="009B2A55" w:rsidRDefault="009B2A55" w:rsidP="00715F8A">
      <w:pPr>
        <w:rPr>
          <w:sz w:val="32"/>
          <w:szCs w:val="32"/>
        </w:rPr>
      </w:pPr>
    </w:p>
    <w:p w14:paraId="69D78CF8" w14:textId="77777777" w:rsidR="009B2A55" w:rsidRDefault="009B2A55" w:rsidP="00715F8A">
      <w:pPr>
        <w:rPr>
          <w:sz w:val="32"/>
          <w:szCs w:val="32"/>
        </w:rPr>
      </w:pPr>
    </w:p>
    <w:p w14:paraId="1F76DFAA" w14:textId="77777777" w:rsidR="009B2A55" w:rsidRDefault="009B2A55" w:rsidP="00715F8A">
      <w:pPr>
        <w:rPr>
          <w:sz w:val="32"/>
          <w:szCs w:val="32"/>
        </w:rPr>
      </w:pPr>
    </w:p>
    <w:p w14:paraId="5A63A09C" w14:textId="0D480866" w:rsidR="00715F8A" w:rsidRPr="00715F8A" w:rsidRDefault="00715F8A" w:rsidP="00715F8A">
      <w:pPr>
        <w:rPr>
          <w:sz w:val="32"/>
          <w:szCs w:val="32"/>
        </w:rPr>
      </w:pPr>
      <w:r w:rsidRPr="00715F8A">
        <w:rPr>
          <w:sz w:val="32"/>
          <w:szCs w:val="32"/>
        </w:rPr>
        <w:lastRenderedPageBreak/>
        <w:t>Enhancing the Well-being of People with Bowel Cancer</w:t>
      </w:r>
    </w:p>
    <w:p w14:paraId="3B15581D" w14:textId="77777777" w:rsidR="00715F8A" w:rsidRPr="00715F8A" w:rsidRDefault="00715F8A" w:rsidP="00715F8A">
      <w:pPr>
        <w:rPr>
          <w:sz w:val="28"/>
          <w:szCs w:val="28"/>
        </w:rPr>
      </w:pPr>
    </w:p>
    <w:p w14:paraId="3CE22967" w14:textId="77777777" w:rsidR="00715F8A" w:rsidRPr="00715F8A" w:rsidRDefault="00715F8A" w:rsidP="00715F8A">
      <w:pPr>
        <w:rPr>
          <w:sz w:val="28"/>
          <w:szCs w:val="28"/>
        </w:rPr>
      </w:pPr>
      <w:r w:rsidRPr="00715F8A">
        <w:rPr>
          <w:sz w:val="28"/>
          <w:szCs w:val="28"/>
        </w:rPr>
        <w:t>Improving outcomes for people affected by bowel cancer requires a holistic, person-centred approach. Early diagnosis remains one of the most effective ways to improve survival and reduce treatment burden. The NHS Bowel Cancer Screening Programme plays a crucial role in identifying disease at an earlier and more treatable stage.</w:t>
      </w:r>
    </w:p>
    <w:p w14:paraId="4B5B183A" w14:textId="77777777" w:rsidR="00715F8A" w:rsidRPr="00715F8A" w:rsidRDefault="00715F8A" w:rsidP="00715F8A">
      <w:pPr>
        <w:rPr>
          <w:sz w:val="28"/>
          <w:szCs w:val="28"/>
        </w:rPr>
      </w:pPr>
    </w:p>
    <w:p w14:paraId="00BD51AD" w14:textId="77777777" w:rsidR="00715F8A" w:rsidRPr="00715F8A" w:rsidRDefault="00715F8A" w:rsidP="00715F8A">
      <w:pPr>
        <w:rPr>
          <w:sz w:val="28"/>
          <w:szCs w:val="28"/>
        </w:rPr>
      </w:pPr>
      <w:r w:rsidRPr="00715F8A">
        <w:rPr>
          <w:sz w:val="28"/>
          <w:szCs w:val="28"/>
        </w:rPr>
        <w:t>Health promotion initiatives can support individuals in making informed lifestyle choices and recognising symptoms sooner. Community education, delivered in accessible and culturally sensitive ways, may help reduce stigma and increase confidence in discussing bowel health. Emotional and psychological support, including counselling and peer support groups, can further enhance well-being.</w:t>
      </w:r>
    </w:p>
    <w:p w14:paraId="79F2FCD6" w14:textId="77777777" w:rsidR="00715F8A" w:rsidRPr="00715F8A" w:rsidRDefault="00715F8A" w:rsidP="00715F8A">
      <w:pPr>
        <w:rPr>
          <w:sz w:val="28"/>
          <w:szCs w:val="28"/>
        </w:rPr>
      </w:pPr>
    </w:p>
    <w:p w14:paraId="25E415C6" w14:textId="35361FEE" w:rsidR="00715F8A" w:rsidRPr="00715F8A" w:rsidRDefault="00715F8A" w:rsidP="00715F8A">
      <w:pPr>
        <w:rPr>
          <w:sz w:val="28"/>
          <w:szCs w:val="28"/>
        </w:rPr>
      </w:pPr>
      <w:r w:rsidRPr="00715F8A">
        <w:rPr>
          <w:sz w:val="28"/>
          <w:szCs w:val="28"/>
        </w:rPr>
        <w:t>Multidisciplinary care, involving nurses, dietitians, psychologists, and social workers, ensures that both physical and emotional needs are addressed. Supporting carers through education and access to services is equally important, as their well-being directly influences patient outcomes.</w:t>
      </w:r>
    </w:p>
    <w:p w14:paraId="3A241250" w14:textId="77777777" w:rsidR="00715F8A" w:rsidRPr="00715F8A" w:rsidRDefault="00715F8A" w:rsidP="00715F8A">
      <w:pPr>
        <w:rPr>
          <w:sz w:val="32"/>
          <w:szCs w:val="32"/>
        </w:rPr>
      </w:pPr>
    </w:p>
    <w:p w14:paraId="14DF688C" w14:textId="77777777" w:rsidR="00715F8A" w:rsidRPr="00715F8A" w:rsidRDefault="00715F8A" w:rsidP="00715F8A">
      <w:pPr>
        <w:rPr>
          <w:sz w:val="32"/>
          <w:szCs w:val="32"/>
        </w:rPr>
      </w:pPr>
      <w:r w:rsidRPr="00715F8A">
        <w:rPr>
          <w:sz w:val="32"/>
          <w:szCs w:val="32"/>
        </w:rPr>
        <w:t>Strategies to Control Bowel Cancer and Policy Recommendations</w:t>
      </w:r>
    </w:p>
    <w:p w14:paraId="59BA8266" w14:textId="77777777" w:rsidR="00715F8A" w:rsidRPr="00715F8A" w:rsidRDefault="00715F8A" w:rsidP="00715F8A">
      <w:pPr>
        <w:rPr>
          <w:sz w:val="28"/>
          <w:szCs w:val="28"/>
        </w:rPr>
      </w:pPr>
    </w:p>
    <w:p w14:paraId="63295E17" w14:textId="77777777" w:rsidR="00715F8A" w:rsidRPr="00715F8A" w:rsidRDefault="00715F8A" w:rsidP="00715F8A">
      <w:pPr>
        <w:rPr>
          <w:sz w:val="28"/>
          <w:szCs w:val="28"/>
        </w:rPr>
      </w:pPr>
      <w:r w:rsidRPr="00715F8A">
        <w:rPr>
          <w:sz w:val="28"/>
          <w:szCs w:val="28"/>
        </w:rPr>
        <w:t>Addressing bowel cancer effectively requires action at individual, community, and policy levels. Increasing screening participation, particularly in areas of low uptake, should be a key priority for policy makers. Removing practical and psychological barriers to screening may help reduce late diagnosis and mortality.</w:t>
      </w:r>
    </w:p>
    <w:p w14:paraId="450B8CCB" w14:textId="77777777" w:rsidR="00715F8A" w:rsidRPr="00715F8A" w:rsidRDefault="00715F8A" w:rsidP="00715F8A">
      <w:pPr>
        <w:rPr>
          <w:sz w:val="28"/>
          <w:szCs w:val="28"/>
        </w:rPr>
      </w:pPr>
    </w:p>
    <w:p w14:paraId="67252BEC" w14:textId="77777777" w:rsidR="00715F8A" w:rsidRPr="00715F8A" w:rsidRDefault="00715F8A" w:rsidP="00715F8A">
      <w:pPr>
        <w:rPr>
          <w:sz w:val="28"/>
          <w:szCs w:val="28"/>
        </w:rPr>
      </w:pPr>
      <w:r w:rsidRPr="00715F8A">
        <w:rPr>
          <w:sz w:val="28"/>
          <w:szCs w:val="28"/>
        </w:rPr>
        <w:t xml:space="preserve">Public health policies that address wider determinants of health — including access to healthy food, opportunities for physical activity, and </w:t>
      </w:r>
      <w:r w:rsidRPr="00715F8A">
        <w:rPr>
          <w:sz w:val="28"/>
          <w:szCs w:val="28"/>
        </w:rPr>
        <w:lastRenderedPageBreak/>
        <w:t>health education — are essential in reducing long-term risk. National awareness campaigns can further encourage early help-seeking and normalise conversations around bowel symptoms.</w:t>
      </w:r>
    </w:p>
    <w:p w14:paraId="1812F752" w14:textId="77777777" w:rsidR="00715F8A" w:rsidRPr="00715F8A" w:rsidRDefault="00715F8A" w:rsidP="00715F8A">
      <w:pPr>
        <w:rPr>
          <w:sz w:val="28"/>
          <w:szCs w:val="28"/>
        </w:rPr>
      </w:pPr>
    </w:p>
    <w:p w14:paraId="669C2D14" w14:textId="6696FCB7" w:rsidR="00715F8A" w:rsidRPr="00715F8A" w:rsidRDefault="00715F8A" w:rsidP="00715F8A">
      <w:pPr>
        <w:rPr>
          <w:sz w:val="28"/>
          <w:szCs w:val="28"/>
        </w:rPr>
      </w:pPr>
      <w:r w:rsidRPr="00715F8A">
        <w:rPr>
          <w:sz w:val="28"/>
          <w:szCs w:val="28"/>
        </w:rPr>
        <w:t>Healthcare professionals play a vital role in prevention, early detection, and ongoing support. Strengthening primary care referral pathways and improving coordination between services can reduce inequalities and improve continuity of care.</w:t>
      </w:r>
    </w:p>
    <w:p w14:paraId="107A45F7" w14:textId="77777777" w:rsidR="00715F8A" w:rsidRPr="00715F8A" w:rsidRDefault="00715F8A" w:rsidP="00715F8A">
      <w:pPr>
        <w:rPr>
          <w:sz w:val="28"/>
          <w:szCs w:val="28"/>
        </w:rPr>
      </w:pPr>
    </w:p>
    <w:p w14:paraId="3DDAC536" w14:textId="77777777" w:rsidR="00715F8A" w:rsidRPr="009B2A55" w:rsidRDefault="00715F8A" w:rsidP="00715F8A">
      <w:pPr>
        <w:rPr>
          <w:sz w:val="32"/>
          <w:szCs w:val="32"/>
        </w:rPr>
      </w:pPr>
      <w:r w:rsidRPr="009B2A55">
        <w:rPr>
          <w:sz w:val="32"/>
          <w:szCs w:val="32"/>
        </w:rPr>
        <w:t>Conclusion</w:t>
      </w:r>
    </w:p>
    <w:p w14:paraId="0CCC701A" w14:textId="77777777" w:rsidR="00715F8A" w:rsidRPr="00715F8A" w:rsidRDefault="00715F8A" w:rsidP="00715F8A">
      <w:pPr>
        <w:rPr>
          <w:sz w:val="28"/>
          <w:szCs w:val="28"/>
        </w:rPr>
      </w:pPr>
    </w:p>
    <w:p w14:paraId="19F553DD" w14:textId="77777777" w:rsidR="00715F8A" w:rsidRPr="00715F8A" w:rsidRDefault="00715F8A" w:rsidP="00715F8A">
      <w:pPr>
        <w:rPr>
          <w:sz w:val="28"/>
          <w:szCs w:val="28"/>
        </w:rPr>
      </w:pPr>
      <w:r w:rsidRPr="00715F8A">
        <w:rPr>
          <w:sz w:val="28"/>
          <w:szCs w:val="28"/>
        </w:rPr>
        <w:t>Overall, bowel cancer is a significant non-infectious disease with lasting consequences for individuals, communities, and healthcare systems. Its impact extends beyond physical illness, affecting emotional well-being, social participation, and service provision. Applying the principles of prevention, protection, and promotion offers an effective framework for reducing risk, improving early detection, and supporting those living with the condition. Continued investment in screening, public health education, and holistic care is essential to reduce inequalities and improve long-term outcomes.</w:t>
      </w:r>
    </w:p>
    <w:p w14:paraId="739F0486" w14:textId="77777777" w:rsidR="00715F8A" w:rsidRPr="00715F8A" w:rsidRDefault="00715F8A" w:rsidP="00715F8A">
      <w:pPr>
        <w:rPr>
          <w:sz w:val="28"/>
          <w:szCs w:val="28"/>
        </w:rPr>
      </w:pPr>
    </w:p>
    <w:p w14:paraId="04F9C5E4" w14:textId="35A8EAE4" w:rsidR="00715F8A" w:rsidRPr="00715F8A" w:rsidRDefault="00715F8A" w:rsidP="00715F8A">
      <w:pPr>
        <w:rPr>
          <w:sz w:val="28"/>
          <w:szCs w:val="28"/>
        </w:rPr>
      </w:pPr>
    </w:p>
    <w:p w14:paraId="7D8250C4" w14:textId="77777777" w:rsidR="009B2A55" w:rsidRDefault="009B2A55" w:rsidP="00715F8A">
      <w:pPr>
        <w:rPr>
          <w:sz w:val="28"/>
          <w:szCs w:val="28"/>
        </w:rPr>
      </w:pPr>
    </w:p>
    <w:p w14:paraId="32D687B8" w14:textId="77777777" w:rsidR="009B2A55" w:rsidRDefault="009B2A55" w:rsidP="00715F8A">
      <w:pPr>
        <w:rPr>
          <w:sz w:val="28"/>
          <w:szCs w:val="28"/>
        </w:rPr>
      </w:pPr>
    </w:p>
    <w:p w14:paraId="7EB41DD6" w14:textId="77777777" w:rsidR="009B2A55" w:rsidRDefault="009B2A55" w:rsidP="00715F8A">
      <w:pPr>
        <w:rPr>
          <w:sz w:val="28"/>
          <w:szCs w:val="28"/>
        </w:rPr>
      </w:pPr>
    </w:p>
    <w:p w14:paraId="42F58725" w14:textId="77777777" w:rsidR="009B2A55" w:rsidRDefault="009B2A55" w:rsidP="00715F8A">
      <w:pPr>
        <w:rPr>
          <w:sz w:val="28"/>
          <w:szCs w:val="28"/>
        </w:rPr>
      </w:pPr>
    </w:p>
    <w:p w14:paraId="3AB7FD07" w14:textId="77777777" w:rsidR="009B2A55" w:rsidRDefault="009B2A55" w:rsidP="00715F8A">
      <w:pPr>
        <w:rPr>
          <w:sz w:val="28"/>
          <w:szCs w:val="28"/>
        </w:rPr>
      </w:pPr>
    </w:p>
    <w:p w14:paraId="3420020A" w14:textId="77777777" w:rsidR="009B2A55" w:rsidRDefault="009B2A55" w:rsidP="00715F8A">
      <w:pPr>
        <w:rPr>
          <w:sz w:val="28"/>
          <w:szCs w:val="28"/>
        </w:rPr>
      </w:pPr>
    </w:p>
    <w:p w14:paraId="1C3E051B" w14:textId="77777777" w:rsidR="009B2A55" w:rsidRDefault="009B2A55" w:rsidP="00715F8A">
      <w:pPr>
        <w:rPr>
          <w:sz w:val="28"/>
          <w:szCs w:val="28"/>
        </w:rPr>
      </w:pPr>
    </w:p>
    <w:p w14:paraId="6090F2AC" w14:textId="77777777" w:rsidR="009B2A55" w:rsidRDefault="009B2A55" w:rsidP="00715F8A">
      <w:pPr>
        <w:rPr>
          <w:sz w:val="28"/>
          <w:szCs w:val="28"/>
        </w:rPr>
      </w:pPr>
    </w:p>
    <w:p w14:paraId="7D297F1C" w14:textId="2C47FBBB" w:rsidR="00715F8A" w:rsidRPr="00715F8A" w:rsidRDefault="00715F8A" w:rsidP="00715F8A">
      <w:pPr>
        <w:rPr>
          <w:sz w:val="28"/>
          <w:szCs w:val="28"/>
        </w:rPr>
      </w:pPr>
      <w:r w:rsidRPr="00715F8A">
        <w:rPr>
          <w:sz w:val="28"/>
          <w:szCs w:val="28"/>
        </w:rPr>
        <w:lastRenderedPageBreak/>
        <w:t xml:space="preserve">Reference </w:t>
      </w:r>
      <w:r w:rsidR="009B2A55" w:rsidRPr="00715F8A">
        <w:rPr>
          <w:sz w:val="28"/>
          <w:szCs w:val="28"/>
        </w:rPr>
        <w:t>List</w:t>
      </w:r>
      <w:r w:rsidR="009B2A55">
        <w:rPr>
          <w:sz w:val="28"/>
          <w:szCs w:val="28"/>
        </w:rPr>
        <w:t>.</w:t>
      </w:r>
    </w:p>
    <w:p w14:paraId="3BFE59B8" w14:textId="77777777" w:rsidR="00715F8A" w:rsidRPr="00715F8A" w:rsidRDefault="00715F8A" w:rsidP="00715F8A">
      <w:pPr>
        <w:rPr>
          <w:sz w:val="28"/>
          <w:szCs w:val="28"/>
        </w:rPr>
      </w:pPr>
    </w:p>
    <w:p w14:paraId="27C4CE1F" w14:textId="5BAF1BA3" w:rsidR="00715F8A" w:rsidRPr="00715F8A" w:rsidRDefault="00715F8A" w:rsidP="00715F8A">
      <w:pPr>
        <w:rPr>
          <w:sz w:val="28"/>
          <w:szCs w:val="28"/>
        </w:rPr>
      </w:pPr>
      <w:r w:rsidRPr="00715F8A">
        <w:rPr>
          <w:sz w:val="28"/>
          <w:szCs w:val="28"/>
        </w:rPr>
        <w:t>Cancer Research UK (2023) Bowel cancer statistics.</w:t>
      </w:r>
      <w:r w:rsidR="009B2A55">
        <w:rPr>
          <w:sz w:val="28"/>
          <w:szCs w:val="28"/>
        </w:rPr>
        <w:t xml:space="preserve"> </w:t>
      </w:r>
      <w:r w:rsidRPr="00715F8A">
        <w:rPr>
          <w:sz w:val="28"/>
          <w:szCs w:val="28"/>
        </w:rPr>
        <w:t>https://www.cancerresearchuk.org</w:t>
      </w:r>
    </w:p>
    <w:p w14:paraId="442452C7" w14:textId="77777777" w:rsidR="00715F8A" w:rsidRPr="00715F8A" w:rsidRDefault="00715F8A" w:rsidP="00715F8A">
      <w:pPr>
        <w:rPr>
          <w:sz w:val="28"/>
          <w:szCs w:val="28"/>
        </w:rPr>
      </w:pPr>
    </w:p>
    <w:p w14:paraId="40887C20" w14:textId="56322BB6" w:rsidR="00715F8A" w:rsidRPr="00715F8A" w:rsidRDefault="00715F8A" w:rsidP="00715F8A">
      <w:pPr>
        <w:rPr>
          <w:sz w:val="28"/>
          <w:szCs w:val="28"/>
        </w:rPr>
      </w:pPr>
      <w:r w:rsidRPr="00715F8A">
        <w:rPr>
          <w:sz w:val="28"/>
          <w:szCs w:val="28"/>
        </w:rPr>
        <w:t>Macmillan Cancer Support (2022) Life after cancer.</w:t>
      </w:r>
      <w:r w:rsidR="009B2A55">
        <w:rPr>
          <w:sz w:val="28"/>
          <w:szCs w:val="28"/>
        </w:rPr>
        <w:t xml:space="preserve"> </w:t>
      </w:r>
      <w:r w:rsidRPr="00715F8A">
        <w:rPr>
          <w:sz w:val="28"/>
          <w:szCs w:val="28"/>
        </w:rPr>
        <w:t>https://www.macmillan.org.uk</w:t>
      </w:r>
    </w:p>
    <w:p w14:paraId="4F0EBDAD" w14:textId="77777777" w:rsidR="00715F8A" w:rsidRPr="00715F8A" w:rsidRDefault="00715F8A" w:rsidP="00715F8A">
      <w:pPr>
        <w:rPr>
          <w:sz w:val="28"/>
          <w:szCs w:val="28"/>
        </w:rPr>
      </w:pPr>
    </w:p>
    <w:p w14:paraId="038F7ED4" w14:textId="05939573" w:rsidR="00715F8A" w:rsidRPr="00715F8A" w:rsidRDefault="00715F8A" w:rsidP="00715F8A">
      <w:pPr>
        <w:rPr>
          <w:sz w:val="28"/>
          <w:szCs w:val="28"/>
        </w:rPr>
      </w:pPr>
      <w:r w:rsidRPr="00715F8A">
        <w:rPr>
          <w:sz w:val="28"/>
          <w:szCs w:val="28"/>
        </w:rPr>
        <w:t>NHS (2023) Bowel cancer. https://www.nhs.uk</w:t>
      </w:r>
    </w:p>
    <w:p w14:paraId="33012A7D" w14:textId="77777777" w:rsidR="00715F8A" w:rsidRPr="00715F8A" w:rsidRDefault="00715F8A" w:rsidP="00715F8A">
      <w:pPr>
        <w:rPr>
          <w:sz w:val="28"/>
          <w:szCs w:val="28"/>
        </w:rPr>
      </w:pPr>
    </w:p>
    <w:p w14:paraId="4EC7BBFA" w14:textId="77777777" w:rsidR="00715F8A" w:rsidRPr="00715F8A" w:rsidRDefault="00715F8A" w:rsidP="00715F8A">
      <w:pPr>
        <w:rPr>
          <w:sz w:val="28"/>
          <w:szCs w:val="28"/>
        </w:rPr>
      </w:pPr>
      <w:r w:rsidRPr="00715F8A">
        <w:rPr>
          <w:sz w:val="28"/>
          <w:szCs w:val="28"/>
        </w:rPr>
        <w:t>Public Health England (2021) Cancer inequalities in England.</w:t>
      </w:r>
    </w:p>
    <w:p w14:paraId="5F8332FF" w14:textId="77777777" w:rsidR="00715F8A" w:rsidRPr="00715F8A" w:rsidRDefault="00715F8A" w:rsidP="00715F8A">
      <w:pPr>
        <w:rPr>
          <w:sz w:val="28"/>
          <w:szCs w:val="28"/>
        </w:rPr>
      </w:pPr>
    </w:p>
    <w:p w14:paraId="57AEC742" w14:textId="716D81A1" w:rsidR="00715F8A" w:rsidRDefault="00715F8A" w:rsidP="00715F8A">
      <w:r w:rsidRPr="00715F8A">
        <w:rPr>
          <w:sz w:val="28"/>
          <w:szCs w:val="28"/>
        </w:rPr>
        <w:t>World Health Organization (2022) Cancer. https://www.who</w:t>
      </w:r>
      <w:r w:rsidR="009B2A55">
        <w:rPr>
          <w:sz w:val="28"/>
          <w:szCs w:val="28"/>
        </w:rPr>
        <w:t>.int</w:t>
      </w:r>
    </w:p>
    <w:sectPr w:rsidR="00715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F8A"/>
    <w:rsid w:val="0057404B"/>
    <w:rsid w:val="00715F8A"/>
    <w:rsid w:val="008918EE"/>
    <w:rsid w:val="009B2A55"/>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decimalSymbol w:val=","/>
  <w:listSeparator w:val=";"/>
  <w14:docId w14:val="0A144D3E"/>
  <w15:chartTrackingRefBased/>
  <w15:docId w15:val="{B9CE8348-307D-7F48-AF99-A55EDA946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F8A"/>
    <w:pPr>
      <w:spacing w:line="259" w:lineRule="auto"/>
    </w:pPr>
    <w:rPr>
      <w:rFonts w:eastAsiaTheme="minorEastAsia"/>
      <w:kern w:val="0"/>
      <w:sz w:val="22"/>
      <w:szCs w:val="22"/>
      <w:lang w:val="en-GB" w:eastAsia="zh-CN"/>
      <w14:ligatures w14:val="none"/>
    </w:rPr>
  </w:style>
  <w:style w:type="paragraph" w:styleId="Ttulo1">
    <w:name w:val="heading 1"/>
    <w:basedOn w:val="Normal"/>
    <w:next w:val="Normal"/>
    <w:link w:val="Ttulo1Char"/>
    <w:uiPriority w:val="9"/>
    <w:qFormat/>
    <w:rsid w:val="00715F8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pt-GB" w:eastAsia="en-US"/>
      <w14:ligatures w14:val="standardContextual"/>
    </w:rPr>
  </w:style>
  <w:style w:type="paragraph" w:styleId="Ttulo2">
    <w:name w:val="heading 2"/>
    <w:basedOn w:val="Normal"/>
    <w:next w:val="Normal"/>
    <w:link w:val="Ttulo2Char"/>
    <w:uiPriority w:val="9"/>
    <w:semiHidden/>
    <w:unhideWhenUsed/>
    <w:qFormat/>
    <w:rsid w:val="00715F8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pt-GB" w:eastAsia="en-US"/>
      <w14:ligatures w14:val="standardContextual"/>
    </w:rPr>
  </w:style>
  <w:style w:type="paragraph" w:styleId="Ttulo3">
    <w:name w:val="heading 3"/>
    <w:basedOn w:val="Normal"/>
    <w:next w:val="Normal"/>
    <w:link w:val="Ttulo3Char"/>
    <w:uiPriority w:val="9"/>
    <w:semiHidden/>
    <w:unhideWhenUsed/>
    <w:qFormat/>
    <w:rsid w:val="00715F8A"/>
    <w:pPr>
      <w:keepNext/>
      <w:keepLines/>
      <w:spacing w:before="160" w:after="80" w:line="278" w:lineRule="auto"/>
      <w:outlineLvl w:val="2"/>
    </w:pPr>
    <w:rPr>
      <w:rFonts w:eastAsiaTheme="majorEastAsia" w:cstheme="majorBidi"/>
      <w:color w:val="0F4761" w:themeColor="accent1" w:themeShade="BF"/>
      <w:kern w:val="2"/>
      <w:sz w:val="28"/>
      <w:szCs w:val="28"/>
      <w:lang w:val="pt-GB" w:eastAsia="en-US"/>
      <w14:ligatures w14:val="standardContextual"/>
    </w:rPr>
  </w:style>
  <w:style w:type="paragraph" w:styleId="Ttulo4">
    <w:name w:val="heading 4"/>
    <w:basedOn w:val="Normal"/>
    <w:next w:val="Normal"/>
    <w:link w:val="Ttulo4Char"/>
    <w:uiPriority w:val="9"/>
    <w:semiHidden/>
    <w:unhideWhenUsed/>
    <w:qFormat/>
    <w:rsid w:val="00715F8A"/>
    <w:pPr>
      <w:keepNext/>
      <w:keepLines/>
      <w:spacing w:before="80" w:after="40" w:line="278" w:lineRule="auto"/>
      <w:outlineLvl w:val="3"/>
    </w:pPr>
    <w:rPr>
      <w:rFonts w:eastAsiaTheme="majorEastAsia" w:cstheme="majorBidi"/>
      <w:i/>
      <w:iCs/>
      <w:color w:val="0F4761" w:themeColor="accent1" w:themeShade="BF"/>
      <w:kern w:val="2"/>
      <w:sz w:val="24"/>
      <w:szCs w:val="24"/>
      <w:lang w:val="pt-GB" w:eastAsia="en-US"/>
      <w14:ligatures w14:val="standardContextual"/>
    </w:rPr>
  </w:style>
  <w:style w:type="paragraph" w:styleId="Ttulo5">
    <w:name w:val="heading 5"/>
    <w:basedOn w:val="Normal"/>
    <w:next w:val="Normal"/>
    <w:link w:val="Ttulo5Char"/>
    <w:uiPriority w:val="9"/>
    <w:semiHidden/>
    <w:unhideWhenUsed/>
    <w:qFormat/>
    <w:rsid w:val="00715F8A"/>
    <w:pPr>
      <w:keepNext/>
      <w:keepLines/>
      <w:spacing w:before="80" w:after="40" w:line="278" w:lineRule="auto"/>
      <w:outlineLvl w:val="4"/>
    </w:pPr>
    <w:rPr>
      <w:rFonts w:eastAsiaTheme="majorEastAsia" w:cstheme="majorBidi"/>
      <w:color w:val="0F4761" w:themeColor="accent1" w:themeShade="BF"/>
      <w:kern w:val="2"/>
      <w:sz w:val="24"/>
      <w:szCs w:val="24"/>
      <w:lang w:val="pt-GB" w:eastAsia="en-US"/>
      <w14:ligatures w14:val="standardContextual"/>
    </w:rPr>
  </w:style>
  <w:style w:type="paragraph" w:styleId="Ttulo6">
    <w:name w:val="heading 6"/>
    <w:basedOn w:val="Normal"/>
    <w:next w:val="Normal"/>
    <w:link w:val="Ttulo6Char"/>
    <w:uiPriority w:val="9"/>
    <w:semiHidden/>
    <w:unhideWhenUsed/>
    <w:qFormat/>
    <w:rsid w:val="00715F8A"/>
    <w:pPr>
      <w:keepNext/>
      <w:keepLines/>
      <w:spacing w:before="40" w:after="0" w:line="278" w:lineRule="auto"/>
      <w:outlineLvl w:val="5"/>
    </w:pPr>
    <w:rPr>
      <w:rFonts w:eastAsiaTheme="majorEastAsia" w:cstheme="majorBidi"/>
      <w:i/>
      <w:iCs/>
      <w:color w:val="595959" w:themeColor="text1" w:themeTint="A6"/>
      <w:kern w:val="2"/>
      <w:sz w:val="24"/>
      <w:szCs w:val="24"/>
      <w:lang w:val="pt-GB" w:eastAsia="en-US"/>
      <w14:ligatures w14:val="standardContextual"/>
    </w:rPr>
  </w:style>
  <w:style w:type="paragraph" w:styleId="Ttulo7">
    <w:name w:val="heading 7"/>
    <w:basedOn w:val="Normal"/>
    <w:next w:val="Normal"/>
    <w:link w:val="Ttulo7Char"/>
    <w:uiPriority w:val="9"/>
    <w:semiHidden/>
    <w:unhideWhenUsed/>
    <w:qFormat/>
    <w:rsid w:val="00715F8A"/>
    <w:pPr>
      <w:keepNext/>
      <w:keepLines/>
      <w:spacing w:before="40" w:after="0" w:line="278" w:lineRule="auto"/>
      <w:outlineLvl w:val="6"/>
    </w:pPr>
    <w:rPr>
      <w:rFonts w:eastAsiaTheme="majorEastAsia" w:cstheme="majorBidi"/>
      <w:color w:val="595959" w:themeColor="text1" w:themeTint="A6"/>
      <w:kern w:val="2"/>
      <w:sz w:val="24"/>
      <w:szCs w:val="24"/>
      <w:lang w:val="pt-GB" w:eastAsia="en-US"/>
      <w14:ligatures w14:val="standardContextual"/>
    </w:rPr>
  </w:style>
  <w:style w:type="paragraph" w:styleId="Ttulo8">
    <w:name w:val="heading 8"/>
    <w:basedOn w:val="Normal"/>
    <w:next w:val="Normal"/>
    <w:link w:val="Ttulo8Char"/>
    <w:uiPriority w:val="9"/>
    <w:semiHidden/>
    <w:unhideWhenUsed/>
    <w:qFormat/>
    <w:rsid w:val="00715F8A"/>
    <w:pPr>
      <w:keepNext/>
      <w:keepLines/>
      <w:spacing w:after="0" w:line="278" w:lineRule="auto"/>
      <w:outlineLvl w:val="7"/>
    </w:pPr>
    <w:rPr>
      <w:rFonts w:eastAsiaTheme="majorEastAsia" w:cstheme="majorBidi"/>
      <w:i/>
      <w:iCs/>
      <w:color w:val="272727" w:themeColor="text1" w:themeTint="D8"/>
      <w:kern w:val="2"/>
      <w:sz w:val="24"/>
      <w:szCs w:val="24"/>
      <w:lang w:val="pt-GB" w:eastAsia="en-US"/>
      <w14:ligatures w14:val="standardContextual"/>
    </w:rPr>
  </w:style>
  <w:style w:type="paragraph" w:styleId="Ttulo9">
    <w:name w:val="heading 9"/>
    <w:basedOn w:val="Normal"/>
    <w:next w:val="Normal"/>
    <w:link w:val="Ttulo9Char"/>
    <w:uiPriority w:val="9"/>
    <w:semiHidden/>
    <w:unhideWhenUsed/>
    <w:qFormat/>
    <w:rsid w:val="00715F8A"/>
    <w:pPr>
      <w:keepNext/>
      <w:keepLines/>
      <w:spacing w:after="0" w:line="278" w:lineRule="auto"/>
      <w:outlineLvl w:val="8"/>
    </w:pPr>
    <w:rPr>
      <w:rFonts w:eastAsiaTheme="majorEastAsia" w:cstheme="majorBidi"/>
      <w:color w:val="272727" w:themeColor="text1" w:themeTint="D8"/>
      <w:kern w:val="2"/>
      <w:sz w:val="24"/>
      <w:szCs w:val="24"/>
      <w:lang w:val="pt-GB"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15F8A"/>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15F8A"/>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15F8A"/>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15F8A"/>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15F8A"/>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15F8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15F8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15F8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15F8A"/>
    <w:rPr>
      <w:rFonts w:eastAsiaTheme="majorEastAsia" w:cstheme="majorBidi"/>
      <w:color w:val="272727" w:themeColor="text1" w:themeTint="D8"/>
    </w:rPr>
  </w:style>
  <w:style w:type="paragraph" w:styleId="Ttulo">
    <w:name w:val="Title"/>
    <w:basedOn w:val="Normal"/>
    <w:next w:val="Normal"/>
    <w:link w:val="TtuloChar"/>
    <w:uiPriority w:val="10"/>
    <w:qFormat/>
    <w:rsid w:val="00715F8A"/>
    <w:pPr>
      <w:spacing w:after="80" w:line="240" w:lineRule="auto"/>
      <w:contextualSpacing/>
    </w:pPr>
    <w:rPr>
      <w:rFonts w:asciiTheme="majorHAnsi" w:eastAsiaTheme="majorEastAsia" w:hAnsiTheme="majorHAnsi" w:cstheme="majorBidi"/>
      <w:spacing w:val="-10"/>
      <w:kern w:val="28"/>
      <w:sz w:val="56"/>
      <w:szCs w:val="56"/>
      <w:lang w:val="pt-GB" w:eastAsia="en-US"/>
      <w14:ligatures w14:val="standardContextual"/>
    </w:rPr>
  </w:style>
  <w:style w:type="character" w:customStyle="1" w:styleId="TtuloChar">
    <w:name w:val="Título Char"/>
    <w:basedOn w:val="Fontepargpadro"/>
    <w:link w:val="Ttulo"/>
    <w:uiPriority w:val="10"/>
    <w:rsid w:val="00715F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15F8A"/>
    <w:pPr>
      <w:numPr>
        <w:ilvl w:val="1"/>
      </w:numPr>
      <w:spacing w:line="278" w:lineRule="auto"/>
    </w:pPr>
    <w:rPr>
      <w:rFonts w:eastAsiaTheme="majorEastAsia" w:cstheme="majorBidi"/>
      <w:color w:val="595959" w:themeColor="text1" w:themeTint="A6"/>
      <w:spacing w:val="15"/>
      <w:kern w:val="2"/>
      <w:sz w:val="28"/>
      <w:szCs w:val="28"/>
      <w:lang w:val="pt-GB" w:eastAsia="en-US"/>
      <w14:ligatures w14:val="standardContextual"/>
    </w:rPr>
  </w:style>
  <w:style w:type="character" w:customStyle="1" w:styleId="SubttuloChar">
    <w:name w:val="Subtítulo Char"/>
    <w:basedOn w:val="Fontepargpadro"/>
    <w:link w:val="Subttulo"/>
    <w:uiPriority w:val="11"/>
    <w:rsid w:val="00715F8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15F8A"/>
    <w:pPr>
      <w:spacing w:before="160" w:line="278" w:lineRule="auto"/>
      <w:jc w:val="center"/>
    </w:pPr>
    <w:rPr>
      <w:rFonts w:eastAsiaTheme="minorHAnsi"/>
      <w:i/>
      <w:iCs/>
      <w:color w:val="404040" w:themeColor="text1" w:themeTint="BF"/>
      <w:kern w:val="2"/>
      <w:sz w:val="24"/>
      <w:szCs w:val="24"/>
      <w:lang w:val="pt-GB" w:eastAsia="en-US"/>
      <w14:ligatures w14:val="standardContextual"/>
    </w:rPr>
  </w:style>
  <w:style w:type="character" w:customStyle="1" w:styleId="CitaoChar">
    <w:name w:val="Citação Char"/>
    <w:basedOn w:val="Fontepargpadro"/>
    <w:link w:val="Citao"/>
    <w:uiPriority w:val="29"/>
    <w:rsid w:val="00715F8A"/>
    <w:rPr>
      <w:i/>
      <w:iCs/>
      <w:color w:val="404040" w:themeColor="text1" w:themeTint="BF"/>
    </w:rPr>
  </w:style>
  <w:style w:type="paragraph" w:styleId="PargrafodaLista">
    <w:name w:val="List Paragraph"/>
    <w:basedOn w:val="Normal"/>
    <w:uiPriority w:val="34"/>
    <w:qFormat/>
    <w:rsid w:val="00715F8A"/>
    <w:pPr>
      <w:spacing w:line="278" w:lineRule="auto"/>
      <w:ind w:left="720"/>
      <w:contextualSpacing/>
    </w:pPr>
    <w:rPr>
      <w:rFonts w:eastAsiaTheme="minorHAnsi"/>
      <w:kern w:val="2"/>
      <w:sz w:val="24"/>
      <w:szCs w:val="24"/>
      <w:lang w:val="pt-GB" w:eastAsia="en-US"/>
      <w14:ligatures w14:val="standardContextual"/>
    </w:rPr>
  </w:style>
  <w:style w:type="character" w:styleId="nfaseIntensa">
    <w:name w:val="Intense Emphasis"/>
    <w:basedOn w:val="Fontepargpadro"/>
    <w:uiPriority w:val="21"/>
    <w:qFormat/>
    <w:rsid w:val="00715F8A"/>
    <w:rPr>
      <w:i/>
      <w:iCs/>
      <w:color w:val="0F4761" w:themeColor="accent1" w:themeShade="BF"/>
    </w:rPr>
  </w:style>
  <w:style w:type="paragraph" w:styleId="CitaoIntensa">
    <w:name w:val="Intense Quote"/>
    <w:basedOn w:val="Normal"/>
    <w:next w:val="Normal"/>
    <w:link w:val="CitaoIntensaChar"/>
    <w:uiPriority w:val="30"/>
    <w:qFormat/>
    <w:rsid w:val="00715F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pt-GB" w:eastAsia="en-US"/>
      <w14:ligatures w14:val="standardContextual"/>
    </w:rPr>
  </w:style>
  <w:style w:type="character" w:customStyle="1" w:styleId="CitaoIntensaChar">
    <w:name w:val="Citação Intensa Char"/>
    <w:basedOn w:val="Fontepargpadro"/>
    <w:link w:val="CitaoIntensa"/>
    <w:uiPriority w:val="30"/>
    <w:rsid w:val="00715F8A"/>
    <w:rPr>
      <w:i/>
      <w:iCs/>
      <w:color w:val="0F4761" w:themeColor="accent1" w:themeShade="BF"/>
    </w:rPr>
  </w:style>
  <w:style w:type="character" w:styleId="RefernciaIntensa">
    <w:name w:val="Intense Reference"/>
    <w:basedOn w:val="Fontepargpadro"/>
    <w:uiPriority w:val="32"/>
    <w:qFormat/>
    <w:rsid w:val="00715F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1254</Words>
  <Characters>6776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Mardegan Canas (2241031)</dc:creator>
  <cp:keywords/>
  <dc:description/>
  <cp:lastModifiedBy>Beatriz Mardegan Canas (2241031)</cp:lastModifiedBy>
  <cp:revision>1</cp:revision>
  <dcterms:created xsi:type="dcterms:W3CDTF">2025-12-18T22:35:00Z</dcterms:created>
  <dcterms:modified xsi:type="dcterms:W3CDTF">2025-12-18T23:01:00Z</dcterms:modified>
</cp:coreProperties>
</file>