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ind w:leftChars="0"/>
        <w:jc w:val="center"/>
        <w:rPr>
          <w:rFonts w:hint="default"/>
          <w:sz w:val="40"/>
          <w:szCs w:val="36"/>
          <w:u w:val="single"/>
          <w:lang w:val="en-US" w:eastAsia="en-GB"/>
        </w:rPr>
      </w:pPr>
      <w:bookmarkStart w:id="11" w:name="_GoBack"/>
      <w:r>
        <w:rPr>
          <w:rFonts w:hint="default"/>
          <w:sz w:val="40"/>
          <w:szCs w:val="36"/>
          <w:u w:val="single"/>
          <w:lang w:val="en-US" w:eastAsia="en-GB"/>
        </w:rPr>
        <w:t>LCHS4004 Introduction to Public Health  </w:t>
      </w:r>
    </w:p>
    <w:p>
      <w:pPr>
        <w:numPr>
          <w:ilvl w:val="0"/>
          <w:numId w:val="0"/>
        </w:numPr>
        <w:ind w:leftChars="0"/>
        <w:jc w:val="center"/>
        <w:rPr>
          <w:rFonts w:hint="default"/>
          <w:sz w:val="40"/>
          <w:szCs w:val="36"/>
          <w:u w:val="single"/>
          <w:lang w:val="en-US" w:eastAsia="en-GB"/>
        </w:rPr>
      </w:pPr>
      <w:r>
        <w:rPr>
          <w:rFonts w:hint="default"/>
          <w:sz w:val="40"/>
          <w:szCs w:val="36"/>
          <w:u w:val="single"/>
          <w:lang w:val="en-US" w:eastAsia="en-GB"/>
        </w:rPr>
        <w:t>Component 1</w:t>
      </w:r>
    </w:p>
    <w:p>
      <w:pPr>
        <w:bidi w:val="0"/>
        <w:rPr>
          <w:rFonts w:hint="default"/>
          <w:lang w:val="en-US" w:eastAsia="en-GB"/>
        </w:rPr>
      </w:pPr>
    </w:p>
    <w:p>
      <w:pPr>
        <w:bidi w:val="0"/>
        <w:rPr>
          <w:rFonts w:hint="default"/>
          <w:lang w:val="en-US" w:eastAsia="en-GB"/>
        </w:rPr>
      </w:pPr>
    </w:p>
    <w:p>
      <w:pPr>
        <w:bidi w:val="0"/>
        <w:rPr>
          <w:rFonts w:hint="default"/>
          <w:lang w:val="en-US" w:eastAsia="en-GB"/>
        </w:rPr>
      </w:pPr>
    </w:p>
    <w:p>
      <w:pPr>
        <w:bidi w:val="0"/>
        <w:rPr>
          <w:rFonts w:hint="default"/>
          <w:lang w:val="en-US" w:eastAsia="en-GB"/>
        </w:rPr>
      </w:pPr>
    </w:p>
    <w:p>
      <w:pPr>
        <w:bidi w:val="0"/>
        <w:rPr>
          <w:rFonts w:hint="default"/>
          <w:lang w:val="en-US" w:eastAsia="en-GB"/>
        </w:rPr>
      </w:pPr>
    </w:p>
    <w:p>
      <w:pPr>
        <w:rPr>
          <w:rFonts w:hint="default"/>
          <w:lang w:val="en-US" w:eastAsia="en-GB"/>
        </w:rPr>
      </w:pPr>
      <w:r>
        <w:rPr>
          <w:rFonts w:hint="default"/>
          <w:lang w:val="en-US" w:eastAsia="en-GB"/>
        </w:rPr>
        <w:br w:type="page"/>
      </w:r>
    </w:p>
    <w:sdt>
      <w:sdtPr>
        <w:rPr>
          <w:rFonts w:ascii="SimSun" w:hAnsi="SimSun" w:eastAsia="SimSun" w:cstheme="minorBidi"/>
          <w:sz w:val="21"/>
          <w:szCs w:val="22"/>
          <w:lang w:val="en-GB" w:eastAsia="en-US" w:bidi="ar-SA"/>
        </w:rPr>
        <w:id w:val="147480962"/>
        <w15:color w:val="DBDBDB"/>
        <w:docPartObj>
          <w:docPartGallery w:val="Table of Contents"/>
          <w:docPartUnique/>
        </w:docPartObj>
      </w:sdtPr>
      <w:sdtEndPr>
        <w:rPr>
          <w:rFonts w:hint="default" w:ascii="Times New Roman" w:hAnsi="Times New Roman" w:eastAsiaTheme="minorHAnsi" w:cstheme="minorBidi"/>
          <w:b/>
          <w:sz w:val="24"/>
          <w:szCs w:val="22"/>
          <w:lang w:val="en-US" w:eastAsia="en-GB" w:bidi="ar-SA"/>
        </w:rPr>
      </w:sdtEndPr>
      <w:sdtContent>
        <w:p>
          <w:pPr>
            <w:spacing w:before="0" w:beforeLines="0" w:after="0" w:afterLines="0" w:line="240" w:lineRule="auto"/>
            <w:ind w:left="0" w:leftChars="0" w:right="0" w:rightChars="0" w:firstLine="0" w:firstLineChars="0"/>
            <w:jc w:val="center"/>
            <w:rPr>
              <w:rFonts w:hint="default"/>
              <w:lang w:val="en-US"/>
            </w:rPr>
          </w:pPr>
          <w:r>
            <w:rPr>
              <w:rFonts w:hint="default" w:ascii="Times New Roman" w:hAnsi="Times New Roman" w:eastAsia="SimSun" w:cs="Times New Roman"/>
              <w:b/>
              <w:bCs/>
              <w:sz w:val="28"/>
              <w:szCs w:val="28"/>
              <w:lang w:val="en-US" w:eastAsia="en-US" w:bidi="ar-SA"/>
            </w:rPr>
            <w:t xml:space="preserve">Table of content </w:t>
          </w:r>
        </w:p>
        <w:p>
          <w:pPr>
            <w:pStyle w:val="12"/>
            <w:tabs>
              <w:tab w:val="right" w:leader="dot" w:pos="9360"/>
            </w:tabs>
          </w:pPr>
          <w:r>
            <w:rPr>
              <w:rFonts w:hint="default"/>
              <w:lang w:val="en-US" w:eastAsia="en-GB"/>
            </w:rPr>
            <w:fldChar w:fldCharType="begin"/>
          </w:r>
          <w:r>
            <w:rPr>
              <w:rFonts w:hint="default"/>
              <w:lang w:val="en-US" w:eastAsia="en-GB"/>
            </w:rPr>
            <w:instrText xml:space="preserve">TOC \o "1-2" \h \u </w:instrText>
          </w:r>
          <w:r>
            <w:rPr>
              <w:rFonts w:hint="default"/>
              <w:lang w:val="en-US" w:eastAsia="en-GB"/>
            </w:rPr>
            <w:fldChar w:fldCharType="separate"/>
          </w:r>
          <w:r>
            <w:rPr>
              <w:rFonts w:hint="default"/>
              <w:lang w:val="en-US" w:eastAsia="en-GB"/>
            </w:rPr>
            <w:fldChar w:fldCharType="begin"/>
          </w:r>
          <w:r>
            <w:rPr>
              <w:rFonts w:hint="default"/>
              <w:lang w:val="en-US" w:eastAsia="en-GB"/>
            </w:rPr>
            <w:instrText xml:space="preserve"> HYPERLINK \l _Toc8181 </w:instrText>
          </w:r>
          <w:r>
            <w:rPr>
              <w:rFonts w:hint="default"/>
              <w:lang w:val="en-US" w:eastAsia="en-GB"/>
            </w:rPr>
            <w:fldChar w:fldCharType="separate"/>
          </w:r>
          <w:r>
            <w:rPr>
              <w:rFonts w:hint="default"/>
              <w:lang w:val="en-US" w:eastAsia="en-GB"/>
            </w:rPr>
            <w:t>Task 1</w:t>
          </w:r>
          <w:r>
            <w:tab/>
          </w:r>
          <w:r>
            <w:fldChar w:fldCharType="begin"/>
          </w:r>
          <w:r>
            <w:instrText xml:space="preserve"> PAGEREF _Toc8181 \h </w:instrText>
          </w:r>
          <w:r>
            <w:fldChar w:fldCharType="separate"/>
          </w:r>
          <w:r>
            <w:t>3</w:t>
          </w:r>
          <w:r>
            <w:fldChar w:fldCharType="end"/>
          </w:r>
          <w:r>
            <w:rPr>
              <w:rFonts w:hint="default"/>
              <w:lang w:val="en-US" w:eastAsia="en-GB"/>
            </w:rPr>
            <w:fldChar w:fldCharType="end"/>
          </w:r>
        </w:p>
        <w:p>
          <w:pPr>
            <w:pStyle w:val="13"/>
            <w:tabs>
              <w:tab w:val="right" w:leader="dot" w:pos="9360"/>
            </w:tabs>
          </w:pPr>
          <w:r>
            <w:rPr>
              <w:rFonts w:hint="default"/>
              <w:lang w:val="en-US" w:eastAsia="en-GB"/>
            </w:rPr>
            <w:fldChar w:fldCharType="begin"/>
          </w:r>
          <w:r>
            <w:rPr>
              <w:rFonts w:hint="default"/>
              <w:lang w:val="en-US" w:eastAsia="en-GB"/>
            </w:rPr>
            <w:instrText xml:space="preserve"> HYPERLINK \l _Toc8738 </w:instrText>
          </w:r>
          <w:r>
            <w:rPr>
              <w:rFonts w:hint="default"/>
              <w:lang w:val="en-US" w:eastAsia="en-GB"/>
            </w:rPr>
            <w:fldChar w:fldCharType="separate"/>
          </w:r>
          <w:r>
            <w:rPr>
              <w:rFonts w:hint="default"/>
              <w:lang w:val="en-US" w:eastAsia="en-GB"/>
            </w:rPr>
            <w:t>Introduction</w:t>
          </w:r>
          <w:r>
            <w:tab/>
          </w:r>
          <w:r>
            <w:fldChar w:fldCharType="begin"/>
          </w:r>
          <w:r>
            <w:instrText xml:space="preserve"> PAGEREF _Toc8738 \h </w:instrText>
          </w:r>
          <w:r>
            <w:fldChar w:fldCharType="separate"/>
          </w:r>
          <w:r>
            <w:t>3</w:t>
          </w:r>
          <w:r>
            <w:fldChar w:fldCharType="end"/>
          </w:r>
          <w:r>
            <w:rPr>
              <w:rFonts w:hint="default"/>
              <w:lang w:val="en-US" w:eastAsia="en-GB"/>
            </w:rPr>
            <w:fldChar w:fldCharType="end"/>
          </w:r>
        </w:p>
        <w:p>
          <w:pPr>
            <w:pStyle w:val="13"/>
            <w:tabs>
              <w:tab w:val="right" w:leader="dot" w:pos="9360"/>
            </w:tabs>
          </w:pPr>
          <w:r>
            <w:rPr>
              <w:rFonts w:hint="default"/>
              <w:lang w:val="en-US" w:eastAsia="en-GB"/>
            </w:rPr>
            <w:fldChar w:fldCharType="begin"/>
          </w:r>
          <w:r>
            <w:rPr>
              <w:rFonts w:hint="default"/>
              <w:lang w:val="en-US" w:eastAsia="en-GB"/>
            </w:rPr>
            <w:instrText xml:space="preserve"> HYPERLINK \l _Toc13536 </w:instrText>
          </w:r>
          <w:r>
            <w:rPr>
              <w:rFonts w:hint="default"/>
              <w:lang w:val="en-US" w:eastAsia="en-GB"/>
            </w:rPr>
            <w:fldChar w:fldCharType="separate"/>
          </w:r>
          <w:r>
            <w:rPr>
              <w:rFonts w:hint="default"/>
              <w:lang w:val="en-US" w:eastAsia="en-GB"/>
            </w:rPr>
            <w:t>Approaches and Strategies to Measure, Monitor, and Control Chickenpox Outbreak in the UK</w:t>
          </w:r>
          <w:r>
            <w:tab/>
          </w:r>
          <w:r>
            <w:fldChar w:fldCharType="begin"/>
          </w:r>
          <w:r>
            <w:instrText xml:space="preserve"> PAGEREF _Toc13536 \h </w:instrText>
          </w:r>
          <w:r>
            <w:fldChar w:fldCharType="separate"/>
          </w:r>
          <w:r>
            <w:t>3</w:t>
          </w:r>
          <w:r>
            <w:fldChar w:fldCharType="end"/>
          </w:r>
          <w:r>
            <w:rPr>
              <w:rFonts w:hint="default"/>
              <w:lang w:val="en-US" w:eastAsia="en-GB"/>
            </w:rPr>
            <w:fldChar w:fldCharType="end"/>
          </w:r>
        </w:p>
        <w:p>
          <w:pPr>
            <w:pStyle w:val="13"/>
            <w:tabs>
              <w:tab w:val="right" w:leader="dot" w:pos="9360"/>
            </w:tabs>
          </w:pPr>
          <w:r>
            <w:rPr>
              <w:rFonts w:hint="default"/>
              <w:lang w:val="en-US" w:eastAsia="en-GB"/>
            </w:rPr>
            <w:fldChar w:fldCharType="begin"/>
          </w:r>
          <w:r>
            <w:rPr>
              <w:rFonts w:hint="default"/>
              <w:lang w:val="en-US" w:eastAsia="en-GB"/>
            </w:rPr>
            <w:instrText xml:space="preserve"> HYPERLINK \l _Toc4611 </w:instrText>
          </w:r>
          <w:r>
            <w:rPr>
              <w:rFonts w:hint="default"/>
              <w:lang w:val="en-US" w:eastAsia="en-GB"/>
            </w:rPr>
            <w:fldChar w:fldCharType="separate"/>
          </w:r>
          <w:r>
            <w:rPr>
              <w:rFonts w:hint="default"/>
              <w:lang w:val="en-US" w:eastAsia="en-GB"/>
            </w:rPr>
            <w:t>Conclusion</w:t>
          </w:r>
          <w:r>
            <w:tab/>
          </w:r>
          <w:r>
            <w:fldChar w:fldCharType="begin"/>
          </w:r>
          <w:r>
            <w:instrText xml:space="preserve"> PAGEREF _Toc4611 \h </w:instrText>
          </w:r>
          <w:r>
            <w:fldChar w:fldCharType="separate"/>
          </w:r>
          <w:r>
            <w:t>11</w:t>
          </w:r>
          <w:r>
            <w:fldChar w:fldCharType="end"/>
          </w:r>
          <w:r>
            <w:rPr>
              <w:rFonts w:hint="default"/>
              <w:lang w:val="en-US" w:eastAsia="en-GB"/>
            </w:rPr>
            <w:fldChar w:fldCharType="end"/>
          </w:r>
        </w:p>
        <w:p>
          <w:pPr>
            <w:pStyle w:val="12"/>
            <w:tabs>
              <w:tab w:val="right" w:leader="dot" w:pos="9360"/>
            </w:tabs>
          </w:pPr>
          <w:r>
            <w:rPr>
              <w:rFonts w:hint="default"/>
              <w:lang w:val="en-US" w:eastAsia="en-GB"/>
            </w:rPr>
            <w:fldChar w:fldCharType="begin"/>
          </w:r>
          <w:r>
            <w:rPr>
              <w:rFonts w:hint="default"/>
              <w:lang w:val="en-US" w:eastAsia="en-GB"/>
            </w:rPr>
            <w:instrText xml:space="preserve"> HYPERLINK \l _Toc22260 </w:instrText>
          </w:r>
          <w:r>
            <w:rPr>
              <w:rFonts w:hint="default"/>
              <w:lang w:val="en-US" w:eastAsia="en-GB"/>
            </w:rPr>
            <w:fldChar w:fldCharType="separate"/>
          </w:r>
          <w:r>
            <w:rPr>
              <w:rFonts w:hint="default"/>
              <w:lang w:val="en-US" w:eastAsia="en-GB"/>
            </w:rPr>
            <w:t>Task 2</w:t>
          </w:r>
          <w:r>
            <w:tab/>
          </w:r>
          <w:r>
            <w:fldChar w:fldCharType="begin"/>
          </w:r>
          <w:r>
            <w:instrText xml:space="preserve"> PAGEREF _Toc22260 \h </w:instrText>
          </w:r>
          <w:r>
            <w:fldChar w:fldCharType="separate"/>
          </w:r>
          <w:r>
            <w:t>11</w:t>
          </w:r>
          <w:r>
            <w:fldChar w:fldCharType="end"/>
          </w:r>
          <w:r>
            <w:rPr>
              <w:rFonts w:hint="default"/>
              <w:lang w:val="en-US" w:eastAsia="en-GB"/>
            </w:rPr>
            <w:fldChar w:fldCharType="end"/>
          </w:r>
        </w:p>
        <w:p>
          <w:pPr>
            <w:pStyle w:val="13"/>
            <w:tabs>
              <w:tab w:val="right" w:leader="dot" w:pos="9360"/>
            </w:tabs>
          </w:pPr>
          <w:r>
            <w:rPr>
              <w:rFonts w:hint="default"/>
              <w:lang w:val="en-US" w:eastAsia="en-GB"/>
            </w:rPr>
            <w:fldChar w:fldCharType="begin"/>
          </w:r>
          <w:r>
            <w:rPr>
              <w:rFonts w:hint="default"/>
              <w:lang w:val="en-US" w:eastAsia="en-GB"/>
            </w:rPr>
            <w:instrText xml:space="preserve"> HYPERLINK \l _Toc24003 </w:instrText>
          </w:r>
          <w:r>
            <w:rPr>
              <w:rFonts w:hint="default"/>
              <w:lang w:val="en-US" w:eastAsia="en-GB"/>
            </w:rPr>
            <w:fldChar w:fldCharType="separate"/>
          </w:r>
          <w:r>
            <w:rPr>
              <w:rFonts w:hint="default"/>
              <w:lang w:val="en-US" w:eastAsia="en-GB"/>
            </w:rPr>
            <w:t>Introduction</w:t>
          </w:r>
          <w:r>
            <w:tab/>
          </w:r>
          <w:r>
            <w:fldChar w:fldCharType="begin"/>
          </w:r>
          <w:r>
            <w:instrText xml:space="preserve"> PAGEREF _Toc24003 \h </w:instrText>
          </w:r>
          <w:r>
            <w:fldChar w:fldCharType="separate"/>
          </w:r>
          <w:r>
            <w:t>11</w:t>
          </w:r>
          <w:r>
            <w:fldChar w:fldCharType="end"/>
          </w:r>
          <w:r>
            <w:rPr>
              <w:rFonts w:hint="default"/>
              <w:lang w:val="en-US" w:eastAsia="en-GB"/>
            </w:rPr>
            <w:fldChar w:fldCharType="end"/>
          </w:r>
        </w:p>
        <w:p>
          <w:pPr>
            <w:pStyle w:val="13"/>
            <w:tabs>
              <w:tab w:val="right" w:leader="dot" w:pos="9360"/>
            </w:tabs>
          </w:pPr>
          <w:r>
            <w:rPr>
              <w:rFonts w:hint="default"/>
              <w:lang w:val="en-US" w:eastAsia="en-GB"/>
            </w:rPr>
            <w:fldChar w:fldCharType="begin"/>
          </w:r>
          <w:r>
            <w:rPr>
              <w:rFonts w:hint="default"/>
              <w:lang w:val="en-US" w:eastAsia="en-GB"/>
            </w:rPr>
            <w:instrText xml:space="preserve"> HYPERLINK \l _Toc18536 </w:instrText>
          </w:r>
          <w:r>
            <w:rPr>
              <w:rFonts w:hint="default"/>
              <w:lang w:val="en-US" w:eastAsia="en-GB"/>
            </w:rPr>
            <w:fldChar w:fldCharType="separate"/>
          </w:r>
          <w:r>
            <w:rPr>
              <w:rFonts w:hint="default"/>
              <w:lang w:val="en-US" w:eastAsia="en-GB"/>
            </w:rPr>
            <w:t>Control Strategies for Chickenpox in the UK</w:t>
          </w:r>
          <w:r>
            <w:tab/>
          </w:r>
          <w:r>
            <w:fldChar w:fldCharType="begin"/>
          </w:r>
          <w:r>
            <w:instrText xml:space="preserve"> PAGEREF _Toc18536 \h </w:instrText>
          </w:r>
          <w:r>
            <w:fldChar w:fldCharType="separate"/>
          </w:r>
          <w:r>
            <w:t>12</w:t>
          </w:r>
          <w:r>
            <w:fldChar w:fldCharType="end"/>
          </w:r>
          <w:r>
            <w:rPr>
              <w:rFonts w:hint="default"/>
              <w:lang w:val="en-US" w:eastAsia="en-GB"/>
            </w:rPr>
            <w:fldChar w:fldCharType="end"/>
          </w:r>
        </w:p>
        <w:p>
          <w:pPr>
            <w:pStyle w:val="13"/>
            <w:tabs>
              <w:tab w:val="right" w:leader="dot" w:pos="9360"/>
            </w:tabs>
          </w:pPr>
          <w:r>
            <w:rPr>
              <w:rFonts w:hint="default"/>
              <w:lang w:val="en-US" w:eastAsia="en-GB"/>
            </w:rPr>
            <w:fldChar w:fldCharType="begin"/>
          </w:r>
          <w:r>
            <w:rPr>
              <w:rFonts w:hint="default"/>
              <w:lang w:val="en-US" w:eastAsia="en-GB"/>
            </w:rPr>
            <w:instrText xml:space="preserve"> HYPERLINK \l _Toc19314 </w:instrText>
          </w:r>
          <w:r>
            <w:rPr>
              <w:rFonts w:hint="default"/>
              <w:lang w:val="en-US" w:eastAsia="en-GB"/>
            </w:rPr>
            <w:fldChar w:fldCharType="separate"/>
          </w:r>
          <w:r>
            <w:rPr>
              <w:rFonts w:hint="default"/>
              <w:lang w:val="en-US" w:eastAsia="en-GB"/>
            </w:rPr>
            <w:t>Strategies used in the UK to monitor the incidence of chickenpox and critically evaluate them</w:t>
          </w:r>
          <w:r>
            <w:tab/>
          </w:r>
          <w:r>
            <w:fldChar w:fldCharType="begin"/>
          </w:r>
          <w:r>
            <w:instrText xml:space="preserve"> PAGEREF _Toc19314 \h </w:instrText>
          </w:r>
          <w:r>
            <w:fldChar w:fldCharType="separate"/>
          </w:r>
          <w:r>
            <w:t>12</w:t>
          </w:r>
          <w:r>
            <w:fldChar w:fldCharType="end"/>
          </w:r>
          <w:r>
            <w:rPr>
              <w:rFonts w:hint="default"/>
              <w:lang w:val="en-US" w:eastAsia="en-GB"/>
            </w:rPr>
            <w:fldChar w:fldCharType="end"/>
          </w:r>
        </w:p>
        <w:p>
          <w:pPr>
            <w:pStyle w:val="13"/>
            <w:tabs>
              <w:tab w:val="right" w:leader="dot" w:pos="9360"/>
            </w:tabs>
          </w:pPr>
          <w:r>
            <w:rPr>
              <w:rFonts w:hint="default"/>
              <w:lang w:val="en-US" w:eastAsia="en-GB"/>
            </w:rPr>
            <w:fldChar w:fldCharType="begin"/>
          </w:r>
          <w:r>
            <w:rPr>
              <w:rFonts w:hint="default"/>
              <w:lang w:val="en-US" w:eastAsia="en-GB"/>
            </w:rPr>
            <w:instrText xml:space="preserve"> HYPERLINK \l _Toc30935 </w:instrText>
          </w:r>
          <w:r>
            <w:rPr>
              <w:rFonts w:hint="default"/>
              <w:lang w:val="en-US" w:eastAsia="en-GB"/>
            </w:rPr>
            <w:fldChar w:fldCharType="separate"/>
          </w:r>
          <w:r>
            <w:rPr>
              <w:rFonts w:hint="default"/>
              <w:lang w:val="en-US" w:eastAsia="en-GB"/>
            </w:rPr>
            <w:t>Strategies used in the UK to Control the Incidence of Chickenpox</w:t>
          </w:r>
          <w:r>
            <w:tab/>
          </w:r>
          <w:r>
            <w:fldChar w:fldCharType="begin"/>
          </w:r>
          <w:r>
            <w:instrText xml:space="preserve"> PAGEREF _Toc30935 \h </w:instrText>
          </w:r>
          <w:r>
            <w:fldChar w:fldCharType="separate"/>
          </w:r>
          <w:r>
            <w:t>13</w:t>
          </w:r>
          <w:r>
            <w:fldChar w:fldCharType="end"/>
          </w:r>
          <w:r>
            <w:rPr>
              <w:rFonts w:hint="default"/>
              <w:lang w:val="en-US" w:eastAsia="en-GB"/>
            </w:rPr>
            <w:fldChar w:fldCharType="end"/>
          </w:r>
        </w:p>
        <w:p>
          <w:pPr>
            <w:pStyle w:val="13"/>
            <w:tabs>
              <w:tab w:val="right" w:leader="dot" w:pos="9360"/>
            </w:tabs>
          </w:pPr>
          <w:r>
            <w:rPr>
              <w:rFonts w:hint="default"/>
              <w:lang w:val="en-US" w:eastAsia="en-GB"/>
            </w:rPr>
            <w:fldChar w:fldCharType="begin"/>
          </w:r>
          <w:r>
            <w:rPr>
              <w:rFonts w:hint="default"/>
              <w:lang w:val="en-US" w:eastAsia="en-GB"/>
            </w:rPr>
            <w:instrText xml:space="preserve"> HYPERLINK \l _Toc3787 </w:instrText>
          </w:r>
          <w:r>
            <w:rPr>
              <w:rFonts w:hint="default"/>
              <w:lang w:val="en-US" w:eastAsia="en-GB"/>
            </w:rPr>
            <w:fldChar w:fldCharType="separate"/>
          </w:r>
          <w:r>
            <w:rPr>
              <w:rFonts w:hint="default"/>
              <w:lang w:val="en-US" w:eastAsia="en-GB"/>
            </w:rPr>
            <w:t>Conclusion</w:t>
          </w:r>
          <w:r>
            <w:tab/>
          </w:r>
          <w:r>
            <w:fldChar w:fldCharType="begin"/>
          </w:r>
          <w:r>
            <w:instrText xml:space="preserve"> PAGEREF _Toc3787 \h </w:instrText>
          </w:r>
          <w:r>
            <w:fldChar w:fldCharType="separate"/>
          </w:r>
          <w:r>
            <w:t>14</w:t>
          </w:r>
          <w:r>
            <w:fldChar w:fldCharType="end"/>
          </w:r>
          <w:r>
            <w:rPr>
              <w:rFonts w:hint="default"/>
              <w:lang w:val="en-US" w:eastAsia="en-GB"/>
            </w:rPr>
            <w:fldChar w:fldCharType="end"/>
          </w:r>
        </w:p>
        <w:p>
          <w:pPr>
            <w:pStyle w:val="12"/>
            <w:tabs>
              <w:tab w:val="right" w:leader="dot" w:pos="9360"/>
            </w:tabs>
          </w:pPr>
          <w:r>
            <w:rPr>
              <w:rFonts w:hint="default"/>
              <w:lang w:val="en-US" w:eastAsia="en-GB"/>
            </w:rPr>
            <w:fldChar w:fldCharType="begin"/>
          </w:r>
          <w:r>
            <w:rPr>
              <w:rFonts w:hint="default"/>
              <w:lang w:val="en-US" w:eastAsia="en-GB"/>
            </w:rPr>
            <w:instrText xml:space="preserve"> HYPERLINK \l _Toc28026 </w:instrText>
          </w:r>
          <w:r>
            <w:rPr>
              <w:rFonts w:hint="default"/>
              <w:lang w:val="en-US" w:eastAsia="en-GB"/>
            </w:rPr>
            <w:fldChar w:fldCharType="separate"/>
          </w:r>
          <w:r>
            <w:rPr>
              <w:rFonts w:hint="default"/>
              <w:lang w:val="en-US" w:eastAsia="en-GB"/>
            </w:rPr>
            <w:t>Reference</w:t>
          </w:r>
          <w:r>
            <w:tab/>
          </w:r>
          <w:r>
            <w:fldChar w:fldCharType="begin"/>
          </w:r>
          <w:r>
            <w:instrText xml:space="preserve"> PAGEREF _Toc28026 \h </w:instrText>
          </w:r>
          <w:r>
            <w:fldChar w:fldCharType="separate"/>
          </w:r>
          <w:r>
            <w:t>15</w:t>
          </w:r>
          <w:r>
            <w:fldChar w:fldCharType="end"/>
          </w:r>
          <w:r>
            <w:rPr>
              <w:rFonts w:hint="default"/>
              <w:lang w:val="en-US" w:eastAsia="en-GB"/>
            </w:rPr>
            <w:fldChar w:fldCharType="end"/>
          </w:r>
        </w:p>
        <w:p>
          <w:pPr>
            <w:bidi w:val="0"/>
            <w:rPr>
              <w:rFonts w:hint="default"/>
              <w:lang w:val="en-US" w:eastAsia="en-GB"/>
            </w:rPr>
          </w:pPr>
          <w:r>
            <w:rPr>
              <w:rFonts w:hint="default"/>
              <w:lang w:val="en-US" w:eastAsia="en-GB"/>
            </w:rPr>
            <w:fldChar w:fldCharType="end"/>
          </w:r>
        </w:p>
      </w:sdtContent>
    </w:sdt>
    <w:p>
      <w:pPr>
        <w:rPr>
          <w:rFonts w:hint="default"/>
          <w:lang w:val="en-US" w:eastAsia="en-GB"/>
        </w:rPr>
      </w:pPr>
      <w:r>
        <w:rPr>
          <w:rFonts w:hint="default"/>
          <w:lang w:val="en-US" w:eastAsia="en-GB"/>
        </w:rPr>
        <w:br w:type="page"/>
      </w:r>
    </w:p>
    <w:p>
      <w:pPr>
        <w:pStyle w:val="2"/>
        <w:bidi w:val="0"/>
        <w:rPr>
          <w:rFonts w:hint="default"/>
          <w:lang w:val="en-US" w:eastAsia="en-GB"/>
        </w:rPr>
      </w:pPr>
      <w:bookmarkStart w:id="0" w:name="_Toc8181"/>
      <w:r>
        <w:rPr>
          <w:rFonts w:hint="default"/>
          <w:lang w:val="en-US" w:eastAsia="en-GB"/>
        </w:rPr>
        <w:t>Task 1</w:t>
      </w:r>
      <w:bookmarkEnd w:id="0"/>
      <w:r>
        <w:rPr>
          <w:rFonts w:hint="default"/>
          <w:lang w:val="en-US" w:eastAsia="en-GB"/>
        </w:rPr>
        <w:t xml:space="preserve"> </w:t>
      </w:r>
    </w:p>
    <w:p>
      <w:pPr>
        <w:pStyle w:val="3"/>
        <w:bidi w:val="0"/>
        <w:rPr>
          <w:rFonts w:hint="default"/>
          <w:u w:val="single"/>
          <w:lang w:val="en-US" w:eastAsia="en-GB"/>
        </w:rPr>
      </w:pPr>
      <w:bookmarkStart w:id="1" w:name="_Toc8738"/>
      <w:r>
        <w:rPr>
          <w:rFonts w:hint="default"/>
          <w:lang w:val="en-US" w:eastAsia="en-GB"/>
        </w:rPr>
        <w:t>Introduction</w:t>
      </w:r>
      <w:bookmarkEnd w:id="1"/>
      <w:r>
        <w:rPr>
          <w:rFonts w:hint="default"/>
          <w:lang w:val="en-US" w:eastAsia="en-GB"/>
        </w:rPr>
        <w:t xml:space="preserve"> </w:t>
      </w:r>
    </w:p>
    <w:p>
      <w:pPr>
        <w:rPr>
          <w:rFonts w:hint="default"/>
          <w:lang w:val="en-US" w:eastAsia="en-GB"/>
        </w:rPr>
      </w:pPr>
      <w:r>
        <w:rPr>
          <w:rFonts w:hint="default"/>
          <w:lang w:val="en-US" w:eastAsia="en-GB"/>
        </w:rPr>
        <w:t>Public health is the science and art of preventing disease, prolonging life, and promoting health and well-being through organized efforts of society. It involves a wide range of activities, including research, education, policy development, and implementation of programs to improve the health of communities and populations. Public health is concerned with the health of populations rather than individuals, and focuses on preventing health problems before they occur. It looks at the various factors that contribute to health and disease, including biological, social, economic, and environmental factors (Schneider, 2020).</w:t>
      </w:r>
    </w:p>
    <w:p>
      <w:pPr>
        <w:rPr>
          <w:rFonts w:hint="default"/>
          <w:lang w:val="en-US" w:eastAsia="en-GB"/>
        </w:rPr>
      </w:pPr>
      <w:r>
        <w:rPr>
          <w:rFonts w:hint="default"/>
          <w:lang w:val="en-US" w:eastAsia="en-GB"/>
        </w:rPr>
        <w:t>Some of the key areas of public health include disease surveillance and control, environmental health, occupational health and safety, health promotion and education, and health policy and management. Public health professionals work in a variety of settings, including government agencies, non-profit organizations, and healthcare organizations. They collaborate with other professionals, such as doctors, nurses, and epidemiologists, to improve the health of individuals and populations. Overall, public health is a critical field that plays a vital role in promoting and protecting the health of communities and populations.</w:t>
      </w:r>
    </w:p>
    <w:p>
      <w:pPr>
        <w:pStyle w:val="3"/>
        <w:bidi w:val="0"/>
        <w:rPr>
          <w:rFonts w:hint="default"/>
          <w:lang w:val="en-US" w:eastAsia="en-GB"/>
        </w:rPr>
      </w:pPr>
      <w:bookmarkStart w:id="2" w:name="_Toc13536"/>
      <w:r>
        <w:rPr>
          <w:rFonts w:hint="default"/>
          <w:lang w:val="en-US" w:eastAsia="en-GB"/>
        </w:rPr>
        <w:t>Approaches and Strategies to Measure, Monitor, and Control Chickenpox Outbreak in the UK</w:t>
      </w:r>
      <w:bookmarkEnd w:id="2"/>
    </w:p>
    <w:p>
      <w:pPr>
        <w:rPr>
          <w:rFonts w:hint="default"/>
          <w:lang w:val="en-US" w:eastAsia="en-GB"/>
        </w:rPr>
      </w:pPr>
      <w:r>
        <w:rPr>
          <w:rFonts w:hint="default"/>
          <w:b/>
          <w:bCs/>
          <w:i/>
          <w:iCs/>
          <w:lang w:val="en-US" w:eastAsia="en-GB"/>
        </w:rPr>
        <w:t>Disease Surveillance</w:t>
      </w:r>
      <w:r>
        <w:rPr>
          <w:rFonts w:hint="default"/>
          <w:lang w:val="en-US" w:eastAsia="en-GB"/>
        </w:rPr>
        <w:t>: Disease surveillance is a critical approach for monitoring and controlling the incidence of chickenpox in the UK. It involves ongoing monitoring and data collection to identify outbreaks and patterns of the disease, including its incidence, prevalence, and distribution. This information is then analyzed by public health officials to inform the development of appropriate control strategies and interventions. Disease surveillance can be conducted through a variety of methods, including laboratory testing, clinical reporting, and population-based surveys. Laboratory testing involves analyzing blood or other samples to detect the presence of the virus that causes chickenpox (Shultz, Sullivan and Galea, 2021). Clinical reporting involves healthcare providers reporting cases of the disease to public health authorities, which can provide information on the severity and distribution of the outbreak. Population-based surveys involve collecting information from a representative sample of the population to estimate the prevalence of the disease.</w:t>
      </w:r>
    </w:p>
    <w:p>
      <w:pPr>
        <w:rPr>
          <w:rFonts w:hint="default"/>
          <w:lang w:val="en-US" w:eastAsia="en-GB"/>
        </w:rPr>
      </w:pPr>
      <w:r>
        <w:rPr>
          <w:rFonts w:hint="default"/>
          <w:b/>
          <w:bCs/>
          <w:i/>
          <w:iCs/>
          <w:lang w:val="en-US" w:eastAsia="en-GB"/>
        </w:rPr>
        <w:t>Vaccination Programs</w:t>
      </w:r>
      <w:r>
        <w:rPr>
          <w:rFonts w:hint="default"/>
          <w:lang w:val="en-US" w:eastAsia="en-GB"/>
        </w:rPr>
        <w:t>: Vaccination programs are among the most effective strategies to control the spread of chickenpox. In the UK, a national vaccination program provides free chickenpox vaccines to children who are at high risk of developing severe complications from the disease. Vaccination helps prevent the spread of the disease by increasing immunity among the population and reducing the likelihood of outbreaks. The chickenpox vaccine is recommended for all children aged 12-15 months, and a second dose is given between 4-6 years of age (Hoeyer,  Bauer and Pickersgill, 2019). Vaccination is also recommended for individuals who have never had chickenpox or who have not been vaccinated previously. By increasing vaccine coverage among the population, the risk of transmission is reduced, and the incidence of outbreaks is lowered.</w:t>
      </w:r>
    </w:p>
    <w:p>
      <w:pPr>
        <w:rPr>
          <w:rFonts w:hint="default"/>
          <w:lang w:val="en-US" w:eastAsia="en-GB"/>
        </w:rPr>
      </w:pPr>
      <w:r>
        <w:rPr>
          <w:rFonts w:hint="default"/>
          <w:b/>
          <w:bCs/>
          <w:i/>
          <w:iCs/>
          <w:lang w:val="en-US" w:eastAsia="en-GB"/>
        </w:rPr>
        <w:t>Health Education and Promotion</w:t>
      </w:r>
      <w:r>
        <w:rPr>
          <w:rFonts w:hint="default"/>
          <w:lang w:val="en-US" w:eastAsia="en-GB"/>
        </w:rPr>
        <w:t>: Health education and promotion programs can play a significant role in increasing public awareness of chickenpox and the importance of vaccination to prevent the spread of the disease. Such programs can provide information about the signs and symptoms of chickenpox, its modes of transmission, and the benefits of vaccination. By raising public awareness, health education and promotion programs can encourage individuals to seek vaccination, particularly those who are at high risk of developing severe complications from the disease. This can help reduce the incidence of outbreaks and lower the burden on the healthcare system. Health education and promotion programs can also provide information on how to prevent the spread of chickenpox, including by washing hands frequently, avoiding contact with infected individuals, and covering the mouth and nose when coughing or sneezing. By promoting these preventive measures, individuals can reduce their risk of contracting the disease and help prevent its spread to others.</w:t>
      </w:r>
    </w:p>
    <w:p>
      <w:pPr>
        <w:rPr>
          <w:rFonts w:hint="default"/>
          <w:lang w:val="en-US" w:eastAsia="en-GB"/>
        </w:rPr>
      </w:pPr>
      <w:r>
        <w:rPr>
          <w:rFonts w:hint="default"/>
          <w:b/>
          <w:bCs/>
          <w:i/>
          <w:iCs/>
          <w:lang w:val="en-US" w:eastAsia="en-GB"/>
        </w:rPr>
        <w:t>Contact Tracing and Isolation</w:t>
      </w:r>
      <w:r>
        <w:rPr>
          <w:rFonts w:hint="default"/>
          <w:lang w:val="en-US" w:eastAsia="en-GB"/>
        </w:rPr>
        <w:t>: During an outbreak of chickenpox, contact tracing and isolation are crucial strategies to control the spread of the disease. Public health officials can use contact tracing to identify individuals who have come into close contact with infected individuals and isolate them to prevent further transmission of the disease. Contact tracing involves identifying individuals who may have been exposed to the virus and monitoring them for signs and symptoms of chickenpox. Close contacts, such as household members, classmates, or colleagues, may be advised to stay at home or in isolation to prevent the spread of the disease. This strategy can help contain the outbreak and prevent it from spreading to other areas (Edwards and Atenstaedt, 2019).</w:t>
      </w:r>
    </w:p>
    <w:p>
      <w:pPr>
        <w:rPr>
          <w:rFonts w:hint="default"/>
          <w:lang w:val="en-US" w:eastAsia="en-GB"/>
        </w:rPr>
      </w:pPr>
      <w:r>
        <w:rPr>
          <w:rFonts w:hint="default"/>
          <w:b/>
          <w:bCs/>
          <w:i/>
          <w:iCs/>
          <w:lang w:val="en-US" w:eastAsia="en-GB"/>
        </w:rPr>
        <w:t>Public Health Policies and Regulations</w:t>
      </w:r>
      <w:r>
        <w:rPr>
          <w:rFonts w:hint="default"/>
          <w:lang w:val="en-US" w:eastAsia="en-GB"/>
        </w:rPr>
        <w:t>: Public health policies and regulations play an important role in controlling the spread of chickenpox. Policies and regulations can be implemented at different levels, such as schools, workplaces, and healthcare settings. These policies can help prevent the spread of the disease and protect the health of the population. One example of a public health policy is requiring children with chickenpox to stay at home until they are no longer contagious. This policy can be implemented in schools to reduce the risk of transmission in school settings and prevent the spread of the disease to other students and staff. Similarly, policies can also be implemented in workplaces to require employees with chickenpox to stay at home until they are no longer contagious to prevent transmission to other employees and customers.</w:t>
      </w:r>
    </w:p>
    <w:p>
      <w:pPr>
        <w:rPr>
          <w:rFonts w:hint="default"/>
          <w:lang w:val="en-US" w:eastAsia="en-GB"/>
        </w:rPr>
      </w:pPr>
      <w:r>
        <w:rPr>
          <w:rFonts w:hint="default"/>
          <w:b/>
          <w:bCs/>
          <w:i/>
          <w:iCs/>
          <w:lang w:val="en-US" w:eastAsia="en-GB"/>
        </w:rPr>
        <w:t>Outbreak Investigation</w:t>
      </w:r>
      <w:r>
        <w:rPr>
          <w:rFonts w:hint="default"/>
          <w:lang w:val="en-US" w:eastAsia="en-GB"/>
        </w:rPr>
        <w:t>: Outbreak investigation is a critical step in controlling the spread of chickenpox. It involves a systematic approach to identify the source, extent, and factors contributing to the outbreak. The investigation typically involves a series of steps, including case identification, case definition, data collection, and analysis. The first step in outbreak investigation is case identification. Public health officials need to identify individuals who have been diagnosed with chickenpox and confirm the diagnosis through laboratory testing. Once cases have been identified, the next step is to define the cases based on clinical and epidemiological criteria. This helps to ensure that all cases are classified consistently and accurately (Li and Wu, 2019.).</w:t>
      </w:r>
    </w:p>
    <w:p>
      <w:pPr>
        <w:rPr>
          <w:rFonts w:hint="default"/>
          <w:lang w:val="en-US" w:eastAsia="en-GB"/>
        </w:rPr>
      </w:pPr>
      <w:r>
        <w:rPr>
          <w:rFonts w:hint="default"/>
          <w:b/>
          <w:bCs/>
          <w:i/>
          <w:iCs/>
          <w:lang w:val="en-US" w:eastAsia="en-GB"/>
        </w:rPr>
        <w:t>Enhanced Surveillance</w:t>
      </w:r>
      <w:r>
        <w:rPr>
          <w:rFonts w:hint="default"/>
          <w:lang w:val="en-US" w:eastAsia="en-GB"/>
        </w:rPr>
        <w:t>: Enhanced surveillance is an approach used to track the spread of chickenpox during an outbreak by collecting additional data beyond what is typically collected during routine disease surveillance. This additional data can provide more detailed information on the demographics, severity of illness, and underlying health conditions of individuals affected by the disease. Collecting demographic data, such as age and sex, can help identify populations at higher risk of severe complications from chickenpox. For instance, infants, adults, and individuals with weakened immune systems are more likely to experience severe symptoms and complications. By analyzing demographic data, public health officials can identify high-risk populations and develop targeted interventions, such as vaccination campaigns or outreach programs.</w:t>
      </w:r>
    </w:p>
    <w:p>
      <w:pPr>
        <w:rPr>
          <w:rFonts w:hint="default"/>
          <w:lang w:val="en-US" w:eastAsia="en-GB"/>
        </w:rPr>
      </w:pPr>
      <w:r>
        <w:rPr>
          <w:rFonts w:hint="default"/>
          <w:lang w:val="en-US" w:eastAsia="en-GB"/>
        </w:rPr>
        <w:t>Antiviral Treatment: Antiviral treatment can be a useful strategy to control the spread of chickenpox during an outbreak. Antiviral drugs such as acyclovir, valacyclovir, and famciclovir can be used to treat individuals infected with the chickenpox virus, especially those at high risk of developing severe complications. These antiviral drugs work by preventing the virus from replicating and spreading in the body, which can help reduce the duration and severity of the illness and prevent complications. Antiviral treatment is most effective when administered early in the course of the disease, ideally within 24-48 hours of the onset of symptoms (Buchbinder,  Shanks and Kite, 2019). This is why early diagnosis and prompt medical attention are crucial in controlling the spread of chickenpox during an outbreak. Antiviral treatment is typically recommended for individuals with weakened immune systems, pregnant women, and individuals over the age of 12 who are at high risk of developing severe complications.</w:t>
      </w:r>
    </w:p>
    <w:p>
      <w:pPr>
        <w:rPr>
          <w:rFonts w:hint="default"/>
          <w:lang w:val="en-US" w:eastAsia="en-GB"/>
        </w:rPr>
      </w:pPr>
      <w:r>
        <w:rPr>
          <w:rFonts w:hint="default"/>
          <w:b/>
          <w:bCs/>
          <w:i/>
          <w:iCs/>
          <w:lang w:val="en-US" w:eastAsia="en-GB"/>
        </w:rPr>
        <w:t>Environmental Measures</w:t>
      </w:r>
      <w:r>
        <w:rPr>
          <w:rFonts w:hint="default"/>
          <w:lang w:val="en-US" w:eastAsia="en-GB"/>
        </w:rPr>
        <w:t>: Environmental measures are important in reducing the spread of chickenpox. The virus can survive on surfaces for a few hours to several days, depending on the environmental conditions. Therefore, regular cleaning and disinfection of surfaces and objects that may be contaminated with the virus is essential in preventing transmission of the disease. Cleaning involves the removal of dirt, dust, and other debris from surfaces, while disinfection involves the use of chemicals to kill viruses and other germs on surfaces. A variety of disinfectants are effective against the chickenpox virus, including bleach and hydrogen peroxide-based cleaners. Surfaces and objects that should be regularly cleaned and disinfected include doorknobs, toys, and other frequently touched surfaces. Public health officials may also recommend environmental measures in community settings, such as schools and childcare facilities, to reduce the risk of transmission. This may include implementing cleaning and disinfection protocols and providing appropriate cleaning and disinfection supplies. By implementing these measures, the risk of transmission of chickenpox can be reduced, ultimately contributing to the control and prevention of outbreaks.</w:t>
      </w:r>
    </w:p>
    <w:p>
      <w:pPr>
        <w:rPr>
          <w:rFonts w:hint="default"/>
          <w:lang w:val="en-US" w:eastAsia="en-GB"/>
        </w:rPr>
      </w:pPr>
      <w:r>
        <w:rPr>
          <w:rFonts w:hint="default"/>
          <w:b/>
          <w:bCs/>
          <w:i/>
          <w:iCs/>
          <w:lang w:val="en-US" w:eastAsia="en-GB"/>
        </w:rPr>
        <w:t>International Collaboration</w:t>
      </w:r>
      <w:r>
        <w:rPr>
          <w:rFonts w:hint="default"/>
          <w:lang w:val="en-US" w:eastAsia="en-GB"/>
        </w:rPr>
        <w:t>: International collaboration is crucial in controlling the spread of infectious diseases like chickenpox, given the ease of global travel and the interconnectedness of our world (Edwards and Rowe, 2019). Through international collaboration, countries can share data on outbreaks, identify patterns and trends, and develop strategies to prevent the spread of the disease across borders. For instance, countries can collaborate in conducting research to develop new and more effective vaccines and treatments for chickenpox. They can also share best practices on disease surveillance, outbreak investigations, and control measures. International collaboration can also help improve vaccination coverage globally, which is crucial in preventing the spread of chickenpox. Countries can collaborate in developing and implementing vaccination programs, sharing information on the safety and efficacy of vaccines, and addressing vaccine hesitancy. By improving vaccination coverage globally, we can reduce the incidence of chickenpox and other vaccine-preventable diseases.</w:t>
      </w:r>
    </w:p>
    <w:p>
      <w:pPr>
        <w:rPr>
          <w:rFonts w:hint="default"/>
          <w:lang w:val="en-US" w:eastAsia="en-GB"/>
        </w:rPr>
      </w:pPr>
      <w:r>
        <w:rPr>
          <w:rFonts w:hint="default"/>
          <w:b/>
          <w:bCs/>
          <w:i/>
          <w:iCs/>
          <w:lang w:val="en-US" w:eastAsia="en-GB"/>
        </w:rPr>
        <w:t>Targeted Vaccination Programs</w:t>
      </w:r>
      <w:r>
        <w:rPr>
          <w:rFonts w:hint="default"/>
          <w:lang w:val="en-US" w:eastAsia="en-GB"/>
        </w:rPr>
        <w:t xml:space="preserve">: Targeted vaccination programs are designed to vaccinate specific populations that are at high risk of developing severe complications from a particular disease. In the case of chickenpox, healthcare workers, pregnant women, and immunocompromised individuals are at high risk of developing severe complications from the disease. Targeted vaccination programs can help prevent outbreaks of chickenpox among these specific populations by reducing the risk of transmission. For healthcare workers, vaccination can help protect them from getting infected with chickenpox while caring for patients. Healthcare workers who get infected with chickenpox can spread the disease to vulnerable patients, such as those who are immunocompromised, which can lead to severe complications. Vaccinating healthcare workers can also prevent them from spreading the disease to their families and the wider community. Pregnant women are also at high risk of developing severe complications from chickenpox, such as pneumonia and encephalitis, which can be life-threatening for both the mother and the fetus. Vaccinating pregnant women can help protect them from the disease and reduce the risk of transmission to the fetus. The chickenpox vaccine is safe to administer during pregnancy, and studies have shown that it does not increase the risk of birth defects or other adverse outcomes (Kuzmin, </w:t>
      </w:r>
      <w:r>
        <w:rPr>
          <w:rFonts w:hint="default"/>
          <w:i/>
          <w:iCs/>
          <w:lang w:val="en-US" w:eastAsia="en-GB"/>
        </w:rPr>
        <w:t>et al.</w:t>
      </w:r>
      <w:r>
        <w:rPr>
          <w:rFonts w:hint="default"/>
          <w:lang w:val="en-US" w:eastAsia="en-GB"/>
        </w:rPr>
        <w:t xml:space="preserve"> 2022).</w:t>
      </w:r>
    </w:p>
    <w:p>
      <w:pPr>
        <w:rPr>
          <w:rFonts w:hint="default"/>
          <w:lang w:val="en-US" w:eastAsia="en-GB"/>
        </w:rPr>
      </w:pPr>
      <w:r>
        <w:rPr>
          <w:rFonts w:hint="default"/>
          <w:b/>
          <w:bCs/>
          <w:i/>
          <w:iCs/>
          <w:lang w:val="en-US" w:eastAsia="en-GB"/>
        </w:rPr>
        <w:t>Research and Development</w:t>
      </w:r>
      <w:r>
        <w:rPr>
          <w:rFonts w:hint="default"/>
          <w:lang w:val="en-US" w:eastAsia="en-GB"/>
        </w:rPr>
        <w:t>: Research and development is critical in controlling the spread of chickenpox, as it helps to identify new strategies and interventions that can be used to prevent and manage the disease. One area of research is the development of new vaccines with improved efficacy and safety profiles. For example, current chickenpox vaccines have been shown to be highly effective, but there is room for improvement in terms of reducing the number of doses required and increasing the duration of immunity provided by the vaccine. Another area of research is the epidemiology and transmission of the disease. This includes studying the patterns of disease spread, identifying risk factors for severe complications, and understanding the impact of vaccination on disease incidence. Such information can help guide public health interventions and strategies, such as targeting vaccination programs to high-risk populations.</w:t>
      </w:r>
    </w:p>
    <w:p>
      <w:pPr>
        <w:rPr>
          <w:rFonts w:hint="default"/>
          <w:lang w:val="en-US" w:eastAsia="en-GB"/>
        </w:rPr>
      </w:pPr>
      <w:r>
        <w:rPr>
          <w:rFonts w:hint="default"/>
          <w:b/>
          <w:bCs/>
          <w:i/>
          <w:iCs/>
          <w:lang w:val="en-US" w:eastAsia="en-GB"/>
        </w:rPr>
        <w:t>Collaboration with Community Organizations</w:t>
      </w:r>
      <w:r>
        <w:rPr>
          <w:rFonts w:hint="default"/>
          <w:lang w:val="en-US" w:eastAsia="en-GB"/>
        </w:rPr>
        <w:t xml:space="preserve">: Collaborating with community organizations is an important strategy in controlling the spread of chickenpox. Community organizations can include schools, religious groups, community health centers, and other local organizations that have a connection with the community. These organizations can play a vital role in promoting vaccination and other control measures to prevent the spread of the disease. Community organizations can work together with public health officials to disseminate information on the disease, vaccination programs, and other control measures (Jamet, </w:t>
      </w:r>
      <w:r>
        <w:rPr>
          <w:rFonts w:hint="default"/>
          <w:i/>
          <w:iCs/>
          <w:lang w:val="en-US" w:eastAsia="en-GB"/>
        </w:rPr>
        <w:t>et al.</w:t>
      </w:r>
      <w:r>
        <w:rPr>
          <w:rFonts w:hint="default"/>
          <w:lang w:val="en-US" w:eastAsia="en-GB"/>
        </w:rPr>
        <w:t xml:space="preserve"> 2022). They can help increase public awareness of the importance of vaccination and encourage individuals to get vaccinated. These organizations can also provide resources and support to individuals who have been infected with chickenpox, such as providing care packages and connecting them with healthcare providers.</w:t>
      </w:r>
    </w:p>
    <w:p>
      <w:pPr>
        <w:rPr>
          <w:rFonts w:hint="default"/>
          <w:lang w:val="en-US" w:eastAsia="en-GB"/>
        </w:rPr>
      </w:pPr>
      <w:r>
        <w:rPr>
          <w:rFonts w:hint="default"/>
          <w:b/>
          <w:bCs/>
          <w:i/>
          <w:iCs/>
          <w:lang w:val="en-US" w:eastAsia="en-GB"/>
        </w:rPr>
        <w:t>Capacity Building</w:t>
      </w:r>
      <w:r>
        <w:rPr>
          <w:rFonts w:hint="default"/>
          <w:lang w:val="en-US" w:eastAsia="en-GB"/>
        </w:rPr>
        <w:t>: Capacity building is an important aspect of controlling the spread of chickenpox during an outbreak. It involves developing the capacity of healthcare systems and personnel to effectively manage and respond to outbreaks of the disease. This can include training healthcare workers on the diagnosis, treatment, and management of chickenpox, as well as providing them with the necessary resources and infrastructure to effectively respond to outbreaks. Capacity building can also involve the development of guidelines and protocols for outbreak response. These guidelines can help ensure that healthcare workers are aware of the necessary steps to take in the event of an outbreak, such as identifying cases, conducting contact tracing, and implementing isolation measures. By having clear protocols in place, healthcare systems can respond quickly and efficiently to outbreaks, which can help prevent further transmission of the disease.</w:t>
      </w:r>
    </w:p>
    <w:p>
      <w:pPr>
        <w:rPr>
          <w:rFonts w:hint="default"/>
          <w:lang w:val="en-US" w:eastAsia="en-GB"/>
        </w:rPr>
      </w:pPr>
      <w:r>
        <w:rPr>
          <w:rFonts w:hint="default"/>
          <w:b/>
          <w:bCs/>
          <w:i/>
          <w:iCs/>
          <w:u w:val="none"/>
          <w:lang w:val="en-US" w:eastAsia="en-GB"/>
        </w:rPr>
        <w:t>Communication</w:t>
      </w:r>
      <w:r>
        <w:rPr>
          <w:rFonts w:hint="default"/>
          <w:lang w:val="en-US" w:eastAsia="en-GB"/>
        </w:rPr>
        <w:t>: Effective communication is an essential component of controlling the spread of chickenpox. Clear and timely communication between public health officials, healthcare providers, and the general public can help increase awareness of the disease and promote appropriate control measures. Public health officials should communicate with healthcare providers about any outbreaks of chickenpox and provide them with guidance on outbreak management, including diagnosis, treatment, and control measures. Healthcare providers should also communicate with public health officials about suspected or confirmed cases of chickenpox to aid in outbreak investigation and control (Vanderslott, 2020). Communication with the general public is also crucial in controlling the spread of chickenpox. Public health officials should use clear and understandable language to communicate information about the disease, including signs and symptoms, transmission, and prevention measures. Communication strategies should be tailored to different populations, including different age groups, ethnicities, and socioeconomic backgrounds, to ensure that information is accessible to everyone.</w:t>
      </w:r>
    </w:p>
    <w:p>
      <w:pPr>
        <w:rPr>
          <w:rFonts w:hint="default"/>
          <w:lang w:val="en-US" w:eastAsia="en-GB"/>
        </w:rPr>
      </w:pPr>
      <w:r>
        <w:rPr>
          <w:rFonts w:hint="default"/>
          <w:b/>
          <w:bCs/>
          <w:i/>
          <w:iCs/>
          <w:lang w:val="en-US" w:eastAsia="en-GB"/>
        </w:rPr>
        <w:t>Health Equity</w:t>
      </w:r>
      <w:r>
        <w:rPr>
          <w:rFonts w:hint="default"/>
          <w:lang w:val="en-US" w:eastAsia="en-GB"/>
        </w:rPr>
        <w:t>: In controlling the spread of chickenpox, it is essential to consider health equity and address disparities that may exist among different populations. Studies have shown that low-income individuals and racial and ethnic minorities may be at higher risk of contracting the disease and experiencing severe complications due to factors such as inadequate access to healthcare, poor living conditions, and underlying health conditions. To address these disparities, public health interventions and strategies should be designed with a focus on health equity. This can include targeted outreach and education to populations at higher risk, ensuring that healthcare services and resources are accessible and culturally appropriate, and addressing social determinants of health that may contribute to higher rates of infection and severe disease.</w:t>
      </w:r>
    </w:p>
    <w:p>
      <w:pPr>
        <w:rPr>
          <w:rFonts w:hint="default"/>
          <w:lang w:val="en-US" w:eastAsia="en-GB"/>
        </w:rPr>
      </w:pPr>
      <w:r>
        <w:rPr>
          <w:rFonts w:hint="default"/>
          <w:b/>
          <w:bCs/>
          <w:i/>
          <w:iCs/>
          <w:lang w:val="en-US" w:eastAsia="en-GB"/>
        </w:rPr>
        <w:t>Continuity of Care</w:t>
      </w:r>
      <w:r>
        <w:rPr>
          <w:rFonts w:hint="default"/>
          <w:lang w:val="en-US" w:eastAsia="en-GB"/>
        </w:rPr>
        <w:t>: Continuity of care refers to the coordination of healthcare services across multiple providers and settings over time to ensure that patients receive appropriate and seamless care. In the context of chickenpox, continuity of care is essential to ensure that individuals with the disease receive timely and appropriate treatment and follow-up care. Healthcare providers, including primary care physicians, pediatricians, and infectious disease specialists, should be knowledgeable about current recommendations for the management of chickenpox (Osu, Andrew and Victory, 2019). They should be able to recognize the signs and symptoms of the disease, provide appropriate treatment, and refer patients to other specialists as needed. For example, patients who are at high risk of developing severe complications from chickenpox, such as pregnant women and individuals with compromised immune systems, may need to be referred to specialists who can provide specialized care.</w:t>
      </w:r>
    </w:p>
    <w:p>
      <w:pPr>
        <w:rPr>
          <w:rFonts w:hint="default"/>
          <w:lang w:val="en-US" w:eastAsia="en-GB"/>
        </w:rPr>
      </w:pPr>
      <w:r>
        <w:rPr>
          <w:rFonts w:hint="default"/>
          <w:b/>
          <w:bCs/>
          <w:i/>
          <w:iCs/>
          <w:lang w:val="en-US" w:eastAsia="en-GB"/>
        </w:rPr>
        <w:t>Evaluation and Feedback</w:t>
      </w:r>
      <w:r>
        <w:rPr>
          <w:rFonts w:hint="default"/>
          <w:lang w:val="en-US" w:eastAsia="en-GB"/>
        </w:rPr>
        <w:t>: Evaluation and feedback are important components in the continuous improvement of public health interventions and strategies aimed at controlling the spread of chickenpox. Evaluation involves the systematic and objective assessment of the impact of interventions, while feedback entails seeking input and opinions from stakeholders to identify areas for improvement. Regular evaluation of control measures and interventions can help determine their effectiveness in reducing the transmission of chickenpox, minimizing the risk of severe complications, and improving the health outcomes of affected individuals. By collecting and analyzing data, public health officials can identify areas for improvement and modify interventions accordingly. For instance, they can assess the coverage and impact of vaccination programs, identify gaps in vaccination coverage, and determine the effectiveness of environmental cleaning measures (Malm and Navin, 2020).</w:t>
      </w:r>
    </w:p>
    <w:p>
      <w:pPr>
        <w:rPr>
          <w:rFonts w:hint="default"/>
          <w:lang w:val="en-US" w:eastAsia="en-GB"/>
        </w:rPr>
      </w:pPr>
      <w:r>
        <w:rPr>
          <w:rFonts w:hint="default"/>
          <w:b/>
          <w:bCs/>
          <w:i/>
          <w:iCs/>
          <w:lang w:val="en-US" w:eastAsia="en-GB"/>
        </w:rPr>
        <w:t>Preparedness Planning</w:t>
      </w:r>
      <w:r>
        <w:rPr>
          <w:rFonts w:hint="default"/>
          <w:lang w:val="en-US" w:eastAsia="en-GB"/>
        </w:rPr>
        <w:t>: Preparedness planning is essential in ensuring that public health systems are ready to respond to outbreaks of chickenpox (Nelson, 2021). This can involve developing response plans, identifying resources and infrastructure needed to respond to outbreaks, and conducting training and exercises to test the effectiveness of response efforts.</w:t>
      </w:r>
    </w:p>
    <w:p>
      <w:pPr>
        <w:pStyle w:val="3"/>
        <w:bidi w:val="0"/>
        <w:rPr>
          <w:rFonts w:hint="default"/>
          <w:lang w:val="en-US" w:eastAsia="en-GB"/>
        </w:rPr>
      </w:pPr>
      <w:bookmarkStart w:id="3" w:name="_Toc4611"/>
      <w:r>
        <w:rPr>
          <w:rFonts w:hint="default"/>
          <w:lang w:val="en-US" w:eastAsia="en-GB"/>
        </w:rPr>
        <w:t>Conclusion</w:t>
      </w:r>
      <w:bookmarkEnd w:id="3"/>
      <w:r>
        <w:rPr>
          <w:rFonts w:hint="default"/>
          <w:lang w:val="en-US" w:eastAsia="en-GB"/>
        </w:rPr>
        <w:t xml:space="preserve"> </w:t>
      </w:r>
    </w:p>
    <w:p>
      <w:pPr>
        <w:rPr>
          <w:rFonts w:hint="default"/>
          <w:lang w:val="en-US" w:eastAsia="en-GB"/>
        </w:rPr>
      </w:pPr>
      <w:r>
        <w:rPr>
          <w:rFonts w:hint="default"/>
          <w:lang w:val="en-US" w:eastAsia="en-GB"/>
        </w:rPr>
        <w:t>In conclusion, controlling the spread of chickenpox requires a multifaceted approach that involves a combination of interventions and strategies. The analysis of the different approaches to controlling chickenpox highlights the importance of vaccination, targeted vaccination programs, enhanced surveillance, antiviral treatment, environmental measures, international collaboration, research and development, collaboration with community organizations, capacity building, communication, health equity, continuity of care, and evaluation and feedback.</w:t>
      </w:r>
    </w:p>
    <w:p>
      <w:pPr>
        <w:pStyle w:val="2"/>
        <w:bidi w:val="0"/>
        <w:rPr>
          <w:rFonts w:hint="default"/>
          <w:lang w:val="en-US" w:eastAsia="en-GB"/>
        </w:rPr>
      </w:pPr>
      <w:bookmarkStart w:id="4" w:name="_Toc22260"/>
      <w:r>
        <w:rPr>
          <w:rFonts w:hint="default"/>
          <w:lang w:val="en-US" w:eastAsia="en-GB"/>
        </w:rPr>
        <w:t>Task 2</w:t>
      </w:r>
      <w:bookmarkEnd w:id="4"/>
    </w:p>
    <w:p>
      <w:pPr>
        <w:pStyle w:val="3"/>
        <w:bidi w:val="0"/>
        <w:rPr>
          <w:rFonts w:hint="default"/>
          <w:lang w:val="en-US" w:eastAsia="en-GB"/>
        </w:rPr>
      </w:pPr>
      <w:bookmarkStart w:id="5" w:name="_Toc24003"/>
      <w:r>
        <w:rPr>
          <w:rFonts w:hint="default"/>
          <w:lang w:val="en-US" w:eastAsia="en-GB"/>
        </w:rPr>
        <w:t>Introduction</w:t>
      </w:r>
      <w:bookmarkEnd w:id="5"/>
      <w:r>
        <w:rPr>
          <w:rFonts w:hint="default"/>
          <w:lang w:val="en-US" w:eastAsia="en-GB"/>
        </w:rPr>
        <w:t xml:space="preserve"> </w:t>
      </w:r>
    </w:p>
    <w:p>
      <w:pPr>
        <w:rPr>
          <w:rFonts w:hint="default"/>
          <w:lang w:val="en-US" w:eastAsia="en-GB"/>
        </w:rPr>
      </w:pPr>
      <w:r>
        <w:rPr>
          <w:rFonts w:hint="default"/>
          <w:lang w:val="en-US" w:eastAsia="en-GB"/>
        </w:rPr>
        <w:t xml:space="preserve">Chickenpox, also known as varicella, is a highly contagious viral disease that is common in children. Although it is usually a mild illness, it can lead to severe complications in certain populations, such as immunocompromised individuals and pregnant women. To control the incidence of chickenpox, various approaches and strategies have been developed, including vaccination programs, enhanced surveillance, antiviral treatment, environmental measures, international collaboration, targeted vaccination programs, research and development, collaboration with community organizations, capacity building, communication, health equity, continuity of care, evaluation and feedback, and the use of technology. These strategies aim to prevent transmission of the disease, identify populations at high risk of severe complications, and guide public health interventions and strategies. In this report, we will discuss these approaches and strategies in detail and highlight their importance in controlling the incidence of chickenpox (Lophatananon, </w:t>
      </w:r>
      <w:r>
        <w:rPr>
          <w:rFonts w:hint="default"/>
          <w:i/>
          <w:iCs/>
          <w:lang w:val="en-US" w:eastAsia="en-GB"/>
        </w:rPr>
        <w:t xml:space="preserve">et al. </w:t>
      </w:r>
      <w:r>
        <w:rPr>
          <w:rFonts w:hint="default"/>
          <w:lang w:val="en-US" w:eastAsia="en-GB"/>
        </w:rPr>
        <w:t>2021).</w:t>
      </w:r>
    </w:p>
    <w:p>
      <w:pPr>
        <w:pStyle w:val="3"/>
        <w:bidi w:val="0"/>
        <w:rPr>
          <w:rFonts w:hint="default"/>
          <w:lang w:val="en-US" w:eastAsia="en-GB"/>
        </w:rPr>
      </w:pPr>
      <w:bookmarkStart w:id="6" w:name="_Toc18536"/>
      <w:r>
        <w:rPr>
          <w:rFonts w:hint="default"/>
          <w:lang w:val="en-US" w:eastAsia="en-GB"/>
        </w:rPr>
        <w:t>Control Strategies for Chickenpox in the UK</w:t>
      </w:r>
      <w:bookmarkEnd w:id="6"/>
    </w:p>
    <w:p>
      <w:pPr>
        <w:rPr>
          <w:rFonts w:hint="default"/>
          <w:lang w:val="en-US" w:eastAsia="en-GB"/>
        </w:rPr>
      </w:pPr>
      <w:r>
        <w:rPr>
          <w:rFonts w:hint="default"/>
          <w:lang w:val="en-US" w:eastAsia="en-GB"/>
        </w:rPr>
        <w:t>In the UK, the incidence of chickenpox is primarily measured through the mandatory notification system. Clinicians are required by law to report suspected cases of chickenpox to their local health protection team (HPT). The HPT then investigates the case and may take appropriate control measures, such as identifying contacts and advising on infection control measures. The notification system is an important tool for monitoring the incidence of chickenpox and identifying outbreaks. However, it may underestimate the true incidence of the disease, as not all cases may be clinically diagnosed or reported. Additionally, there may be variations in reporting practices across different regions or healthcare settings, which can affect the accuracy and comparability of the data.</w:t>
      </w:r>
    </w:p>
    <w:p>
      <w:pPr>
        <w:rPr>
          <w:rFonts w:hint="default"/>
          <w:lang w:val="en-US" w:eastAsia="en-GB"/>
        </w:rPr>
      </w:pPr>
      <w:r>
        <w:rPr>
          <w:rFonts w:hint="default"/>
          <w:lang w:val="en-US" w:eastAsia="en-GB"/>
        </w:rPr>
        <w:t>In recent years, there has been increasing interest in using electronic health records and other digital technologies to enhance disease surveillance and monitoring (Shukatka and Kryvoruchko,  2023). In the UK, the Royal College of Paediatrics and Child Health (RCPCH) has developed a system called the National Paediatric Surveillance Unit (NPSU) which uses electronic reporting to monitor rare childhood diseases, including chickenpox complications. However, there are some limitations to the use of electronic health records for disease surveillance, including issues around data quality, privacy, and data ownership. Furthermore, not all healthcare providers may have access to or use electronic health records, which can limit the representativeness and accuracy of the data.</w:t>
      </w:r>
    </w:p>
    <w:p>
      <w:pPr>
        <w:rPr>
          <w:rFonts w:hint="default"/>
          <w:lang w:val="en-US" w:eastAsia="en-GB"/>
        </w:rPr>
      </w:pPr>
      <w:r>
        <w:rPr>
          <w:rFonts w:hint="default"/>
          <w:lang w:val="en-US" w:eastAsia="en-GB"/>
        </w:rPr>
        <w:t>Overall, while the notification system remains the primary approach to measuring the incidence of chickenpox in the UK, there is potential for the use of electronic health records and other digital technologies to enhance disease surveillance and monitoring (Schneider, 2020). However, careful consideration and ongoing evaluation are needed to ensure the accuracy, reliability, and ethical use of these approaches.</w:t>
      </w:r>
    </w:p>
    <w:p>
      <w:pPr>
        <w:pStyle w:val="3"/>
        <w:bidi w:val="0"/>
        <w:rPr>
          <w:rFonts w:hint="default"/>
          <w:lang w:val="en-US" w:eastAsia="en-GB"/>
        </w:rPr>
      </w:pPr>
      <w:bookmarkStart w:id="7" w:name="_Toc19314"/>
      <w:r>
        <w:rPr>
          <w:rFonts w:hint="default"/>
          <w:lang w:val="en-US" w:eastAsia="en-GB"/>
        </w:rPr>
        <w:t>Strategies used in the UK to monitor the incidence of chickenpox and critically evaluate them</w:t>
      </w:r>
      <w:bookmarkEnd w:id="7"/>
    </w:p>
    <w:p>
      <w:pPr>
        <w:rPr>
          <w:rFonts w:hint="default"/>
          <w:lang w:val="en-US" w:eastAsia="en-GB"/>
        </w:rPr>
      </w:pPr>
      <w:r>
        <w:rPr>
          <w:rFonts w:hint="default"/>
          <w:lang w:val="en-US" w:eastAsia="en-GB"/>
        </w:rPr>
        <w:t>Chickenpox is a notifiable disease in the UK, meaning that healthcare providers are required by law to report cases to Public Health England (PHE). PHE uses this data to monitor the incidence of the disease and identify outbreaks. Additionally, PHE conducts surveillance through laboratory testing of samples from patients with suspected cases of chickenpox to confirm diagnoses and monitor the circulating strains of the virus. These data are used to inform public health policy and practice and to guide vaccination recommendations. However, there are limitations to these monitoring strategies. Not all cases of chickenpox may be reported, as individuals with mild or uncomplicated cases may not seek medical care. This may result in an underestimation of the true incidence of the disease. Additionally, laboratory testing may not always be performed, particularly in cases with a typical presentation of chickenpox. This may result in a lack of information on the circulating strains of the virus.</w:t>
      </w:r>
    </w:p>
    <w:p>
      <w:pPr>
        <w:rPr>
          <w:rFonts w:hint="default"/>
          <w:lang w:val="en-US" w:eastAsia="en-GB"/>
        </w:rPr>
      </w:pPr>
      <w:r>
        <w:rPr>
          <w:rFonts w:hint="default"/>
          <w:lang w:val="en-US" w:eastAsia="en-GB"/>
        </w:rPr>
        <w:t>Another limitation of the current monitoring strategies is that they do not capture data on the burden of the disease in specific populations, such as low-income individuals or racial and ethnic minorities, who may be at higher risk of severe complications from chickenpox (Shultz, Sullivan and Galea, 2021). This may limit the ability of public health officials to target interventions and strategies to these populations. Overall, while the current monitoring strategies in the UK provide important data on the incidence and circulating strains of chickenpox, there are limitations to these strategies that may impact their accuracy and ability to capture the burden of the disease in specific populations.</w:t>
      </w:r>
    </w:p>
    <w:p>
      <w:pPr>
        <w:pStyle w:val="3"/>
        <w:bidi w:val="0"/>
        <w:rPr>
          <w:rFonts w:hint="default"/>
          <w:lang w:val="en-US" w:eastAsia="en-GB"/>
        </w:rPr>
      </w:pPr>
      <w:bookmarkStart w:id="8" w:name="_Toc30935"/>
      <w:r>
        <w:rPr>
          <w:rFonts w:hint="default"/>
          <w:lang w:val="en-US" w:eastAsia="en-GB"/>
        </w:rPr>
        <w:t>Strategies used in the UK to Control the Incidence of Chickenpox</w:t>
      </w:r>
      <w:bookmarkEnd w:id="8"/>
    </w:p>
    <w:p>
      <w:pPr>
        <w:rPr>
          <w:rFonts w:hint="default"/>
          <w:lang w:val="en-US" w:eastAsia="en-GB"/>
        </w:rPr>
      </w:pPr>
      <w:r>
        <w:rPr>
          <w:rFonts w:hint="default"/>
          <w:lang w:val="en-US" w:eastAsia="en-GB"/>
        </w:rPr>
        <w:t>The main strategy used in the UK to control the incidence of chickenpox is vaccination. The chickenpox vaccine was introduced in the UK in 1995, and since then, it has been offered to certain high-risk groups, including healthcare workers, pregnant women who are not immune to chickenpox, and individuals with weakened immune systems. In addition, the vaccine is available on a private basis for anyone who wants it. Another strategy used to control the incidence of chickenpox in the UK is to identify and isolate infected individuals. Healthcare providers are required to report all cases of chickenpox to local health departments, and individuals with chickenpox are advised to stay home until all of their blisters have crusted over. This helps to prevent the spread of the disease to others.</w:t>
      </w:r>
    </w:p>
    <w:p>
      <w:pPr>
        <w:rPr>
          <w:rFonts w:hint="default"/>
          <w:lang w:val="en-US" w:eastAsia="en-GB"/>
        </w:rPr>
      </w:pPr>
      <w:r>
        <w:rPr>
          <w:rFonts w:hint="default"/>
          <w:lang w:val="en-US" w:eastAsia="en-GB"/>
        </w:rPr>
        <w:t>However, the effectiveness of these strategies in controlling the incidence of chickenpox has been questioned (Hoeyer, Bauer and Pickersgill, 2019). The UK does not have a routine chickenpox vaccination program for all children, as is the case in some other countries, such as the United States. This has led to a lower overall vaccine coverage rate, which may be contributing to the continued incidence of the disease. In addition, there have been concerns about the accuracy of reporting of chickenpox cases, as the disease is often not severe enough to require medical attention and may go unreported. This can make it difficult to accurately monitor the incidence of the disease and to develop appropriate control measures.</w:t>
      </w:r>
    </w:p>
    <w:p>
      <w:pPr>
        <w:rPr>
          <w:rFonts w:hint="default"/>
          <w:lang w:val="en-US" w:eastAsia="en-GB"/>
        </w:rPr>
      </w:pPr>
      <w:r>
        <w:rPr>
          <w:rFonts w:hint="default"/>
          <w:lang w:val="en-US" w:eastAsia="en-GB"/>
        </w:rPr>
        <w:t>Furthermore, while isolation of infected individuals can be effective in preventing the spread of the disease, it may not be practical in certain settings, such as schools and workplaces, where individuals may be in close contact with each other. Overall, while vaccination and isolation of infected individuals are important strategies in controlling the incidence of chickenpox, there may be limitations to their effectiveness. The implementation of a routine chickenpox vaccination program in the UK and improvements in reporting and monitoring of cases may help to further control the incidence of the disease (Edwards and Atenstaedt, 2019).</w:t>
      </w:r>
    </w:p>
    <w:p>
      <w:pPr>
        <w:pStyle w:val="3"/>
        <w:bidi w:val="0"/>
        <w:rPr>
          <w:rFonts w:hint="default"/>
          <w:lang w:val="en-US" w:eastAsia="en-GB"/>
        </w:rPr>
      </w:pPr>
      <w:bookmarkStart w:id="9" w:name="_Toc3787"/>
      <w:r>
        <w:rPr>
          <w:rFonts w:hint="default"/>
          <w:lang w:val="en-US" w:eastAsia="en-GB"/>
        </w:rPr>
        <w:t>Conclusion</w:t>
      </w:r>
      <w:bookmarkEnd w:id="9"/>
    </w:p>
    <w:p>
      <w:pPr>
        <w:rPr>
          <w:rFonts w:hint="default"/>
          <w:lang w:val="en-US" w:eastAsia="en-GB"/>
        </w:rPr>
      </w:pPr>
      <w:r>
        <w:rPr>
          <w:rFonts w:hint="default"/>
          <w:lang w:val="en-US" w:eastAsia="en-GB"/>
        </w:rPr>
        <w:t>In conclusion, the UK has implemented various approaches and strategies to measure, monitor, and control the incidence of chickenpox. The surveillance systems used have enabled the collection of data on the disease, providing insights into trends and informing control measures. Vaccination programs have been introduced to prevent outbreaks, targeting high-risk groups and increasing herd immunity. However, the effectiveness of these programs has been debated, with concerns over the vaccine's efficacy and long-term protection. Additionally, while communication strategies have been implemented to raise public awareness and promote behavior change, there is a need to address health equity concerns and ensure that everyone has access to appropriate prevention and treatment measures. Overall, continued research and evaluation of current strategies will be crucial in improving control efforts and reducing the incidence of chickenpox in the UK.</w:t>
      </w:r>
    </w:p>
    <w:p>
      <w:pPr>
        <w:pStyle w:val="2"/>
        <w:bidi w:val="0"/>
        <w:rPr>
          <w:rFonts w:hint="default"/>
          <w:lang w:val="en-US" w:eastAsia="en-GB"/>
        </w:rPr>
      </w:pPr>
      <w:bookmarkStart w:id="10" w:name="_Toc28026"/>
      <w:r>
        <w:rPr>
          <w:rFonts w:hint="default"/>
          <w:lang w:val="en-US" w:eastAsia="en-GB"/>
        </w:rPr>
        <w:t>Reference</w:t>
      </w:r>
      <w:bookmarkEnd w:id="10"/>
      <w:r>
        <w:rPr>
          <w:rFonts w:hint="default"/>
          <w:lang w:val="en-US" w:eastAsia="en-GB"/>
        </w:rPr>
        <w:t xml:space="preserve"> </w:t>
      </w:r>
    </w:p>
    <w:p>
      <w:r>
        <w:rPr>
          <w:rFonts w:hint="default"/>
          <w:b/>
          <w:bCs/>
          <w:lang w:val="en-US" w:eastAsia="en-GB"/>
        </w:rPr>
        <w:t xml:space="preserve">Books and journals </w:t>
      </w:r>
    </w:p>
    <w:p>
      <w:pPr>
        <w:numPr>
          <w:ilvl w:val="0"/>
          <w:numId w:val="0"/>
        </w:numPr>
        <w:spacing w:line="240" w:lineRule="auto"/>
        <w:ind w:left="0" w:leftChars="0" w:firstLine="480" w:firstLineChars="200"/>
        <w:jc w:val="both"/>
        <w:rPr>
          <w:rFonts w:hint="default"/>
          <w:lang w:val="en-US" w:eastAsia="en-GB"/>
        </w:rPr>
      </w:pPr>
      <w:r>
        <w:rPr>
          <w:rFonts w:hint="default"/>
          <w:lang w:val="en-US" w:eastAsia="en-GB"/>
        </w:rPr>
        <w:t>Buchbinder, S.B., Shanks, N.H. and Kite, B.J., (2019). Introduction to health care management. Jones &amp; Bartlett Learning.</w:t>
      </w:r>
    </w:p>
    <w:p>
      <w:pPr>
        <w:numPr>
          <w:ilvl w:val="0"/>
          <w:numId w:val="0"/>
        </w:numPr>
        <w:spacing w:line="240" w:lineRule="auto"/>
        <w:ind w:left="0" w:leftChars="0" w:firstLine="480" w:firstLineChars="200"/>
        <w:jc w:val="both"/>
        <w:rPr>
          <w:rFonts w:hint="default"/>
          <w:lang w:val="en-US" w:eastAsia="en-GB"/>
        </w:rPr>
      </w:pPr>
      <w:r>
        <w:rPr>
          <w:rFonts w:hint="default"/>
          <w:lang w:val="en-US" w:eastAsia="en-GB"/>
        </w:rPr>
        <w:t>Edwards, M.B. and Rowe, K., (2019). Managing sport for health: An introduction to the special issue. Sport Management Review, 22(1), pp.1-4.</w:t>
      </w:r>
    </w:p>
    <w:p>
      <w:pPr>
        <w:numPr>
          <w:ilvl w:val="0"/>
          <w:numId w:val="0"/>
        </w:numPr>
        <w:spacing w:line="240" w:lineRule="auto"/>
        <w:ind w:left="0" w:leftChars="0" w:firstLine="480" w:firstLineChars="200"/>
        <w:jc w:val="both"/>
        <w:rPr>
          <w:rFonts w:hint="default"/>
          <w:lang w:val="en-US" w:eastAsia="en-GB"/>
        </w:rPr>
      </w:pPr>
      <w:r>
        <w:rPr>
          <w:rFonts w:hint="default"/>
          <w:lang w:val="en-US" w:eastAsia="en-GB"/>
        </w:rPr>
        <w:t>Edwards, R.T. and Atenstaedt, R., (2019). Introduction to public health und public health economics. Applied Health Economics for Public Health Practice and Research, p.1.</w:t>
      </w:r>
    </w:p>
    <w:p>
      <w:pPr>
        <w:numPr>
          <w:ilvl w:val="0"/>
          <w:numId w:val="0"/>
        </w:numPr>
        <w:spacing w:line="240" w:lineRule="auto"/>
        <w:ind w:left="0" w:leftChars="0" w:firstLine="480" w:firstLineChars="200"/>
        <w:jc w:val="both"/>
        <w:rPr>
          <w:rFonts w:hint="default"/>
          <w:lang w:val="en-US" w:eastAsia="en-GB"/>
        </w:rPr>
      </w:pPr>
      <w:r>
        <w:rPr>
          <w:rFonts w:hint="default"/>
          <w:lang w:val="en-US" w:eastAsia="en-GB"/>
        </w:rPr>
        <w:t>Hoeyer, K., Bauer, S. and Pickersgill, M., (2019). Datafication and accountability in public health: Introduction to a special issue. Social Studies of Science, 49(4), pp.459-475.</w:t>
      </w:r>
    </w:p>
    <w:p>
      <w:pPr>
        <w:numPr>
          <w:ilvl w:val="0"/>
          <w:numId w:val="0"/>
        </w:numPr>
        <w:spacing w:line="240" w:lineRule="auto"/>
        <w:ind w:left="0" w:leftChars="0" w:firstLine="480" w:firstLineChars="200"/>
        <w:jc w:val="both"/>
        <w:rPr>
          <w:rFonts w:hint="default"/>
          <w:lang w:val="en-US" w:eastAsia="en-GB"/>
        </w:rPr>
      </w:pPr>
      <w:r>
        <w:rPr>
          <w:rFonts w:hint="default"/>
          <w:lang w:val="en-US" w:eastAsia="en-GB"/>
        </w:rPr>
        <w:t xml:space="preserve">Jamet, </w:t>
      </w:r>
      <w:r>
        <w:rPr>
          <w:rFonts w:hint="default"/>
          <w:i/>
          <w:iCs/>
          <w:lang w:val="en-US" w:eastAsia="en-GB"/>
        </w:rPr>
        <w:t>et al.</w:t>
      </w:r>
      <w:r>
        <w:rPr>
          <w:rFonts w:hint="default"/>
          <w:lang w:val="en-US" w:eastAsia="en-GB"/>
        </w:rPr>
        <w:t xml:space="preserve"> (2022). EPH161 Public Health Impact and Cost-Effectiveness Analysis of Universal Varicella Vaccination in the United Kingdom. Value in Health, 25(12), pp.S221-S222.</w:t>
      </w:r>
    </w:p>
    <w:p>
      <w:pPr>
        <w:numPr>
          <w:ilvl w:val="0"/>
          <w:numId w:val="0"/>
        </w:numPr>
        <w:spacing w:line="240" w:lineRule="auto"/>
        <w:ind w:left="0" w:leftChars="0" w:firstLine="480" w:firstLineChars="200"/>
        <w:jc w:val="both"/>
        <w:rPr>
          <w:rFonts w:hint="default"/>
          <w:lang w:val="en-US" w:eastAsia="en-GB"/>
        </w:rPr>
      </w:pPr>
      <w:r>
        <w:rPr>
          <w:rFonts w:hint="default"/>
          <w:lang w:val="en-US" w:eastAsia="en-GB"/>
        </w:rPr>
        <w:t xml:space="preserve">Kuzmin, </w:t>
      </w:r>
      <w:r>
        <w:rPr>
          <w:rFonts w:hint="default"/>
          <w:i/>
          <w:iCs/>
          <w:lang w:val="en-US" w:eastAsia="en-GB"/>
        </w:rPr>
        <w:t>et al.</w:t>
      </w:r>
      <w:r>
        <w:rPr>
          <w:rFonts w:hint="default"/>
          <w:lang w:val="en-US" w:eastAsia="en-GB"/>
        </w:rPr>
        <w:t xml:space="preserve"> (2022). Features of course and treatment of necrotic epifascial phlegmona in children's chicken pox. Russian Journal of Pediatric Surgery, 26(4), pp.239-244.</w:t>
      </w:r>
    </w:p>
    <w:p>
      <w:pPr>
        <w:numPr>
          <w:ilvl w:val="0"/>
          <w:numId w:val="0"/>
        </w:numPr>
        <w:spacing w:line="240" w:lineRule="auto"/>
        <w:ind w:left="0" w:leftChars="0" w:firstLine="480" w:firstLineChars="200"/>
        <w:jc w:val="both"/>
        <w:rPr>
          <w:rFonts w:hint="default"/>
          <w:lang w:val="en-US" w:eastAsia="en-GB"/>
        </w:rPr>
      </w:pPr>
      <w:r>
        <w:rPr>
          <w:rFonts w:hint="default"/>
          <w:lang w:val="en-US" w:eastAsia="en-GB"/>
        </w:rPr>
        <w:t>Li, P. and Wu, J., (2019). Drinking water quality and public health. Exposure and Health, 11(2), pp.73-79.</w:t>
      </w:r>
    </w:p>
    <w:p>
      <w:pPr>
        <w:numPr>
          <w:ilvl w:val="0"/>
          <w:numId w:val="0"/>
        </w:numPr>
        <w:spacing w:line="240" w:lineRule="auto"/>
        <w:ind w:left="0" w:leftChars="0" w:firstLine="480" w:firstLineChars="200"/>
        <w:jc w:val="both"/>
        <w:rPr>
          <w:rFonts w:hint="default"/>
          <w:lang w:val="en-US" w:eastAsia="en-GB"/>
        </w:rPr>
      </w:pPr>
      <w:r>
        <w:rPr>
          <w:rFonts w:hint="default"/>
          <w:lang w:val="en-US" w:eastAsia="en-GB"/>
        </w:rPr>
        <w:t xml:space="preserve">Lophatananon, </w:t>
      </w:r>
      <w:r>
        <w:rPr>
          <w:rFonts w:hint="default"/>
          <w:i/>
          <w:iCs/>
          <w:lang w:val="en-US" w:eastAsia="en-GB"/>
        </w:rPr>
        <w:t xml:space="preserve">et al. </w:t>
      </w:r>
      <w:r>
        <w:rPr>
          <w:rFonts w:hint="default"/>
          <w:i w:val="0"/>
          <w:iCs w:val="0"/>
          <w:lang w:val="en-US" w:eastAsia="en-GB"/>
        </w:rPr>
        <w:t>(</w:t>
      </w:r>
      <w:r>
        <w:rPr>
          <w:rFonts w:hint="default"/>
          <w:lang w:val="en-US" w:eastAsia="en-GB"/>
        </w:rPr>
        <w:t>2021). Shingles, Zostavax vaccination and risk of developing dementia: a nested case–control study—results from the UK Biobank cohort. BMJ open, 11(10), p.e045871.</w:t>
      </w:r>
    </w:p>
    <w:p>
      <w:pPr>
        <w:numPr>
          <w:ilvl w:val="0"/>
          <w:numId w:val="0"/>
        </w:numPr>
        <w:spacing w:line="240" w:lineRule="auto"/>
        <w:ind w:left="0" w:leftChars="0" w:firstLine="480" w:firstLineChars="200"/>
        <w:jc w:val="both"/>
        <w:rPr>
          <w:rFonts w:hint="default"/>
          <w:lang w:val="en-US" w:eastAsia="en-GB"/>
        </w:rPr>
      </w:pPr>
      <w:r>
        <w:rPr>
          <w:rFonts w:hint="default"/>
          <w:lang w:val="en-US" w:eastAsia="en-GB"/>
        </w:rPr>
        <w:t>Malm, H. and Navin, M.C., (2020). Pox parties for grannies? Chickenpox, exogenous boosting, and harmful injustices. The American Journal of Bioethics, 20(9), pp.45-57.</w:t>
      </w:r>
    </w:p>
    <w:p>
      <w:pPr>
        <w:numPr>
          <w:ilvl w:val="0"/>
          <w:numId w:val="0"/>
        </w:numPr>
        <w:spacing w:line="240" w:lineRule="auto"/>
        <w:ind w:left="0" w:leftChars="0" w:firstLine="480" w:firstLineChars="200"/>
        <w:jc w:val="both"/>
        <w:rPr>
          <w:rFonts w:hint="default"/>
          <w:lang w:val="en-US" w:eastAsia="en-GB"/>
        </w:rPr>
      </w:pPr>
      <w:r>
        <w:rPr>
          <w:rFonts w:hint="default"/>
          <w:lang w:val="en-US" w:eastAsia="en-GB"/>
        </w:rPr>
        <w:t>Nelson, S., (2021). Nursing infectious disease: a history with three lessons. Revista Brasileira de Enfermagem, 74.</w:t>
      </w:r>
    </w:p>
    <w:p>
      <w:pPr>
        <w:numPr>
          <w:ilvl w:val="0"/>
          <w:numId w:val="0"/>
        </w:numPr>
        <w:spacing w:line="240" w:lineRule="auto"/>
        <w:ind w:left="0" w:leftChars="0" w:firstLine="480" w:firstLineChars="200"/>
        <w:jc w:val="both"/>
        <w:rPr>
          <w:rFonts w:hint="default"/>
          <w:lang w:val="en-US" w:eastAsia="en-GB"/>
        </w:rPr>
      </w:pPr>
      <w:r>
        <w:rPr>
          <w:rFonts w:hint="default"/>
          <w:lang w:val="en-US" w:eastAsia="en-GB"/>
        </w:rPr>
        <w:t>Osu, B.O., Andrew, O. and Victory, A.I., (2019). Deterministic and Stochastic Models of the Transmission Dynamics of Chicken Pox. NIGERIAN ANNALS OF PURE AND APPLIED SCIENCES, 2, pp.184-192.</w:t>
      </w:r>
    </w:p>
    <w:p>
      <w:pPr>
        <w:numPr>
          <w:ilvl w:val="0"/>
          <w:numId w:val="0"/>
        </w:numPr>
        <w:spacing w:line="240" w:lineRule="auto"/>
        <w:ind w:left="0" w:leftChars="0" w:firstLine="480" w:firstLineChars="200"/>
        <w:jc w:val="both"/>
        <w:rPr>
          <w:rFonts w:hint="default"/>
          <w:lang w:val="en-US" w:eastAsia="en-GB"/>
        </w:rPr>
      </w:pPr>
      <w:r>
        <w:rPr>
          <w:rFonts w:hint="default"/>
          <w:lang w:val="en-US" w:eastAsia="en-GB"/>
        </w:rPr>
        <w:t>Schneider, M.J., (2020). Introduction to public health. Jones &amp; Bartlett Learning.</w:t>
      </w:r>
    </w:p>
    <w:p>
      <w:pPr>
        <w:numPr>
          <w:ilvl w:val="0"/>
          <w:numId w:val="0"/>
        </w:numPr>
        <w:spacing w:line="240" w:lineRule="auto"/>
        <w:ind w:left="0" w:leftChars="0" w:firstLine="480" w:firstLineChars="200"/>
        <w:jc w:val="both"/>
        <w:rPr>
          <w:rFonts w:hint="default"/>
          <w:lang w:val="en-US" w:eastAsia="en-GB"/>
        </w:rPr>
      </w:pPr>
      <w:r>
        <w:rPr>
          <w:rFonts w:hint="default"/>
          <w:lang w:val="en-US" w:eastAsia="en-GB"/>
        </w:rPr>
        <w:t>Shukatka, O. and Kryvoruchko, I., (2023). THE HISTORICAL BACKGROUND OF THE VACCINATION OF MANKIND. INNOVATIVE MANAGEMENT OF BUSINESS INTEGRATION AND EDUCATION IN TRANSNATIONAL ECONOMIC SYSTEMS, p.118.</w:t>
      </w:r>
    </w:p>
    <w:p>
      <w:pPr>
        <w:numPr>
          <w:ilvl w:val="0"/>
          <w:numId w:val="0"/>
        </w:numPr>
        <w:spacing w:line="240" w:lineRule="auto"/>
        <w:ind w:left="0" w:leftChars="0" w:firstLine="480" w:firstLineChars="200"/>
        <w:jc w:val="both"/>
        <w:rPr>
          <w:rFonts w:hint="default"/>
          <w:lang w:val="en-US" w:eastAsia="en-GB"/>
        </w:rPr>
      </w:pPr>
      <w:r>
        <w:rPr>
          <w:rFonts w:hint="default"/>
          <w:lang w:val="en-US" w:eastAsia="en-GB"/>
        </w:rPr>
        <w:t>Shultz, J.M., Sullivan, L.M. and Galea, S., (2021). Public health: An introduction to the science and practice of population health. New York, NY: Springer Publishing Company.</w:t>
      </w:r>
    </w:p>
    <w:p>
      <w:pPr>
        <w:numPr>
          <w:ilvl w:val="0"/>
          <w:numId w:val="0"/>
        </w:numPr>
        <w:spacing w:line="240" w:lineRule="auto"/>
        <w:ind w:left="0" w:leftChars="0" w:firstLine="480" w:firstLineChars="200"/>
        <w:jc w:val="both"/>
        <w:rPr>
          <w:rFonts w:hint="default"/>
          <w:lang w:val="en-US" w:eastAsia="en-GB"/>
        </w:rPr>
      </w:pPr>
      <w:r>
        <w:rPr>
          <w:rFonts w:hint="default"/>
          <w:lang w:val="en-US" w:eastAsia="en-GB"/>
        </w:rPr>
        <w:t>Vanderslott, S., (2020). Encouraging Vaccination Ethically: How Can Pox Parties for Grannies and Vaccine-Preventable Diseases Be Avoided?. The American Journal of Bioethics, 20(9), pp.68-70.</w:t>
      </w:r>
    </w:p>
    <w:p>
      <w:pPr>
        <w:rPr>
          <w:rFonts w:hint="default"/>
          <w:lang w:val="en-US" w:eastAsia="en-GB"/>
        </w:rPr>
      </w:pPr>
    </w:p>
    <w:bookmarkEnd w:id="11"/>
    <w:sectPr>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182"/>
    <w:rsid w:val="0001500C"/>
    <w:rsid w:val="000220CF"/>
    <w:rsid w:val="00027185"/>
    <w:rsid w:val="000366E0"/>
    <w:rsid w:val="00053B40"/>
    <w:rsid w:val="00063350"/>
    <w:rsid w:val="000721E7"/>
    <w:rsid w:val="00076A25"/>
    <w:rsid w:val="00077C1D"/>
    <w:rsid w:val="00090257"/>
    <w:rsid w:val="000916BA"/>
    <w:rsid w:val="00095C51"/>
    <w:rsid w:val="000B2A10"/>
    <w:rsid w:val="000B61FB"/>
    <w:rsid w:val="000C1C87"/>
    <w:rsid w:val="000D0136"/>
    <w:rsid w:val="000D5422"/>
    <w:rsid w:val="000E0C59"/>
    <w:rsid w:val="000E0CE1"/>
    <w:rsid w:val="000E7E0E"/>
    <w:rsid w:val="000F2A52"/>
    <w:rsid w:val="000F3073"/>
    <w:rsid w:val="00112CEA"/>
    <w:rsid w:val="0012609A"/>
    <w:rsid w:val="00127333"/>
    <w:rsid w:val="00131887"/>
    <w:rsid w:val="00140048"/>
    <w:rsid w:val="00140878"/>
    <w:rsid w:val="0014645D"/>
    <w:rsid w:val="001551BF"/>
    <w:rsid w:val="0016159C"/>
    <w:rsid w:val="00164166"/>
    <w:rsid w:val="001807F7"/>
    <w:rsid w:val="00184B4C"/>
    <w:rsid w:val="00191568"/>
    <w:rsid w:val="00193377"/>
    <w:rsid w:val="0019670E"/>
    <w:rsid w:val="001A2F9E"/>
    <w:rsid w:val="001C5BE5"/>
    <w:rsid w:val="001E0C2C"/>
    <w:rsid w:val="001E74C1"/>
    <w:rsid w:val="001F1EE5"/>
    <w:rsid w:val="001F7FBB"/>
    <w:rsid w:val="00204351"/>
    <w:rsid w:val="002053F3"/>
    <w:rsid w:val="00207A2B"/>
    <w:rsid w:val="00210517"/>
    <w:rsid w:val="00223A8D"/>
    <w:rsid w:val="0023300F"/>
    <w:rsid w:val="002373C1"/>
    <w:rsid w:val="0024375D"/>
    <w:rsid w:val="00266A86"/>
    <w:rsid w:val="002A5005"/>
    <w:rsid w:val="002A5772"/>
    <w:rsid w:val="002A5D17"/>
    <w:rsid w:val="002A62B5"/>
    <w:rsid w:val="002A65E3"/>
    <w:rsid w:val="002B2B93"/>
    <w:rsid w:val="002B7961"/>
    <w:rsid w:val="002C6B2E"/>
    <w:rsid w:val="002D600C"/>
    <w:rsid w:val="002E51C7"/>
    <w:rsid w:val="002F1184"/>
    <w:rsid w:val="00311A5D"/>
    <w:rsid w:val="003140D6"/>
    <w:rsid w:val="00317B68"/>
    <w:rsid w:val="003226D9"/>
    <w:rsid w:val="00334616"/>
    <w:rsid w:val="00340F1B"/>
    <w:rsid w:val="00352E50"/>
    <w:rsid w:val="00373D1C"/>
    <w:rsid w:val="003750E5"/>
    <w:rsid w:val="00381743"/>
    <w:rsid w:val="00385C58"/>
    <w:rsid w:val="003863D7"/>
    <w:rsid w:val="003A616B"/>
    <w:rsid w:val="003A73F5"/>
    <w:rsid w:val="003C148B"/>
    <w:rsid w:val="003D5236"/>
    <w:rsid w:val="003E2019"/>
    <w:rsid w:val="003E2D44"/>
    <w:rsid w:val="00405680"/>
    <w:rsid w:val="00416972"/>
    <w:rsid w:val="00426F46"/>
    <w:rsid w:val="00437742"/>
    <w:rsid w:val="00441057"/>
    <w:rsid w:val="0045519C"/>
    <w:rsid w:val="00467D79"/>
    <w:rsid w:val="00477449"/>
    <w:rsid w:val="00485BCF"/>
    <w:rsid w:val="004C0AEA"/>
    <w:rsid w:val="004C41BB"/>
    <w:rsid w:val="004C4FE8"/>
    <w:rsid w:val="004C6846"/>
    <w:rsid w:val="004D54F2"/>
    <w:rsid w:val="004E5A11"/>
    <w:rsid w:val="004F6A73"/>
    <w:rsid w:val="00501E5C"/>
    <w:rsid w:val="0050519B"/>
    <w:rsid w:val="00515891"/>
    <w:rsid w:val="005229FA"/>
    <w:rsid w:val="00543DC2"/>
    <w:rsid w:val="005440A9"/>
    <w:rsid w:val="005543D9"/>
    <w:rsid w:val="00562043"/>
    <w:rsid w:val="005640F3"/>
    <w:rsid w:val="00577D50"/>
    <w:rsid w:val="00591182"/>
    <w:rsid w:val="00593711"/>
    <w:rsid w:val="005958AC"/>
    <w:rsid w:val="00596A4F"/>
    <w:rsid w:val="005A4888"/>
    <w:rsid w:val="005B3312"/>
    <w:rsid w:val="005B6B9B"/>
    <w:rsid w:val="005C361A"/>
    <w:rsid w:val="005E176E"/>
    <w:rsid w:val="005E191B"/>
    <w:rsid w:val="005F7180"/>
    <w:rsid w:val="0061180C"/>
    <w:rsid w:val="00623EA2"/>
    <w:rsid w:val="006322C2"/>
    <w:rsid w:val="00636112"/>
    <w:rsid w:val="00636DFD"/>
    <w:rsid w:val="0064232E"/>
    <w:rsid w:val="00661B22"/>
    <w:rsid w:val="006661BA"/>
    <w:rsid w:val="00667F25"/>
    <w:rsid w:val="00691C86"/>
    <w:rsid w:val="00693763"/>
    <w:rsid w:val="006975EF"/>
    <w:rsid w:val="00697CE0"/>
    <w:rsid w:val="006A00D0"/>
    <w:rsid w:val="006A5A1D"/>
    <w:rsid w:val="006A5D15"/>
    <w:rsid w:val="006B2D58"/>
    <w:rsid w:val="006B31E3"/>
    <w:rsid w:val="006B3ACD"/>
    <w:rsid w:val="006C076E"/>
    <w:rsid w:val="006C2265"/>
    <w:rsid w:val="006C347C"/>
    <w:rsid w:val="006C450C"/>
    <w:rsid w:val="006E34EB"/>
    <w:rsid w:val="006E625A"/>
    <w:rsid w:val="006E6BC3"/>
    <w:rsid w:val="006F0912"/>
    <w:rsid w:val="006F0A0B"/>
    <w:rsid w:val="006F4D5D"/>
    <w:rsid w:val="00701515"/>
    <w:rsid w:val="00701F19"/>
    <w:rsid w:val="007050C0"/>
    <w:rsid w:val="00710F7E"/>
    <w:rsid w:val="00733D6B"/>
    <w:rsid w:val="007371A3"/>
    <w:rsid w:val="00755209"/>
    <w:rsid w:val="00762C1B"/>
    <w:rsid w:val="00764ED5"/>
    <w:rsid w:val="00770B7F"/>
    <w:rsid w:val="00782353"/>
    <w:rsid w:val="007923B8"/>
    <w:rsid w:val="007A1B45"/>
    <w:rsid w:val="007A7A70"/>
    <w:rsid w:val="007B5A11"/>
    <w:rsid w:val="007B5C1E"/>
    <w:rsid w:val="007C5DE0"/>
    <w:rsid w:val="007D177E"/>
    <w:rsid w:val="007D527D"/>
    <w:rsid w:val="007F4B60"/>
    <w:rsid w:val="007F5AAF"/>
    <w:rsid w:val="007F670C"/>
    <w:rsid w:val="008055E0"/>
    <w:rsid w:val="00812141"/>
    <w:rsid w:val="008173C5"/>
    <w:rsid w:val="00817ADB"/>
    <w:rsid w:val="00822D78"/>
    <w:rsid w:val="0083032B"/>
    <w:rsid w:val="00832FC9"/>
    <w:rsid w:val="00835E0B"/>
    <w:rsid w:val="0084296A"/>
    <w:rsid w:val="0084575F"/>
    <w:rsid w:val="00846A77"/>
    <w:rsid w:val="00846B21"/>
    <w:rsid w:val="00846B89"/>
    <w:rsid w:val="00851D23"/>
    <w:rsid w:val="008674AF"/>
    <w:rsid w:val="00893CD5"/>
    <w:rsid w:val="008948ED"/>
    <w:rsid w:val="008A7A0A"/>
    <w:rsid w:val="008A7BFD"/>
    <w:rsid w:val="008B4302"/>
    <w:rsid w:val="008C445F"/>
    <w:rsid w:val="008C78FB"/>
    <w:rsid w:val="008D1241"/>
    <w:rsid w:val="008D26EB"/>
    <w:rsid w:val="008D63CE"/>
    <w:rsid w:val="008D6B93"/>
    <w:rsid w:val="008E020D"/>
    <w:rsid w:val="008E0745"/>
    <w:rsid w:val="009025D3"/>
    <w:rsid w:val="00910F3F"/>
    <w:rsid w:val="00912149"/>
    <w:rsid w:val="00913143"/>
    <w:rsid w:val="00922D06"/>
    <w:rsid w:val="00933D74"/>
    <w:rsid w:val="00952D24"/>
    <w:rsid w:val="009544C3"/>
    <w:rsid w:val="009652DD"/>
    <w:rsid w:val="00965B0C"/>
    <w:rsid w:val="00974CEB"/>
    <w:rsid w:val="009778F5"/>
    <w:rsid w:val="009802DB"/>
    <w:rsid w:val="0098226C"/>
    <w:rsid w:val="00992611"/>
    <w:rsid w:val="00993B96"/>
    <w:rsid w:val="00995BB7"/>
    <w:rsid w:val="009A0F0B"/>
    <w:rsid w:val="009C473B"/>
    <w:rsid w:val="009C680B"/>
    <w:rsid w:val="009D1FCE"/>
    <w:rsid w:val="009D5D77"/>
    <w:rsid w:val="009F3605"/>
    <w:rsid w:val="00A15848"/>
    <w:rsid w:val="00A1669D"/>
    <w:rsid w:val="00A2660C"/>
    <w:rsid w:val="00A4542A"/>
    <w:rsid w:val="00A47F84"/>
    <w:rsid w:val="00A52A63"/>
    <w:rsid w:val="00A56EBF"/>
    <w:rsid w:val="00A5771C"/>
    <w:rsid w:val="00A735D3"/>
    <w:rsid w:val="00A85D7A"/>
    <w:rsid w:val="00A90517"/>
    <w:rsid w:val="00A923A4"/>
    <w:rsid w:val="00AA02D5"/>
    <w:rsid w:val="00AA7863"/>
    <w:rsid w:val="00AB2A92"/>
    <w:rsid w:val="00AC47E4"/>
    <w:rsid w:val="00AC4976"/>
    <w:rsid w:val="00AD62F1"/>
    <w:rsid w:val="00AD771B"/>
    <w:rsid w:val="00AE2C03"/>
    <w:rsid w:val="00B01389"/>
    <w:rsid w:val="00B039CE"/>
    <w:rsid w:val="00B31373"/>
    <w:rsid w:val="00B3730A"/>
    <w:rsid w:val="00B43FB7"/>
    <w:rsid w:val="00B46421"/>
    <w:rsid w:val="00B522B8"/>
    <w:rsid w:val="00B544AE"/>
    <w:rsid w:val="00B55D70"/>
    <w:rsid w:val="00B6720A"/>
    <w:rsid w:val="00B73615"/>
    <w:rsid w:val="00B74266"/>
    <w:rsid w:val="00B77937"/>
    <w:rsid w:val="00B819EB"/>
    <w:rsid w:val="00B85740"/>
    <w:rsid w:val="00B91175"/>
    <w:rsid w:val="00B9624A"/>
    <w:rsid w:val="00BB0190"/>
    <w:rsid w:val="00BC0B2A"/>
    <w:rsid w:val="00BD3E2A"/>
    <w:rsid w:val="00BD585F"/>
    <w:rsid w:val="00BE22FC"/>
    <w:rsid w:val="00BE3DD5"/>
    <w:rsid w:val="00BE57AD"/>
    <w:rsid w:val="00BE6889"/>
    <w:rsid w:val="00BF37E4"/>
    <w:rsid w:val="00BF54A5"/>
    <w:rsid w:val="00C04260"/>
    <w:rsid w:val="00C15A8F"/>
    <w:rsid w:val="00C21BC4"/>
    <w:rsid w:val="00C31354"/>
    <w:rsid w:val="00C3148C"/>
    <w:rsid w:val="00C36370"/>
    <w:rsid w:val="00C43DF2"/>
    <w:rsid w:val="00C45B3E"/>
    <w:rsid w:val="00C51DB8"/>
    <w:rsid w:val="00C614C0"/>
    <w:rsid w:val="00C61FB2"/>
    <w:rsid w:val="00C62A0A"/>
    <w:rsid w:val="00C65079"/>
    <w:rsid w:val="00C668D1"/>
    <w:rsid w:val="00C7083F"/>
    <w:rsid w:val="00C77785"/>
    <w:rsid w:val="00C80E85"/>
    <w:rsid w:val="00C81D20"/>
    <w:rsid w:val="00C93306"/>
    <w:rsid w:val="00CA0A96"/>
    <w:rsid w:val="00CA47F5"/>
    <w:rsid w:val="00CC2465"/>
    <w:rsid w:val="00D11E7A"/>
    <w:rsid w:val="00D32959"/>
    <w:rsid w:val="00D33BC5"/>
    <w:rsid w:val="00D351FF"/>
    <w:rsid w:val="00D36668"/>
    <w:rsid w:val="00D5381A"/>
    <w:rsid w:val="00D64624"/>
    <w:rsid w:val="00D73281"/>
    <w:rsid w:val="00D751BF"/>
    <w:rsid w:val="00D77C42"/>
    <w:rsid w:val="00D86597"/>
    <w:rsid w:val="00DB37DC"/>
    <w:rsid w:val="00DB3B7A"/>
    <w:rsid w:val="00DC0DB6"/>
    <w:rsid w:val="00DC45ED"/>
    <w:rsid w:val="00DC67E8"/>
    <w:rsid w:val="00DD2F59"/>
    <w:rsid w:val="00DD5004"/>
    <w:rsid w:val="00DE077C"/>
    <w:rsid w:val="00DE7218"/>
    <w:rsid w:val="00DF4A9A"/>
    <w:rsid w:val="00DF56FA"/>
    <w:rsid w:val="00DF5A59"/>
    <w:rsid w:val="00E00D08"/>
    <w:rsid w:val="00E13E93"/>
    <w:rsid w:val="00E15C73"/>
    <w:rsid w:val="00E318FB"/>
    <w:rsid w:val="00E31E0E"/>
    <w:rsid w:val="00E3232C"/>
    <w:rsid w:val="00E402F4"/>
    <w:rsid w:val="00E50CEB"/>
    <w:rsid w:val="00E52A12"/>
    <w:rsid w:val="00E61DBE"/>
    <w:rsid w:val="00E653B9"/>
    <w:rsid w:val="00E714CA"/>
    <w:rsid w:val="00E77050"/>
    <w:rsid w:val="00E84ED0"/>
    <w:rsid w:val="00EA5CA9"/>
    <w:rsid w:val="00EC0DB0"/>
    <w:rsid w:val="00EC1AAF"/>
    <w:rsid w:val="00EC38AB"/>
    <w:rsid w:val="00EC4A2A"/>
    <w:rsid w:val="00EE0A4E"/>
    <w:rsid w:val="00EF5F7A"/>
    <w:rsid w:val="00F01C24"/>
    <w:rsid w:val="00F47F33"/>
    <w:rsid w:val="00F5013C"/>
    <w:rsid w:val="00F51123"/>
    <w:rsid w:val="00F576FA"/>
    <w:rsid w:val="00F644DE"/>
    <w:rsid w:val="00F6671C"/>
    <w:rsid w:val="00F6690D"/>
    <w:rsid w:val="00F71026"/>
    <w:rsid w:val="00F7254B"/>
    <w:rsid w:val="00F72B21"/>
    <w:rsid w:val="00F72F40"/>
    <w:rsid w:val="00FC2A23"/>
    <w:rsid w:val="00FC3643"/>
    <w:rsid w:val="00FC5E3E"/>
    <w:rsid w:val="00FD0532"/>
    <w:rsid w:val="00FD51B7"/>
    <w:rsid w:val="00FF032B"/>
    <w:rsid w:val="00FF2D43"/>
    <w:rsid w:val="00FF5F55"/>
    <w:rsid w:val="00FF6A16"/>
    <w:rsid w:val="0A9875E7"/>
    <w:rsid w:val="1249572B"/>
    <w:rsid w:val="13CF5E16"/>
    <w:rsid w:val="19496613"/>
    <w:rsid w:val="1C7A51CB"/>
    <w:rsid w:val="25B53E66"/>
    <w:rsid w:val="293A32D8"/>
    <w:rsid w:val="32662F17"/>
    <w:rsid w:val="5E1B01FC"/>
    <w:rsid w:val="61D7270C"/>
    <w:rsid w:val="65D46DF7"/>
    <w:rsid w:val="74880310"/>
    <w:rsid w:val="74FA516A"/>
    <w:rsid w:val="75DD75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
    <w:lsdException w:unhideWhenUsed="0" w:uiPriority="0" w:semiHidden="0" w:nam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Times New Roman" w:hAnsi="Times New Roman" w:eastAsiaTheme="minorHAnsi" w:cstheme="minorBidi"/>
      <w:sz w:val="24"/>
      <w:szCs w:val="22"/>
      <w:lang w:val="en-GB" w:eastAsia="en-US" w:bidi="ar-SA"/>
    </w:rPr>
  </w:style>
  <w:style w:type="paragraph" w:styleId="2">
    <w:name w:val="heading 1"/>
    <w:basedOn w:val="1"/>
    <w:next w:val="1"/>
    <w:link w:val="14"/>
    <w:qFormat/>
    <w:uiPriority w:val="9"/>
    <w:pPr>
      <w:keepNext/>
      <w:keepLines/>
      <w:spacing w:before="480" w:after="0"/>
      <w:outlineLvl w:val="0"/>
    </w:pPr>
    <w:rPr>
      <w:rFonts w:eastAsiaTheme="majorEastAsia" w:cstheme="majorBidi"/>
      <w:b/>
      <w:bCs/>
      <w:sz w:val="28"/>
      <w:szCs w:val="28"/>
    </w:rPr>
  </w:style>
  <w:style w:type="paragraph" w:styleId="3">
    <w:name w:val="heading 2"/>
    <w:basedOn w:val="1"/>
    <w:next w:val="1"/>
    <w:link w:val="15"/>
    <w:unhideWhenUsed/>
    <w:qFormat/>
    <w:uiPriority w:val="9"/>
    <w:pPr>
      <w:keepNext/>
      <w:keepLines/>
      <w:spacing w:before="200" w:after="0"/>
      <w:outlineLvl w:val="1"/>
    </w:pPr>
    <w:rPr>
      <w:rFonts w:eastAsiaTheme="majorEastAsia" w:cstheme="majorBidi"/>
      <w:bCs/>
      <w:szCs w:val="26"/>
      <w:u w:val="single"/>
    </w:rPr>
  </w:style>
  <w:style w:type="character" w:default="1" w:styleId="4">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7"/>
    <w:semiHidden/>
    <w:unhideWhenUsed/>
    <w:qFormat/>
    <w:uiPriority w:val="99"/>
    <w:pPr>
      <w:spacing w:after="0" w:line="240" w:lineRule="auto"/>
    </w:pPr>
    <w:rPr>
      <w:rFonts w:ascii="Tahoma" w:hAnsi="Tahoma" w:cs="Tahoma"/>
      <w:sz w:val="16"/>
      <w:szCs w:val="16"/>
    </w:rPr>
  </w:style>
  <w:style w:type="paragraph" w:styleId="7">
    <w:name w:val="footer"/>
    <w:basedOn w:val="1"/>
    <w:link w:val="19"/>
    <w:semiHidden/>
    <w:unhideWhenUsed/>
    <w:qFormat/>
    <w:uiPriority w:val="99"/>
    <w:pPr>
      <w:tabs>
        <w:tab w:val="center" w:pos="4680"/>
        <w:tab w:val="right" w:pos="9360"/>
      </w:tabs>
      <w:spacing w:after="0" w:line="240" w:lineRule="auto"/>
    </w:pPr>
  </w:style>
  <w:style w:type="paragraph" w:styleId="8">
    <w:name w:val="header"/>
    <w:basedOn w:val="1"/>
    <w:link w:val="18"/>
    <w:semiHidden/>
    <w:unhideWhenUsed/>
    <w:qFormat/>
    <w:uiPriority w:val="99"/>
    <w:pPr>
      <w:tabs>
        <w:tab w:val="center" w:pos="4680"/>
        <w:tab w:val="right" w:pos="9360"/>
      </w:tabs>
      <w:spacing w:after="0" w:line="240" w:lineRule="auto"/>
    </w:pPr>
  </w:style>
  <w:style w:type="character" w:styleId="9">
    <w:name w:val="Hyperlink"/>
    <w:basedOn w:val="4"/>
    <w:unhideWhenUsed/>
    <w:uiPriority w:val="99"/>
    <w:rPr>
      <w:color w:val="0000FF" w:themeColor="hyperlink"/>
      <w:u w:val="single"/>
      <w14:textFill>
        <w14:solidFill>
          <w14:schemeClr w14:val="hlink"/>
        </w14:solidFill>
      </w14:textFill>
    </w:rPr>
  </w:style>
  <w:style w:type="paragraph" w:styleId="10">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table" w:styleId="11">
    <w:name w:val="Table Grid"/>
    <w:basedOn w:val="5"/>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toc 1"/>
    <w:basedOn w:val="1"/>
    <w:next w:val="1"/>
    <w:unhideWhenUsed/>
    <w:qFormat/>
    <w:uiPriority w:val="39"/>
    <w:pPr>
      <w:spacing w:after="100"/>
    </w:pPr>
  </w:style>
  <w:style w:type="paragraph" w:styleId="13">
    <w:name w:val="toc 2"/>
    <w:basedOn w:val="1"/>
    <w:next w:val="1"/>
    <w:unhideWhenUsed/>
    <w:qFormat/>
    <w:uiPriority w:val="39"/>
    <w:pPr>
      <w:spacing w:after="100"/>
      <w:ind w:left="240"/>
    </w:pPr>
  </w:style>
  <w:style w:type="character" w:customStyle="1" w:styleId="14">
    <w:name w:val="Heading 1 Char"/>
    <w:basedOn w:val="4"/>
    <w:link w:val="2"/>
    <w:qFormat/>
    <w:uiPriority w:val="9"/>
    <w:rPr>
      <w:rFonts w:ascii="Times New Roman" w:hAnsi="Times New Roman" w:eastAsiaTheme="majorEastAsia" w:cstheme="majorBidi"/>
      <w:b/>
      <w:bCs/>
      <w:sz w:val="28"/>
      <w:szCs w:val="28"/>
    </w:rPr>
  </w:style>
  <w:style w:type="character" w:customStyle="1" w:styleId="15">
    <w:name w:val="Heading 2 Char"/>
    <w:basedOn w:val="4"/>
    <w:link w:val="3"/>
    <w:uiPriority w:val="9"/>
    <w:rPr>
      <w:rFonts w:ascii="Times New Roman" w:hAnsi="Times New Roman" w:eastAsiaTheme="majorEastAsia" w:cstheme="majorBidi"/>
      <w:bCs/>
      <w:sz w:val="24"/>
      <w:szCs w:val="26"/>
      <w:u w:val="single"/>
    </w:rPr>
  </w:style>
  <w:style w:type="paragraph" w:customStyle="1" w:styleId="16">
    <w:name w:val="TOC Heading"/>
    <w:basedOn w:val="2"/>
    <w:next w:val="1"/>
    <w:semiHidden/>
    <w:unhideWhenUsed/>
    <w:qFormat/>
    <w:uiPriority w:val="39"/>
    <w:pPr>
      <w:spacing w:line="276" w:lineRule="auto"/>
      <w:jc w:val="left"/>
      <w:outlineLvl w:val="9"/>
    </w:pPr>
    <w:rPr>
      <w:rFonts w:asciiTheme="majorHAnsi" w:hAnsiTheme="majorHAnsi"/>
      <w:color w:val="376092" w:themeColor="accent1" w:themeShade="BF"/>
      <w:lang w:val="en-US"/>
    </w:rPr>
  </w:style>
  <w:style w:type="character" w:customStyle="1" w:styleId="17">
    <w:name w:val="Balloon Text Char"/>
    <w:basedOn w:val="4"/>
    <w:link w:val="6"/>
    <w:semiHidden/>
    <w:qFormat/>
    <w:uiPriority w:val="99"/>
    <w:rPr>
      <w:rFonts w:ascii="Tahoma" w:hAnsi="Tahoma" w:cs="Tahoma"/>
      <w:sz w:val="16"/>
      <w:szCs w:val="16"/>
      <w:lang w:val="en-GB"/>
    </w:rPr>
  </w:style>
  <w:style w:type="character" w:customStyle="1" w:styleId="18">
    <w:name w:val="Header Char"/>
    <w:basedOn w:val="4"/>
    <w:link w:val="8"/>
    <w:semiHidden/>
    <w:qFormat/>
    <w:uiPriority w:val="99"/>
    <w:rPr>
      <w:rFonts w:ascii="Times New Roman" w:hAnsi="Times New Roman"/>
      <w:sz w:val="24"/>
      <w:lang w:val="en-GB"/>
    </w:rPr>
  </w:style>
  <w:style w:type="character" w:customStyle="1" w:styleId="19">
    <w:name w:val="Footer Char"/>
    <w:basedOn w:val="4"/>
    <w:link w:val="7"/>
    <w:semiHidden/>
    <w:uiPriority w:val="99"/>
    <w:rPr>
      <w:rFonts w:ascii="Times New Roman" w:hAnsi="Times New Roman"/>
      <w:sz w:val="24"/>
      <w:lang w:val="en-GB"/>
    </w:rPr>
  </w:style>
  <w:style w:type="paragraph" w:styleId="20">
    <w:name w:val="List Paragraph"/>
    <w:basedOn w:val="1"/>
    <w:qFormat/>
    <w:uiPriority w:val="34"/>
    <w:pPr>
      <w:ind w:left="720"/>
      <w:contextualSpacing/>
    </w:pPr>
  </w:style>
  <w:style w:type="paragraph" w:customStyle="1" w:styleId="21">
    <w:name w:val="WPSOffice手动目录 1"/>
    <w:uiPriority w:val="0"/>
    <w:pPr>
      <w:ind w:leftChars="0"/>
    </w:pPr>
    <w:rPr>
      <w:rFonts w:ascii="Times New Roman" w:hAnsi="Times New Roman" w:eastAsia="SimSun" w:cs="Times New Roman"/>
      <w:sz w:val="20"/>
      <w:szCs w:val="20"/>
    </w:rPr>
  </w:style>
  <w:style w:type="paragraph" w:customStyle="1" w:styleId="22">
    <w:name w:val="WPSOffice手动目录 2"/>
    <w:uiPriority w:val="0"/>
    <w:pPr>
      <w:ind w:leftChars="200"/>
    </w:pPr>
    <w:rPr>
      <w:rFonts w:ascii="Times New Roman" w:hAnsi="Times New Roman" w:eastAsia="SimSun" w:cs="Times New Roman"/>
      <w:sz w:val="20"/>
      <w:szCs w:val="20"/>
    </w:rPr>
  </w:style>
  <w:style w:type="paragraph" w:customStyle="1" w:styleId="23">
    <w:name w:val="_Style 22"/>
    <w:basedOn w:val="1"/>
    <w:next w:val="1"/>
    <w:uiPriority w:val="0"/>
    <w:pPr>
      <w:pBdr>
        <w:bottom w:val="single" w:color="auto" w:sz="6" w:space="1"/>
      </w:pBdr>
      <w:jc w:val="center"/>
    </w:pPr>
    <w:rPr>
      <w:rFonts w:ascii="Arial" w:eastAsia="SimSun"/>
      <w:vanish/>
      <w:sz w:val="16"/>
    </w:rPr>
  </w:style>
  <w:style w:type="paragraph" w:customStyle="1" w:styleId="24">
    <w:name w:val="_Style 23"/>
    <w:basedOn w:val="1"/>
    <w:next w:val="1"/>
    <w:uiPriority w:val="0"/>
    <w:pPr>
      <w:pBdr>
        <w:top w:val="single" w:color="auto" w:sz="6" w:space="1"/>
      </w:pBdr>
      <w:jc w:val="center"/>
    </w:pPr>
    <w:rPr>
      <w:rFonts w:ascii="Arial" w:eastAsia="SimSun"/>
      <w:vanish/>
      <w:sz w:val="16"/>
    </w:rPr>
  </w:style>
  <w:style w:type="paragraph" w:styleId="25">
    <w:name w:val=""/>
    <w:basedOn w:val="1"/>
    <w:next w:val="1"/>
    <w:uiPriority w:val="0"/>
    <w:pPr>
      <w:pBdr>
        <w:bottom w:val="single" w:color="auto" w:sz="6" w:space="1"/>
      </w:pBdr>
      <w:jc w:val="center"/>
    </w:pPr>
    <w:rPr>
      <w:rFonts w:ascii="Arial" w:eastAsia="SimSun"/>
      <w:vanish/>
      <w:sz w:val="16"/>
    </w:rPr>
  </w:style>
  <w:style w:type="paragraph" w:styleId="26">
    <w:name w:val=""/>
    <w:basedOn w:val="1"/>
    <w:next w:val="1"/>
    <w:uiPriority w:val="0"/>
    <w:pPr>
      <w:pBdr>
        <w:top w:val="single" w:color="auto" w:sz="6" w:space="1"/>
      </w:pBdr>
      <w:jc w:val="center"/>
    </w:pPr>
    <w:rPr>
      <w:rFonts w:ascii="Arial" w:eastAsia="SimSun"/>
      <w:vanish/>
      <w:sz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0C396-E3B4-47F4-BE21-E7F9B627D44A}">
  <ds:schemaRefs/>
</ds:datastoreItem>
</file>

<file path=docProps/app.xml><?xml version="1.0" encoding="utf-8"?>
<Properties xmlns="http://schemas.openxmlformats.org/officeDocument/2006/extended-properties" xmlns:vt="http://schemas.openxmlformats.org/officeDocument/2006/docPropsVTypes">
  <Template>Normal</Template>
  <Pages>1</Pages>
  <Words>163</Words>
  <Characters>933</Characters>
  <Lines>7</Lines>
  <Paragraphs>2</Paragraphs>
  <TotalTime>0</TotalTime>
  <ScaleCrop>false</ScaleCrop>
  <LinksUpToDate>false</LinksUpToDate>
  <CharactersWithSpaces>1094</CharactersWithSpaces>
  <Application>WPS Office_11.2.0.11219_F1E327BC-269C-435d-A152-05C5408002CA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2022-06-20T05:43:00Z</dcterms:created>
  <dc:creator>Lenova</dc:creator>
  <cp:lastModifiedBy>shalu paliwal</cp:lastModifiedBy>
  <dcterms:modified xsi:type="dcterms:W3CDTF">2023-04-01T10:40:48Z</dcterms:modified>
  <cp:revision>322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1033-11.2.0.11219</vt:lpwstr>
  </property>
  <property fmtid="{D5CDD505-2E9C-101B-9397-08002B2CF9AE}" pid="3" name="ICV">
    <vt:lpwstr>C57768A2E9C44DCE9EB046799E450BB9</vt:lpwstr>
  </property>
</Properties>
</file>