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50"/>
        <w:gridCol w:w="2282"/>
        <w:gridCol w:w="2097"/>
      </w:tblGrid>
      <w:tr w:rsidR="002621AE" w:rsidRPr="00A406E5" w14:paraId="56829D89" w14:textId="77777777" w:rsidTr="002621AE">
        <w:trPr>
          <w:jc w:val="center"/>
        </w:trPr>
        <w:tc>
          <w:tcPr>
            <w:tcW w:w="2093" w:type="dxa"/>
            <w:shd w:val="clear" w:color="auto" w:fill="D9D9D9" w:themeFill="background1" w:themeFillShade="D9"/>
            <w:vAlign w:val="center"/>
          </w:tcPr>
          <w:p w14:paraId="448D6A3E" w14:textId="77777777" w:rsidR="002621AE" w:rsidRPr="00A406E5" w:rsidRDefault="002621AE" w:rsidP="00073C3F">
            <w:pPr>
              <w:spacing w:before="120" w:after="120"/>
              <w:rPr>
                <w:rFonts w:ascii="Arial" w:hAnsi="Arial" w:cs="Arial"/>
                <w:b/>
                <w:sz w:val="22"/>
              </w:rPr>
            </w:pPr>
            <w:r w:rsidRPr="00A406E5">
              <w:rPr>
                <w:rFonts w:ascii="Arial" w:hAnsi="Arial" w:cs="Arial"/>
                <w:b/>
                <w:sz w:val="22"/>
              </w:rPr>
              <w:t>Student name:</w:t>
            </w:r>
          </w:p>
        </w:tc>
        <w:tc>
          <w:tcPr>
            <w:tcW w:w="3450" w:type="dxa"/>
            <w:vAlign w:val="center"/>
          </w:tcPr>
          <w:p w14:paraId="0031A4CB" w14:textId="29E7A4BC" w:rsidR="002621AE" w:rsidRPr="00A406E5" w:rsidRDefault="002621AE" w:rsidP="00073C3F">
            <w:pPr>
              <w:spacing w:before="120" w:after="120"/>
              <w:rPr>
                <w:rFonts w:ascii="Arial" w:hAnsi="Arial" w:cs="Arial"/>
                <w:b/>
                <w:sz w:val="22"/>
              </w:rPr>
            </w:pPr>
            <w:r w:rsidRPr="00A406E5">
              <w:rPr>
                <w:rFonts w:ascii="Arial" w:hAnsi="Arial" w:cs="Arial"/>
                <w:b/>
                <w:sz w:val="22"/>
              </w:rPr>
              <w:fldChar w:fldCharType="begin">
                <w:ffData>
                  <w:name w:val="Text2"/>
                  <w:enabled/>
                  <w:calcOnExit w:val="0"/>
                  <w:textInput/>
                </w:ffData>
              </w:fldChar>
            </w:r>
            <w:r w:rsidRPr="00A406E5">
              <w:rPr>
                <w:rFonts w:ascii="Arial" w:hAnsi="Arial" w:cs="Arial"/>
                <w:b/>
                <w:sz w:val="22"/>
              </w:rPr>
              <w:instrText xml:space="preserve"> FORMTEXT </w:instrText>
            </w:r>
            <w:r w:rsidRPr="00A406E5">
              <w:rPr>
                <w:rFonts w:ascii="Arial" w:hAnsi="Arial" w:cs="Arial"/>
                <w:b/>
                <w:sz w:val="22"/>
              </w:rPr>
            </w:r>
            <w:r w:rsidRPr="00A406E5">
              <w:rPr>
                <w:rFonts w:ascii="Arial" w:hAnsi="Arial" w:cs="Arial"/>
                <w:b/>
                <w:sz w:val="22"/>
              </w:rPr>
              <w:fldChar w:fldCharType="separate"/>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sz w:val="22"/>
              </w:rPr>
              <w:fldChar w:fldCharType="end"/>
            </w:r>
            <w:r w:rsidR="00F11F80">
              <w:rPr>
                <w:rFonts w:ascii="Arial" w:hAnsi="Arial" w:cs="Arial"/>
                <w:b/>
                <w:sz w:val="22"/>
              </w:rPr>
              <w:t>Umair Ali</w:t>
            </w:r>
          </w:p>
        </w:tc>
        <w:tc>
          <w:tcPr>
            <w:tcW w:w="2282" w:type="dxa"/>
            <w:shd w:val="clear" w:color="auto" w:fill="D9D9D9" w:themeFill="background1" w:themeFillShade="D9"/>
            <w:vAlign w:val="center"/>
          </w:tcPr>
          <w:p w14:paraId="0B8BB22D" w14:textId="77777777" w:rsidR="002621AE" w:rsidRPr="00A406E5" w:rsidRDefault="002621AE" w:rsidP="00073C3F">
            <w:pPr>
              <w:spacing w:before="120" w:after="120"/>
              <w:rPr>
                <w:rFonts w:ascii="Arial" w:hAnsi="Arial" w:cs="Arial"/>
                <w:b/>
                <w:sz w:val="22"/>
              </w:rPr>
            </w:pPr>
            <w:r w:rsidRPr="00A406E5">
              <w:rPr>
                <w:rFonts w:ascii="Arial" w:hAnsi="Arial" w:cs="Arial"/>
                <w:b/>
                <w:sz w:val="22"/>
              </w:rPr>
              <w:t>Student ID number:</w:t>
            </w:r>
          </w:p>
        </w:tc>
        <w:tc>
          <w:tcPr>
            <w:tcW w:w="2097" w:type="dxa"/>
            <w:vAlign w:val="center"/>
          </w:tcPr>
          <w:p w14:paraId="093F2532" w14:textId="77777777" w:rsidR="002621AE" w:rsidRPr="00A406E5" w:rsidRDefault="002621AE" w:rsidP="00073C3F">
            <w:pPr>
              <w:spacing w:before="120" w:after="120"/>
              <w:rPr>
                <w:rFonts w:ascii="Arial" w:hAnsi="Arial" w:cs="Arial"/>
                <w:b/>
                <w:sz w:val="22"/>
              </w:rPr>
            </w:pPr>
          </w:p>
        </w:tc>
      </w:tr>
      <w:tr w:rsidR="002621AE" w:rsidRPr="00A406E5" w14:paraId="22480CFA" w14:textId="77777777" w:rsidTr="002621AE">
        <w:trPr>
          <w:jc w:val="center"/>
        </w:trPr>
        <w:tc>
          <w:tcPr>
            <w:tcW w:w="2093" w:type="dxa"/>
            <w:shd w:val="clear" w:color="auto" w:fill="D9D9D9" w:themeFill="background1" w:themeFillShade="D9"/>
            <w:vAlign w:val="center"/>
          </w:tcPr>
          <w:p w14:paraId="6BE26C0F" w14:textId="77777777" w:rsidR="002621AE" w:rsidRPr="00A406E5" w:rsidRDefault="002621AE" w:rsidP="00073C3F">
            <w:pPr>
              <w:spacing w:before="120" w:after="120"/>
              <w:rPr>
                <w:rFonts w:ascii="Arial" w:hAnsi="Arial" w:cs="Arial"/>
                <w:b/>
                <w:sz w:val="22"/>
              </w:rPr>
            </w:pPr>
            <w:r w:rsidRPr="00A406E5">
              <w:rPr>
                <w:rFonts w:ascii="Arial" w:hAnsi="Arial" w:cs="Arial"/>
                <w:b/>
                <w:sz w:val="22"/>
              </w:rPr>
              <w:t>Programme:</w:t>
            </w:r>
          </w:p>
        </w:tc>
        <w:tc>
          <w:tcPr>
            <w:tcW w:w="7829" w:type="dxa"/>
            <w:gridSpan w:val="3"/>
            <w:vAlign w:val="center"/>
          </w:tcPr>
          <w:p w14:paraId="685865D8" w14:textId="77777777" w:rsidR="002621AE" w:rsidRPr="00A406E5" w:rsidRDefault="002621AE" w:rsidP="00073C3F">
            <w:pPr>
              <w:spacing w:before="120" w:after="120"/>
              <w:rPr>
                <w:rFonts w:ascii="Arial" w:hAnsi="Arial" w:cs="Arial"/>
                <w:b/>
                <w:sz w:val="22"/>
              </w:rPr>
            </w:pPr>
            <w:r>
              <w:rPr>
                <w:rFonts w:ascii="Arial" w:hAnsi="Arial" w:cs="Arial"/>
                <w:b/>
                <w:sz w:val="22"/>
              </w:rPr>
              <w:t>Master of Business Administration</w:t>
            </w:r>
          </w:p>
        </w:tc>
      </w:tr>
      <w:tr w:rsidR="002621AE" w:rsidRPr="00A406E5" w14:paraId="51DCA2A9" w14:textId="77777777" w:rsidTr="002621AE">
        <w:trPr>
          <w:trHeight w:val="440"/>
          <w:jc w:val="center"/>
        </w:trPr>
        <w:tc>
          <w:tcPr>
            <w:tcW w:w="2093" w:type="dxa"/>
            <w:shd w:val="clear" w:color="auto" w:fill="D9D9D9" w:themeFill="background1" w:themeFillShade="D9"/>
            <w:vAlign w:val="center"/>
          </w:tcPr>
          <w:p w14:paraId="41268FD0" w14:textId="77777777" w:rsidR="002621AE" w:rsidRPr="00A406E5" w:rsidRDefault="002621AE" w:rsidP="00073C3F">
            <w:pPr>
              <w:spacing w:before="120" w:after="120"/>
              <w:rPr>
                <w:rFonts w:ascii="Arial" w:hAnsi="Arial" w:cs="Arial"/>
                <w:b/>
                <w:sz w:val="22"/>
              </w:rPr>
            </w:pPr>
            <w:r w:rsidRPr="00A406E5">
              <w:rPr>
                <w:rFonts w:ascii="Arial" w:hAnsi="Arial" w:cs="Arial"/>
                <w:b/>
                <w:sz w:val="22"/>
              </w:rPr>
              <w:t>Module:</w:t>
            </w:r>
          </w:p>
        </w:tc>
        <w:tc>
          <w:tcPr>
            <w:tcW w:w="7829" w:type="dxa"/>
            <w:gridSpan w:val="3"/>
            <w:vAlign w:val="center"/>
          </w:tcPr>
          <w:p w14:paraId="7F67F2DA" w14:textId="77777777" w:rsidR="002621AE" w:rsidRPr="00A406E5" w:rsidRDefault="002621AE" w:rsidP="00073C3F">
            <w:pPr>
              <w:spacing w:before="120" w:after="120"/>
              <w:rPr>
                <w:rFonts w:ascii="Arial" w:hAnsi="Arial" w:cs="Arial"/>
                <w:b/>
                <w:sz w:val="22"/>
              </w:rPr>
            </w:pPr>
            <w:r>
              <w:rPr>
                <w:rFonts w:ascii="Arial" w:hAnsi="Arial" w:cs="Arial"/>
                <w:b/>
                <w:sz w:val="22"/>
              </w:rPr>
              <w:t>Strategic Management</w:t>
            </w:r>
          </w:p>
        </w:tc>
      </w:tr>
      <w:tr w:rsidR="002621AE" w:rsidRPr="00A406E5" w14:paraId="24516EE0" w14:textId="77777777" w:rsidTr="002621AE">
        <w:trPr>
          <w:jc w:val="center"/>
        </w:trPr>
        <w:tc>
          <w:tcPr>
            <w:tcW w:w="2093" w:type="dxa"/>
            <w:shd w:val="clear" w:color="auto" w:fill="D9D9D9" w:themeFill="background1" w:themeFillShade="D9"/>
            <w:vAlign w:val="center"/>
          </w:tcPr>
          <w:p w14:paraId="185904D7" w14:textId="77777777" w:rsidR="002621AE" w:rsidRPr="00A406E5" w:rsidRDefault="002621AE" w:rsidP="00073C3F">
            <w:pPr>
              <w:spacing w:before="120" w:after="120"/>
              <w:rPr>
                <w:rFonts w:ascii="Arial" w:hAnsi="Arial" w:cs="Arial"/>
                <w:b/>
                <w:sz w:val="22"/>
              </w:rPr>
            </w:pPr>
            <w:r w:rsidRPr="00A406E5">
              <w:rPr>
                <w:rFonts w:ascii="Arial" w:hAnsi="Arial" w:cs="Arial"/>
                <w:b/>
                <w:sz w:val="22"/>
              </w:rPr>
              <w:t>Module code:</w:t>
            </w:r>
          </w:p>
        </w:tc>
        <w:tc>
          <w:tcPr>
            <w:tcW w:w="3450" w:type="dxa"/>
            <w:vAlign w:val="center"/>
          </w:tcPr>
          <w:p w14:paraId="2A1B5E9C" w14:textId="77777777" w:rsidR="002621AE" w:rsidRPr="00A406E5" w:rsidRDefault="002621AE" w:rsidP="00073C3F">
            <w:pPr>
              <w:spacing w:before="120" w:after="120"/>
              <w:rPr>
                <w:rFonts w:ascii="Arial" w:hAnsi="Arial" w:cs="Arial"/>
                <w:b/>
                <w:sz w:val="22"/>
              </w:rPr>
            </w:pPr>
            <w:r>
              <w:rPr>
                <w:rFonts w:ascii="Arial" w:hAnsi="Arial" w:cs="Arial"/>
                <w:b/>
                <w:sz w:val="22"/>
              </w:rPr>
              <w:t>LCMB7003</w:t>
            </w:r>
          </w:p>
        </w:tc>
        <w:tc>
          <w:tcPr>
            <w:tcW w:w="2282" w:type="dxa"/>
            <w:shd w:val="clear" w:color="auto" w:fill="D9D9D9" w:themeFill="background1" w:themeFillShade="D9"/>
            <w:vAlign w:val="center"/>
          </w:tcPr>
          <w:p w14:paraId="77094A7B" w14:textId="77777777" w:rsidR="002621AE" w:rsidRPr="004D5E9B" w:rsidRDefault="002621AE" w:rsidP="00073C3F">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vAlign w:val="center"/>
          </w:tcPr>
          <w:p w14:paraId="3A7B3949" w14:textId="77777777" w:rsidR="002621AE" w:rsidRPr="00A406E5" w:rsidRDefault="002621AE" w:rsidP="00073C3F">
            <w:pPr>
              <w:spacing w:before="120" w:after="120"/>
              <w:rPr>
                <w:rFonts w:ascii="Arial" w:hAnsi="Arial" w:cs="Arial"/>
                <w:b/>
                <w:sz w:val="22"/>
              </w:rPr>
            </w:pPr>
            <w:r>
              <w:rPr>
                <w:rFonts w:ascii="Arial" w:hAnsi="Arial" w:cs="Arial"/>
                <w:b/>
                <w:sz w:val="22"/>
              </w:rPr>
              <w:t>100%</w:t>
            </w:r>
          </w:p>
        </w:tc>
      </w:tr>
      <w:tr w:rsidR="002621AE" w:rsidRPr="00A406E5" w14:paraId="637468DE" w14:textId="77777777" w:rsidTr="002621AE">
        <w:trPr>
          <w:jc w:val="center"/>
        </w:trPr>
        <w:tc>
          <w:tcPr>
            <w:tcW w:w="2093" w:type="dxa"/>
            <w:shd w:val="clear" w:color="auto" w:fill="D9D9D9" w:themeFill="background1" w:themeFillShade="D9"/>
            <w:vAlign w:val="center"/>
          </w:tcPr>
          <w:p w14:paraId="63175A8B" w14:textId="77777777" w:rsidR="002621AE" w:rsidRPr="00A406E5" w:rsidRDefault="002621AE" w:rsidP="00073C3F">
            <w:pPr>
              <w:spacing w:before="120" w:after="120"/>
              <w:rPr>
                <w:rFonts w:ascii="Arial" w:hAnsi="Arial" w:cs="Arial"/>
                <w:b/>
                <w:sz w:val="22"/>
              </w:rPr>
            </w:pPr>
            <w:r w:rsidRPr="00A406E5">
              <w:rPr>
                <w:rFonts w:ascii="Arial" w:hAnsi="Arial" w:cs="Arial"/>
                <w:b/>
                <w:sz w:val="22"/>
              </w:rPr>
              <w:t>Lecturer:</w:t>
            </w:r>
          </w:p>
        </w:tc>
        <w:tc>
          <w:tcPr>
            <w:tcW w:w="3450" w:type="dxa"/>
            <w:vAlign w:val="center"/>
          </w:tcPr>
          <w:p w14:paraId="11F9782A" w14:textId="77777777" w:rsidR="002621AE" w:rsidRDefault="002621AE" w:rsidP="00073C3F">
            <w:pPr>
              <w:spacing w:before="120" w:after="120"/>
              <w:rPr>
                <w:rFonts w:ascii="Arial" w:hAnsi="Arial" w:cs="Arial"/>
                <w:b/>
                <w:sz w:val="22"/>
              </w:rPr>
            </w:pPr>
            <w:r>
              <w:rPr>
                <w:rFonts w:ascii="Arial" w:hAnsi="Arial" w:cs="Arial"/>
                <w:b/>
                <w:sz w:val="22"/>
              </w:rPr>
              <w:t>Amare Desta</w:t>
            </w:r>
          </w:p>
          <w:p w14:paraId="2A83ABCA" w14:textId="77777777" w:rsidR="002621AE" w:rsidRPr="00A406E5" w:rsidRDefault="002621AE" w:rsidP="00073C3F">
            <w:pPr>
              <w:spacing w:before="120" w:after="120"/>
              <w:rPr>
                <w:rFonts w:ascii="Arial" w:hAnsi="Arial" w:cs="Arial"/>
                <w:b/>
                <w:sz w:val="22"/>
              </w:rPr>
            </w:pPr>
            <w:r>
              <w:rPr>
                <w:rFonts w:ascii="Arial" w:hAnsi="Arial" w:cs="Arial"/>
                <w:b/>
                <w:sz w:val="22"/>
              </w:rPr>
              <w:t>Zulf Khan</w:t>
            </w:r>
          </w:p>
        </w:tc>
        <w:tc>
          <w:tcPr>
            <w:tcW w:w="2282" w:type="dxa"/>
            <w:shd w:val="clear" w:color="auto" w:fill="D9D9D9" w:themeFill="background1" w:themeFillShade="D9"/>
            <w:vAlign w:val="center"/>
          </w:tcPr>
          <w:p w14:paraId="186237A2" w14:textId="77777777" w:rsidR="002621AE" w:rsidRPr="00A406E5" w:rsidRDefault="002621AE" w:rsidP="00073C3F">
            <w:pPr>
              <w:spacing w:before="120" w:after="120"/>
              <w:rPr>
                <w:rFonts w:ascii="Arial" w:hAnsi="Arial" w:cs="Arial"/>
                <w:b/>
                <w:sz w:val="22"/>
              </w:rPr>
            </w:pPr>
            <w:r w:rsidRPr="00A406E5">
              <w:rPr>
                <w:rFonts w:ascii="Arial" w:hAnsi="Arial" w:cs="Arial"/>
                <w:b/>
                <w:sz w:val="22"/>
              </w:rPr>
              <w:t>Internal Verifier:</w:t>
            </w:r>
          </w:p>
        </w:tc>
        <w:tc>
          <w:tcPr>
            <w:tcW w:w="2097" w:type="dxa"/>
            <w:vAlign w:val="center"/>
          </w:tcPr>
          <w:p w14:paraId="0AFCEDC3" w14:textId="77777777" w:rsidR="002621AE" w:rsidRDefault="002621AE" w:rsidP="00073C3F">
            <w:pPr>
              <w:spacing w:before="120" w:after="120"/>
              <w:rPr>
                <w:rFonts w:ascii="Arial" w:hAnsi="Arial" w:cs="Arial"/>
                <w:b/>
                <w:sz w:val="22"/>
              </w:rPr>
            </w:pPr>
            <w:r>
              <w:rPr>
                <w:rFonts w:ascii="Arial" w:hAnsi="Arial" w:cs="Arial"/>
                <w:b/>
                <w:sz w:val="22"/>
              </w:rPr>
              <w:t>Vasilios Tavlaridis</w:t>
            </w:r>
          </w:p>
          <w:p w14:paraId="243A1640" w14:textId="77777777" w:rsidR="002621AE" w:rsidRPr="00A406E5" w:rsidRDefault="002621AE" w:rsidP="00073C3F">
            <w:pPr>
              <w:spacing w:before="120" w:after="120"/>
              <w:rPr>
                <w:rFonts w:ascii="Arial" w:hAnsi="Arial" w:cs="Arial"/>
                <w:b/>
                <w:sz w:val="22"/>
              </w:rPr>
            </w:pPr>
            <w:r>
              <w:rPr>
                <w:rFonts w:ascii="Arial" w:hAnsi="Arial" w:cs="Arial"/>
                <w:b/>
                <w:sz w:val="22"/>
              </w:rPr>
              <w:t>Hoang Nguyen</w:t>
            </w:r>
          </w:p>
        </w:tc>
      </w:tr>
      <w:tr w:rsidR="002621AE" w:rsidRPr="00A406E5" w14:paraId="5138DFEF" w14:textId="77777777" w:rsidTr="002621AE">
        <w:trPr>
          <w:jc w:val="center"/>
        </w:trPr>
        <w:tc>
          <w:tcPr>
            <w:tcW w:w="2093" w:type="dxa"/>
            <w:shd w:val="clear" w:color="auto" w:fill="D9D9D9" w:themeFill="background1" w:themeFillShade="D9"/>
            <w:vAlign w:val="center"/>
          </w:tcPr>
          <w:p w14:paraId="03E801C4" w14:textId="77777777" w:rsidR="002621AE" w:rsidRPr="00A406E5" w:rsidRDefault="002621AE" w:rsidP="00073C3F">
            <w:pPr>
              <w:spacing w:before="120" w:after="120"/>
              <w:rPr>
                <w:rFonts w:ascii="Arial" w:hAnsi="Arial" w:cs="Arial"/>
                <w:b/>
                <w:sz w:val="22"/>
              </w:rPr>
            </w:pPr>
            <w:r w:rsidRPr="00A406E5">
              <w:rPr>
                <w:rFonts w:ascii="Arial" w:hAnsi="Arial" w:cs="Arial"/>
                <w:b/>
                <w:sz w:val="22"/>
              </w:rPr>
              <w:t>Assignment Title:</w:t>
            </w:r>
          </w:p>
        </w:tc>
        <w:tc>
          <w:tcPr>
            <w:tcW w:w="3450" w:type="dxa"/>
            <w:vAlign w:val="center"/>
          </w:tcPr>
          <w:p w14:paraId="76986C01" w14:textId="77777777" w:rsidR="002621AE" w:rsidRPr="00A406E5" w:rsidRDefault="002621AE" w:rsidP="00073C3F">
            <w:pPr>
              <w:spacing w:before="120" w:after="120"/>
              <w:rPr>
                <w:rFonts w:ascii="Arial" w:hAnsi="Arial" w:cs="Arial"/>
                <w:b/>
                <w:sz w:val="22"/>
              </w:rPr>
            </w:pPr>
            <w:r>
              <w:rPr>
                <w:rFonts w:ascii="Arial" w:hAnsi="Arial" w:cs="Arial"/>
                <w:b/>
                <w:sz w:val="22"/>
              </w:rPr>
              <w:t xml:space="preserve">Assessment component - </w:t>
            </w:r>
            <w:r w:rsidRPr="00FF5BC0">
              <w:rPr>
                <w:rFonts w:ascii="Arial" w:hAnsi="Arial" w:cs="Arial"/>
                <w:b/>
                <w:sz w:val="22"/>
              </w:rPr>
              <w:t>Individual report</w:t>
            </w:r>
          </w:p>
        </w:tc>
        <w:tc>
          <w:tcPr>
            <w:tcW w:w="2282" w:type="dxa"/>
            <w:shd w:val="clear" w:color="auto" w:fill="D9D9D9" w:themeFill="background1" w:themeFillShade="D9"/>
            <w:vAlign w:val="center"/>
          </w:tcPr>
          <w:p w14:paraId="50745E38" w14:textId="77777777" w:rsidR="002621AE" w:rsidRPr="00A406E5" w:rsidRDefault="002621AE" w:rsidP="00073C3F">
            <w:pPr>
              <w:spacing w:before="120" w:after="120"/>
              <w:rPr>
                <w:rFonts w:ascii="Arial" w:hAnsi="Arial" w:cs="Arial"/>
                <w:b/>
                <w:sz w:val="22"/>
              </w:rPr>
            </w:pPr>
            <w:r>
              <w:rPr>
                <w:rFonts w:ascii="Arial" w:hAnsi="Arial" w:cs="Arial"/>
                <w:b/>
                <w:sz w:val="22"/>
              </w:rPr>
              <w:t>Word count (or equivalent):</w:t>
            </w:r>
          </w:p>
        </w:tc>
        <w:tc>
          <w:tcPr>
            <w:tcW w:w="2097" w:type="dxa"/>
            <w:vAlign w:val="center"/>
          </w:tcPr>
          <w:p w14:paraId="1B4F6DED" w14:textId="77777777" w:rsidR="002621AE" w:rsidRPr="00A406E5" w:rsidRDefault="002621AE" w:rsidP="00073C3F">
            <w:pPr>
              <w:spacing w:before="120" w:after="120"/>
              <w:rPr>
                <w:rFonts w:ascii="Arial" w:hAnsi="Arial" w:cs="Arial"/>
                <w:b/>
                <w:sz w:val="22"/>
              </w:rPr>
            </w:pPr>
            <w:r>
              <w:rPr>
                <w:rFonts w:ascii="Arial" w:hAnsi="Arial" w:cs="Arial"/>
                <w:b/>
                <w:sz w:val="22"/>
              </w:rPr>
              <w:t>5,000 (± 10%)</w:t>
            </w:r>
          </w:p>
        </w:tc>
      </w:tr>
      <w:tr w:rsidR="002621AE" w:rsidRPr="00A406E5" w14:paraId="58EE94EA" w14:textId="77777777" w:rsidTr="002621AE">
        <w:trPr>
          <w:jc w:val="center"/>
        </w:trPr>
        <w:tc>
          <w:tcPr>
            <w:tcW w:w="2093" w:type="dxa"/>
            <w:shd w:val="clear" w:color="auto" w:fill="D9D9D9" w:themeFill="background1" w:themeFillShade="D9"/>
            <w:vAlign w:val="center"/>
          </w:tcPr>
          <w:p w14:paraId="0DF3AE91" w14:textId="77777777" w:rsidR="002621AE" w:rsidRPr="00A406E5" w:rsidRDefault="002621AE" w:rsidP="00073C3F">
            <w:pPr>
              <w:spacing w:before="120" w:after="120"/>
              <w:rPr>
                <w:rFonts w:ascii="Arial" w:hAnsi="Arial" w:cs="Arial"/>
                <w:b/>
                <w:sz w:val="22"/>
              </w:rPr>
            </w:pPr>
            <w:r w:rsidRPr="00A406E5">
              <w:rPr>
                <w:rFonts w:ascii="Arial" w:hAnsi="Arial" w:cs="Arial"/>
                <w:b/>
                <w:sz w:val="22"/>
              </w:rPr>
              <w:t>Submission deadline:</w:t>
            </w:r>
          </w:p>
        </w:tc>
        <w:tc>
          <w:tcPr>
            <w:tcW w:w="3450" w:type="dxa"/>
            <w:vAlign w:val="center"/>
          </w:tcPr>
          <w:p w14:paraId="587CA2E0" w14:textId="77777777" w:rsidR="002621AE" w:rsidRPr="00A406E5" w:rsidRDefault="002621AE" w:rsidP="00073C3F">
            <w:pPr>
              <w:spacing w:before="120" w:after="120"/>
              <w:rPr>
                <w:rFonts w:ascii="Arial" w:hAnsi="Arial" w:cs="Arial"/>
                <w:b/>
                <w:bCs/>
                <w:sz w:val="22"/>
              </w:rPr>
            </w:pPr>
            <w:r w:rsidRPr="6EDEA82F">
              <w:rPr>
                <w:rFonts w:ascii="Arial" w:hAnsi="Arial" w:cs="Arial"/>
                <w:b/>
                <w:bCs/>
                <w:sz w:val="22"/>
              </w:rPr>
              <w:t>Wednesday 01/04/2026 by 2pm</w:t>
            </w:r>
          </w:p>
        </w:tc>
        <w:tc>
          <w:tcPr>
            <w:tcW w:w="2282" w:type="dxa"/>
            <w:shd w:val="clear" w:color="auto" w:fill="D9D9D9" w:themeFill="background1" w:themeFillShade="D9"/>
            <w:vAlign w:val="center"/>
          </w:tcPr>
          <w:p w14:paraId="4081600A" w14:textId="77777777" w:rsidR="002621AE" w:rsidRPr="00A406E5" w:rsidRDefault="002621AE" w:rsidP="00073C3F">
            <w:pPr>
              <w:spacing w:before="120" w:after="120"/>
              <w:rPr>
                <w:rFonts w:ascii="Arial" w:hAnsi="Arial" w:cs="Arial"/>
                <w:b/>
                <w:sz w:val="22"/>
              </w:rPr>
            </w:pPr>
            <w:r w:rsidRPr="00A406E5">
              <w:rPr>
                <w:rFonts w:ascii="Arial" w:hAnsi="Arial" w:cs="Arial"/>
                <w:b/>
                <w:sz w:val="22"/>
              </w:rPr>
              <w:t>Return date of provisional marks &amp; written feedback:</w:t>
            </w:r>
          </w:p>
        </w:tc>
        <w:tc>
          <w:tcPr>
            <w:tcW w:w="2097" w:type="dxa"/>
            <w:vAlign w:val="center"/>
          </w:tcPr>
          <w:p w14:paraId="3E4E325B" w14:textId="77777777" w:rsidR="002621AE" w:rsidRPr="00A406E5" w:rsidRDefault="002621AE" w:rsidP="00073C3F">
            <w:pPr>
              <w:spacing w:before="120" w:after="120"/>
              <w:rPr>
                <w:rFonts w:ascii="Arial" w:hAnsi="Arial" w:cs="Arial"/>
                <w:b/>
                <w:bCs/>
                <w:sz w:val="22"/>
              </w:rPr>
            </w:pPr>
            <w:r w:rsidRPr="2222F233">
              <w:rPr>
                <w:rFonts w:ascii="Arial" w:hAnsi="Arial" w:cs="Arial"/>
                <w:b/>
                <w:bCs/>
                <w:sz w:val="22"/>
              </w:rPr>
              <w:t>08/05/2026</w:t>
            </w:r>
          </w:p>
        </w:tc>
      </w:tr>
    </w:tbl>
    <w:p w14:paraId="798C8012" w14:textId="1E1A319F" w:rsidR="004A477A" w:rsidRDefault="004A477A">
      <w:r>
        <w:br w:type="page"/>
      </w:r>
    </w:p>
    <w:sdt>
      <w:sdtPr>
        <w:rPr>
          <w:rFonts w:asciiTheme="majorBidi" w:eastAsiaTheme="minorHAnsi" w:hAnsiTheme="majorBidi" w:cstheme="minorBidi"/>
          <w:color w:val="auto"/>
          <w:sz w:val="24"/>
          <w:szCs w:val="22"/>
          <w:lang w:val="en-IN"/>
        </w:rPr>
        <w:id w:val="934789108"/>
        <w:docPartObj>
          <w:docPartGallery w:val="Table of Contents"/>
          <w:docPartUnique/>
        </w:docPartObj>
      </w:sdtPr>
      <w:sdtEndPr>
        <w:rPr>
          <w:b/>
          <w:bCs/>
          <w:noProof/>
        </w:rPr>
      </w:sdtEndPr>
      <w:sdtContent>
        <w:p w14:paraId="484A9D52" w14:textId="6B188D2D" w:rsidR="001A2B22" w:rsidRDefault="001A2B22">
          <w:pPr>
            <w:pStyle w:val="TOCHeading"/>
          </w:pPr>
          <w:r>
            <w:t>Table of Contents</w:t>
          </w:r>
        </w:p>
        <w:p w14:paraId="3577EEFF" w14:textId="55E4449E" w:rsidR="002621AE" w:rsidRDefault="001A2B22">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3992272" w:history="1">
            <w:r w:rsidR="002621AE" w:rsidRPr="00122813">
              <w:rPr>
                <w:rStyle w:val="Hyperlink"/>
                <w:noProof/>
              </w:rPr>
              <w:t>Section 1:</w:t>
            </w:r>
            <w:r w:rsidR="002621AE">
              <w:rPr>
                <w:noProof/>
                <w:webHidden/>
              </w:rPr>
              <w:tab/>
            </w:r>
            <w:r w:rsidR="002621AE">
              <w:rPr>
                <w:noProof/>
                <w:webHidden/>
              </w:rPr>
              <w:fldChar w:fldCharType="begin"/>
            </w:r>
            <w:r w:rsidR="002621AE">
              <w:rPr>
                <w:noProof/>
                <w:webHidden/>
              </w:rPr>
              <w:instrText xml:space="preserve"> PAGEREF _Toc223992272 \h </w:instrText>
            </w:r>
            <w:r w:rsidR="002621AE">
              <w:rPr>
                <w:noProof/>
                <w:webHidden/>
              </w:rPr>
            </w:r>
            <w:r w:rsidR="002621AE">
              <w:rPr>
                <w:noProof/>
                <w:webHidden/>
              </w:rPr>
              <w:fldChar w:fldCharType="separate"/>
            </w:r>
            <w:r w:rsidR="002621AE">
              <w:rPr>
                <w:noProof/>
                <w:webHidden/>
              </w:rPr>
              <w:t>4</w:t>
            </w:r>
            <w:r w:rsidR="002621AE">
              <w:rPr>
                <w:noProof/>
                <w:webHidden/>
              </w:rPr>
              <w:fldChar w:fldCharType="end"/>
            </w:r>
          </w:hyperlink>
        </w:p>
        <w:p w14:paraId="55186F2C" w14:textId="542F893D" w:rsidR="002621AE" w:rsidRDefault="00C6743A">
          <w:pPr>
            <w:pStyle w:val="TOC1"/>
            <w:tabs>
              <w:tab w:val="left" w:pos="480"/>
              <w:tab w:val="right" w:leader="dot" w:pos="9016"/>
            </w:tabs>
            <w:rPr>
              <w:rFonts w:asciiTheme="minorHAnsi" w:eastAsiaTheme="minorEastAsia" w:hAnsiTheme="minorHAnsi"/>
              <w:noProof/>
              <w:sz w:val="22"/>
              <w:lang w:val="en-US"/>
            </w:rPr>
          </w:pPr>
          <w:hyperlink w:anchor="_Toc223992273" w:history="1">
            <w:r w:rsidR="002621AE" w:rsidRPr="00122813">
              <w:rPr>
                <w:rStyle w:val="Hyperlink"/>
                <w:noProof/>
              </w:rPr>
              <w:t>1</w:t>
            </w:r>
            <w:r w:rsidR="002621AE">
              <w:rPr>
                <w:rFonts w:asciiTheme="minorHAnsi" w:eastAsiaTheme="minorEastAsia" w:hAnsiTheme="minorHAnsi"/>
                <w:noProof/>
                <w:sz w:val="22"/>
                <w:lang w:val="en-US"/>
              </w:rPr>
              <w:tab/>
            </w:r>
            <w:r w:rsidR="002621AE" w:rsidRPr="00122813">
              <w:rPr>
                <w:rStyle w:val="Hyperlink"/>
                <w:noProof/>
              </w:rPr>
              <w:t>Organisational Context and Overview:</w:t>
            </w:r>
            <w:r w:rsidR="002621AE">
              <w:rPr>
                <w:noProof/>
                <w:webHidden/>
              </w:rPr>
              <w:tab/>
            </w:r>
            <w:r w:rsidR="002621AE">
              <w:rPr>
                <w:noProof/>
                <w:webHidden/>
              </w:rPr>
              <w:fldChar w:fldCharType="begin"/>
            </w:r>
            <w:r w:rsidR="002621AE">
              <w:rPr>
                <w:noProof/>
                <w:webHidden/>
              </w:rPr>
              <w:instrText xml:space="preserve"> PAGEREF _Toc223992273 \h </w:instrText>
            </w:r>
            <w:r w:rsidR="002621AE">
              <w:rPr>
                <w:noProof/>
                <w:webHidden/>
              </w:rPr>
            </w:r>
            <w:r w:rsidR="002621AE">
              <w:rPr>
                <w:noProof/>
                <w:webHidden/>
              </w:rPr>
              <w:fldChar w:fldCharType="separate"/>
            </w:r>
            <w:r w:rsidR="002621AE">
              <w:rPr>
                <w:noProof/>
                <w:webHidden/>
              </w:rPr>
              <w:t>4</w:t>
            </w:r>
            <w:r w:rsidR="002621AE">
              <w:rPr>
                <w:noProof/>
                <w:webHidden/>
              </w:rPr>
              <w:fldChar w:fldCharType="end"/>
            </w:r>
          </w:hyperlink>
        </w:p>
        <w:p w14:paraId="256DD037" w14:textId="639FCC37" w:rsidR="002621AE" w:rsidRDefault="00C6743A">
          <w:pPr>
            <w:pStyle w:val="TOC1"/>
            <w:tabs>
              <w:tab w:val="left" w:pos="480"/>
              <w:tab w:val="right" w:leader="dot" w:pos="9016"/>
            </w:tabs>
            <w:rPr>
              <w:rFonts w:asciiTheme="minorHAnsi" w:eastAsiaTheme="minorEastAsia" w:hAnsiTheme="minorHAnsi"/>
              <w:noProof/>
              <w:sz w:val="22"/>
              <w:lang w:val="en-US"/>
            </w:rPr>
          </w:pPr>
          <w:hyperlink w:anchor="_Toc223992274" w:history="1">
            <w:r w:rsidR="002621AE" w:rsidRPr="00122813">
              <w:rPr>
                <w:rStyle w:val="Hyperlink"/>
                <w:noProof/>
              </w:rPr>
              <w:t>2</w:t>
            </w:r>
            <w:r w:rsidR="002621AE">
              <w:rPr>
                <w:rFonts w:asciiTheme="minorHAnsi" w:eastAsiaTheme="minorEastAsia" w:hAnsiTheme="minorHAnsi"/>
                <w:noProof/>
                <w:sz w:val="22"/>
                <w:lang w:val="en-US"/>
              </w:rPr>
              <w:tab/>
            </w:r>
            <w:r w:rsidR="002621AE" w:rsidRPr="00122813">
              <w:rPr>
                <w:rStyle w:val="Hyperlink"/>
                <w:noProof/>
              </w:rPr>
              <w:t>External and Internal Environment Analysis</w:t>
            </w:r>
            <w:r w:rsidR="002621AE">
              <w:rPr>
                <w:noProof/>
                <w:webHidden/>
              </w:rPr>
              <w:tab/>
            </w:r>
            <w:r w:rsidR="002621AE">
              <w:rPr>
                <w:noProof/>
                <w:webHidden/>
              </w:rPr>
              <w:fldChar w:fldCharType="begin"/>
            </w:r>
            <w:r w:rsidR="002621AE">
              <w:rPr>
                <w:noProof/>
                <w:webHidden/>
              </w:rPr>
              <w:instrText xml:space="preserve"> PAGEREF _Toc223992274 \h </w:instrText>
            </w:r>
            <w:r w:rsidR="002621AE">
              <w:rPr>
                <w:noProof/>
                <w:webHidden/>
              </w:rPr>
            </w:r>
            <w:r w:rsidR="002621AE">
              <w:rPr>
                <w:noProof/>
                <w:webHidden/>
              </w:rPr>
              <w:fldChar w:fldCharType="separate"/>
            </w:r>
            <w:r w:rsidR="002621AE">
              <w:rPr>
                <w:noProof/>
                <w:webHidden/>
              </w:rPr>
              <w:t>5</w:t>
            </w:r>
            <w:r w:rsidR="002621AE">
              <w:rPr>
                <w:noProof/>
                <w:webHidden/>
              </w:rPr>
              <w:fldChar w:fldCharType="end"/>
            </w:r>
          </w:hyperlink>
        </w:p>
        <w:p w14:paraId="00D990AC" w14:textId="0995C67E"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75" w:history="1">
            <w:r w:rsidR="002621AE" w:rsidRPr="00122813">
              <w:rPr>
                <w:rStyle w:val="Hyperlink"/>
                <w:rFonts w:ascii="Times New Roman" w:hAnsi="Times New Roman"/>
                <w:noProof/>
              </w:rPr>
              <w:t>2.1</w:t>
            </w:r>
            <w:r w:rsidR="002621AE">
              <w:rPr>
                <w:rFonts w:asciiTheme="minorHAnsi" w:eastAsiaTheme="minorEastAsia" w:hAnsiTheme="minorHAnsi"/>
                <w:noProof/>
                <w:sz w:val="22"/>
                <w:lang w:val="en-US"/>
              </w:rPr>
              <w:tab/>
            </w:r>
            <w:r w:rsidR="002621AE" w:rsidRPr="00122813">
              <w:rPr>
                <w:rStyle w:val="Hyperlink"/>
                <w:noProof/>
              </w:rPr>
              <w:t>External environment (PESTEL)</w:t>
            </w:r>
            <w:r w:rsidR="002621AE">
              <w:rPr>
                <w:noProof/>
                <w:webHidden/>
              </w:rPr>
              <w:tab/>
            </w:r>
            <w:r w:rsidR="002621AE">
              <w:rPr>
                <w:noProof/>
                <w:webHidden/>
              </w:rPr>
              <w:fldChar w:fldCharType="begin"/>
            </w:r>
            <w:r w:rsidR="002621AE">
              <w:rPr>
                <w:noProof/>
                <w:webHidden/>
              </w:rPr>
              <w:instrText xml:space="preserve"> PAGEREF _Toc223992275 \h </w:instrText>
            </w:r>
            <w:r w:rsidR="002621AE">
              <w:rPr>
                <w:noProof/>
                <w:webHidden/>
              </w:rPr>
            </w:r>
            <w:r w:rsidR="002621AE">
              <w:rPr>
                <w:noProof/>
                <w:webHidden/>
              </w:rPr>
              <w:fldChar w:fldCharType="separate"/>
            </w:r>
            <w:r w:rsidR="002621AE">
              <w:rPr>
                <w:noProof/>
                <w:webHidden/>
              </w:rPr>
              <w:t>5</w:t>
            </w:r>
            <w:r w:rsidR="002621AE">
              <w:rPr>
                <w:noProof/>
                <w:webHidden/>
              </w:rPr>
              <w:fldChar w:fldCharType="end"/>
            </w:r>
          </w:hyperlink>
        </w:p>
        <w:p w14:paraId="358FBCEC" w14:textId="218BA8DA" w:rsidR="002621AE" w:rsidRDefault="00C6743A">
          <w:pPr>
            <w:pStyle w:val="TOC3"/>
            <w:tabs>
              <w:tab w:val="left" w:pos="1320"/>
              <w:tab w:val="right" w:leader="dot" w:pos="9016"/>
            </w:tabs>
            <w:rPr>
              <w:rFonts w:asciiTheme="minorHAnsi" w:eastAsiaTheme="minorEastAsia" w:hAnsiTheme="minorHAnsi"/>
              <w:noProof/>
              <w:sz w:val="22"/>
              <w:lang w:val="en-US"/>
            </w:rPr>
          </w:pPr>
          <w:hyperlink w:anchor="_Toc223992276" w:history="1">
            <w:r w:rsidR="002621AE" w:rsidRPr="00122813">
              <w:rPr>
                <w:rStyle w:val="Hyperlink"/>
                <w:bCs/>
                <w:noProof/>
              </w:rPr>
              <w:t>2.1.1</w:t>
            </w:r>
            <w:r w:rsidR="002621AE">
              <w:rPr>
                <w:rFonts w:asciiTheme="minorHAnsi" w:eastAsiaTheme="minorEastAsia" w:hAnsiTheme="minorHAnsi"/>
                <w:noProof/>
                <w:sz w:val="22"/>
                <w:lang w:val="en-US"/>
              </w:rPr>
              <w:tab/>
            </w:r>
            <w:r w:rsidR="002621AE" w:rsidRPr="00122813">
              <w:rPr>
                <w:rStyle w:val="Hyperlink"/>
                <w:noProof/>
              </w:rPr>
              <w:t>Political/Legal</w:t>
            </w:r>
            <w:r w:rsidR="002621AE">
              <w:rPr>
                <w:noProof/>
                <w:webHidden/>
              </w:rPr>
              <w:tab/>
            </w:r>
            <w:r w:rsidR="002621AE">
              <w:rPr>
                <w:noProof/>
                <w:webHidden/>
              </w:rPr>
              <w:fldChar w:fldCharType="begin"/>
            </w:r>
            <w:r w:rsidR="002621AE">
              <w:rPr>
                <w:noProof/>
                <w:webHidden/>
              </w:rPr>
              <w:instrText xml:space="preserve"> PAGEREF _Toc223992276 \h </w:instrText>
            </w:r>
            <w:r w:rsidR="002621AE">
              <w:rPr>
                <w:noProof/>
                <w:webHidden/>
              </w:rPr>
            </w:r>
            <w:r w:rsidR="002621AE">
              <w:rPr>
                <w:noProof/>
                <w:webHidden/>
              </w:rPr>
              <w:fldChar w:fldCharType="separate"/>
            </w:r>
            <w:r w:rsidR="002621AE">
              <w:rPr>
                <w:noProof/>
                <w:webHidden/>
              </w:rPr>
              <w:t>5</w:t>
            </w:r>
            <w:r w:rsidR="002621AE">
              <w:rPr>
                <w:noProof/>
                <w:webHidden/>
              </w:rPr>
              <w:fldChar w:fldCharType="end"/>
            </w:r>
          </w:hyperlink>
        </w:p>
        <w:p w14:paraId="664F8A8A" w14:textId="23B2BE60" w:rsidR="002621AE" w:rsidRDefault="00C6743A">
          <w:pPr>
            <w:pStyle w:val="TOC3"/>
            <w:tabs>
              <w:tab w:val="left" w:pos="1320"/>
              <w:tab w:val="right" w:leader="dot" w:pos="9016"/>
            </w:tabs>
            <w:rPr>
              <w:rFonts w:asciiTheme="minorHAnsi" w:eastAsiaTheme="minorEastAsia" w:hAnsiTheme="minorHAnsi"/>
              <w:noProof/>
              <w:sz w:val="22"/>
              <w:lang w:val="en-US"/>
            </w:rPr>
          </w:pPr>
          <w:hyperlink w:anchor="_Toc223992277" w:history="1">
            <w:r w:rsidR="002621AE" w:rsidRPr="00122813">
              <w:rPr>
                <w:rStyle w:val="Hyperlink"/>
                <w:bCs/>
                <w:noProof/>
              </w:rPr>
              <w:t>2.1.2</w:t>
            </w:r>
            <w:r w:rsidR="002621AE">
              <w:rPr>
                <w:rFonts w:asciiTheme="minorHAnsi" w:eastAsiaTheme="minorEastAsia" w:hAnsiTheme="minorHAnsi"/>
                <w:noProof/>
                <w:sz w:val="22"/>
                <w:lang w:val="en-US"/>
              </w:rPr>
              <w:tab/>
            </w:r>
            <w:r w:rsidR="002621AE" w:rsidRPr="00122813">
              <w:rPr>
                <w:rStyle w:val="Hyperlink"/>
                <w:noProof/>
              </w:rPr>
              <w:t>Economic</w:t>
            </w:r>
            <w:r w:rsidR="002621AE">
              <w:rPr>
                <w:noProof/>
                <w:webHidden/>
              </w:rPr>
              <w:tab/>
            </w:r>
            <w:r w:rsidR="002621AE">
              <w:rPr>
                <w:noProof/>
                <w:webHidden/>
              </w:rPr>
              <w:fldChar w:fldCharType="begin"/>
            </w:r>
            <w:r w:rsidR="002621AE">
              <w:rPr>
                <w:noProof/>
                <w:webHidden/>
              </w:rPr>
              <w:instrText xml:space="preserve"> PAGEREF _Toc223992277 \h </w:instrText>
            </w:r>
            <w:r w:rsidR="002621AE">
              <w:rPr>
                <w:noProof/>
                <w:webHidden/>
              </w:rPr>
            </w:r>
            <w:r w:rsidR="002621AE">
              <w:rPr>
                <w:noProof/>
                <w:webHidden/>
              </w:rPr>
              <w:fldChar w:fldCharType="separate"/>
            </w:r>
            <w:r w:rsidR="002621AE">
              <w:rPr>
                <w:noProof/>
                <w:webHidden/>
              </w:rPr>
              <w:t>6</w:t>
            </w:r>
            <w:r w:rsidR="002621AE">
              <w:rPr>
                <w:noProof/>
                <w:webHidden/>
              </w:rPr>
              <w:fldChar w:fldCharType="end"/>
            </w:r>
          </w:hyperlink>
        </w:p>
        <w:p w14:paraId="1482CF84" w14:textId="2BE781CB" w:rsidR="002621AE" w:rsidRDefault="00C6743A">
          <w:pPr>
            <w:pStyle w:val="TOC3"/>
            <w:tabs>
              <w:tab w:val="left" w:pos="1320"/>
              <w:tab w:val="right" w:leader="dot" w:pos="9016"/>
            </w:tabs>
            <w:rPr>
              <w:rFonts w:asciiTheme="minorHAnsi" w:eastAsiaTheme="minorEastAsia" w:hAnsiTheme="minorHAnsi"/>
              <w:noProof/>
              <w:sz w:val="22"/>
              <w:lang w:val="en-US"/>
            </w:rPr>
          </w:pPr>
          <w:hyperlink w:anchor="_Toc223992278" w:history="1">
            <w:r w:rsidR="002621AE" w:rsidRPr="00122813">
              <w:rPr>
                <w:rStyle w:val="Hyperlink"/>
                <w:bCs/>
                <w:noProof/>
              </w:rPr>
              <w:t>2.1.3</w:t>
            </w:r>
            <w:r w:rsidR="002621AE">
              <w:rPr>
                <w:rFonts w:asciiTheme="minorHAnsi" w:eastAsiaTheme="minorEastAsia" w:hAnsiTheme="minorHAnsi"/>
                <w:noProof/>
                <w:sz w:val="22"/>
                <w:lang w:val="en-US"/>
              </w:rPr>
              <w:tab/>
            </w:r>
            <w:r w:rsidR="002621AE" w:rsidRPr="00122813">
              <w:rPr>
                <w:rStyle w:val="Hyperlink"/>
                <w:noProof/>
              </w:rPr>
              <w:t>Social</w:t>
            </w:r>
            <w:r w:rsidR="002621AE">
              <w:rPr>
                <w:noProof/>
                <w:webHidden/>
              </w:rPr>
              <w:tab/>
            </w:r>
            <w:r w:rsidR="002621AE">
              <w:rPr>
                <w:noProof/>
                <w:webHidden/>
              </w:rPr>
              <w:fldChar w:fldCharType="begin"/>
            </w:r>
            <w:r w:rsidR="002621AE">
              <w:rPr>
                <w:noProof/>
                <w:webHidden/>
              </w:rPr>
              <w:instrText xml:space="preserve"> PAGEREF _Toc223992278 \h </w:instrText>
            </w:r>
            <w:r w:rsidR="002621AE">
              <w:rPr>
                <w:noProof/>
                <w:webHidden/>
              </w:rPr>
            </w:r>
            <w:r w:rsidR="002621AE">
              <w:rPr>
                <w:noProof/>
                <w:webHidden/>
              </w:rPr>
              <w:fldChar w:fldCharType="separate"/>
            </w:r>
            <w:r w:rsidR="002621AE">
              <w:rPr>
                <w:noProof/>
                <w:webHidden/>
              </w:rPr>
              <w:t>6</w:t>
            </w:r>
            <w:r w:rsidR="002621AE">
              <w:rPr>
                <w:noProof/>
                <w:webHidden/>
              </w:rPr>
              <w:fldChar w:fldCharType="end"/>
            </w:r>
          </w:hyperlink>
        </w:p>
        <w:p w14:paraId="795FA655" w14:textId="46DF24F0" w:rsidR="002621AE" w:rsidRDefault="00C6743A">
          <w:pPr>
            <w:pStyle w:val="TOC3"/>
            <w:tabs>
              <w:tab w:val="left" w:pos="1320"/>
              <w:tab w:val="right" w:leader="dot" w:pos="9016"/>
            </w:tabs>
            <w:rPr>
              <w:rFonts w:asciiTheme="minorHAnsi" w:eastAsiaTheme="minorEastAsia" w:hAnsiTheme="minorHAnsi"/>
              <w:noProof/>
              <w:sz w:val="22"/>
              <w:lang w:val="en-US"/>
            </w:rPr>
          </w:pPr>
          <w:hyperlink w:anchor="_Toc223992279" w:history="1">
            <w:r w:rsidR="002621AE" w:rsidRPr="00122813">
              <w:rPr>
                <w:rStyle w:val="Hyperlink"/>
                <w:bCs/>
                <w:noProof/>
              </w:rPr>
              <w:t>2.1.4</w:t>
            </w:r>
            <w:r w:rsidR="002621AE">
              <w:rPr>
                <w:rFonts w:asciiTheme="minorHAnsi" w:eastAsiaTheme="minorEastAsia" w:hAnsiTheme="minorHAnsi"/>
                <w:noProof/>
                <w:sz w:val="22"/>
                <w:lang w:val="en-US"/>
              </w:rPr>
              <w:tab/>
            </w:r>
            <w:r w:rsidR="002621AE" w:rsidRPr="00122813">
              <w:rPr>
                <w:rStyle w:val="Hyperlink"/>
                <w:noProof/>
              </w:rPr>
              <w:t>Technological</w:t>
            </w:r>
            <w:r w:rsidR="002621AE">
              <w:rPr>
                <w:noProof/>
                <w:webHidden/>
              </w:rPr>
              <w:tab/>
            </w:r>
            <w:r w:rsidR="002621AE">
              <w:rPr>
                <w:noProof/>
                <w:webHidden/>
              </w:rPr>
              <w:fldChar w:fldCharType="begin"/>
            </w:r>
            <w:r w:rsidR="002621AE">
              <w:rPr>
                <w:noProof/>
                <w:webHidden/>
              </w:rPr>
              <w:instrText xml:space="preserve"> PAGEREF _Toc223992279 \h </w:instrText>
            </w:r>
            <w:r w:rsidR="002621AE">
              <w:rPr>
                <w:noProof/>
                <w:webHidden/>
              </w:rPr>
            </w:r>
            <w:r w:rsidR="002621AE">
              <w:rPr>
                <w:noProof/>
                <w:webHidden/>
              </w:rPr>
              <w:fldChar w:fldCharType="separate"/>
            </w:r>
            <w:r w:rsidR="002621AE">
              <w:rPr>
                <w:noProof/>
                <w:webHidden/>
              </w:rPr>
              <w:t>6</w:t>
            </w:r>
            <w:r w:rsidR="002621AE">
              <w:rPr>
                <w:noProof/>
                <w:webHidden/>
              </w:rPr>
              <w:fldChar w:fldCharType="end"/>
            </w:r>
          </w:hyperlink>
        </w:p>
        <w:p w14:paraId="657D1199" w14:textId="7B921F5F" w:rsidR="002621AE" w:rsidRDefault="00C6743A">
          <w:pPr>
            <w:pStyle w:val="TOC3"/>
            <w:tabs>
              <w:tab w:val="left" w:pos="1320"/>
              <w:tab w:val="right" w:leader="dot" w:pos="9016"/>
            </w:tabs>
            <w:rPr>
              <w:rFonts w:asciiTheme="minorHAnsi" w:eastAsiaTheme="minorEastAsia" w:hAnsiTheme="minorHAnsi"/>
              <w:noProof/>
              <w:sz w:val="22"/>
              <w:lang w:val="en-US"/>
            </w:rPr>
          </w:pPr>
          <w:hyperlink w:anchor="_Toc223992280" w:history="1">
            <w:r w:rsidR="002621AE" w:rsidRPr="00122813">
              <w:rPr>
                <w:rStyle w:val="Hyperlink"/>
                <w:bCs/>
                <w:noProof/>
              </w:rPr>
              <w:t>2.1.5</w:t>
            </w:r>
            <w:r w:rsidR="002621AE">
              <w:rPr>
                <w:rFonts w:asciiTheme="minorHAnsi" w:eastAsiaTheme="minorEastAsia" w:hAnsiTheme="minorHAnsi"/>
                <w:noProof/>
                <w:sz w:val="22"/>
                <w:lang w:val="en-US"/>
              </w:rPr>
              <w:tab/>
            </w:r>
            <w:r w:rsidR="002621AE" w:rsidRPr="00122813">
              <w:rPr>
                <w:rStyle w:val="Hyperlink"/>
                <w:noProof/>
              </w:rPr>
              <w:t>Environmental</w:t>
            </w:r>
            <w:r w:rsidR="002621AE">
              <w:rPr>
                <w:noProof/>
                <w:webHidden/>
              </w:rPr>
              <w:tab/>
            </w:r>
            <w:r w:rsidR="002621AE">
              <w:rPr>
                <w:noProof/>
                <w:webHidden/>
              </w:rPr>
              <w:fldChar w:fldCharType="begin"/>
            </w:r>
            <w:r w:rsidR="002621AE">
              <w:rPr>
                <w:noProof/>
                <w:webHidden/>
              </w:rPr>
              <w:instrText xml:space="preserve"> PAGEREF _Toc223992280 \h </w:instrText>
            </w:r>
            <w:r w:rsidR="002621AE">
              <w:rPr>
                <w:noProof/>
                <w:webHidden/>
              </w:rPr>
            </w:r>
            <w:r w:rsidR="002621AE">
              <w:rPr>
                <w:noProof/>
                <w:webHidden/>
              </w:rPr>
              <w:fldChar w:fldCharType="separate"/>
            </w:r>
            <w:r w:rsidR="002621AE">
              <w:rPr>
                <w:noProof/>
                <w:webHidden/>
              </w:rPr>
              <w:t>7</w:t>
            </w:r>
            <w:r w:rsidR="002621AE">
              <w:rPr>
                <w:noProof/>
                <w:webHidden/>
              </w:rPr>
              <w:fldChar w:fldCharType="end"/>
            </w:r>
          </w:hyperlink>
        </w:p>
        <w:p w14:paraId="0A190B34" w14:textId="3CB5DB22"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81" w:history="1">
            <w:r w:rsidR="002621AE" w:rsidRPr="00122813">
              <w:rPr>
                <w:rStyle w:val="Hyperlink"/>
                <w:noProof/>
              </w:rPr>
              <w:t>2.2</w:t>
            </w:r>
            <w:r w:rsidR="002621AE">
              <w:rPr>
                <w:rFonts w:asciiTheme="minorHAnsi" w:eastAsiaTheme="minorEastAsia" w:hAnsiTheme="minorHAnsi"/>
                <w:noProof/>
                <w:sz w:val="22"/>
                <w:lang w:val="en-US"/>
              </w:rPr>
              <w:tab/>
            </w:r>
            <w:r w:rsidR="002621AE" w:rsidRPr="00122813">
              <w:rPr>
                <w:rStyle w:val="Hyperlink"/>
                <w:noProof/>
              </w:rPr>
              <w:t>Industry success factors + strategic challenges</w:t>
            </w:r>
            <w:r w:rsidR="002621AE">
              <w:rPr>
                <w:noProof/>
                <w:webHidden/>
              </w:rPr>
              <w:tab/>
            </w:r>
            <w:r w:rsidR="002621AE">
              <w:rPr>
                <w:noProof/>
                <w:webHidden/>
              </w:rPr>
              <w:fldChar w:fldCharType="begin"/>
            </w:r>
            <w:r w:rsidR="002621AE">
              <w:rPr>
                <w:noProof/>
                <w:webHidden/>
              </w:rPr>
              <w:instrText xml:space="preserve"> PAGEREF _Toc223992281 \h </w:instrText>
            </w:r>
            <w:r w:rsidR="002621AE">
              <w:rPr>
                <w:noProof/>
                <w:webHidden/>
              </w:rPr>
            </w:r>
            <w:r w:rsidR="002621AE">
              <w:rPr>
                <w:noProof/>
                <w:webHidden/>
              </w:rPr>
              <w:fldChar w:fldCharType="separate"/>
            </w:r>
            <w:r w:rsidR="002621AE">
              <w:rPr>
                <w:noProof/>
                <w:webHidden/>
              </w:rPr>
              <w:t>7</w:t>
            </w:r>
            <w:r w:rsidR="002621AE">
              <w:rPr>
                <w:noProof/>
                <w:webHidden/>
              </w:rPr>
              <w:fldChar w:fldCharType="end"/>
            </w:r>
          </w:hyperlink>
        </w:p>
        <w:p w14:paraId="7DCF7D96" w14:textId="1AECAA96" w:rsidR="002621AE" w:rsidRDefault="00C6743A">
          <w:pPr>
            <w:pStyle w:val="TOC3"/>
            <w:tabs>
              <w:tab w:val="left" w:pos="1320"/>
              <w:tab w:val="right" w:leader="dot" w:pos="9016"/>
            </w:tabs>
            <w:rPr>
              <w:rFonts w:asciiTheme="minorHAnsi" w:eastAsiaTheme="minorEastAsia" w:hAnsiTheme="minorHAnsi"/>
              <w:noProof/>
              <w:sz w:val="22"/>
              <w:lang w:val="en-US"/>
            </w:rPr>
          </w:pPr>
          <w:hyperlink w:anchor="_Toc223992282" w:history="1">
            <w:r w:rsidR="002621AE" w:rsidRPr="00122813">
              <w:rPr>
                <w:rStyle w:val="Hyperlink"/>
                <w:bCs/>
                <w:noProof/>
              </w:rPr>
              <w:t>2.2.1</w:t>
            </w:r>
            <w:r w:rsidR="002621AE">
              <w:rPr>
                <w:rFonts w:asciiTheme="minorHAnsi" w:eastAsiaTheme="minorEastAsia" w:hAnsiTheme="minorHAnsi"/>
                <w:noProof/>
                <w:sz w:val="22"/>
                <w:lang w:val="en-US"/>
              </w:rPr>
              <w:tab/>
            </w:r>
            <w:r w:rsidR="002621AE" w:rsidRPr="00122813">
              <w:rPr>
                <w:rStyle w:val="Hyperlink"/>
                <w:noProof/>
              </w:rPr>
              <w:t>Critical success factors (CSFs) for EV/energy</w:t>
            </w:r>
            <w:r w:rsidR="002621AE">
              <w:rPr>
                <w:noProof/>
                <w:webHidden/>
              </w:rPr>
              <w:tab/>
            </w:r>
            <w:r w:rsidR="002621AE">
              <w:rPr>
                <w:noProof/>
                <w:webHidden/>
              </w:rPr>
              <w:fldChar w:fldCharType="begin"/>
            </w:r>
            <w:r w:rsidR="002621AE">
              <w:rPr>
                <w:noProof/>
                <w:webHidden/>
              </w:rPr>
              <w:instrText xml:space="preserve"> PAGEREF _Toc223992282 \h </w:instrText>
            </w:r>
            <w:r w:rsidR="002621AE">
              <w:rPr>
                <w:noProof/>
                <w:webHidden/>
              </w:rPr>
            </w:r>
            <w:r w:rsidR="002621AE">
              <w:rPr>
                <w:noProof/>
                <w:webHidden/>
              </w:rPr>
              <w:fldChar w:fldCharType="separate"/>
            </w:r>
            <w:r w:rsidR="002621AE">
              <w:rPr>
                <w:noProof/>
                <w:webHidden/>
              </w:rPr>
              <w:t>7</w:t>
            </w:r>
            <w:r w:rsidR="002621AE">
              <w:rPr>
                <w:noProof/>
                <w:webHidden/>
              </w:rPr>
              <w:fldChar w:fldCharType="end"/>
            </w:r>
          </w:hyperlink>
        </w:p>
        <w:p w14:paraId="1C11F06F" w14:textId="4A8F923E" w:rsidR="002621AE" w:rsidRDefault="00C6743A">
          <w:pPr>
            <w:pStyle w:val="TOC3"/>
            <w:tabs>
              <w:tab w:val="left" w:pos="1320"/>
              <w:tab w:val="right" w:leader="dot" w:pos="9016"/>
            </w:tabs>
            <w:rPr>
              <w:rFonts w:asciiTheme="minorHAnsi" w:eastAsiaTheme="minorEastAsia" w:hAnsiTheme="minorHAnsi"/>
              <w:noProof/>
              <w:sz w:val="22"/>
              <w:lang w:val="en-US"/>
            </w:rPr>
          </w:pPr>
          <w:hyperlink w:anchor="_Toc223992283" w:history="1">
            <w:r w:rsidR="002621AE" w:rsidRPr="00122813">
              <w:rPr>
                <w:rStyle w:val="Hyperlink"/>
                <w:bCs/>
                <w:noProof/>
              </w:rPr>
              <w:t>2.2.2</w:t>
            </w:r>
            <w:r w:rsidR="002621AE">
              <w:rPr>
                <w:rFonts w:asciiTheme="minorHAnsi" w:eastAsiaTheme="minorEastAsia" w:hAnsiTheme="minorHAnsi"/>
                <w:noProof/>
                <w:sz w:val="22"/>
                <w:lang w:val="en-US"/>
              </w:rPr>
              <w:tab/>
            </w:r>
            <w:r w:rsidR="002621AE" w:rsidRPr="00122813">
              <w:rPr>
                <w:rStyle w:val="Hyperlink"/>
                <w:noProof/>
              </w:rPr>
              <w:t>Strategic challenges (threats + uncertainties)</w:t>
            </w:r>
            <w:r w:rsidR="002621AE">
              <w:rPr>
                <w:noProof/>
                <w:webHidden/>
              </w:rPr>
              <w:tab/>
            </w:r>
            <w:r w:rsidR="002621AE">
              <w:rPr>
                <w:noProof/>
                <w:webHidden/>
              </w:rPr>
              <w:fldChar w:fldCharType="begin"/>
            </w:r>
            <w:r w:rsidR="002621AE">
              <w:rPr>
                <w:noProof/>
                <w:webHidden/>
              </w:rPr>
              <w:instrText xml:space="preserve"> PAGEREF _Toc223992283 \h </w:instrText>
            </w:r>
            <w:r w:rsidR="002621AE">
              <w:rPr>
                <w:noProof/>
                <w:webHidden/>
              </w:rPr>
            </w:r>
            <w:r w:rsidR="002621AE">
              <w:rPr>
                <w:noProof/>
                <w:webHidden/>
              </w:rPr>
              <w:fldChar w:fldCharType="separate"/>
            </w:r>
            <w:r w:rsidR="002621AE">
              <w:rPr>
                <w:noProof/>
                <w:webHidden/>
              </w:rPr>
              <w:t>7</w:t>
            </w:r>
            <w:r w:rsidR="002621AE">
              <w:rPr>
                <w:noProof/>
                <w:webHidden/>
              </w:rPr>
              <w:fldChar w:fldCharType="end"/>
            </w:r>
          </w:hyperlink>
        </w:p>
        <w:p w14:paraId="77419F6C" w14:textId="0F0ADB40"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84" w:history="1">
            <w:r w:rsidR="002621AE" w:rsidRPr="00122813">
              <w:rPr>
                <w:rStyle w:val="Hyperlink"/>
                <w:rFonts w:ascii="Times New Roman" w:hAnsi="Times New Roman"/>
                <w:noProof/>
              </w:rPr>
              <w:t>2.3</w:t>
            </w:r>
            <w:r w:rsidR="002621AE">
              <w:rPr>
                <w:rFonts w:asciiTheme="minorHAnsi" w:eastAsiaTheme="minorEastAsia" w:hAnsiTheme="minorHAnsi"/>
                <w:noProof/>
                <w:sz w:val="22"/>
                <w:lang w:val="en-US"/>
              </w:rPr>
              <w:tab/>
            </w:r>
            <w:r w:rsidR="002621AE" w:rsidRPr="00122813">
              <w:rPr>
                <w:rStyle w:val="Hyperlink"/>
                <w:noProof/>
              </w:rPr>
              <w:t>Internal environment + VRIO</w:t>
            </w:r>
            <w:r w:rsidR="002621AE">
              <w:rPr>
                <w:noProof/>
                <w:webHidden/>
              </w:rPr>
              <w:tab/>
            </w:r>
            <w:r w:rsidR="002621AE">
              <w:rPr>
                <w:noProof/>
                <w:webHidden/>
              </w:rPr>
              <w:fldChar w:fldCharType="begin"/>
            </w:r>
            <w:r w:rsidR="002621AE">
              <w:rPr>
                <w:noProof/>
                <w:webHidden/>
              </w:rPr>
              <w:instrText xml:space="preserve"> PAGEREF _Toc223992284 \h </w:instrText>
            </w:r>
            <w:r w:rsidR="002621AE">
              <w:rPr>
                <w:noProof/>
                <w:webHidden/>
              </w:rPr>
            </w:r>
            <w:r w:rsidR="002621AE">
              <w:rPr>
                <w:noProof/>
                <w:webHidden/>
              </w:rPr>
              <w:fldChar w:fldCharType="separate"/>
            </w:r>
            <w:r w:rsidR="002621AE">
              <w:rPr>
                <w:noProof/>
                <w:webHidden/>
              </w:rPr>
              <w:t>7</w:t>
            </w:r>
            <w:r w:rsidR="002621AE">
              <w:rPr>
                <w:noProof/>
                <w:webHidden/>
              </w:rPr>
              <w:fldChar w:fldCharType="end"/>
            </w:r>
          </w:hyperlink>
        </w:p>
        <w:p w14:paraId="2B8DEEEB" w14:textId="4F938C9A" w:rsidR="002621AE" w:rsidRDefault="00C6743A">
          <w:pPr>
            <w:pStyle w:val="TOC3"/>
            <w:tabs>
              <w:tab w:val="left" w:pos="1320"/>
              <w:tab w:val="right" w:leader="dot" w:pos="9016"/>
            </w:tabs>
            <w:rPr>
              <w:rFonts w:asciiTheme="minorHAnsi" w:eastAsiaTheme="minorEastAsia" w:hAnsiTheme="minorHAnsi"/>
              <w:noProof/>
              <w:sz w:val="22"/>
              <w:lang w:val="en-US"/>
            </w:rPr>
          </w:pPr>
          <w:hyperlink w:anchor="_Toc223992285" w:history="1">
            <w:r w:rsidR="002621AE" w:rsidRPr="00122813">
              <w:rPr>
                <w:rStyle w:val="Hyperlink"/>
                <w:bCs/>
                <w:noProof/>
              </w:rPr>
              <w:t>2.3.1</w:t>
            </w:r>
            <w:r w:rsidR="002621AE">
              <w:rPr>
                <w:rFonts w:asciiTheme="minorHAnsi" w:eastAsiaTheme="minorEastAsia" w:hAnsiTheme="minorHAnsi"/>
                <w:noProof/>
                <w:sz w:val="22"/>
                <w:lang w:val="en-US"/>
              </w:rPr>
              <w:tab/>
            </w:r>
            <w:r w:rsidR="002621AE" w:rsidRPr="00122813">
              <w:rPr>
                <w:rStyle w:val="Hyperlink"/>
                <w:noProof/>
              </w:rPr>
              <w:t>Resources &amp; capabilities (grouped)</w:t>
            </w:r>
            <w:r w:rsidR="002621AE">
              <w:rPr>
                <w:noProof/>
                <w:webHidden/>
              </w:rPr>
              <w:tab/>
            </w:r>
            <w:r w:rsidR="002621AE">
              <w:rPr>
                <w:noProof/>
                <w:webHidden/>
              </w:rPr>
              <w:fldChar w:fldCharType="begin"/>
            </w:r>
            <w:r w:rsidR="002621AE">
              <w:rPr>
                <w:noProof/>
                <w:webHidden/>
              </w:rPr>
              <w:instrText xml:space="preserve"> PAGEREF _Toc223992285 \h </w:instrText>
            </w:r>
            <w:r w:rsidR="002621AE">
              <w:rPr>
                <w:noProof/>
                <w:webHidden/>
              </w:rPr>
            </w:r>
            <w:r w:rsidR="002621AE">
              <w:rPr>
                <w:noProof/>
                <w:webHidden/>
              </w:rPr>
              <w:fldChar w:fldCharType="separate"/>
            </w:r>
            <w:r w:rsidR="002621AE">
              <w:rPr>
                <w:noProof/>
                <w:webHidden/>
              </w:rPr>
              <w:t>7</w:t>
            </w:r>
            <w:r w:rsidR="002621AE">
              <w:rPr>
                <w:noProof/>
                <w:webHidden/>
              </w:rPr>
              <w:fldChar w:fldCharType="end"/>
            </w:r>
          </w:hyperlink>
        </w:p>
        <w:p w14:paraId="7F136A6F" w14:textId="0421583B" w:rsidR="002621AE" w:rsidRDefault="00C6743A">
          <w:pPr>
            <w:pStyle w:val="TOC3"/>
            <w:tabs>
              <w:tab w:val="left" w:pos="1320"/>
              <w:tab w:val="right" w:leader="dot" w:pos="9016"/>
            </w:tabs>
            <w:rPr>
              <w:rFonts w:asciiTheme="minorHAnsi" w:eastAsiaTheme="minorEastAsia" w:hAnsiTheme="minorHAnsi"/>
              <w:noProof/>
              <w:sz w:val="22"/>
              <w:lang w:val="en-US"/>
            </w:rPr>
          </w:pPr>
          <w:hyperlink w:anchor="_Toc223992286" w:history="1">
            <w:r w:rsidR="002621AE" w:rsidRPr="00122813">
              <w:rPr>
                <w:rStyle w:val="Hyperlink"/>
                <w:bCs/>
                <w:noProof/>
              </w:rPr>
              <w:t>2.3.2</w:t>
            </w:r>
            <w:r w:rsidR="002621AE">
              <w:rPr>
                <w:rFonts w:asciiTheme="minorHAnsi" w:eastAsiaTheme="minorEastAsia" w:hAnsiTheme="minorHAnsi"/>
                <w:noProof/>
                <w:sz w:val="22"/>
                <w:lang w:val="en-US"/>
              </w:rPr>
              <w:tab/>
            </w:r>
            <w:r w:rsidR="002621AE" w:rsidRPr="00122813">
              <w:rPr>
                <w:rStyle w:val="Hyperlink"/>
                <w:noProof/>
              </w:rPr>
              <w:t>VRIO evaluation</w:t>
            </w:r>
            <w:r w:rsidR="002621AE">
              <w:rPr>
                <w:noProof/>
                <w:webHidden/>
              </w:rPr>
              <w:tab/>
            </w:r>
            <w:r w:rsidR="002621AE">
              <w:rPr>
                <w:noProof/>
                <w:webHidden/>
              </w:rPr>
              <w:fldChar w:fldCharType="begin"/>
            </w:r>
            <w:r w:rsidR="002621AE">
              <w:rPr>
                <w:noProof/>
                <w:webHidden/>
              </w:rPr>
              <w:instrText xml:space="preserve"> PAGEREF _Toc223992286 \h </w:instrText>
            </w:r>
            <w:r w:rsidR="002621AE">
              <w:rPr>
                <w:noProof/>
                <w:webHidden/>
              </w:rPr>
            </w:r>
            <w:r w:rsidR="002621AE">
              <w:rPr>
                <w:noProof/>
                <w:webHidden/>
              </w:rPr>
              <w:fldChar w:fldCharType="separate"/>
            </w:r>
            <w:r w:rsidR="002621AE">
              <w:rPr>
                <w:noProof/>
                <w:webHidden/>
              </w:rPr>
              <w:t>8</w:t>
            </w:r>
            <w:r w:rsidR="002621AE">
              <w:rPr>
                <w:noProof/>
                <w:webHidden/>
              </w:rPr>
              <w:fldChar w:fldCharType="end"/>
            </w:r>
          </w:hyperlink>
        </w:p>
        <w:p w14:paraId="26E725F4" w14:textId="4ED2B197" w:rsidR="002621AE" w:rsidRDefault="00C6743A">
          <w:pPr>
            <w:pStyle w:val="TOC3"/>
            <w:tabs>
              <w:tab w:val="left" w:pos="1320"/>
              <w:tab w:val="right" w:leader="dot" w:pos="9016"/>
            </w:tabs>
            <w:rPr>
              <w:rFonts w:asciiTheme="minorHAnsi" w:eastAsiaTheme="minorEastAsia" w:hAnsiTheme="minorHAnsi"/>
              <w:noProof/>
              <w:sz w:val="22"/>
              <w:lang w:val="en-US"/>
            </w:rPr>
          </w:pPr>
          <w:hyperlink w:anchor="_Toc223992287" w:history="1">
            <w:r w:rsidR="002621AE" w:rsidRPr="00122813">
              <w:rPr>
                <w:rStyle w:val="Hyperlink"/>
                <w:bCs/>
                <w:noProof/>
              </w:rPr>
              <w:t>2.3.3</w:t>
            </w:r>
            <w:r w:rsidR="002621AE">
              <w:rPr>
                <w:rFonts w:asciiTheme="minorHAnsi" w:eastAsiaTheme="minorEastAsia" w:hAnsiTheme="minorHAnsi"/>
                <w:noProof/>
                <w:sz w:val="22"/>
                <w:lang w:val="en-US"/>
              </w:rPr>
              <w:tab/>
            </w:r>
            <w:r w:rsidR="002621AE" w:rsidRPr="00122813">
              <w:rPr>
                <w:rStyle w:val="Hyperlink"/>
                <w:noProof/>
              </w:rPr>
              <w:t>Causal logic</w:t>
            </w:r>
            <w:r w:rsidR="002621AE">
              <w:rPr>
                <w:noProof/>
                <w:webHidden/>
              </w:rPr>
              <w:tab/>
            </w:r>
            <w:r w:rsidR="002621AE">
              <w:rPr>
                <w:noProof/>
                <w:webHidden/>
              </w:rPr>
              <w:fldChar w:fldCharType="begin"/>
            </w:r>
            <w:r w:rsidR="002621AE">
              <w:rPr>
                <w:noProof/>
                <w:webHidden/>
              </w:rPr>
              <w:instrText xml:space="preserve"> PAGEREF _Toc223992287 \h </w:instrText>
            </w:r>
            <w:r w:rsidR="002621AE">
              <w:rPr>
                <w:noProof/>
                <w:webHidden/>
              </w:rPr>
            </w:r>
            <w:r w:rsidR="002621AE">
              <w:rPr>
                <w:noProof/>
                <w:webHidden/>
              </w:rPr>
              <w:fldChar w:fldCharType="separate"/>
            </w:r>
            <w:r w:rsidR="002621AE">
              <w:rPr>
                <w:noProof/>
                <w:webHidden/>
              </w:rPr>
              <w:t>8</w:t>
            </w:r>
            <w:r w:rsidR="002621AE">
              <w:rPr>
                <w:noProof/>
                <w:webHidden/>
              </w:rPr>
              <w:fldChar w:fldCharType="end"/>
            </w:r>
          </w:hyperlink>
        </w:p>
        <w:p w14:paraId="0CA7BE69" w14:textId="24DB46C7" w:rsidR="002621AE" w:rsidRDefault="00C6743A">
          <w:pPr>
            <w:pStyle w:val="TOC1"/>
            <w:tabs>
              <w:tab w:val="left" w:pos="480"/>
              <w:tab w:val="right" w:leader="dot" w:pos="9016"/>
            </w:tabs>
            <w:rPr>
              <w:rFonts w:asciiTheme="minorHAnsi" w:eastAsiaTheme="minorEastAsia" w:hAnsiTheme="minorHAnsi"/>
              <w:noProof/>
              <w:sz w:val="22"/>
              <w:lang w:val="en-US"/>
            </w:rPr>
          </w:pPr>
          <w:hyperlink w:anchor="_Toc223992288" w:history="1">
            <w:r w:rsidR="002621AE" w:rsidRPr="00122813">
              <w:rPr>
                <w:rStyle w:val="Hyperlink"/>
                <w:rFonts w:ascii="Times New Roman" w:hAnsi="Times New Roman"/>
                <w:noProof/>
              </w:rPr>
              <w:t>3</w:t>
            </w:r>
            <w:r w:rsidR="002621AE">
              <w:rPr>
                <w:rFonts w:asciiTheme="minorHAnsi" w:eastAsiaTheme="minorEastAsia" w:hAnsiTheme="minorHAnsi"/>
                <w:noProof/>
                <w:sz w:val="22"/>
                <w:lang w:val="en-US"/>
              </w:rPr>
              <w:tab/>
            </w:r>
            <w:r w:rsidR="002621AE" w:rsidRPr="00122813">
              <w:rPr>
                <w:rStyle w:val="Hyperlink"/>
                <w:noProof/>
              </w:rPr>
              <w:t>CSR and Sustainability Objectives</w:t>
            </w:r>
            <w:r w:rsidR="002621AE">
              <w:rPr>
                <w:noProof/>
                <w:webHidden/>
              </w:rPr>
              <w:tab/>
            </w:r>
            <w:r w:rsidR="002621AE">
              <w:rPr>
                <w:noProof/>
                <w:webHidden/>
              </w:rPr>
              <w:fldChar w:fldCharType="begin"/>
            </w:r>
            <w:r w:rsidR="002621AE">
              <w:rPr>
                <w:noProof/>
                <w:webHidden/>
              </w:rPr>
              <w:instrText xml:space="preserve"> PAGEREF _Toc223992288 \h </w:instrText>
            </w:r>
            <w:r w:rsidR="002621AE">
              <w:rPr>
                <w:noProof/>
                <w:webHidden/>
              </w:rPr>
            </w:r>
            <w:r w:rsidR="002621AE">
              <w:rPr>
                <w:noProof/>
                <w:webHidden/>
              </w:rPr>
              <w:fldChar w:fldCharType="separate"/>
            </w:r>
            <w:r w:rsidR="002621AE">
              <w:rPr>
                <w:noProof/>
                <w:webHidden/>
              </w:rPr>
              <w:t>8</w:t>
            </w:r>
            <w:r w:rsidR="002621AE">
              <w:rPr>
                <w:noProof/>
                <w:webHidden/>
              </w:rPr>
              <w:fldChar w:fldCharType="end"/>
            </w:r>
          </w:hyperlink>
        </w:p>
        <w:p w14:paraId="1A408189" w14:textId="3555918B"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89" w:history="1">
            <w:r w:rsidR="002621AE" w:rsidRPr="00122813">
              <w:rPr>
                <w:rStyle w:val="Hyperlink"/>
                <w:bCs/>
                <w:noProof/>
              </w:rPr>
              <w:t>3.1</w:t>
            </w:r>
            <w:r w:rsidR="002621AE">
              <w:rPr>
                <w:rFonts w:asciiTheme="minorHAnsi" w:eastAsiaTheme="minorEastAsia" w:hAnsiTheme="minorHAnsi"/>
                <w:noProof/>
                <w:sz w:val="22"/>
                <w:lang w:val="en-US"/>
              </w:rPr>
              <w:tab/>
            </w:r>
            <w:r w:rsidR="002621AE" w:rsidRPr="00122813">
              <w:rPr>
                <w:rStyle w:val="Hyperlink"/>
                <w:noProof/>
              </w:rPr>
              <w:t>Tesla narrative vs reality (balanced critique)</w:t>
            </w:r>
            <w:r w:rsidR="002621AE">
              <w:rPr>
                <w:noProof/>
                <w:webHidden/>
              </w:rPr>
              <w:tab/>
            </w:r>
            <w:r w:rsidR="002621AE">
              <w:rPr>
                <w:noProof/>
                <w:webHidden/>
              </w:rPr>
              <w:fldChar w:fldCharType="begin"/>
            </w:r>
            <w:r w:rsidR="002621AE">
              <w:rPr>
                <w:noProof/>
                <w:webHidden/>
              </w:rPr>
              <w:instrText xml:space="preserve"> PAGEREF _Toc223992289 \h </w:instrText>
            </w:r>
            <w:r w:rsidR="002621AE">
              <w:rPr>
                <w:noProof/>
                <w:webHidden/>
              </w:rPr>
            </w:r>
            <w:r w:rsidR="002621AE">
              <w:rPr>
                <w:noProof/>
                <w:webHidden/>
              </w:rPr>
              <w:fldChar w:fldCharType="separate"/>
            </w:r>
            <w:r w:rsidR="002621AE">
              <w:rPr>
                <w:noProof/>
                <w:webHidden/>
              </w:rPr>
              <w:t>8</w:t>
            </w:r>
            <w:r w:rsidR="002621AE">
              <w:rPr>
                <w:noProof/>
                <w:webHidden/>
              </w:rPr>
              <w:fldChar w:fldCharType="end"/>
            </w:r>
          </w:hyperlink>
        </w:p>
        <w:p w14:paraId="37B631DF" w14:textId="1C3780E7"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90" w:history="1">
            <w:r w:rsidR="002621AE" w:rsidRPr="00122813">
              <w:rPr>
                <w:rStyle w:val="Hyperlink"/>
                <w:bCs/>
                <w:noProof/>
              </w:rPr>
              <w:t>3.2</w:t>
            </w:r>
            <w:r w:rsidR="002621AE">
              <w:rPr>
                <w:rFonts w:asciiTheme="minorHAnsi" w:eastAsiaTheme="minorEastAsia" w:hAnsiTheme="minorHAnsi"/>
                <w:noProof/>
                <w:sz w:val="22"/>
                <w:lang w:val="en-US"/>
              </w:rPr>
              <w:tab/>
            </w:r>
            <w:r w:rsidR="002621AE" w:rsidRPr="00122813">
              <w:rPr>
                <w:rStyle w:val="Hyperlink"/>
                <w:noProof/>
              </w:rPr>
              <w:t>Alignment with business objectives (strategic fit)</w:t>
            </w:r>
            <w:r w:rsidR="002621AE">
              <w:rPr>
                <w:noProof/>
                <w:webHidden/>
              </w:rPr>
              <w:tab/>
            </w:r>
            <w:r w:rsidR="002621AE">
              <w:rPr>
                <w:noProof/>
                <w:webHidden/>
              </w:rPr>
              <w:fldChar w:fldCharType="begin"/>
            </w:r>
            <w:r w:rsidR="002621AE">
              <w:rPr>
                <w:noProof/>
                <w:webHidden/>
              </w:rPr>
              <w:instrText xml:space="preserve"> PAGEREF _Toc223992290 \h </w:instrText>
            </w:r>
            <w:r w:rsidR="002621AE">
              <w:rPr>
                <w:noProof/>
                <w:webHidden/>
              </w:rPr>
            </w:r>
            <w:r w:rsidR="002621AE">
              <w:rPr>
                <w:noProof/>
                <w:webHidden/>
              </w:rPr>
              <w:fldChar w:fldCharType="separate"/>
            </w:r>
            <w:r w:rsidR="002621AE">
              <w:rPr>
                <w:noProof/>
                <w:webHidden/>
              </w:rPr>
              <w:t>9</w:t>
            </w:r>
            <w:r w:rsidR="002621AE">
              <w:rPr>
                <w:noProof/>
                <w:webHidden/>
              </w:rPr>
              <w:fldChar w:fldCharType="end"/>
            </w:r>
          </w:hyperlink>
        </w:p>
        <w:p w14:paraId="63A40E54" w14:textId="63035BCC"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91" w:history="1">
            <w:r w:rsidR="002621AE" w:rsidRPr="00122813">
              <w:rPr>
                <w:rStyle w:val="Hyperlink"/>
                <w:bCs/>
                <w:noProof/>
              </w:rPr>
              <w:t>3.3</w:t>
            </w:r>
            <w:r w:rsidR="002621AE">
              <w:rPr>
                <w:rFonts w:asciiTheme="minorHAnsi" w:eastAsiaTheme="minorEastAsia" w:hAnsiTheme="minorHAnsi"/>
                <w:noProof/>
                <w:sz w:val="22"/>
                <w:lang w:val="en-US"/>
              </w:rPr>
              <w:tab/>
            </w:r>
            <w:r w:rsidR="002621AE" w:rsidRPr="00122813">
              <w:rPr>
                <w:rStyle w:val="Hyperlink"/>
                <w:noProof/>
              </w:rPr>
              <w:t>Risks/criticisms + credibility gap</w:t>
            </w:r>
            <w:r w:rsidR="002621AE">
              <w:rPr>
                <w:noProof/>
                <w:webHidden/>
              </w:rPr>
              <w:tab/>
            </w:r>
            <w:r w:rsidR="002621AE">
              <w:rPr>
                <w:noProof/>
                <w:webHidden/>
              </w:rPr>
              <w:fldChar w:fldCharType="begin"/>
            </w:r>
            <w:r w:rsidR="002621AE">
              <w:rPr>
                <w:noProof/>
                <w:webHidden/>
              </w:rPr>
              <w:instrText xml:space="preserve"> PAGEREF _Toc223992291 \h </w:instrText>
            </w:r>
            <w:r w:rsidR="002621AE">
              <w:rPr>
                <w:noProof/>
                <w:webHidden/>
              </w:rPr>
            </w:r>
            <w:r w:rsidR="002621AE">
              <w:rPr>
                <w:noProof/>
                <w:webHidden/>
              </w:rPr>
              <w:fldChar w:fldCharType="separate"/>
            </w:r>
            <w:r w:rsidR="002621AE">
              <w:rPr>
                <w:noProof/>
                <w:webHidden/>
              </w:rPr>
              <w:t>9</w:t>
            </w:r>
            <w:r w:rsidR="002621AE">
              <w:rPr>
                <w:noProof/>
                <w:webHidden/>
              </w:rPr>
              <w:fldChar w:fldCharType="end"/>
            </w:r>
          </w:hyperlink>
        </w:p>
        <w:p w14:paraId="27C68FF3" w14:textId="0CEA4874" w:rsidR="002621AE" w:rsidRDefault="00C6743A">
          <w:pPr>
            <w:pStyle w:val="TOC1"/>
            <w:tabs>
              <w:tab w:val="left" w:pos="480"/>
              <w:tab w:val="right" w:leader="dot" w:pos="9016"/>
            </w:tabs>
            <w:rPr>
              <w:rFonts w:asciiTheme="minorHAnsi" w:eastAsiaTheme="minorEastAsia" w:hAnsiTheme="minorHAnsi"/>
              <w:noProof/>
              <w:sz w:val="22"/>
              <w:lang w:val="en-US"/>
            </w:rPr>
          </w:pPr>
          <w:hyperlink w:anchor="_Toc223992292" w:history="1">
            <w:r w:rsidR="002621AE" w:rsidRPr="00122813">
              <w:rPr>
                <w:rStyle w:val="Hyperlink"/>
                <w:noProof/>
              </w:rPr>
              <w:t>4</w:t>
            </w:r>
            <w:r w:rsidR="002621AE">
              <w:rPr>
                <w:rFonts w:asciiTheme="minorHAnsi" w:eastAsiaTheme="minorEastAsia" w:hAnsiTheme="minorHAnsi"/>
                <w:noProof/>
                <w:sz w:val="22"/>
                <w:lang w:val="en-US"/>
              </w:rPr>
              <w:tab/>
            </w:r>
            <w:r w:rsidR="002621AE" w:rsidRPr="00122813">
              <w:rPr>
                <w:rStyle w:val="Hyperlink"/>
                <w:noProof/>
              </w:rPr>
              <w:t>Comprehensive &amp; Holistic View: Balanced Scorecard</w:t>
            </w:r>
            <w:r w:rsidR="002621AE">
              <w:rPr>
                <w:noProof/>
                <w:webHidden/>
              </w:rPr>
              <w:tab/>
            </w:r>
            <w:r w:rsidR="002621AE">
              <w:rPr>
                <w:noProof/>
                <w:webHidden/>
              </w:rPr>
              <w:fldChar w:fldCharType="begin"/>
            </w:r>
            <w:r w:rsidR="002621AE">
              <w:rPr>
                <w:noProof/>
                <w:webHidden/>
              </w:rPr>
              <w:instrText xml:space="preserve"> PAGEREF _Toc223992292 \h </w:instrText>
            </w:r>
            <w:r w:rsidR="002621AE">
              <w:rPr>
                <w:noProof/>
                <w:webHidden/>
              </w:rPr>
            </w:r>
            <w:r w:rsidR="002621AE">
              <w:rPr>
                <w:noProof/>
                <w:webHidden/>
              </w:rPr>
              <w:fldChar w:fldCharType="separate"/>
            </w:r>
            <w:r w:rsidR="002621AE">
              <w:rPr>
                <w:noProof/>
                <w:webHidden/>
              </w:rPr>
              <w:t>9</w:t>
            </w:r>
            <w:r w:rsidR="002621AE">
              <w:rPr>
                <w:noProof/>
                <w:webHidden/>
              </w:rPr>
              <w:fldChar w:fldCharType="end"/>
            </w:r>
          </w:hyperlink>
        </w:p>
        <w:p w14:paraId="078D122E" w14:textId="5C65E6A3"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93" w:history="1">
            <w:r w:rsidR="002621AE" w:rsidRPr="00122813">
              <w:rPr>
                <w:rStyle w:val="Hyperlink"/>
                <w:noProof/>
              </w:rPr>
              <w:t>4.1</w:t>
            </w:r>
            <w:r w:rsidR="002621AE">
              <w:rPr>
                <w:rFonts w:asciiTheme="minorHAnsi" w:eastAsiaTheme="minorEastAsia" w:hAnsiTheme="minorHAnsi"/>
                <w:noProof/>
                <w:sz w:val="22"/>
                <w:lang w:val="en-US"/>
              </w:rPr>
              <w:tab/>
            </w:r>
            <w:r w:rsidR="002621AE" w:rsidRPr="00122813">
              <w:rPr>
                <w:rStyle w:val="Hyperlink"/>
                <w:noProof/>
              </w:rPr>
              <w:t>Financial perspective</w:t>
            </w:r>
            <w:r w:rsidR="002621AE">
              <w:rPr>
                <w:noProof/>
                <w:webHidden/>
              </w:rPr>
              <w:tab/>
            </w:r>
            <w:r w:rsidR="002621AE">
              <w:rPr>
                <w:noProof/>
                <w:webHidden/>
              </w:rPr>
              <w:fldChar w:fldCharType="begin"/>
            </w:r>
            <w:r w:rsidR="002621AE">
              <w:rPr>
                <w:noProof/>
                <w:webHidden/>
              </w:rPr>
              <w:instrText xml:space="preserve"> PAGEREF _Toc223992293 \h </w:instrText>
            </w:r>
            <w:r w:rsidR="002621AE">
              <w:rPr>
                <w:noProof/>
                <w:webHidden/>
              </w:rPr>
            </w:r>
            <w:r w:rsidR="002621AE">
              <w:rPr>
                <w:noProof/>
                <w:webHidden/>
              </w:rPr>
              <w:fldChar w:fldCharType="separate"/>
            </w:r>
            <w:r w:rsidR="002621AE">
              <w:rPr>
                <w:noProof/>
                <w:webHidden/>
              </w:rPr>
              <w:t>9</w:t>
            </w:r>
            <w:r w:rsidR="002621AE">
              <w:rPr>
                <w:noProof/>
                <w:webHidden/>
              </w:rPr>
              <w:fldChar w:fldCharType="end"/>
            </w:r>
          </w:hyperlink>
        </w:p>
        <w:p w14:paraId="49FF2B54" w14:textId="2B2BC234"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94" w:history="1">
            <w:r w:rsidR="002621AE" w:rsidRPr="00122813">
              <w:rPr>
                <w:rStyle w:val="Hyperlink"/>
                <w:noProof/>
              </w:rPr>
              <w:t>4.2</w:t>
            </w:r>
            <w:r w:rsidR="002621AE">
              <w:rPr>
                <w:rFonts w:asciiTheme="minorHAnsi" w:eastAsiaTheme="minorEastAsia" w:hAnsiTheme="minorHAnsi"/>
                <w:noProof/>
                <w:sz w:val="22"/>
                <w:lang w:val="en-US"/>
              </w:rPr>
              <w:tab/>
            </w:r>
            <w:r w:rsidR="002621AE" w:rsidRPr="00122813">
              <w:rPr>
                <w:rStyle w:val="Hyperlink"/>
                <w:noProof/>
              </w:rPr>
              <w:t>Customer perspective</w:t>
            </w:r>
            <w:r w:rsidR="002621AE">
              <w:rPr>
                <w:noProof/>
                <w:webHidden/>
              </w:rPr>
              <w:tab/>
            </w:r>
            <w:r w:rsidR="002621AE">
              <w:rPr>
                <w:noProof/>
                <w:webHidden/>
              </w:rPr>
              <w:fldChar w:fldCharType="begin"/>
            </w:r>
            <w:r w:rsidR="002621AE">
              <w:rPr>
                <w:noProof/>
                <w:webHidden/>
              </w:rPr>
              <w:instrText xml:space="preserve"> PAGEREF _Toc223992294 \h </w:instrText>
            </w:r>
            <w:r w:rsidR="002621AE">
              <w:rPr>
                <w:noProof/>
                <w:webHidden/>
              </w:rPr>
            </w:r>
            <w:r w:rsidR="002621AE">
              <w:rPr>
                <w:noProof/>
                <w:webHidden/>
              </w:rPr>
              <w:fldChar w:fldCharType="separate"/>
            </w:r>
            <w:r w:rsidR="002621AE">
              <w:rPr>
                <w:noProof/>
                <w:webHidden/>
              </w:rPr>
              <w:t>10</w:t>
            </w:r>
            <w:r w:rsidR="002621AE">
              <w:rPr>
                <w:noProof/>
                <w:webHidden/>
              </w:rPr>
              <w:fldChar w:fldCharType="end"/>
            </w:r>
          </w:hyperlink>
        </w:p>
        <w:p w14:paraId="5D2E0D55" w14:textId="4D985C94"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95" w:history="1">
            <w:r w:rsidR="002621AE" w:rsidRPr="00122813">
              <w:rPr>
                <w:rStyle w:val="Hyperlink"/>
                <w:noProof/>
              </w:rPr>
              <w:t>4.3</w:t>
            </w:r>
            <w:r w:rsidR="002621AE">
              <w:rPr>
                <w:rFonts w:asciiTheme="minorHAnsi" w:eastAsiaTheme="minorEastAsia" w:hAnsiTheme="minorHAnsi"/>
                <w:noProof/>
                <w:sz w:val="22"/>
                <w:lang w:val="en-US"/>
              </w:rPr>
              <w:tab/>
            </w:r>
            <w:r w:rsidR="002621AE" w:rsidRPr="00122813">
              <w:rPr>
                <w:rStyle w:val="Hyperlink"/>
                <w:noProof/>
              </w:rPr>
              <w:t>Internal process perspective</w:t>
            </w:r>
            <w:r w:rsidR="002621AE">
              <w:rPr>
                <w:noProof/>
                <w:webHidden/>
              </w:rPr>
              <w:tab/>
            </w:r>
            <w:r w:rsidR="002621AE">
              <w:rPr>
                <w:noProof/>
                <w:webHidden/>
              </w:rPr>
              <w:fldChar w:fldCharType="begin"/>
            </w:r>
            <w:r w:rsidR="002621AE">
              <w:rPr>
                <w:noProof/>
                <w:webHidden/>
              </w:rPr>
              <w:instrText xml:space="preserve"> PAGEREF _Toc223992295 \h </w:instrText>
            </w:r>
            <w:r w:rsidR="002621AE">
              <w:rPr>
                <w:noProof/>
                <w:webHidden/>
              </w:rPr>
            </w:r>
            <w:r w:rsidR="002621AE">
              <w:rPr>
                <w:noProof/>
                <w:webHidden/>
              </w:rPr>
              <w:fldChar w:fldCharType="separate"/>
            </w:r>
            <w:r w:rsidR="002621AE">
              <w:rPr>
                <w:noProof/>
                <w:webHidden/>
              </w:rPr>
              <w:t>10</w:t>
            </w:r>
            <w:r w:rsidR="002621AE">
              <w:rPr>
                <w:noProof/>
                <w:webHidden/>
              </w:rPr>
              <w:fldChar w:fldCharType="end"/>
            </w:r>
          </w:hyperlink>
        </w:p>
        <w:p w14:paraId="4AC24B39" w14:textId="7FFBCBEE"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96" w:history="1">
            <w:r w:rsidR="002621AE" w:rsidRPr="00122813">
              <w:rPr>
                <w:rStyle w:val="Hyperlink"/>
                <w:noProof/>
              </w:rPr>
              <w:t>4.4</w:t>
            </w:r>
            <w:r w:rsidR="002621AE">
              <w:rPr>
                <w:rFonts w:asciiTheme="minorHAnsi" w:eastAsiaTheme="minorEastAsia" w:hAnsiTheme="minorHAnsi"/>
                <w:noProof/>
                <w:sz w:val="22"/>
                <w:lang w:val="en-US"/>
              </w:rPr>
              <w:tab/>
            </w:r>
            <w:r w:rsidR="002621AE" w:rsidRPr="00122813">
              <w:rPr>
                <w:rStyle w:val="Hyperlink"/>
                <w:noProof/>
              </w:rPr>
              <w:t>Learning &amp; growth perspective</w:t>
            </w:r>
            <w:r w:rsidR="002621AE">
              <w:rPr>
                <w:noProof/>
                <w:webHidden/>
              </w:rPr>
              <w:tab/>
            </w:r>
            <w:r w:rsidR="002621AE">
              <w:rPr>
                <w:noProof/>
                <w:webHidden/>
              </w:rPr>
              <w:fldChar w:fldCharType="begin"/>
            </w:r>
            <w:r w:rsidR="002621AE">
              <w:rPr>
                <w:noProof/>
                <w:webHidden/>
              </w:rPr>
              <w:instrText xml:space="preserve"> PAGEREF _Toc223992296 \h </w:instrText>
            </w:r>
            <w:r w:rsidR="002621AE">
              <w:rPr>
                <w:noProof/>
                <w:webHidden/>
              </w:rPr>
            </w:r>
            <w:r w:rsidR="002621AE">
              <w:rPr>
                <w:noProof/>
                <w:webHidden/>
              </w:rPr>
              <w:fldChar w:fldCharType="separate"/>
            </w:r>
            <w:r w:rsidR="002621AE">
              <w:rPr>
                <w:noProof/>
                <w:webHidden/>
              </w:rPr>
              <w:t>10</w:t>
            </w:r>
            <w:r w:rsidR="002621AE">
              <w:rPr>
                <w:noProof/>
                <w:webHidden/>
              </w:rPr>
              <w:fldChar w:fldCharType="end"/>
            </w:r>
          </w:hyperlink>
        </w:p>
        <w:p w14:paraId="1ACC9F47" w14:textId="732245A3" w:rsidR="002621AE" w:rsidRDefault="00C6743A">
          <w:pPr>
            <w:pStyle w:val="TOC1"/>
            <w:tabs>
              <w:tab w:val="left" w:pos="480"/>
              <w:tab w:val="right" w:leader="dot" w:pos="9016"/>
            </w:tabs>
            <w:rPr>
              <w:rFonts w:asciiTheme="minorHAnsi" w:eastAsiaTheme="minorEastAsia" w:hAnsiTheme="minorHAnsi"/>
              <w:noProof/>
              <w:sz w:val="22"/>
              <w:lang w:val="en-US"/>
            </w:rPr>
          </w:pPr>
          <w:hyperlink w:anchor="_Toc223992297" w:history="1">
            <w:r w:rsidR="002621AE" w:rsidRPr="00122813">
              <w:rPr>
                <w:rStyle w:val="Hyperlink"/>
                <w:rFonts w:ascii="Times New Roman" w:hAnsi="Times New Roman"/>
                <w:noProof/>
              </w:rPr>
              <w:t>5</w:t>
            </w:r>
            <w:r w:rsidR="002621AE">
              <w:rPr>
                <w:rFonts w:asciiTheme="minorHAnsi" w:eastAsiaTheme="minorEastAsia" w:hAnsiTheme="minorHAnsi"/>
                <w:noProof/>
                <w:sz w:val="22"/>
                <w:lang w:val="en-US"/>
              </w:rPr>
              <w:tab/>
            </w:r>
            <w:r w:rsidR="002621AE" w:rsidRPr="00122813">
              <w:rPr>
                <w:rStyle w:val="Hyperlink"/>
                <w:noProof/>
              </w:rPr>
              <w:t>Strategic Choices and Implementation</w:t>
            </w:r>
            <w:r w:rsidR="002621AE">
              <w:rPr>
                <w:noProof/>
                <w:webHidden/>
              </w:rPr>
              <w:tab/>
            </w:r>
            <w:r w:rsidR="002621AE">
              <w:rPr>
                <w:noProof/>
                <w:webHidden/>
              </w:rPr>
              <w:fldChar w:fldCharType="begin"/>
            </w:r>
            <w:r w:rsidR="002621AE">
              <w:rPr>
                <w:noProof/>
                <w:webHidden/>
              </w:rPr>
              <w:instrText xml:space="preserve"> PAGEREF _Toc223992297 \h </w:instrText>
            </w:r>
            <w:r w:rsidR="002621AE">
              <w:rPr>
                <w:noProof/>
                <w:webHidden/>
              </w:rPr>
            </w:r>
            <w:r w:rsidR="002621AE">
              <w:rPr>
                <w:noProof/>
                <w:webHidden/>
              </w:rPr>
              <w:fldChar w:fldCharType="separate"/>
            </w:r>
            <w:r w:rsidR="002621AE">
              <w:rPr>
                <w:noProof/>
                <w:webHidden/>
              </w:rPr>
              <w:t>11</w:t>
            </w:r>
            <w:r w:rsidR="002621AE">
              <w:rPr>
                <w:noProof/>
                <w:webHidden/>
              </w:rPr>
              <w:fldChar w:fldCharType="end"/>
            </w:r>
          </w:hyperlink>
        </w:p>
        <w:p w14:paraId="37072AE7" w14:textId="37013604"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98" w:history="1">
            <w:r w:rsidR="002621AE" w:rsidRPr="00122813">
              <w:rPr>
                <w:rStyle w:val="Hyperlink"/>
                <w:bCs/>
                <w:noProof/>
              </w:rPr>
              <w:t>5.1</w:t>
            </w:r>
            <w:r w:rsidR="002621AE">
              <w:rPr>
                <w:rFonts w:asciiTheme="minorHAnsi" w:eastAsiaTheme="minorEastAsia" w:hAnsiTheme="minorHAnsi"/>
                <w:noProof/>
                <w:sz w:val="22"/>
                <w:lang w:val="en-US"/>
              </w:rPr>
              <w:tab/>
            </w:r>
            <w:r w:rsidR="002621AE" w:rsidRPr="00122813">
              <w:rPr>
                <w:rStyle w:val="Hyperlink"/>
                <w:noProof/>
              </w:rPr>
              <w:t>Business-level strategy (generic strategies): what Tesla is doing now</w:t>
            </w:r>
            <w:r w:rsidR="002621AE">
              <w:rPr>
                <w:noProof/>
                <w:webHidden/>
              </w:rPr>
              <w:tab/>
            </w:r>
            <w:r w:rsidR="002621AE">
              <w:rPr>
                <w:noProof/>
                <w:webHidden/>
              </w:rPr>
              <w:fldChar w:fldCharType="begin"/>
            </w:r>
            <w:r w:rsidR="002621AE">
              <w:rPr>
                <w:noProof/>
                <w:webHidden/>
              </w:rPr>
              <w:instrText xml:space="preserve"> PAGEREF _Toc223992298 \h </w:instrText>
            </w:r>
            <w:r w:rsidR="002621AE">
              <w:rPr>
                <w:noProof/>
                <w:webHidden/>
              </w:rPr>
            </w:r>
            <w:r w:rsidR="002621AE">
              <w:rPr>
                <w:noProof/>
                <w:webHidden/>
              </w:rPr>
              <w:fldChar w:fldCharType="separate"/>
            </w:r>
            <w:r w:rsidR="002621AE">
              <w:rPr>
                <w:noProof/>
                <w:webHidden/>
              </w:rPr>
              <w:t>11</w:t>
            </w:r>
            <w:r w:rsidR="002621AE">
              <w:rPr>
                <w:noProof/>
                <w:webHidden/>
              </w:rPr>
              <w:fldChar w:fldCharType="end"/>
            </w:r>
          </w:hyperlink>
        </w:p>
        <w:p w14:paraId="2905BE08" w14:textId="7461F3A9"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299" w:history="1">
            <w:r w:rsidR="002621AE" w:rsidRPr="00122813">
              <w:rPr>
                <w:rStyle w:val="Hyperlink"/>
                <w:bCs/>
                <w:noProof/>
              </w:rPr>
              <w:t>5.2</w:t>
            </w:r>
            <w:r w:rsidR="002621AE">
              <w:rPr>
                <w:rFonts w:asciiTheme="minorHAnsi" w:eastAsiaTheme="minorEastAsia" w:hAnsiTheme="minorHAnsi"/>
                <w:noProof/>
                <w:sz w:val="22"/>
                <w:lang w:val="en-US"/>
              </w:rPr>
              <w:tab/>
            </w:r>
            <w:r w:rsidR="002621AE" w:rsidRPr="00122813">
              <w:rPr>
                <w:rStyle w:val="Hyperlink"/>
                <w:noProof/>
              </w:rPr>
              <w:t>Corporate-level strategy choices</w:t>
            </w:r>
            <w:r w:rsidR="002621AE">
              <w:rPr>
                <w:noProof/>
                <w:webHidden/>
              </w:rPr>
              <w:tab/>
            </w:r>
            <w:r w:rsidR="002621AE">
              <w:rPr>
                <w:noProof/>
                <w:webHidden/>
              </w:rPr>
              <w:fldChar w:fldCharType="begin"/>
            </w:r>
            <w:r w:rsidR="002621AE">
              <w:rPr>
                <w:noProof/>
                <w:webHidden/>
              </w:rPr>
              <w:instrText xml:space="preserve"> PAGEREF _Toc223992299 \h </w:instrText>
            </w:r>
            <w:r w:rsidR="002621AE">
              <w:rPr>
                <w:noProof/>
                <w:webHidden/>
              </w:rPr>
            </w:r>
            <w:r w:rsidR="002621AE">
              <w:rPr>
                <w:noProof/>
                <w:webHidden/>
              </w:rPr>
              <w:fldChar w:fldCharType="separate"/>
            </w:r>
            <w:r w:rsidR="002621AE">
              <w:rPr>
                <w:noProof/>
                <w:webHidden/>
              </w:rPr>
              <w:t>11</w:t>
            </w:r>
            <w:r w:rsidR="002621AE">
              <w:rPr>
                <w:noProof/>
                <w:webHidden/>
              </w:rPr>
              <w:fldChar w:fldCharType="end"/>
            </w:r>
          </w:hyperlink>
        </w:p>
        <w:p w14:paraId="5C57F1C7" w14:textId="3F7B6939"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00" w:history="1">
            <w:r w:rsidR="002621AE" w:rsidRPr="00122813">
              <w:rPr>
                <w:rStyle w:val="Hyperlink"/>
                <w:bCs/>
                <w:noProof/>
              </w:rPr>
              <w:t>5.3</w:t>
            </w:r>
            <w:r w:rsidR="002621AE">
              <w:rPr>
                <w:rFonts w:asciiTheme="minorHAnsi" w:eastAsiaTheme="minorEastAsia" w:hAnsiTheme="minorHAnsi"/>
                <w:noProof/>
                <w:sz w:val="22"/>
                <w:lang w:val="en-US"/>
              </w:rPr>
              <w:tab/>
            </w:r>
            <w:r w:rsidR="002621AE" w:rsidRPr="00122813">
              <w:rPr>
                <w:rStyle w:val="Hyperlink"/>
                <w:noProof/>
              </w:rPr>
              <w:t>Recommendation: what Tesla should prioritise next</w:t>
            </w:r>
            <w:r w:rsidR="002621AE">
              <w:rPr>
                <w:noProof/>
                <w:webHidden/>
              </w:rPr>
              <w:tab/>
            </w:r>
            <w:r w:rsidR="002621AE">
              <w:rPr>
                <w:noProof/>
                <w:webHidden/>
              </w:rPr>
              <w:fldChar w:fldCharType="begin"/>
            </w:r>
            <w:r w:rsidR="002621AE">
              <w:rPr>
                <w:noProof/>
                <w:webHidden/>
              </w:rPr>
              <w:instrText xml:space="preserve"> PAGEREF _Toc223992300 \h </w:instrText>
            </w:r>
            <w:r w:rsidR="002621AE">
              <w:rPr>
                <w:noProof/>
                <w:webHidden/>
              </w:rPr>
            </w:r>
            <w:r w:rsidR="002621AE">
              <w:rPr>
                <w:noProof/>
                <w:webHidden/>
              </w:rPr>
              <w:fldChar w:fldCharType="separate"/>
            </w:r>
            <w:r w:rsidR="002621AE">
              <w:rPr>
                <w:noProof/>
                <w:webHidden/>
              </w:rPr>
              <w:t>12</w:t>
            </w:r>
            <w:r w:rsidR="002621AE">
              <w:rPr>
                <w:noProof/>
                <w:webHidden/>
              </w:rPr>
              <w:fldChar w:fldCharType="end"/>
            </w:r>
          </w:hyperlink>
        </w:p>
        <w:p w14:paraId="34E333F7" w14:textId="30C83B78"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01" w:history="1">
            <w:r w:rsidR="002621AE" w:rsidRPr="00122813">
              <w:rPr>
                <w:rStyle w:val="Hyperlink"/>
                <w:noProof/>
              </w:rPr>
              <w:t>5.4</w:t>
            </w:r>
            <w:r w:rsidR="002621AE">
              <w:rPr>
                <w:rFonts w:asciiTheme="minorHAnsi" w:eastAsiaTheme="minorEastAsia" w:hAnsiTheme="minorHAnsi"/>
                <w:noProof/>
                <w:sz w:val="22"/>
                <w:lang w:val="en-US"/>
              </w:rPr>
              <w:tab/>
            </w:r>
            <w:r w:rsidR="002621AE" w:rsidRPr="00122813">
              <w:rPr>
                <w:rStyle w:val="Hyperlink"/>
                <w:noProof/>
              </w:rPr>
              <w:t>Change management critique</w:t>
            </w:r>
            <w:r w:rsidR="002621AE">
              <w:rPr>
                <w:noProof/>
                <w:webHidden/>
              </w:rPr>
              <w:tab/>
            </w:r>
            <w:r w:rsidR="002621AE">
              <w:rPr>
                <w:noProof/>
                <w:webHidden/>
              </w:rPr>
              <w:fldChar w:fldCharType="begin"/>
            </w:r>
            <w:r w:rsidR="002621AE">
              <w:rPr>
                <w:noProof/>
                <w:webHidden/>
              </w:rPr>
              <w:instrText xml:space="preserve"> PAGEREF _Toc223992301 \h </w:instrText>
            </w:r>
            <w:r w:rsidR="002621AE">
              <w:rPr>
                <w:noProof/>
                <w:webHidden/>
              </w:rPr>
            </w:r>
            <w:r w:rsidR="002621AE">
              <w:rPr>
                <w:noProof/>
                <w:webHidden/>
              </w:rPr>
              <w:fldChar w:fldCharType="separate"/>
            </w:r>
            <w:r w:rsidR="002621AE">
              <w:rPr>
                <w:noProof/>
                <w:webHidden/>
              </w:rPr>
              <w:t>12</w:t>
            </w:r>
            <w:r w:rsidR="002621AE">
              <w:rPr>
                <w:noProof/>
                <w:webHidden/>
              </w:rPr>
              <w:fldChar w:fldCharType="end"/>
            </w:r>
          </w:hyperlink>
        </w:p>
        <w:p w14:paraId="0B4D47F3" w14:textId="4EA2E249" w:rsidR="002621AE" w:rsidRDefault="00C6743A">
          <w:pPr>
            <w:pStyle w:val="TOC1"/>
            <w:tabs>
              <w:tab w:val="left" w:pos="480"/>
              <w:tab w:val="right" w:leader="dot" w:pos="9016"/>
            </w:tabs>
            <w:rPr>
              <w:rFonts w:asciiTheme="minorHAnsi" w:eastAsiaTheme="minorEastAsia" w:hAnsiTheme="minorHAnsi"/>
              <w:noProof/>
              <w:sz w:val="22"/>
              <w:lang w:val="en-US"/>
            </w:rPr>
          </w:pPr>
          <w:hyperlink w:anchor="_Toc223992302" w:history="1">
            <w:r w:rsidR="002621AE" w:rsidRPr="00122813">
              <w:rPr>
                <w:rStyle w:val="Hyperlink"/>
                <w:rFonts w:ascii="Times New Roman" w:hAnsi="Times New Roman"/>
                <w:noProof/>
              </w:rPr>
              <w:t>6</w:t>
            </w:r>
            <w:r w:rsidR="002621AE">
              <w:rPr>
                <w:rFonts w:asciiTheme="minorHAnsi" w:eastAsiaTheme="minorEastAsia" w:hAnsiTheme="minorHAnsi"/>
                <w:noProof/>
                <w:sz w:val="22"/>
                <w:lang w:val="en-US"/>
              </w:rPr>
              <w:tab/>
            </w:r>
            <w:r w:rsidR="002621AE" w:rsidRPr="00122813">
              <w:rPr>
                <w:rStyle w:val="Hyperlink"/>
                <w:noProof/>
              </w:rPr>
              <w:t>Strategic Evaluation and Recommendations</w:t>
            </w:r>
            <w:r w:rsidR="002621AE">
              <w:rPr>
                <w:noProof/>
                <w:webHidden/>
              </w:rPr>
              <w:tab/>
            </w:r>
            <w:r w:rsidR="002621AE">
              <w:rPr>
                <w:noProof/>
                <w:webHidden/>
              </w:rPr>
              <w:fldChar w:fldCharType="begin"/>
            </w:r>
            <w:r w:rsidR="002621AE">
              <w:rPr>
                <w:noProof/>
                <w:webHidden/>
              </w:rPr>
              <w:instrText xml:space="preserve"> PAGEREF _Toc223992302 \h </w:instrText>
            </w:r>
            <w:r w:rsidR="002621AE">
              <w:rPr>
                <w:noProof/>
                <w:webHidden/>
              </w:rPr>
            </w:r>
            <w:r w:rsidR="002621AE">
              <w:rPr>
                <w:noProof/>
                <w:webHidden/>
              </w:rPr>
              <w:fldChar w:fldCharType="separate"/>
            </w:r>
            <w:r w:rsidR="002621AE">
              <w:rPr>
                <w:noProof/>
                <w:webHidden/>
              </w:rPr>
              <w:t>12</w:t>
            </w:r>
            <w:r w:rsidR="002621AE">
              <w:rPr>
                <w:noProof/>
                <w:webHidden/>
              </w:rPr>
              <w:fldChar w:fldCharType="end"/>
            </w:r>
          </w:hyperlink>
        </w:p>
        <w:p w14:paraId="2ECDF81D" w14:textId="4F1C1FC7"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03" w:history="1">
            <w:r w:rsidR="002621AE" w:rsidRPr="00122813">
              <w:rPr>
                <w:rStyle w:val="Hyperlink"/>
                <w:noProof/>
              </w:rPr>
              <w:t>6.1</w:t>
            </w:r>
            <w:r w:rsidR="002621AE">
              <w:rPr>
                <w:rFonts w:asciiTheme="minorHAnsi" w:eastAsiaTheme="minorEastAsia" w:hAnsiTheme="minorHAnsi"/>
                <w:noProof/>
                <w:sz w:val="22"/>
                <w:lang w:val="en-US"/>
              </w:rPr>
              <w:tab/>
            </w:r>
            <w:r w:rsidR="002621AE" w:rsidRPr="00122813">
              <w:rPr>
                <w:rStyle w:val="Hyperlink"/>
                <w:noProof/>
              </w:rPr>
              <w:t>Evidence-led SWOT of Tesla’s current strategy</w:t>
            </w:r>
            <w:r w:rsidR="002621AE">
              <w:rPr>
                <w:noProof/>
                <w:webHidden/>
              </w:rPr>
              <w:tab/>
            </w:r>
            <w:r w:rsidR="002621AE">
              <w:rPr>
                <w:noProof/>
                <w:webHidden/>
              </w:rPr>
              <w:fldChar w:fldCharType="begin"/>
            </w:r>
            <w:r w:rsidR="002621AE">
              <w:rPr>
                <w:noProof/>
                <w:webHidden/>
              </w:rPr>
              <w:instrText xml:space="preserve"> PAGEREF _Toc223992303 \h </w:instrText>
            </w:r>
            <w:r w:rsidR="002621AE">
              <w:rPr>
                <w:noProof/>
                <w:webHidden/>
              </w:rPr>
            </w:r>
            <w:r w:rsidR="002621AE">
              <w:rPr>
                <w:noProof/>
                <w:webHidden/>
              </w:rPr>
              <w:fldChar w:fldCharType="separate"/>
            </w:r>
            <w:r w:rsidR="002621AE">
              <w:rPr>
                <w:noProof/>
                <w:webHidden/>
              </w:rPr>
              <w:t>12</w:t>
            </w:r>
            <w:r w:rsidR="002621AE">
              <w:rPr>
                <w:noProof/>
                <w:webHidden/>
              </w:rPr>
              <w:fldChar w:fldCharType="end"/>
            </w:r>
          </w:hyperlink>
        </w:p>
        <w:p w14:paraId="2EB44B46" w14:textId="31AB91AF"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04" w:history="1">
            <w:r w:rsidR="002621AE" w:rsidRPr="00122813">
              <w:rPr>
                <w:rStyle w:val="Hyperlink"/>
                <w:noProof/>
              </w:rPr>
              <w:t>6.2</w:t>
            </w:r>
            <w:r w:rsidR="002621AE">
              <w:rPr>
                <w:rFonts w:asciiTheme="minorHAnsi" w:eastAsiaTheme="minorEastAsia" w:hAnsiTheme="minorHAnsi"/>
                <w:noProof/>
                <w:sz w:val="22"/>
                <w:lang w:val="en-US"/>
              </w:rPr>
              <w:tab/>
            </w:r>
            <w:r w:rsidR="002621AE" w:rsidRPr="00122813">
              <w:rPr>
                <w:rStyle w:val="Hyperlink"/>
                <w:noProof/>
              </w:rPr>
              <w:t>Supporting framework: Ansoff Matrix</w:t>
            </w:r>
            <w:r w:rsidR="002621AE">
              <w:rPr>
                <w:noProof/>
                <w:webHidden/>
              </w:rPr>
              <w:tab/>
            </w:r>
            <w:r w:rsidR="002621AE">
              <w:rPr>
                <w:noProof/>
                <w:webHidden/>
              </w:rPr>
              <w:fldChar w:fldCharType="begin"/>
            </w:r>
            <w:r w:rsidR="002621AE">
              <w:rPr>
                <w:noProof/>
                <w:webHidden/>
              </w:rPr>
              <w:instrText xml:space="preserve"> PAGEREF _Toc223992304 \h </w:instrText>
            </w:r>
            <w:r w:rsidR="002621AE">
              <w:rPr>
                <w:noProof/>
                <w:webHidden/>
              </w:rPr>
            </w:r>
            <w:r w:rsidR="002621AE">
              <w:rPr>
                <w:noProof/>
                <w:webHidden/>
              </w:rPr>
              <w:fldChar w:fldCharType="separate"/>
            </w:r>
            <w:r w:rsidR="002621AE">
              <w:rPr>
                <w:noProof/>
                <w:webHidden/>
              </w:rPr>
              <w:t>13</w:t>
            </w:r>
            <w:r w:rsidR="002621AE">
              <w:rPr>
                <w:noProof/>
                <w:webHidden/>
              </w:rPr>
              <w:fldChar w:fldCharType="end"/>
            </w:r>
          </w:hyperlink>
        </w:p>
        <w:p w14:paraId="55B894FE" w14:textId="17199D11"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05" w:history="1">
            <w:r w:rsidR="002621AE" w:rsidRPr="00122813">
              <w:rPr>
                <w:rStyle w:val="Hyperlink"/>
                <w:noProof/>
              </w:rPr>
              <w:t>6.3</w:t>
            </w:r>
            <w:r w:rsidR="002621AE">
              <w:rPr>
                <w:rFonts w:asciiTheme="minorHAnsi" w:eastAsiaTheme="minorEastAsia" w:hAnsiTheme="minorHAnsi"/>
                <w:noProof/>
                <w:sz w:val="22"/>
                <w:lang w:val="en-US"/>
              </w:rPr>
              <w:tab/>
            </w:r>
            <w:r w:rsidR="002621AE" w:rsidRPr="00122813">
              <w:rPr>
                <w:rStyle w:val="Hyperlink"/>
                <w:noProof/>
              </w:rPr>
              <w:t>Recommendations</w:t>
            </w:r>
            <w:r w:rsidR="002621AE">
              <w:rPr>
                <w:noProof/>
                <w:webHidden/>
              </w:rPr>
              <w:tab/>
            </w:r>
            <w:r w:rsidR="002621AE">
              <w:rPr>
                <w:noProof/>
                <w:webHidden/>
              </w:rPr>
              <w:fldChar w:fldCharType="begin"/>
            </w:r>
            <w:r w:rsidR="002621AE">
              <w:rPr>
                <w:noProof/>
                <w:webHidden/>
              </w:rPr>
              <w:instrText xml:space="preserve"> PAGEREF _Toc223992305 \h </w:instrText>
            </w:r>
            <w:r w:rsidR="002621AE">
              <w:rPr>
                <w:noProof/>
                <w:webHidden/>
              </w:rPr>
            </w:r>
            <w:r w:rsidR="002621AE">
              <w:rPr>
                <w:noProof/>
                <w:webHidden/>
              </w:rPr>
              <w:fldChar w:fldCharType="separate"/>
            </w:r>
            <w:r w:rsidR="002621AE">
              <w:rPr>
                <w:noProof/>
                <w:webHidden/>
              </w:rPr>
              <w:t>13</w:t>
            </w:r>
            <w:r w:rsidR="002621AE">
              <w:rPr>
                <w:noProof/>
                <w:webHidden/>
              </w:rPr>
              <w:fldChar w:fldCharType="end"/>
            </w:r>
          </w:hyperlink>
        </w:p>
        <w:p w14:paraId="2538C8F0" w14:textId="1154C4F7"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06" w:history="1">
            <w:r w:rsidR="002621AE" w:rsidRPr="00122813">
              <w:rPr>
                <w:rStyle w:val="Hyperlink"/>
                <w:noProof/>
              </w:rPr>
              <w:t>6.4</w:t>
            </w:r>
            <w:r w:rsidR="002621AE">
              <w:rPr>
                <w:rFonts w:asciiTheme="minorHAnsi" w:eastAsiaTheme="minorEastAsia" w:hAnsiTheme="minorHAnsi"/>
                <w:noProof/>
                <w:sz w:val="22"/>
                <w:lang w:val="en-US"/>
              </w:rPr>
              <w:tab/>
            </w:r>
            <w:r w:rsidR="002621AE" w:rsidRPr="00122813">
              <w:rPr>
                <w:rStyle w:val="Hyperlink"/>
                <w:noProof/>
              </w:rPr>
              <w:t>Risk note</w:t>
            </w:r>
            <w:r w:rsidR="002621AE">
              <w:rPr>
                <w:noProof/>
                <w:webHidden/>
              </w:rPr>
              <w:tab/>
            </w:r>
            <w:r w:rsidR="002621AE">
              <w:rPr>
                <w:noProof/>
                <w:webHidden/>
              </w:rPr>
              <w:fldChar w:fldCharType="begin"/>
            </w:r>
            <w:r w:rsidR="002621AE">
              <w:rPr>
                <w:noProof/>
                <w:webHidden/>
              </w:rPr>
              <w:instrText xml:space="preserve"> PAGEREF _Toc223992306 \h </w:instrText>
            </w:r>
            <w:r w:rsidR="002621AE">
              <w:rPr>
                <w:noProof/>
                <w:webHidden/>
              </w:rPr>
            </w:r>
            <w:r w:rsidR="002621AE">
              <w:rPr>
                <w:noProof/>
                <w:webHidden/>
              </w:rPr>
              <w:fldChar w:fldCharType="separate"/>
            </w:r>
            <w:r w:rsidR="002621AE">
              <w:rPr>
                <w:noProof/>
                <w:webHidden/>
              </w:rPr>
              <w:t>13</w:t>
            </w:r>
            <w:r w:rsidR="002621AE">
              <w:rPr>
                <w:noProof/>
                <w:webHidden/>
              </w:rPr>
              <w:fldChar w:fldCharType="end"/>
            </w:r>
          </w:hyperlink>
        </w:p>
        <w:p w14:paraId="0E8171E9" w14:textId="109A62E0" w:rsidR="002621AE" w:rsidRDefault="00C6743A">
          <w:pPr>
            <w:pStyle w:val="TOC1"/>
            <w:tabs>
              <w:tab w:val="right" w:leader="dot" w:pos="9016"/>
            </w:tabs>
            <w:rPr>
              <w:rFonts w:asciiTheme="minorHAnsi" w:eastAsiaTheme="minorEastAsia" w:hAnsiTheme="minorHAnsi"/>
              <w:noProof/>
              <w:sz w:val="22"/>
              <w:lang w:val="en-US"/>
            </w:rPr>
          </w:pPr>
          <w:hyperlink w:anchor="_Toc223992307" w:history="1">
            <w:r w:rsidR="002621AE" w:rsidRPr="00122813">
              <w:rPr>
                <w:rStyle w:val="Hyperlink"/>
                <w:rFonts w:eastAsia="Times New Roman"/>
                <w:noProof/>
              </w:rPr>
              <w:t>Section 2:</w:t>
            </w:r>
            <w:r w:rsidR="002621AE">
              <w:rPr>
                <w:noProof/>
                <w:webHidden/>
              </w:rPr>
              <w:tab/>
            </w:r>
            <w:r w:rsidR="002621AE">
              <w:rPr>
                <w:noProof/>
                <w:webHidden/>
              </w:rPr>
              <w:fldChar w:fldCharType="begin"/>
            </w:r>
            <w:r w:rsidR="002621AE">
              <w:rPr>
                <w:noProof/>
                <w:webHidden/>
              </w:rPr>
              <w:instrText xml:space="preserve"> PAGEREF _Toc223992307 \h </w:instrText>
            </w:r>
            <w:r w:rsidR="002621AE">
              <w:rPr>
                <w:noProof/>
                <w:webHidden/>
              </w:rPr>
            </w:r>
            <w:r w:rsidR="002621AE">
              <w:rPr>
                <w:noProof/>
                <w:webHidden/>
              </w:rPr>
              <w:fldChar w:fldCharType="separate"/>
            </w:r>
            <w:r w:rsidR="002621AE">
              <w:rPr>
                <w:noProof/>
                <w:webHidden/>
              </w:rPr>
              <w:t>14</w:t>
            </w:r>
            <w:r w:rsidR="002621AE">
              <w:rPr>
                <w:noProof/>
                <w:webHidden/>
              </w:rPr>
              <w:fldChar w:fldCharType="end"/>
            </w:r>
          </w:hyperlink>
        </w:p>
        <w:p w14:paraId="16FBBF81" w14:textId="30446794" w:rsidR="002621AE" w:rsidRDefault="00C6743A">
          <w:pPr>
            <w:pStyle w:val="TOC1"/>
            <w:tabs>
              <w:tab w:val="left" w:pos="480"/>
              <w:tab w:val="right" w:leader="dot" w:pos="9016"/>
            </w:tabs>
            <w:rPr>
              <w:rFonts w:asciiTheme="minorHAnsi" w:eastAsiaTheme="minorEastAsia" w:hAnsiTheme="minorHAnsi"/>
              <w:noProof/>
              <w:sz w:val="22"/>
              <w:lang w:val="en-US"/>
            </w:rPr>
          </w:pPr>
          <w:hyperlink w:anchor="_Toc223992308" w:history="1">
            <w:r w:rsidR="002621AE" w:rsidRPr="00122813">
              <w:rPr>
                <w:rStyle w:val="Hyperlink"/>
                <w:rFonts w:eastAsia="Times New Roman"/>
                <w:noProof/>
              </w:rPr>
              <w:t>7</w:t>
            </w:r>
            <w:r w:rsidR="002621AE">
              <w:rPr>
                <w:rFonts w:asciiTheme="minorHAnsi" w:eastAsiaTheme="minorEastAsia" w:hAnsiTheme="minorHAnsi"/>
                <w:noProof/>
                <w:sz w:val="22"/>
                <w:lang w:val="en-US"/>
              </w:rPr>
              <w:tab/>
            </w:r>
            <w:r w:rsidR="002621AE" w:rsidRPr="00122813">
              <w:rPr>
                <w:rStyle w:val="Hyperlink"/>
                <w:rFonts w:eastAsia="Times New Roman"/>
                <w:noProof/>
              </w:rPr>
              <w:t>Reflective Account Using Gibbs Cycle</w:t>
            </w:r>
            <w:r w:rsidR="002621AE">
              <w:rPr>
                <w:noProof/>
                <w:webHidden/>
              </w:rPr>
              <w:tab/>
            </w:r>
            <w:r w:rsidR="002621AE">
              <w:rPr>
                <w:noProof/>
                <w:webHidden/>
              </w:rPr>
              <w:fldChar w:fldCharType="begin"/>
            </w:r>
            <w:r w:rsidR="002621AE">
              <w:rPr>
                <w:noProof/>
                <w:webHidden/>
              </w:rPr>
              <w:instrText xml:space="preserve"> PAGEREF _Toc223992308 \h </w:instrText>
            </w:r>
            <w:r w:rsidR="002621AE">
              <w:rPr>
                <w:noProof/>
                <w:webHidden/>
              </w:rPr>
            </w:r>
            <w:r w:rsidR="002621AE">
              <w:rPr>
                <w:noProof/>
                <w:webHidden/>
              </w:rPr>
              <w:fldChar w:fldCharType="separate"/>
            </w:r>
            <w:r w:rsidR="002621AE">
              <w:rPr>
                <w:noProof/>
                <w:webHidden/>
              </w:rPr>
              <w:t>14</w:t>
            </w:r>
            <w:r w:rsidR="002621AE">
              <w:rPr>
                <w:noProof/>
                <w:webHidden/>
              </w:rPr>
              <w:fldChar w:fldCharType="end"/>
            </w:r>
          </w:hyperlink>
        </w:p>
        <w:p w14:paraId="52EE72C2" w14:textId="4D37D190"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09" w:history="1">
            <w:r w:rsidR="002621AE" w:rsidRPr="00122813">
              <w:rPr>
                <w:rStyle w:val="Hyperlink"/>
                <w:rFonts w:eastAsia="Times New Roman"/>
                <w:noProof/>
              </w:rPr>
              <w:t>7.1</w:t>
            </w:r>
            <w:r w:rsidR="002621AE">
              <w:rPr>
                <w:rFonts w:asciiTheme="minorHAnsi" w:eastAsiaTheme="minorEastAsia" w:hAnsiTheme="minorHAnsi"/>
                <w:noProof/>
                <w:sz w:val="22"/>
                <w:lang w:val="en-US"/>
              </w:rPr>
              <w:tab/>
            </w:r>
            <w:r w:rsidR="002621AE" w:rsidRPr="00122813">
              <w:rPr>
                <w:rStyle w:val="Hyperlink"/>
                <w:rFonts w:eastAsia="Times New Roman"/>
                <w:noProof/>
              </w:rPr>
              <w:t>Description</w:t>
            </w:r>
            <w:r w:rsidR="002621AE">
              <w:rPr>
                <w:noProof/>
                <w:webHidden/>
              </w:rPr>
              <w:tab/>
            </w:r>
            <w:r w:rsidR="002621AE">
              <w:rPr>
                <w:noProof/>
                <w:webHidden/>
              </w:rPr>
              <w:fldChar w:fldCharType="begin"/>
            </w:r>
            <w:r w:rsidR="002621AE">
              <w:rPr>
                <w:noProof/>
                <w:webHidden/>
              </w:rPr>
              <w:instrText xml:space="preserve"> PAGEREF _Toc223992309 \h </w:instrText>
            </w:r>
            <w:r w:rsidR="002621AE">
              <w:rPr>
                <w:noProof/>
                <w:webHidden/>
              </w:rPr>
            </w:r>
            <w:r w:rsidR="002621AE">
              <w:rPr>
                <w:noProof/>
                <w:webHidden/>
              </w:rPr>
              <w:fldChar w:fldCharType="separate"/>
            </w:r>
            <w:r w:rsidR="002621AE">
              <w:rPr>
                <w:noProof/>
                <w:webHidden/>
              </w:rPr>
              <w:t>14</w:t>
            </w:r>
            <w:r w:rsidR="002621AE">
              <w:rPr>
                <w:noProof/>
                <w:webHidden/>
              </w:rPr>
              <w:fldChar w:fldCharType="end"/>
            </w:r>
          </w:hyperlink>
        </w:p>
        <w:p w14:paraId="20B54D7A" w14:textId="62CC77B1"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10" w:history="1">
            <w:r w:rsidR="002621AE" w:rsidRPr="00122813">
              <w:rPr>
                <w:rStyle w:val="Hyperlink"/>
                <w:rFonts w:eastAsia="Times New Roman"/>
                <w:noProof/>
              </w:rPr>
              <w:t>7.2</w:t>
            </w:r>
            <w:r w:rsidR="002621AE">
              <w:rPr>
                <w:rFonts w:asciiTheme="minorHAnsi" w:eastAsiaTheme="minorEastAsia" w:hAnsiTheme="minorHAnsi"/>
                <w:noProof/>
                <w:sz w:val="22"/>
                <w:lang w:val="en-US"/>
              </w:rPr>
              <w:tab/>
            </w:r>
            <w:r w:rsidR="002621AE" w:rsidRPr="00122813">
              <w:rPr>
                <w:rStyle w:val="Hyperlink"/>
                <w:rFonts w:eastAsia="Times New Roman"/>
                <w:noProof/>
              </w:rPr>
              <w:t>Feelings</w:t>
            </w:r>
            <w:r w:rsidR="002621AE">
              <w:rPr>
                <w:noProof/>
                <w:webHidden/>
              </w:rPr>
              <w:tab/>
            </w:r>
            <w:r w:rsidR="002621AE">
              <w:rPr>
                <w:noProof/>
                <w:webHidden/>
              </w:rPr>
              <w:fldChar w:fldCharType="begin"/>
            </w:r>
            <w:r w:rsidR="002621AE">
              <w:rPr>
                <w:noProof/>
                <w:webHidden/>
              </w:rPr>
              <w:instrText xml:space="preserve"> PAGEREF _Toc223992310 \h </w:instrText>
            </w:r>
            <w:r w:rsidR="002621AE">
              <w:rPr>
                <w:noProof/>
                <w:webHidden/>
              </w:rPr>
            </w:r>
            <w:r w:rsidR="002621AE">
              <w:rPr>
                <w:noProof/>
                <w:webHidden/>
              </w:rPr>
              <w:fldChar w:fldCharType="separate"/>
            </w:r>
            <w:r w:rsidR="002621AE">
              <w:rPr>
                <w:noProof/>
                <w:webHidden/>
              </w:rPr>
              <w:t>14</w:t>
            </w:r>
            <w:r w:rsidR="002621AE">
              <w:rPr>
                <w:noProof/>
                <w:webHidden/>
              </w:rPr>
              <w:fldChar w:fldCharType="end"/>
            </w:r>
          </w:hyperlink>
        </w:p>
        <w:p w14:paraId="666A025B" w14:textId="5B706F97"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11" w:history="1">
            <w:r w:rsidR="002621AE" w:rsidRPr="00122813">
              <w:rPr>
                <w:rStyle w:val="Hyperlink"/>
                <w:rFonts w:eastAsia="Times New Roman"/>
                <w:noProof/>
              </w:rPr>
              <w:t>7.3</w:t>
            </w:r>
            <w:r w:rsidR="002621AE">
              <w:rPr>
                <w:rFonts w:asciiTheme="minorHAnsi" w:eastAsiaTheme="minorEastAsia" w:hAnsiTheme="minorHAnsi"/>
                <w:noProof/>
                <w:sz w:val="22"/>
                <w:lang w:val="en-US"/>
              </w:rPr>
              <w:tab/>
            </w:r>
            <w:r w:rsidR="002621AE" w:rsidRPr="00122813">
              <w:rPr>
                <w:rStyle w:val="Hyperlink"/>
                <w:rFonts w:eastAsia="Times New Roman"/>
                <w:noProof/>
              </w:rPr>
              <w:t>Evaluation</w:t>
            </w:r>
            <w:r w:rsidR="002621AE">
              <w:rPr>
                <w:noProof/>
                <w:webHidden/>
              </w:rPr>
              <w:tab/>
            </w:r>
            <w:r w:rsidR="002621AE">
              <w:rPr>
                <w:noProof/>
                <w:webHidden/>
              </w:rPr>
              <w:fldChar w:fldCharType="begin"/>
            </w:r>
            <w:r w:rsidR="002621AE">
              <w:rPr>
                <w:noProof/>
                <w:webHidden/>
              </w:rPr>
              <w:instrText xml:space="preserve"> PAGEREF _Toc223992311 \h </w:instrText>
            </w:r>
            <w:r w:rsidR="002621AE">
              <w:rPr>
                <w:noProof/>
                <w:webHidden/>
              </w:rPr>
            </w:r>
            <w:r w:rsidR="002621AE">
              <w:rPr>
                <w:noProof/>
                <w:webHidden/>
              </w:rPr>
              <w:fldChar w:fldCharType="separate"/>
            </w:r>
            <w:r w:rsidR="002621AE">
              <w:rPr>
                <w:noProof/>
                <w:webHidden/>
              </w:rPr>
              <w:t>14</w:t>
            </w:r>
            <w:r w:rsidR="002621AE">
              <w:rPr>
                <w:noProof/>
                <w:webHidden/>
              </w:rPr>
              <w:fldChar w:fldCharType="end"/>
            </w:r>
          </w:hyperlink>
        </w:p>
        <w:p w14:paraId="0BE95060" w14:textId="244A4631"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12" w:history="1">
            <w:r w:rsidR="002621AE" w:rsidRPr="00122813">
              <w:rPr>
                <w:rStyle w:val="Hyperlink"/>
                <w:rFonts w:eastAsia="Times New Roman"/>
                <w:noProof/>
              </w:rPr>
              <w:t>7.4</w:t>
            </w:r>
            <w:r w:rsidR="002621AE">
              <w:rPr>
                <w:rFonts w:asciiTheme="minorHAnsi" w:eastAsiaTheme="minorEastAsia" w:hAnsiTheme="minorHAnsi"/>
                <w:noProof/>
                <w:sz w:val="22"/>
                <w:lang w:val="en-US"/>
              </w:rPr>
              <w:tab/>
            </w:r>
            <w:r w:rsidR="002621AE" w:rsidRPr="00122813">
              <w:rPr>
                <w:rStyle w:val="Hyperlink"/>
                <w:rFonts w:eastAsia="Times New Roman"/>
                <w:noProof/>
              </w:rPr>
              <w:t>Analysis</w:t>
            </w:r>
            <w:r w:rsidR="002621AE">
              <w:rPr>
                <w:noProof/>
                <w:webHidden/>
              </w:rPr>
              <w:tab/>
            </w:r>
            <w:r w:rsidR="002621AE">
              <w:rPr>
                <w:noProof/>
                <w:webHidden/>
              </w:rPr>
              <w:fldChar w:fldCharType="begin"/>
            </w:r>
            <w:r w:rsidR="002621AE">
              <w:rPr>
                <w:noProof/>
                <w:webHidden/>
              </w:rPr>
              <w:instrText xml:space="preserve"> PAGEREF _Toc223992312 \h </w:instrText>
            </w:r>
            <w:r w:rsidR="002621AE">
              <w:rPr>
                <w:noProof/>
                <w:webHidden/>
              </w:rPr>
            </w:r>
            <w:r w:rsidR="002621AE">
              <w:rPr>
                <w:noProof/>
                <w:webHidden/>
              </w:rPr>
              <w:fldChar w:fldCharType="separate"/>
            </w:r>
            <w:r w:rsidR="002621AE">
              <w:rPr>
                <w:noProof/>
                <w:webHidden/>
              </w:rPr>
              <w:t>14</w:t>
            </w:r>
            <w:r w:rsidR="002621AE">
              <w:rPr>
                <w:noProof/>
                <w:webHidden/>
              </w:rPr>
              <w:fldChar w:fldCharType="end"/>
            </w:r>
          </w:hyperlink>
        </w:p>
        <w:p w14:paraId="10BD3B42" w14:textId="680D5D0C"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13" w:history="1">
            <w:r w:rsidR="002621AE" w:rsidRPr="00122813">
              <w:rPr>
                <w:rStyle w:val="Hyperlink"/>
                <w:rFonts w:eastAsia="Times New Roman"/>
                <w:noProof/>
              </w:rPr>
              <w:t>7.5</w:t>
            </w:r>
            <w:r w:rsidR="002621AE">
              <w:rPr>
                <w:rFonts w:asciiTheme="minorHAnsi" w:eastAsiaTheme="minorEastAsia" w:hAnsiTheme="minorHAnsi"/>
                <w:noProof/>
                <w:sz w:val="22"/>
                <w:lang w:val="en-US"/>
              </w:rPr>
              <w:tab/>
            </w:r>
            <w:r w:rsidR="002621AE" w:rsidRPr="00122813">
              <w:rPr>
                <w:rStyle w:val="Hyperlink"/>
                <w:rFonts w:eastAsia="Times New Roman"/>
                <w:noProof/>
              </w:rPr>
              <w:t>Conclusion</w:t>
            </w:r>
            <w:r w:rsidR="002621AE">
              <w:rPr>
                <w:noProof/>
                <w:webHidden/>
              </w:rPr>
              <w:tab/>
            </w:r>
            <w:r w:rsidR="002621AE">
              <w:rPr>
                <w:noProof/>
                <w:webHidden/>
              </w:rPr>
              <w:fldChar w:fldCharType="begin"/>
            </w:r>
            <w:r w:rsidR="002621AE">
              <w:rPr>
                <w:noProof/>
                <w:webHidden/>
              </w:rPr>
              <w:instrText xml:space="preserve"> PAGEREF _Toc223992313 \h </w:instrText>
            </w:r>
            <w:r w:rsidR="002621AE">
              <w:rPr>
                <w:noProof/>
                <w:webHidden/>
              </w:rPr>
            </w:r>
            <w:r w:rsidR="002621AE">
              <w:rPr>
                <w:noProof/>
                <w:webHidden/>
              </w:rPr>
              <w:fldChar w:fldCharType="separate"/>
            </w:r>
            <w:r w:rsidR="002621AE">
              <w:rPr>
                <w:noProof/>
                <w:webHidden/>
              </w:rPr>
              <w:t>15</w:t>
            </w:r>
            <w:r w:rsidR="002621AE">
              <w:rPr>
                <w:noProof/>
                <w:webHidden/>
              </w:rPr>
              <w:fldChar w:fldCharType="end"/>
            </w:r>
          </w:hyperlink>
        </w:p>
        <w:p w14:paraId="46971849" w14:textId="48ACA18F" w:rsidR="002621AE" w:rsidRDefault="00C6743A">
          <w:pPr>
            <w:pStyle w:val="TOC2"/>
            <w:tabs>
              <w:tab w:val="left" w:pos="880"/>
              <w:tab w:val="right" w:leader="dot" w:pos="9016"/>
            </w:tabs>
            <w:rPr>
              <w:rFonts w:asciiTheme="minorHAnsi" w:eastAsiaTheme="minorEastAsia" w:hAnsiTheme="minorHAnsi"/>
              <w:noProof/>
              <w:sz w:val="22"/>
              <w:lang w:val="en-US"/>
            </w:rPr>
          </w:pPr>
          <w:hyperlink w:anchor="_Toc223992314" w:history="1">
            <w:r w:rsidR="002621AE" w:rsidRPr="00122813">
              <w:rPr>
                <w:rStyle w:val="Hyperlink"/>
                <w:rFonts w:eastAsia="Times New Roman"/>
                <w:noProof/>
              </w:rPr>
              <w:t>7.6</w:t>
            </w:r>
            <w:r w:rsidR="002621AE">
              <w:rPr>
                <w:rFonts w:asciiTheme="minorHAnsi" w:eastAsiaTheme="minorEastAsia" w:hAnsiTheme="minorHAnsi"/>
                <w:noProof/>
                <w:sz w:val="22"/>
                <w:lang w:val="en-US"/>
              </w:rPr>
              <w:tab/>
            </w:r>
            <w:r w:rsidR="002621AE" w:rsidRPr="00122813">
              <w:rPr>
                <w:rStyle w:val="Hyperlink"/>
                <w:rFonts w:eastAsia="Times New Roman"/>
                <w:noProof/>
              </w:rPr>
              <w:t>Action plan</w:t>
            </w:r>
            <w:r w:rsidR="002621AE">
              <w:rPr>
                <w:noProof/>
                <w:webHidden/>
              </w:rPr>
              <w:tab/>
            </w:r>
            <w:r w:rsidR="002621AE">
              <w:rPr>
                <w:noProof/>
                <w:webHidden/>
              </w:rPr>
              <w:fldChar w:fldCharType="begin"/>
            </w:r>
            <w:r w:rsidR="002621AE">
              <w:rPr>
                <w:noProof/>
                <w:webHidden/>
              </w:rPr>
              <w:instrText xml:space="preserve"> PAGEREF _Toc223992314 \h </w:instrText>
            </w:r>
            <w:r w:rsidR="002621AE">
              <w:rPr>
                <w:noProof/>
                <w:webHidden/>
              </w:rPr>
            </w:r>
            <w:r w:rsidR="002621AE">
              <w:rPr>
                <w:noProof/>
                <w:webHidden/>
              </w:rPr>
              <w:fldChar w:fldCharType="separate"/>
            </w:r>
            <w:r w:rsidR="002621AE">
              <w:rPr>
                <w:noProof/>
                <w:webHidden/>
              </w:rPr>
              <w:t>15</w:t>
            </w:r>
            <w:r w:rsidR="002621AE">
              <w:rPr>
                <w:noProof/>
                <w:webHidden/>
              </w:rPr>
              <w:fldChar w:fldCharType="end"/>
            </w:r>
          </w:hyperlink>
        </w:p>
        <w:p w14:paraId="2D8B8309" w14:textId="4DEC2CAB" w:rsidR="002621AE" w:rsidRDefault="00C6743A">
          <w:pPr>
            <w:pStyle w:val="TOC1"/>
            <w:tabs>
              <w:tab w:val="left" w:pos="480"/>
              <w:tab w:val="right" w:leader="dot" w:pos="9016"/>
            </w:tabs>
            <w:rPr>
              <w:rFonts w:asciiTheme="minorHAnsi" w:eastAsiaTheme="minorEastAsia" w:hAnsiTheme="minorHAnsi"/>
              <w:noProof/>
              <w:sz w:val="22"/>
              <w:lang w:val="en-US"/>
            </w:rPr>
          </w:pPr>
          <w:hyperlink w:anchor="_Toc223992315" w:history="1">
            <w:r w:rsidR="002621AE" w:rsidRPr="00122813">
              <w:rPr>
                <w:rStyle w:val="Hyperlink"/>
                <w:noProof/>
              </w:rPr>
              <w:t>8</w:t>
            </w:r>
            <w:r w:rsidR="002621AE">
              <w:rPr>
                <w:rFonts w:asciiTheme="minorHAnsi" w:eastAsiaTheme="minorEastAsia" w:hAnsiTheme="minorHAnsi"/>
                <w:noProof/>
                <w:sz w:val="22"/>
                <w:lang w:val="en-US"/>
              </w:rPr>
              <w:tab/>
            </w:r>
            <w:r w:rsidR="002621AE" w:rsidRPr="00122813">
              <w:rPr>
                <w:rStyle w:val="Hyperlink"/>
                <w:noProof/>
              </w:rPr>
              <w:t>References:</w:t>
            </w:r>
            <w:r w:rsidR="002621AE">
              <w:rPr>
                <w:noProof/>
                <w:webHidden/>
              </w:rPr>
              <w:tab/>
            </w:r>
            <w:r w:rsidR="002621AE">
              <w:rPr>
                <w:noProof/>
                <w:webHidden/>
              </w:rPr>
              <w:fldChar w:fldCharType="begin"/>
            </w:r>
            <w:r w:rsidR="002621AE">
              <w:rPr>
                <w:noProof/>
                <w:webHidden/>
              </w:rPr>
              <w:instrText xml:space="preserve"> PAGEREF _Toc223992315 \h </w:instrText>
            </w:r>
            <w:r w:rsidR="002621AE">
              <w:rPr>
                <w:noProof/>
                <w:webHidden/>
              </w:rPr>
            </w:r>
            <w:r w:rsidR="002621AE">
              <w:rPr>
                <w:noProof/>
                <w:webHidden/>
              </w:rPr>
              <w:fldChar w:fldCharType="separate"/>
            </w:r>
            <w:r w:rsidR="002621AE">
              <w:rPr>
                <w:noProof/>
                <w:webHidden/>
              </w:rPr>
              <w:t>18</w:t>
            </w:r>
            <w:r w:rsidR="002621AE">
              <w:rPr>
                <w:noProof/>
                <w:webHidden/>
              </w:rPr>
              <w:fldChar w:fldCharType="end"/>
            </w:r>
          </w:hyperlink>
        </w:p>
        <w:p w14:paraId="71822728" w14:textId="5C2EB3EE" w:rsidR="001A2B22" w:rsidRDefault="001A2B22">
          <w:r>
            <w:rPr>
              <w:b/>
              <w:bCs/>
              <w:noProof/>
            </w:rPr>
            <w:fldChar w:fldCharType="end"/>
          </w:r>
        </w:p>
      </w:sdtContent>
    </w:sdt>
    <w:p w14:paraId="6DEE56A2" w14:textId="6B7E75B1" w:rsidR="004A477A" w:rsidRDefault="004A477A">
      <w:r>
        <w:br w:type="page"/>
      </w:r>
    </w:p>
    <w:p w14:paraId="3445D3B5" w14:textId="488ED531" w:rsidR="00260C51" w:rsidRPr="0070699C" w:rsidRDefault="00A719C7" w:rsidP="00260C51">
      <w:pPr>
        <w:pStyle w:val="Heading1"/>
        <w:numPr>
          <w:ilvl w:val="0"/>
          <w:numId w:val="0"/>
        </w:numPr>
        <w:ind w:left="432" w:hanging="432"/>
      </w:pPr>
      <w:bookmarkStart w:id="0" w:name="_Toc223992272"/>
      <w:r w:rsidRPr="0070699C">
        <w:lastRenderedPageBreak/>
        <w:t>Section 1:</w:t>
      </w:r>
      <w:bookmarkEnd w:id="0"/>
    </w:p>
    <w:p w14:paraId="6D75F66B" w14:textId="39CE23F2" w:rsidR="004A477A" w:rsidRPr="0070699C" w:rsidRDefault="00E15B07" w:rsidP="001D4160">
      <w:pPr>
        <w:pStyle w:val="Heading1"/>
      </w:pPr>
      <w:bookmarkStart w:id="1" w:name="_Toc223992273"/>
      <w:r w:rsidRPr="0070699C">
        <w:t>Organisational Context and Overview:</w:t>
      </w:r>
      <w:bookmarkEnd w:id="1"/>
    </w:p>
    <w:p w14:paraId="5D8C0418" w14:textId="3D679119" w:rsidR="00E15B07" w:rsidRPr="0070699C" w:rsidRDefault="00DF0ACB" w:rsidP="00E15B07">
      <w:pPr>
        <w:pStyle w:val="NormalWeb"/>
      </w:pPr>
      <w:r w:rsidRPr="0070699C">
        <w:t xml:space="preserve">Tesla, Inc. is a clean-energy and mobility firm that competes in various ways (i) in battery-electric vehicles (BEVs) with mass-premium segments, (ii) charging infrastructure and services, and stationary energy storage and solar solutions, where software and data are becoming the key determinants of differentiation in software-defined vehicles and energy systems </w:t>
      </w:r>
      <w:r w:rsidR="00A30DC1" w:rsidRPr="0070699C">
        <w:fldChar w:fldCharType="begin" w:fldLock="1"/>
      </w:r>
      <w:r w:rsidR="00A30DC1"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author":[{"dropping-particle":"","family":"Otto","given":"Sebastian","non-dropping-particle":"","parse-names":false,"suffix":""},{"dropping-particle":"","family":"Wlcek","given":"Manuel","non-dropping-particle":"","parse-names":false,"suffix":""},{"dropping-particle":"","family":"Wortmann","given":"Felix","non-dropping-particle":"","parse-names":false,"suffix":""}],"id":"ITEM-2","issued":{"date-parts":[["2025"]]},"title":"Towards Conceptualizing Software-Defined Vehicles: A Systematic Review and Future Research Avenues","type":"article-journal"},"uris":["http://www.mendeley.com/documents/?uuid=67e4dd46-d6d6-4db5-8139-8b2e6b6b0751"]}],"mendeley":{"formattedCitation":"(Otto et al., 2025; SEC.GOV, 2024)","plainTextFormattedCitation":"(Otto et al., 2025; SEC.GOV, 2024)","previouslyFormattedCitation":"(Otto et al., 2025; SEC.GOV, 2024)"},"properties":{"noteIndex":0},"schema":"https://github.com/citation-style-language/schema/raw/master/csl-citation.json"}</w:instrText>
      </w:r>
      <w:r w:rsidR="00A30DC1" w:rsidRPr="0070699C">
        <w:fldChar w:fldCharType="separate"/>
      </w:r>
      <w:r w:rsidR="00A30DC1" w:rsidRPr="0070699C">
        <w:rPr>
          <w:noProof/>
        </w:rPr>
        <w:t>(Otto et al., 2025; SEC.GOV, 2024)</w:t>
      </w:r>
      <w:r w:rsidR="00A30DC1" w:rsidRPr="0070699C">
        <w:fldChar w:fldCharType="end"/>
      </w:r>
      <w:r w:rsidR="00E15B07" w:rsidRPr="0070699C">
        <w:t>.</w:t>
      </w:r>
    </w:p>
    <w:p w14:paraId="5F85E459" w14:textId="31F63ECB" w:rsidR="00E15B07" w:rsidRPr="0070699C" w:rsidRDefault="00264E2A" w:rsidP="00E15B07">
      <w:pPr>
        <w:pStyle w:val="NormalWeb"/>
      </w:pPr>
      <w:r w:rsidRPr="0070699C">
        <w:t xml:space="preserve">Tesla was founded in 2003 and its key points in strategy turning included: shifting niche product Roadster to high-volume Model 3/Y; establishing gigafactory manufacturing to capture battery and unit-cost learning; establishing a proprietary fast-charging network to mitigate range anxiety; and switching to volume-based pricing (price) as a strategy in scale-up, when industry pricing lowered and competition was intensifying. Although overall electric-car sales are still surging across the globe, especially in 2024, the competitive spectrum has expanded - especially with Chinese companies increasing their sales at a rapid pace, pressuring Tesla on the comparative market share </w:t>
      </w:r>
      <w:r w:rsidR="00A30DC1" w:rsidRPr="0070699C">
        <w:fldChar w:fldCharType="begin" w:fldLock="1"/>
      </w:r>
      <w:r w:rsidR="00514732" w:rsidRPr="0070699C">
        <w:instrText>ADDIN CSL_CITATION {"citationItems":[{"id":"ITEM-1","itemData":{"abstract":"The Global EV Outlook is an annual publication that reports on recent developments in electric mobility around the world. It is developed with the support of members of the Electric Vehicles Initiative (EVI). The report draws on the latest data to assess trends in electric vehicle deployment, demand for their batteries and charging infrastructure. It considers recent policy developments and industry strategies shaping the outlook for electric vehicles in different markets. This edition features analysis of electric vehicle affordability, manufacturing and trade of electric cars and their batteries, and the total cost of ownership of electric heavy-duty trucks across various markets, and makes projections to 2030. The report is complemented by updated versions of two online tools: the Global EV Data Explorer and the Global EV Policy Explorer, which allow users to further explore EV statistics and projections, and policy measures worldwide.","author":[{"dropping-particle":"","family":"IEA","given":"","non-dropping-particle":"","parse-names":false,"suffix":""}],"id":"ITEM-1","issued":{"date-parts":[["2025"]]},"page":"1-173","title":"Global EV Outlook 2025 Expanding sales in diverse markets","type":"article-journal"},"uris":["http://www.mendeley.com/documents/?uuid=e0c82964-be5f-4a65-93c7-23d9f28606bb"]},{"id":"ITEM-2","itemData":{"URL":"https://www.mckinsey.com/features/mckinsey-center-for-future-mobility/our-insights/new-twists-in-the-electric-vehicle-transition-a-consumer-perspective?","accessed":{"date-parts":[["2025","8","13"]]},"author":[{"dropping-particle":"","family":"McKinsey &amp; Company","given":"","non-dropping-particle":"","parse-names":false,"suffix":""}],"id":"ITEM-2","issued":{"date-parts":[["2025"]]},"title":"New twists in the electric-vehicle transition: A consumer perspective","type":"webpage"},"uris":["http://www.mendeley.com/documents/?uuid=34f4d907-5d40-4276-a8bb-d38e2647d678"]},{"id":"ITEM-3","itemData":{"URL":"https://www.ft.com/content/c1c5f811-7b3f-4011-8e1e-cccb5aa80313","accessed":{"date-parts":[["2026","3","7"]]},"author":[{"dropping-particle":"","family":"Financial Times","given":"","non-dropping-particle":"","parse-names":false,"suffix":""}],"id":"ITEM-3","issued":{"date-parts":[["2026"]]},"title":"Tesla loses EV crown to China’s BYD","type":"webpage"},"uris":["http://www.mendeley.com/documents/?uuid=2b22033a-f937-498d-8c0f-112588d46e2d"]}],"mendeley":{"formattedCitation":"(Financial Times, 2026; IEA, 2025d; McKinsey &amp; Company, 2025)","plainTextFormattedCitation":"(Financial Times, 2026; IEA, 2025d; McKinsey &amp; Company, 2025)","previouslyFormattedCitation":"(Financial Times, 2026; IEA, 2025d; McKinsey &amp; Company, 2025)"},"properties":{"noteIndex":0},"schema":"https://github.com/citation-style-language/schema/raw/master/csl-citation.json"}</w:instrText>
      </w:r>
      <w:r w:rsidR="00A30DC1" w:rsidRPr="0070699C">
        <w:fldChar w:fldCharType="separate"/>
      </w:r>
      <w:r w:rsidR="00514732" w:rsidRPr="0070699C">
        <w:rPr>
          <w:noProof/>
        </w:rPr>
        <w:t>(Financial Times, 2026; IEA, 2025d; McKinsey &amp; Company, 2025)</w:t>
      </w:r>
      <w:r w:rsidR="00A30DC1" w:rsidRPr="0070699C">
        <w:fldChar w:fldCharType="end"/>
      </w:r>
      <w:r w:rsidR="00E15B07" w:rsidRPr="0070699C">
        <w:t>.</w:t>
      </w:r>
    </w:p>
    <w:p w14:paraId="2E960166" w14:textId="420B52D4" w:rsidR="00E15B07" w:rsidRPr="0070699C" w:rsidRDefault="00264E2A" w:rsidP="00E15B07">
      <w:pPr>
        <w:pStyle w:val="NormalWeb"/>
      </w:pPr>
      <w:r w:rsidRPr="0070699C">
        <w:t xml:space="preserve">The mission statement of Tesla is "to hasten the global move to sustainable energy," which informs a value proposition that is predicated on: (1) BEV performance and user experience, (2) closely coupled hardware-software systems through over-the-air updates and advanced driver-assistance services, and (3) an overall energy ecosystem (vehicles, storage, solar and charging) that can increase switching costs and customer retention </w:t>
      </w:r>
      <w:r w:rsidR="00A47A12" w:rsidRPr="0070699C">
        <w:fldChar w:fldCharType="begin" w:fldLock="1"/>
      </w:r>
      <w:r w:rsidR="00A47A12" w:rsidRPr="0070699C">
        <w:instrText>ADDIN CSL_CITATION {"citationItems":[{"id":"ITEM-1","itemData":{"DOI":"https://doi.org/10.1016/j.jengtecman.2024.101844","ISSN":"0923-4748","abstract":"This paper investigates the phenomenon of systemic entrepreneurship in the digital age, using Tesla, Inc., and its leader Elon Musk as a case study. Systemic entrepreneurship is explored as a multifaceted concept that extends beyond traditional business management, encompassing the integration of digital technologies and the capacity to instigate significant social change. The study reveals that systemic entrepreneurship involves a strategic amalgamation of financial, social, and human capital, utilized effectively to drive transformative shifts in societal norms and practices. Elon Musk's role as a systemic entrepreneur is dissected, highlighting his unique capabilities in networking, resource utilization, and social influence. His leadership in introducing disruptive innovations and altering market landscapes exemplifies the profound impact of systemic entrepreneurship on societal evolution. This study not only enriches academic understanding of systemic entrepreneurship in the context of digital transformation but also highlights its critical importance in driving sustainable and progressive societal transformations thanks to technology.","author":[{"dropping-particle":"","family":"Arreola","given":"Fernanda","non-dropping-particle":"","parse-names":false,"suffix":""},{"dropping-particle":"","family":"Platania","given":"Federico","non-dropping-particle":"","parse-names":false,"suffix":""},{"dropping-particle":"","family":"Toscano Hernandez","given":"Celina","non-dropping-particle":"","parse-names":false,"suffix":""},{"dropping-particle":"","family":"Unruh","given":"Gregory","non-dropping-particle":"","parse-names":false,"suffix":""}],"container-title":"Journal of Engineering and Technology Management","id":"ITEM-1","issued":{"date-parts":[["2024"]]},"page":"101844","title":"Systemic entrepreneurship in the digital era: Tesla's vision and social transformation","type":"article-journal","volume":"74"},"uris":["http://www.mendeley.com/documents/?uuid=99cdfdd7-00fb-4589-8d6b-d00bee148eae"]},{"id":"ITEM-2","itemData":{"URL":"https://www.sec.gov/Archives/edgar/data/1318605/000162828025003063/tsla-20241231.htm","accessed":{"date-parts":[["2025","12","18"]]},"author":[{"dropping-particle":"","family":"SEC.GOV","given":"","non-dropping-particle":"","parse-names":false,"suffix":""}],"id":"ITEM-2","issued":{"date-parts":[["2024"]]},"title":"UNITED STATES SECURITIES AND EXCHANGE COMMISSION","type":"webpage"},"uris":["http://www.mendeley.com/documents/?uuid=18ccc39c-e964-49fe-8b80-236e86750459"]}],"mendeley":{"formattedCitation":"(Arreola et al., 2024; SEC.GOV, 2024)","plainTextFormattedCitation":"(Arreola et al., 2024; SEC.GOV, 2024)","previouslyFormattedCitation":"(Arreola et al., 2024; SEC.GOV, 2024)"},"properties":{"noteIndex":0},"schema":"https://github.com/citation-style-language/schema/raw/master/csl-citation.json"}</w:instrText>
      </w:r>
      <w:r w:rsidR="00A47A12" w:rsidRPr="0070699C">
        <w:fldChar w:fldCharType="separate"/>
      </w:r>
      <w:r w:rsidR="00A47A12" w:rsidRPr="0070699C">
        <w:rPr>
          <w:noProof/>
        </w:rPr>
        <w:t>(Arreola et al., 2024; SEC.GOV, 2024)</w:t>
      </w:r>
      <w:r w:rsidR="00A47A12" w:rsidRPr="0070699C">
        <w:fldChar w:fldCharType="end"/>
      </w:r>
      <w:r w:rsidR="00E15B07" w:rsidRPr="0070699C">
        <w:t>.</w:t>
      </w:r>
    </w:p>
    <w:p w14:paraId="4BC08271" w14:textId="7C1EA269" w:rsidR="00E15B07" w:rsidRPr="0070699C" w:rsidRDefault="00264E2A" w:rsidP="00E15B07">
      <w:pPr>
        <w:pStyle w:val="NormalWeb"/>
      </w:pPr>
      <w:r w:rsidRPr="0070699C">
        <w:t xml:space="preserve">The business model of it is large-scale automotive production, recurring and adjacent revenues. Reporting units are Automotive and Energy Generation and storage; the automotive industry also consists of Services and Other (e.g., paid Supercharging, non-warranty service, insurance and used-vehicle activities). The energy segment includes the designing, production, delivery of solar and energy-storage products and services, and relates them to the position Tesla to take advantage of the grid flexibility requirements and electrification requirement. This portfolio has strategic benefits in terms of ecosystem monetisation during the vehicle life cycle, and learning benefits due to data, at-scale manufacturing and deployment </w:t>
      </w:r>
      <w:r w:rsidR="00A47A12" w:rsidRPr="0070699C">
        <w:fldChar w:fldCharType="begin" w:fldLock="1"/>
      </w:r>
      <w:r w:rsidR="00514732"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COMMISSION","type":"webpage"},"uris":["http://www.mendeley.com/documents/?uuid=18ccc39c-e964-49fe-8b80-236e86750459"]},{"id":"ITEM-2","itemData":{"abstract":"The Global EV Outlook is an annual publication that reports on recent developments in electric mobility around the world. It is developed with the support of members of the Electric Vehicles Initiative (EVI). The report draws on the latest data to assess trends in electric vehicle deployment, demand for their batteries and charging infrastructure. It considers recent policy developments and industry strategies shaping the outlook for electric vehicles in different markets. This edition features analysis of electric vehicle affordability, manufacturing and trade of electric cars and their batteries, and the total cost of ownership of electric heavy-duty trucks across various markets, and makes projections to 2030. The report is complemented by updated versions of two online tools: the Global EV Data Explorer and the Global EV Policy Explorer, which allow users to further explore EV statistics and projections, and policy measures worldwide.","author":[{"dropping-particle":"","family":"IEA","given":"","non-dropping-particle":"","parse-names":false,"suffix":""}],"id":"ITEM-2","issued":{"date-parts":[["2025"]]},"page":"1-173","title":"Global EV Outlook 2025 Expanding sales in diverse markets","type":"article-journal"},"uris":["http://www.mendeley.com/documents/?uuid=e0c82964-be5f-4a65-93c7-23d9f28606bb"]},{"id":"ITEM-3","itemData":{"DOI":"https://doi.org/10.1016/j.jengtecman.2024.101844","ISSN":"0923-4748","abstract":"This paper investigates the phenomenon of systemic entrepreneurship in the digital age, using Tesla, Inc., and its leader Elon Musk as a case study. Systemic entrepreneurship is explored as a multifaceted concept that extends beyond traditional business management, encompassing the integration of digital technologies and the capacity to instigate significant social change. The study reveals that systemic entrepreneurship involves a strategic amalgamation of financial, social, and human capital, utilized effectively to drive transformative shifts in societal norms and practices. Elon Musk's role as a systemic entrepreneur is dissected, highlighting his unique capabilities in networking, resource utilization, and social influence. His leadership in introducing disruptive innovations and altering market landscapes exemplifies the profound impact of systemic entrepreneurship on societal evolution. This study not only enriches academic understanding of systemic entrepreneurship in the context of digital transformation but also highlights its critical importance in driving sustainable and progressive societal transformations thanks to technology.","author":[{"dropping-particle":"","family":"Arreola","given":"Fernanda","non-dropping-particle":"","parse-names":false,"suffix":""},{"dropping-particle":"","family":"Platania","given":"Federico","non-dropping-particle":"","parse-names":false,"suffix":""},{"dropping-particle":"","family":"Toscano Hernandez","given":"Celina","non-dropping-particle":"","parse-names":false,"suffix":""},{"dropping-particle":"","family":"Unruh","given":"Gregory","non-dropping-particle":"","parse-names":false,"suffix":""}],"container-title":"Journal of Engineering and Technology Management","id":"ITEM-3","issued":{"date-parts":[["2024"]]},"page":"101844","title":"Systemic entrepreneurship in the digital era: Tesla's vision and social transformation","type":"article-journal","volume":"74"},"uris":["http://www.mendeley.com/documents/?uuid=99cdfdd7-00fb-4589-8d6b-d00bee148eae"]},{"id":"ITEM-4","itemData":{"author":[{"dropping-particle":"","family":"Otto","given":"Sebastian","non-dropping-particle":"","parse-names":false,"suffix":""},{"dropping-particle":"","family":"Wlcek","given":"Manuel","non-dropping-particle":"","parse-names":false,"suffix":""},{"dropping-particle":"","family":"Wortmann","given":"Felix","non-dropping-particle":"","parse-names":false,"suffix":""}],"id":"ITEM-4","issued":{"date-parts":[["2025"]]},"title":"Towards Conceptualizing Software-Defined Vehicles: A Systematic Review and Future Research Avenues","type":"article-journal"},"uris":["http://www.mendeley.com/documents/?uuid=67e4dd46-d6d6-4db5-8139-8b2e6b6b0751"]}],"mendeley":{"formattedCitation":"(Arreola et al., 2024; IEA, 2025d; Otto et al., 2025; SEC.GOV, 2024)","plainTextFormattedCitation":"(Arreola et al., 2024; IEA, 2025d; Otto et al., 2025; SEC.GOV, 2024)","previouslyFormattedCitation":"(Arreola et al., 2024; IEA, 2025d; Otto et al., 2025; SEC.GOV, 2024)"},"properties":{"noteIndex":0},"schema":"https://github.com/citation-style-language/schema/raw/master/csl-citation.json"}</w:instrText>
      </w:r>
      <w:r w:rsidR="00A47A12" w:rsidRPr="0070699C">
        <w:fldChar w:fldCharType="separate"/>
      </w:r>
      <w:r w:rsidR="00514732" w:rsidRPr="0070699C">
        <w:rPr>
          <w:noProof/>
        </w:rPr>
        <w:t>(Arreola et al., 2024; IEA, 2025d; Otto et al., 2025; SEC.GOV, 2024)</w:t>
      </w:r>
      <w:r w:rsidR="00A47A12" w:rsidRPr="0070699C">
        <w:fldChar w:fldCharType="end"/>
      </w:r>
      <w:r w:rsidR="00E15B07" w:rsidRPr="0070699C">
        <w:t>.</w:t>
      </w:r>
    </w:p>
    <w:p w14:paraId="33590178" w14:textId="79AFB6F0" w:rsidR="00E15B07" w:rsidRPr="0070699C" w:rsidRDefault="00264E2A" w:rsidP="00E15B07">
      <w:pPr>
        <w:pStyle w:val="NormalWeb"/>
      </w:pPr>
      <w:r w:rsidRPr="0070699C">
        <w:t>Tesla is a market leader in the global BEV market, but competition is growing: BYD and other Chinese OEMs are rising fast, and established car manufacturers are electrifying faster and investing in automotive software functionality. The differentiation around Tesla is thus more and more based on continuing to lead on costs with scale/manufacturing innovation and translating software and charging benefits into long-term differentiation as the EV market matures</w:t>
      </w:r>
      <w:r w:rsidR="00E15B07" w:rsidRPr="0070699C">
        <w:t>.</w:t>
      </w:r>
    </w:p>
    <w:p w14:paraId="5C3EDAE7" w14:textId="4AF2D7D7" w:rsidR="00D41A9C" w:rsidRPr="0070699C" w:rsidRDefault="00D41A9C" w:rsidP="001D4160">
      <w:pPr>
        <w:pStyle w:val="Heading1"/>
      </w:pPr>
      <w:bookmarkStart w:id="2" w:name="_Toc223992274"/>
      <w:r w:rsidRPr="0070699C">
        <w:lastRenderedPageBreak/>
        <w:t>External and Internal Environment Analysis</w:t>
      </w:r>
      <w:bookmarkEnd w:id="2"/>
    </w:p>
    <w:p w14:paraId="14E4927A" w14:textId="37B9D350" w:rsidR="00D41A9C" w:rsidRPr="0070699C" w:rsidRDefault="00E15B07" w:rsidP="00E3431B">
      <w:pPr>
        <w:pStyle w:val="Heading2"/>
        <w:rPr>
          <w:rFonts w:ascii="Times New Roman" w:hAnsi="Times New Roman"/>
          <w:sz w:val="27"/>
        </w:rPr>
      </w:pPr>
      <w:bookmarkStart w:id="3" w:name="_Toc223992275"/>
      <w:r w:rsidRPr="0070699C">
        <w:t>External environment (PESTEL)</w:t>
      </w:r>
      <w:bookmarkEnd w:id="3"/>
    </w:p>
    <w:p w14:paraId="0A07724D" w14:textId="76879ECA" w:rsidR="00191FF7" w:rsidRPr="0070699C" w:rsidRDefault="00E15B07" w:rsidP="00264E2A">
      <w:pPr>
        <w:pStyle w:val="NormalWeb"/>
      </w:pPr>
      <w:r w:rsidRPr="0070699C">
        <w:rPr>
          <w:rStyle w:val="Strong"/>
          <w:rFonts w:eastAsiaTheme="majorEastAsia"/>
        </w:rPr>
        <w:t>Political/Legal:</w:t>
      </w:r>
      <w:r w:rsidRPr="0070699C">
        <w:t xml:space="preserve"> </w:t>
      </w:r>
      <w:r w:rsidR="00264E2A" w:rsidRPr="0070699C">
        <w:t xml:space="preserve">EV demand and supply economics is being influenced by subsidies/tax credits, localisation regulations, and an increase in trade activities, automated-driving claims are subject to stricter control </w:t>
      </w:r>
      <w:r w:rsidR="000355BB" w:rsidRPr="0070699C">
        <w:fldChar w:fldCharType="begin" w:fldLock="1"/>
      </w:r>
      <w:r w:rsidR="00662EC7" w:rsidRPr="0070699C">
        <w:instrText>ADDIN CSL_CITATION {"citationItems":[{"id":"ITEM-1","itemData":{"URL":"https://www.irs.gov/credits-deductions/credits-for-new-clean-vehicles-purchased-in-2023-or-after?","accessed":{"date-parts":[["2025","12","18"]]},"author":[{"dropping-particle":"","family":"IRS","given":"","non-dropping-particle":"","parse-names":false,"suffix":""}],"id":"ITEM-1","issued":{"date-parts":[["2025"]]},"title":"Credits for new clean vehicles purchased in 2023 or after","type":"webpage"},"uris":["http://www.mendeley.com/documents/?uuid=3f2f268b-fe65-4770-8c43-00f085f69d9d"]}],"mendeley":{"formattedCitation":"(IRS, 2025)","plainTextFormattedCitation":"(IRS, 2025)","previouslyFormattedCitation":"(IRS, 2025)"},"properties":{"noteIndex":0},"schema":"https://github.com/citation-style-language/schema/raw/master/csl-citation.json"}</w:instrText>
      </w:r>
      <w:r w:rsidR="000355BB" w:rsidRPr="0070699C">
        <w:fldChar w:fldCharType="separate"/>
      </w:r>
      <w:r w:rsidR="000355BB" w:rsidRPr="0070699C">
        <w:rPr>
          <w:noProof/>
        </w:rPr>
        <w:t>(IRS, 2025)</w:t>
      </w:r>
      <w:r w:rsidR="000355BB" w:rsidRPr="0070699C">
        <w:fldChar w:fldCharType="end"/>
      </w:r>
      <w:r w:rsidR="00191FF7" w:rsidRPr="0070699C">
        <w:t xml:space="preserve">. </w:t>
      </w:r>
    </w:p>
    <w:p w14:paraId="014BFD68" w14:textId="548708E8" w:rsidR="00191FF7" w:rsidRPr="0070699C" w:rsidRDefault="00E15B07" w:rsidP="00264E2A">
      <w:pPr>
        <w:pStyle w:val="NormalWeb"/>
      </w:pPr>
      <w:r w:rsidRPr="0070699C">
        <w:rPr>
          <w:rStyle w:val="Strong"/>
          <w:rFonts w:eastAsiaTheme="majorEastAsia"/>
        </w:rPr>
        <w:t>Economic:</w:t>
      </w:r>
      <w:r w:rsidRPr="0070699C">
        <w:t xml:space="preserve"> </w:t>
      </w:r>
      <w:r w:rsidR="00264E2A" w:rsidRPr="0070699C">
        <w:t xml:space="preserve">Battery-materials volatility and the pressures of affordability interplay with high interest rates and generate margin and demand whiplash </w:t>
      </w:r>
      <w:r w:rsidR="00662EC7" w:rsidRPr="0070699C">
        <w:fldChar w:fldCharType="begin" w:fldLock="1"/>
      </w:r>
      <w:r w:rsidR="00662EC7" w:rsidRPr="0070699C">
        <w:instrText>ADDIN CSL_CITATION {"citationItems":[{"id":"ITEM-1","itemData":{"URL":"https://www.reuters.com/world/asia-pacific/china-lithium-prices-tumble-weak-ev-sales-middle-east-war-cloud-demand-outlook-2026-03-03/","accessed":{"date-parts":[["2026","3","7"]]},"author":[{"dropping-particle":"","family":"Reuters","given":"","non-dropping-particle":"","parse-names":false,"suffix":""}],"id":"ITEM-1","issued":{"date-parts":[["2026"]]},"title":"China lithium prices tumble as weak EV sales, Middle East war cloud demand outlook","type":"webpage"},"uris":["http://www.mendeley.com/documents/?uuid=9a1d5289-f7da-490b-aa24-d539affb0388"]}],"mendeley":{"formattedCitation":"(Reuters, 2026)","plainTextFormattedCitation":"(Reuters, 2026)","previouslyFormattedCitation":"(Reuters, 2026)"},"properties":{"noteIndex":0},"schema":"https://github.com/citation-style-language/schema/raw/master/csl-citation.json"}</w:instrText>
      </w:r>
      <w:r w:rsidR="00662EC7" w:rsidRPr="0070699C">
        <w:fldChar w:fldCharType="separate"/>
      </w:r>
      <w:r w:rsidR="00662EC7" w:rsidRPr="0070699C">
        <w:rPr>
          <w:noProof/>
        </w:rPr>
        <w:t>(Reuters, 2026)</w:t>
      </w:r>
      <w:r w:rsidR="00662EC7" w:rsidRPr="0070699C">
        <w:fldChar w:fldCharType="end"/>
      </w:r>
      <w:r w:rsidR="00191FF7" w:rsidRPr="0070699C">
        <w:t xml:space="preserve">. </w:t>
      </w:r>
    </w:p>
    <w:p w14:paraId="735DF786" w14:textId="3AF6AB4B" w:rsidR="00191FF7" w:rsidRPr="0070699C" w:rsidRDefault="00E15B07" w:rsidP="00264E2A">
      <w:pPr>
        <w:pStyle w:val="NormalWeb"/>
      </w:pPr>
      <w:r w:rsidRPr="0070699C">
        <w:rPr>
          <w:rStyle w:val="Strong"/>
          <w:rFonts w:eastAsiaTheme="majorEastAsia"/>
        </w:rPr>
        <w:t>Social:</w:t>
      </w:r>
      <w:r w:rsidRPr="0070699C">
        <w:t xml:space="preserve"> </w:t>
      </w:r>
      <w:r w:rsidR="00264E2A" w:rsidRPr="0070699C">
        <w:t xml:space="preserve">The adoption relies on the belief in safety/quality and the visualized total cost of ownership; the credible sustainability expectations are increasing </w:t>
      </w:r>
      <w:r w:rsidR="00662EC7" w:rsidRPr="0070699C">
        <w:fldChar w:fldCharType="begin" w:fldLock="1"/>
      </w:r>
      <w:r w:rsidR="00811F91" w:rsidRPr="0070699C">
        <w:instrText>ADDIN CSL_CITATION {"citationItems":[{"id":"ITEM-1","itemData":{"URL":"https://static.nhtsa.gov/odi/inv/2022/INCR-EA22002-14496.pdf","accessed":{"date-parts":[["2026","3","7"]]},"author":[{"dropping-particle":"","family":"Static NHTSA","given":"","non-dropping-particle":"","parse-names":false,"suffix":""}],"id":"ITEM-1","issued":{"date-parts":[["2024"]]},"title":"Additional Information Regarding EA22002","type":"webpage"},"uris":["http://www.mendeley.com/documents/?uuid=f835cc33-e97c-4fd1-99aa-adf8b5dcb41b"]}],"mendeley":{"formattedCitation":"(Static NHTSA, 2024a)","plainTextFormattedCitation":"(Static NHTSA, 2024a)","previouslyFormattedCitation":"(Static NHTSA, 2024a)"},"properties":{"noteIndex":0},"schema":"https://github.com/citation-style-language/schema/raw/master/csl-citation.json"}</w:instrText>
      </w:r>
      <w:r w:rsidR="00662EC7" w:rsidRPr="0070699C">
        <w:fldChar w:fldCharType="separate"/>
      </w:r>
      <w:r w:rsidR="00811F91" w:rsidRPr="0070699C">
        <w:rPr>
          <w:noProof/>
        </w:rPr>
        <w:t>(Static NHTSA, 2024a)</w:t>
      </w:r>
      <w:r w:rsidR="00662EC7" w:rsidRPr="0070699C">
        <w:fldChar w:fldCharType="end"/>
      </w:r>
      <w:r w:rsidR="00191FF7" w:rsidRPr="0070699C">
        <w:t xml:space="preserve">. </w:t>
      </w:r>
    </w:p>
    <w:p w14:paraId="48ECA9D5" w14:textId="0E30BAD9" w:rsidR="00191FF7" w:rsidRPr="0070699C" w:rsidRDefault="00E15B07" w:rsidP="00264E2A">
      <w:pPr>
        <w:pStyle w:val="NormalWeb"/>
      </w:pPr>
      <w:r w:rsidRPr="0070699C">
        <w:rPr>
          <w:rStyle w:val="Strong"/>
          <w:rFonts w:eastAsiaTheme="majorEastAsia"/>
        </w:rPr>
        <w:t>Technological:</w:t>
      </w:r>
      <w:r w:rsidRPr="0070699C">
        <w:t xml:space="preserve"> </w:t>
      </w:r>
      <w:r w:rsidR="00264E2A" w:rsidRPr="0070699C">
        <w:t xml:space="preserve">Battery innovation, charging convenience/standards and "software-defined" features (ADAS/automation), which are provided through updates, are increasingly becoming an advantage </w:t>
      </w:r>
      <w:r w:rsidR="00662EC7" w:rsidRPr="0070699C">
        <w:fldChar w:fldCharType="begin" w:fldLock="1"/>
      </w:r>
      <w:r w:rsidR="00CB3189" w:rsidRPr="0070699C">
        <w:instrText>ADDIN CSL_CITATION {"citationItems":[{"id":"ITEM-1","itemData":{"URL":"https://www.iea.org/reports/global-ev-outlook-2024","accessed":{"date-parts":[["2026","3","7"]]},"author":[{"dropping-particle":"","family":"IEA","given":"","non-dropping-particle":"","parse-names":false,"suffix":""}],"id":"ITEM-1","issued":{"date-parts":[["2024"]]},"title":"Global EV Outlook 2024","type":"webpage"},"uris":["http://www.mendeley.com/documents/?uuid=65eff6f3-d98f-4ca8-a782-fc1d6a476f4b"]}],"mendeley":{"formattedCitation":"(IEA, 2024a)","plainTextFormattedCitation":"(IEA, 2024a)","previouslyFormattedCitation":"(IEA, 2024a)"},"properties":{"noteIndex":0},"schema":"https://github.com/citation-style-language/schema/raw/master/csl-citation.json"}</w:instrText>
      </w:r>
      <w:r w:rsidR="00662EC7" w:rsidRPr="0070699C">
        <w:fldChar w:fldCharType="separate"/>
      </w:r>
      <w:r w:rsidR="00CB3189" w:rsidRPr="0070699C">
        <w:rPr>
          <w:noProof/>
        </w:rPr>
        <w:t>(IEA, 2024a)</w:t>
      </w:r>
      <w:r w:rsidR="00662EC7" w:rsidRPr="0070699C">
        <w:fldChar w:fldCharType="end"/>
      </w:r>
      <w:r w:rsidR="00191FF7" w:rsidRPr="0070699C">
        <w:t xml:space="preserve">. </w:t>
      </w:r>
    </w:p>
    <w:p w14:paraId="1335CAC7" w14:textId="5C392906" w:rsidR="00191FF7" w:rsidRPr="0070699C" w:rsidRDefault="00E15B07" w:rsidP="00264E2A">
      <w:pPr>
        <w:pStyle w:val="NormalWeb"/>
      </w:pPr>
      <w:r w:rsidRPr="0070699C">
        <w:rPr>
          <w:rStyle w:val="Strong"/>
          <w:rFonts w:eastAsiaTheme="majorEastAsia"/>
        </w:rPr>
        <w:t>Environmental:</w:t>
      </w:r>
      <w:r w:rsidRPr="0070699C">
        <w:t xml:space="preserve"> </w:t>
      </w:r>
      <w:r w:rsidR="00264E2A" w:rsidRPr="0070699C">
        <w:t xml:space="preserve">The focus of scrutiny is shifting down the tailpipe emissions to lifecycle impacts such as the energy required to manufacture batteries, their source, and recycling at the end-of-life </w:t>
      </w:r>
      <w:r w:rsidR="00662EC7" w:rsidRPr="0070699C">
        <w:fldChar w:fldCharType="begin" w:fldLock="1"/>
      </w:r>
      <w:r w:rsidR="00662EC7" w:rsidRPr="0070699C">
        <w:instrText>ADDIN CSL_CITATION {"citationItems":[{"id":"ITEM-1","itemData":{"ISSN":"2058-7546","author":[{"dropping-particle":"","family":"Degen","given":"Florian","non-dropping-particle":"","parse-names":false,"suffix":""},{"dropping-particle":"","family":"Winter","given":"M","non-dropping-particle":"","parse-names":false,"suffix":""},{"dropping-particle":"","family":"Bendig","given":"D","non-dropping-particle":"","parse-names":false,"suffix":""},{"dropping-particle":"","family":"Tübke","given":"Jens","non-dropping-particle":"","parse-names":false,"suffix":""}],"container-title":"Nature energy","id":"ITEM-1","issue":"11","issued":{"date-parts":[["2023"]]},"page":"1284-1295","publisher":"Nature Publishing Group UK London","title":"Energy consumption of current and future production of lithium-ion and post lithium-ion battery cells","type":"article-journal","volume":"8"},"uris":["http://www.mendeley.com/documents/?uuid=371cce44-081f-4228-964d-d12a330bd255"]}],"mendeley":{"formattedCitation":"(Degen et al., 2023)","plainTextFormattedCitation":"(Degen et al., 2023)","previouslyFormattedCitation":"(Degen et al., 2023)"},"properties":{"noteIndex":0},"schema":"https://github.com/citation-style-language/schema/raw/master/csl-citation.json"}</w:instrText>
      </w:r>
      <w:r w:rsidR="00662EC7" w:rsidRPr="0070699C">
        <w:fldChar w:fldCharType="separate"/>
      </w:r>
      <w:r w:rsidR="00662EC7" w:rsidRPr="0070699C">
        <w:rPr>
          <w:noProof/>
        </w:rPr>
        <w:t>(Degen et al., 2023)</w:t>
      </w:r>
      <w:r w:rsidR="00662EC7" w:rsidRPr="0070699C">
        <w:fldChar w:fldCharType="end"/>
      </w:r>
      <w:r w:rsidR="00191FF7" w:rsidRPr="0070699C">
        <w:t xml:space="preserve">. </w:t>
      </w:r>
    </w:p>
    <w:p w14:paraId="54F5947A" w14:textId="1847CE1A" w:rsidR="00E15B07" w:rsidRPr="0070699C" w:rsidRDefault="00191FF7" w:rsidP="00264E2A">
      <w:pPr>
        <w:pStyle w:val="NormalWeb"/>
      </w:pPr>
      <w:r w:rsidRPr="0070699C">
        <w:rPr>
          <w:rStyle w:val="Strong"/>
          <w:rFonts w:eastAsiaTheme="majorEastAsia"/>
        </w:rPr>
        <w:t>Social/Environmental overlap</w:t>
      </w:r>
      <w:r w:rsidR="00E15B07" w:rsidRPr="0070699C">
        <w:rPr>
          <w:rStyle w:val="Strong"/>
          <w:rFonts w:eastAsiaTheme="majorEastAsia"/>
        </w:rPr>
        <w:t>:</w:t>
      </w:r>
      <w:r w:rsidR="00E15B07" w:rsidRPr="0070699C">
        <w:t xml:space="preserve"> </w:t>
      </w:r>
      <w:r w:rsidR="00264E2A" w:rsidRPr="0070699C">
        <w:t xml:space="preserve">The brand trust, regulators, and investors are influenced by the ESG credibility and supply-chain transparency </w:t>
      </w:r>
      <w:r w:rsidR="00662EC7" w:rsidRPr="0070699C">
        <w:fldChar w:fldCharType="begin" w:fldLock="1"/>
      </w:r>
      <w:r w:rsidR="00CB3189" w:rsidRPr="0070699C">
        <w:instrText>ADDIN CSL_CITATION {"citationItems":[{"id":"ITEM-1","itemData":{"URL":"https://www.iea.org/reports/global-ev-outlook-2024","accessed":{"date-parts":[["2026","3","7"]]},"author":[{"dropping-particle":"","family":"IEA","given":"","non-dropping-particle":"","parse-names":false,"suffix":""}],"id":"ITEM-1","issued":{"date-parts":[["2024"]]},"title":"Global EV Outlook 2024","type":"webpage"},"uris":["http://www.mendeley.com/documents/?uuid=65eff6f3-d98f-4ca8-a782-fc1d6a476f4b"]}],"mendeley":{"formattedCitation":"(IEA, 2024a)","plainTextFormattedCitation":"(IEA, 2024a)","previouslyFormattedCitation":"(IEA, 2024a)"},"properties":{"noteIndex":0},"schema":"https://github.com/citation-style-language/schema/raw/master/csl-citation.json"}</w:instrText>
      </w:r>
      <w:r w:rsidR="00662EC7" w:rsidRPr="0070699C">
        <w:fldChar w:fldCharType="separate"/>
      </w:r>
      <w:r w:rsidR="00CB3189" w:rsidRPr="0070699C">
        <w:rPr>
          <w:noProof/>
        </w:rPr>
        <w:t>(IEA, 2024a)</w:t>
      </w:r>
      <w:r w:rsidR="00662EC7" w:rsidRPr="0070699C">
        <w:fldChar w:fldCharType="end"/>
      </w:r>
      <w:r w:rsidR="00E15B07" w:rsidRPr="0070699C">
        <w:t xml:space="preserve">. </w:t>
      </w:r>
    </w:p>
    <w:p w14:paraId="39F1A3C5" w14:textId="556DCDF7" w:rsidR="00D41A9C" w:rsidRPr="0070699C" w:rsidRDefault="00E15B07" w:rsidP="007D4172">
      <w:pPr>
        <w:pStyle w:val="Heading3"/>
        <w:rPr>
          <w:bCs/>
        </w:rPr>
      </w:pPr>
      <w:bookmarkStart w:id="4" w:name="_Toc223992276"/>
      <w:r w:rsidRPr="0070699C">
        <w:rPr>
          <w:rStyle w:val="Strong"/>
          <w:b/>
          <w:bCs w:val="0"/>
        </w:rPr>
        <w:t>Political/Legal</w:t>
      </w:r>
      <w:bookmarkEnd w:id="4"/>
    </w:p>
    <w:p w14:paraId="00941F2C" w14:textId="241A9EA9" w:rsidR="00191FF7" w:rsidRPr="0070699C" w:rsidRDefault="00264E2A" w:rsidP="00264E2A">
      <w:pPr>
        <w:pStyle w:val="NormalWeb"/>
      </w:pPr>
      <w:r w:rsidRPr="0070699C">
        <w:t xml:space="preserve">One of the basic demands is policy support. The IEA observes that policy interventions such as the purchase incentives and industrial policies are still affecting the adoption and investment within the major and emerging markets. The clean-vehicle credits in the US are regulated by the conditions of eligibility and the requirement to report the credits, and the possibility of transferring the credit at the point of sale (through eligible dealers) alters the dynamics of near-term affordability of eligible models </w:t>
      </w:r>
      <w:r w:rsidR="00811F91" w:rsidRPr="0070699C">
        <w:fldChar w:fldCharType="begin" w:fldLock="1"/>
      </w:r>
      <w:r w:rsidR="00CB3189" w:rsidRPr="0070699C">
        <w:instrText>ADDIN CSL_CITATION {"citationItems":[{"id":"ITEM-1","itemData":{"URL":"https://www.irs.gov/credits-deductions/credits-for-new-clean-vehicles-purchased-in-2023-or-after?","accessed":{"date-parts":[["2025","12","18"]]},"author":[{"dropping-particle":"","family":"IRS","given":"","non-dropping-particle":"","parse-names":false,"suffix":""}],"id":"ITEM-1","issued":{"date-parts":[["2025"]]},"title":"Credits for new clean vehicles purchased in 2023 or after","type":"webpage"},"uris":["http://www.mendeley.com/documents/?uuid=3f2f268b-fe65-4770-8c43-00f085f69d9d"]},{"id":"ITEM-2","itemData":{"URL":"https://www.iea.org/reports/global-ev-outlook-2024","accessed":{"date-parts":[["2026","3","7"]]},"author":[{"dropping-particle":"","family":"IEA","given":"","non-dropping-particle":"","parse-names":false,"suffix":""}],"id":"ITEM-2","issued":{"date-parts":[["2024"]]},"title":"Global EV Outlook 2024","type":"webpage"},"uris":["http://www.mendeley.com/documents/?uuid=65eff6f3-d98f-4ca8-a782-fc1d6a476f4b"]}],"mendeley":{"formattedCitation":"(IEA, 2024a; IRS, 2025)","plainTextFormattedCitation":"(IEA, 2024a; IRS, 2025)","previouslyFormattedCitation":"(IEA, 2024a; IRS, 2025)"},"properties":{"noteIndex":0},"schema":"https://github.com/citation-style-language/schema/raw/master/csl-citation.json"}</w:instrText>
      </w:r>
      <w:r w:rsidR="00811F91" w:rsidRPr="0070699C">
        <w:fldChar w:fldCharType="separate"/>
      </w:r>
      <w:r w:rsidR="00CB3189" w:rsidRPr="0070699C">
        <w:rPr>
          <w:noProof/>
        </w:rPr>
        <w:t>(IEA, 2024a; IRS, 2025)</w:t>
      </w:r>
      <w:r w:rsidR="00811F91" w:rsidRPr="0070699C">
        <w:fldChar w:fldCharType="end"/>
      </w:r>
      <w:r w:rsidR="00191FF7" w:rsidRPr="0070699C">
        <w:t xml:space="preserve">. </w:t>
      </w:r>
    </w:p>
    <w:p w14:paraId="4E25A2F5" w14:textId="77777777" w:rsidR="00264E2A" w:rsidRPr="0070699C" w:rsidRDefault="00264E2A" w:rsidP="00264E2A">
      <w:pPr>
        <w:pStyle w:val="NormalWeb"/>
      </w:pPr>
      <w:r w:rsidRPr="0070699C">
        <w:t xml:space="preserve">Growing strategic risk: the EU implemented final countervailing duties on the importation of battery-electric vehicles in China in 2024, an indication that it will be more aggressive against competition based on subsidies and bringing doubt to prices and supply chains across Europe. </w:t>
      </w:r>
    </w:p>
    <w:p w14:paraId="07605815" w14:textId="14E96740" w:rsidR="00E15B07" w:rsidRPr="0070699C" w:rsidRDefault="00264E2A" w:rsidP="00264E2A">
      <w:pPr>
        <w:pStyle w:val="NormalWeb"/>
      </w:pPr>
      <w:r w:rsidRPr="0070699C">
        <w:t xml:space="preserve">Safety and automated-driving are becoming more restrictive as well. The NHTSA investigations, along with the reports of recalls concerning Tesla’s Autopilot/driver-monitoring issues, in the US point to regulatory interest in the design of Level-2 assist systems, interaction with drivers, and crash risk in the real world. Even in Europe and other UNECE markets, where a more formalised route-and-restraint-to-automation is being taken, evolving type-approval regulations of automated functions (e.g. UN Regulation No. 157 of Automated Lane Keeping Systems) demonstrate that such a route is becoming more formalised-and-restrained </w:t>
      </w:r>
      <w:r w:rsidR="00811F91" w:rsidRPr="0070699C">
        <w:fldChar w:fldCharType="begin" w:fldLock="1"/>
      </w:r>
      <w:r w:rsidR="00A14B4E" w:rsidRPr="0070699C">
        <w:instrText>ADDIN CSL_CITATION {"citationItems":[{"id":"ITEM-1","itemData":{"URL":"https://trade.ec.europa.eu/access-to-markets/en/news/eu-commission-imposes-countervailing-duties-imports-battery-electric-vehicles-bevs-china","accessed":{"date-parts":[["2026","3","7"]]},"author":[{"dropping-particle":"","family":"EUROPEAN COMMISSION","given":"","non-dropping-particle":"","parse-names":false,"suffix":""}],"id":"ITEM-1","issued":{"date-parts":[["2024"]]},"title":"EU Commission imposes countervailing duties on imports of battery electric vehicles (BEVs) from China","type":"webpage"},"uris":["http://www.mendeley.com/documents/?uuid=6b1db0ad-b99d-4592-8680-a9ea8a37d934"]},{"id":"ITEM-2","itemData":{"URL":"https://static.nhtsa.gov/odi/rcl/2023/RCLRPT-23V838-8276.PDF","accessed":{"date-parts":[["2026","3","7"]]},"author":[{"dropping-particle":"","family":"Static NHTSA","given":"","non-dropping-particle":"","parse-names":false,"suffix":""}],"id":"ITEM-2","issued":{"date-parts":[["2024"]]},"title":"Part 573 Safety Recall Report 23V-838","type":"webpage"},"uris":["http://www.mendeley.com/documents/?uuid=dccb110b-a9e8-45ce-9799-cdeb6aa78715"]},{"id":"ITEM-3","itemData":{"URL":"https://unece.org/sites/default/files/2025-06/R157r1e.pdf","accessed":{"date-parts":[["2026","3","7"]]},"author":[{"dropping-particle":"","family":"United Nations","given":"","non-dropping-particle":"","parse-names":false,"suffix":""}],"id":"ITEM-3","issued":{"date-parts":[["2025"]]},"title":"Concerning the Adoption of Harmonized Technical United Nations Regulations for Wheeled Vehicles, Equipment and Parts which can be Fitted and/or be Used on Wheeled Vehicles and the Conditions for Reciprocal Recognition of Approvals Granted on the Basis of ","type":"webpage"},"uris":["http://www.mendeley.com/documents/?uuid=0d268f76-456f-45e6-92d2-5bf4a02f7a0a"]}],"mendeley":{"formattedCitation":"(EUROPEAN COMMISSION, 2024; Static NHTSA, 2024b; United Nations, 2025)","plainTextFormattedCitation":"(EUROPEAN COMMISSION, 2024; Static NHTSA, 2024b; United Nations, 2025)","previouslyFormattedCitation":"(EUROPEAN COMMISSION, 2024; Static NHTSA, 2024b; United Nations, 2025)"},"properties":{"noteIndex":0},"schema":"https://github.com/citation-style-language/schema/raw/master/csl-citation.json"}</w:instrText>
      </w:r>
      <w:r w:rsidR="00811F91" w:rsidRPr="0070699C">
        <w:fldChar w:fldCharType="separate"/>
      </w:r>
      <w:r w:rsidR="00811F91" w:rsidRPr="0070699C">
        <w:rPr>
          <w:noProof/>
        </w:rPr>
        <w:t>(EUROPEAN COMMISSION, 2024; Static NHTSA, 2024b; United Nations, 2025)</w:t>
      </w:r>
      <w:r w:rsidR="00811F91" w:rsidRPr="0070699C">
        <w:fldChar w:fldCharType="end"/>
      </w:r>
      <w:r w:rsidR="00E15B07" w:rsidRPr="0070699C">
        <w:t xml:space="preserve">. </w:t>
      </w:r>
    </w:p>
    <w:p w14:paraId="5B7F87FF" w14:textId="34F1AC10" w:rsidR="00D41A9C" w:rsidRPr="0070699C" w:rsidRDefault="00E15B07" w:rsidP="007D4172">
      <w:pPr>
        <w:pStyle w:val="Heading3"/>
        <w:rPr>
          <w:bCs/>
        </w:rPr>
      </w:pPr>
      <w:bookmarkStart w:id="5" w:name="_Toc223992277"/>
      <w:r w:rsidRPr="0070699C">
        <w:rPr>
          <w:rStyle w:val="Strong"/>
          <w:b/>
          <w:bCs w:val="0"/>
        </w:rPr>
        <w:lastRenderedPageBreak/>
        <w:t>Economic</w:t>
      </w:r>
      <w:bookmarkEnd w:id="5"/>
      <w:r w:rsidRPr="0070699C">
        <w:rPr>
          <w:rStyle w:val="Strong"/>
          <w:b/>
          <w:bCs w:val="0"/>
        </w:rPr>
        <w:t xml:space="preserve"> </w:t>
      </w:r>
    </w:p>
    <w:p w14:paraId="13996954" w14:textId="1BCCAC8F" w:rsidR="00264E2A" w:rsidRPr="0070699C" w:rsidRDefault="00264E2A" w:rsidP="00264E2A">
      <w:pPr>
        <w:pStyle w:val="NormalWeb"/>
      </w:pPr>
      <w:r w:rsidRPr="0070699C">
        <w:t xml:space="preserve">EV affordability is very rate-sensitive as the monthly payments will increase with higher interest rates--without peaks and valleys in demand, and incentives become more prominent. Industry projections concentrate on skewed adoption patterns in regions and segments, which strengthen fluctuations in near future demand. </w:t>
      </w:r>
    </w:p>
    <w:p w14:paraId="7F6A7522" w14:textId="77777777" w:rsidR="00264E2A" w:rsidRPr="0070699C" w:rsidRDefault="00264E2A" w:rsidP="00264E2A">
      <w:pPr>
        <w:pStyle w:val="NormalWeb"/>
      </w:pPr>
      <w:r w:rsidRPr="0070699C">
        <w:t xml:space="preserve">The volatility of input-costs is still significant, especially with battery metals. Pricing intelligence and commentary in the market indicate that the lithium price volatility and a periodic rebalancing due to reductions in supply and adjustments in demand have a direct impact on the cost curves of batteries and the power of OEMs to set prices. </w:t>
      </w:r>
    </w:p>
    <w:p w14:paraId="59D5EFE3" w14:textId="321C8D57" w:rsidR="00E15B07" w:rsidRPr="0070699C" w:rsidRDefault="00264E2A" w:rsidP="00264E2A">
      <w:pPr>
        <w:pStyle w:val="NormalWeb"/>
      </w:pPr>
      <w:r w:rsidRPr="0070699C">
        <w:t xml:space="preserve">These forces have helped to cause price-war (both in China and even more so elsewhere), squeezing the margins and competitive advantage over companies with better manufacturing scale, supply contracts, and cost controls. It is the external economic environment that thus pressures Tesla to support profitability and maintain volume growth and invest in software, autonomy and next-gen platform </w:t>
      </w:r>
      <w:r w:rsidR="00A14B4E" w:rsidRPr="0070699C">
        <w:fldChar w:fldCharType="begin" w:fldLock="1"/>
      </w:r>
      <w:r w:rsidR="00CB3189" w:rsidRPr="0070699C">
        <w:instrText>ADDIN CSL_CITATION {"citationItems":[{"id":"ITEM-1","itemData":{"URL":"https://about.bnef.com/insights/clean-transport/electric-vehicle-outlook/","accessed":{"date-parts":[["2025","8","22"]]},"author":[{"dropping-particle":"","family":"BloombergNEF","given":"","non-dropping-particle":"","parse-names":false,"suffix":""}],"id":"ITEM-1","issued":{"date-parts":[["2025"]]},"title":"Electric Vehicle Outlook 2025","type":"webpage"},"uris":["http://www.mendeley.com/documents/?uuid=eb325a5e-4b5a-4801-9e3e-3d155365890e"]},{"id":"ITEM-2","itemData":{"URL":"https://www.fastmarkets.com/insights/battery-raw-materials-outlook-2025-robust-and-rebalancing-market","accessed":{"date-parts":[["2026","3","7"]]},"author":[{"dropping-particle":"","family":"Fastmarkets","given":"","non-dropping-particle":"","parse-names":false,"suffix":""}],"id":"ITEM-2","issued":{"date-parts":[["2024"]]},"title":"Battery raw materials outlook 2025: Robust and rebalancing market","type":"webpage"},"uris":["http://www.mendeley.com/documents/?uuid=1af23acd-f5ef-4f65-8b86-d57fe62eb7f8"]},{"id":"ITEM-3","itemData":{"URL":"https://www.iea.org/reports/global-ev-outlook-2024","accessed":{"date-parts":[["2026","3","7"]]},"author":[{"dropping-particle":"","family":"IEA","given":"","non-dropping-particle":"","parse-names":false,"suffix":""}],"id":"ITEM-3","issued":{"date-parts":[["2024"]]},"title":"Global EV Outlook 2024","type":"webpage"},"uris":["http://www.mendeley.com/documents/?uuid=65eff6f3-d98f-4ca8-a782-fc1d6a476f4b"]}],"mendeley":{"formattedCitation":"(BloombergNEF, 2025; Fastmarkets, 2024; IEA, 2024a)","plainTextFormattedCitation":"(BloombergNEF, 2025; Fastmarkets, 2024; IEA, 2024a)","previouslyFormattedCitation":"(BloombergNEF, 2025; Fastmarkets, 2024; IEA, 2024a)"},"properties":{"noteIndex":0},"schema":"https://github.com/citation-style-language/schema/raw/master/csl-citation.json"}</w:instrText>
      </w:r>
      <w:r w:rsidR="00A14B4E" w:rsidRPr="0070699C">
        <w:fldChar w:fldCharType="separate"/>
      </w:r>
      <w:r w:rsidR="00CB3189" w:rsidRPr="0070699C">
        <w:rPr>
          <w:noProof/>
        </w:rPr>
        <w:t>(BloombergNEF, 2025; Fastmarkets, 2024; IEA, 2024a)</w:t>
      </w:r>
      <w:r w:rsidR="00A14B4E" w:rsidRPr="0070699C">
        <w:fldChar w:fldCharType="end"/>
      </w:r>
      <w:r w:rsidR="00E15B07" w:rsidRPr="0070699C">
        <w:t xml:space="preserve">. </w:t>
      </w:r>
    </w:p>
    <w:p w14:paraId="18A12CE9" w14:textId="1A37C942" w:rsidR="00D41A9C" w:rsidRPr="0070699C" w:rsidRDefault="00E15B07" w:rsidP="007D4172">
      <w:pPr>
        <w:pStyle w:val="Heading3"/>
        <w:rPr>
          <w:bCs/>
        </w:rPr>
      </w:pPr>
      <w:bookmarkStart w:id="6" w:name="_Toc223992278"/>
      <w:r w:rsidRPr="0070699C">
        <w:rPr>
          <w:rStyle w:val="Strong"/>
          <w:b/>
          <w:bCs w:val="0"/>
        </w:rPr>
        <w:t>Social</w:t>
      </w:r>
      <w:bookmarkEnd w:id="6"/>
      <w:r w:rsidRPr="0070699C">
        <w:rPr>
          <w:rStyle w:val="Strong"/>
          <w:b/>
          <w:bCs w:val="0"/>
        </w:rPr>
        <w:t xml:space="preserve"> </w:t>
      </w:r>
    </w:p>
    <w:p w14:paraId="20B3E313" w14:textId="43D3243B" w:rsidR="00191FF7" w:rsidRPr="0070699C" w:rsidRDefault="00264E2A" w:rsidP="00264E2A">
      <w:pPr>
        <w:pStyle w:val="NormalWeb"/>
      </w:pPr>
      <w:r w:rsidRPr="0070699C">
        <w:t xml:space="preserve">In addition to cost, it has to be adopted on trust- especially in regards to safety and driver-assistance features. The materials of NHTSA on the issues of crashes and driver engagement demonstrate how the consumer confidence and regulator attention might be determined by the incidence, naming/marketing expectations, and perceived risk of misuse </w:t>
      </w:r>
      <w:r w:rsidR="00A14B4E" w:rsidRPr="0070699C">
        <w:fldChar w:fldCharType="begin" w:fldLock="1"/>
      </w:r>
      <w:r w:rsidR="00A14B4E" w:rsidRPr="0070699C">
        <w:instrText>ADDIN CSL_CITATION {"citationItems":[{"id":"ITEM-1","itemData":{"URL":"https://static.nhtsa.gov/odi/inv/2022/INCR-EA22002-14496.pdf","accessed":{"date-parts":[["2026","3","7"]]},"author":[{"dropping-particle":"","family":"Static NHTSA","given":"","non-dropping-particle":"","parse-names":false,"suffix":""}],"id":"ITEM-1","issued":{"date-parts":[["2024"]]},"title":"Additional Information Regarding EA22002","type":"webpage"},"uris":["http://www.mendeley.com/documents/?uuid=f835cc33-e97c-4fd1-99aa-adf8b5dcb41b"]},{"id":"ITEM-2","itemData":{"URL":"https://static.nhtsa.gov/odi/rcl/2023/RCLRPT-23V838-8276.PDF","accessed":{"date-parts":[["2026","3","7"]]},"author":[{"dropping-particle":"","family":"Static NHTSA","given":"","non-dropping-particle":"","parse-names":false,"suffix":""}],"id":"ITEM-2","issued":{"date-parts":[["2024"]]},"title":"Part 573 Safety Recall Report 23V-838","type":"webpage"},"uris":["http://www.mendeley.com/documents/?uuid=dccb110b-a9e8-45ce-9799-cdeb6aa78715"]}],"mendeley":{"formattedCitation":"(Static NHTSA, 2024a, 2024b)","plainTextFormattedCitation":"(Static NHTSA, 2024a, 2024b)","previouslyFormattedCitation":"(Static NHTSA, 2024a, 2024b)"},"properties":{"noteIndex":0},"schema":"https://github.com/citation-style-language/schema/raw/master/csl-citation.json"}</w:instrText>
      </w:r>
      <w:r w:rsidR="00A14B4E" w:rsidRPr="0070699C">
        <w:fldChar w:fldCharType="separate"/>
      </w:r>
      <w:r w:rsidR="00A14B4E" w:rsidRPr="0070699C">
        <w:rPr>
          <w:noProof/>
        </w:rPr>
        <w:t>(Static NHTSA, 2024a, 2024b)</w:t>
      </w:r>
      <w:r w:rsidR="00A14B4E" w:rsidRPr="0070699C">
        <w:fldChar w:fldCharType="end"/>
      </w:r>
      <w:r w:rsidR="00191FF7" w:rsidRPr="0070699C">
        <w:t xml:space="preserve">. </w:t>
      </w:r>
    </w:p>
    <w:p w14:paraId="7F60AD2E" w14:textId="2137E113" w:rsidR="00E15B07" w:rsidRPr="0070699C" w:rsidRDefault="00264E2A" w:rsidP="00E15B07">
      <w:pPr>
        <w:pStyle w:val="NormalWeb"/>
      </w:pPr>
      <w:r w:rsidRPr="0070699C">
        <w:t xml:space="preserve">The sustainability standards are also increasing: consumers and stakeholders are becoming more lifecycle conscious (sourcing, production impacts, recycle) but not only tailpipe advantageous. The market analysis provided by the IEA highlights the fact that the policy and societal priorities in the context of decarbonisation remain in favor of electrification, yet credibility and transparency have an impact on acceptance </w:t>
      </w:r>
      <w:r w:rsidR="00A14B4E" w:rsidRPr="0070699C">
        <w:fldChar w:fldCharType="begin" w:fldLock="1"/>
      </w:r>
      <w:r w:rsidR="00CB3189" w:rsidRPr="0070699C">
        <w:instrText>ADDIN CSL_CITATION {"citationItems":[{"id":"ITEM-1","itemData":{"URL":"https://www.iea.org/reports/global-ev-outlook-2024","accessed":{"date-parts":[["2026","3","7"]]},"author":[{"dropping-particle":"","family":"IEA","given":"","non-dropping-particle":"","parse-names":false,"suffix":""}],"id":"ITEM-1","issued":{"date-parts":[["2024"]]},"title":"Global EV Outlook 2024","type":"webpage"},"uris":["http://www.mendeley.com/documents/?uuid=65eff6f3-d98f-4ca8-a782-fc1d6a476f4b"]}],"mendeley":{"formattedCitation":"(IEA, 2024a)","plainTextFormattedCitation":"(IEA, 2024a)","previouslyFormattedCitation":"(IEA, 2024a)"},"properties":{"noteIndex":0},"schema":"https://github.com/citation-style-language/schema/raw/master/csl-citation.json"}</w:instrText>
      </w:r>
      <w:r w:rsidR="00A14B4E" w:rsidRPr="0070699C">
        <w:fldChar w:fldCharType="separate"/>
      </w:r>
      <w:r w:rsidR="00CB3189" w:rsidRPr="0070699C">
        <w:rPr>
          <w:noProof/>
        </w:rPr>
        <w:t>(IEA, 2024a)</w:t>
      </w:r>
      <w:r w:rsidR="00A14B4E" w:rsidRPr="0070699C">
        <w:fldChar w:fldCharType="end"/>
      </w:r>
      <w:r w:rsidR="00E15B07" w:rsidRPr="0070699C">
        <w:t xml:space="preserve">. </w:t>
      </w:r>
    </w:p>
    <w:p w14:paraId="01A0F94B" w14:textId="0751025F" w:rsidR="00D41A9C" w:rsidRPr="0070699C" w:rsidRDefault="00E15B07" w:rsidP="007D4172">
      <w:pPr>
        <w:pStyle w:val="Heading3"/>
        <w:rPr>
          <w:bCs/>
        </w:rPr>
      </w:pPr>
      <w:bookmarkStart w:id="7" w:name="_Toc223992279"/>
      <w:r w:rsidRPr="0070699C">
        <w:rPr>
          <w:rStyle w:val="Strong"/>
          <w:b/>
          <w:bCs w:val="0"/>
        </w:rPr>
        <w:t>Technological</w:t>
      </w:r>
      <w:bookmarkEnd w:id="7"/>
      <w:r w:rsidRPr="0070699C">
        <w:rPr>
          <w:rStyle w:val="Strong"/>
          <w:b/>
          <w:bCs w:val="0"/>
        </w:rPr>
        <w:t xml:space="preserve"> </w:t>
      </w:r>
    </w:p>
    <w:p w14:paraId="51EE05EF" w14:textId="70E40D03" w:rsidR="00191FF7" w:rsidRPr="0070699C" w:rsidRDefault="0071667E" w:rsidP="0071667E">
      <w:pPr>
        <w:pStyle w:val="NormalWeb"/>
      </w:pPr>
      <w:r w:rsidRPr="0070699C">
        <w:t xml:space="preserve">Innovation of batteries has been a key competitive advantage as it dictates range, cost, and durability. Recent peer-reviewed literature models cost reduction of the battery through learning curves and technological advancement and supports the idea that scale and engineering advancement can be converted into price leadership. Simultaneously, studies indicate that the manufacturing of battery cells is energy-consuming, and process efficiency and clean electricity matter in terms of economics and the environment </w:t>
      </w:r>
      <w:r w:rsidR="008A0DDC" w:rsidRPr="0070699C">
        <w:fldChar w:fldCharType="begin" w:fldLock="1"/>
      </w:r>
      <w:r w:rsidR="008A0DDC" w:rsidRPr="0070699C">
        <w:instrText>ADDIN CSL_CITATION {"citationItems":[{"id":"ITEM-1","itemData":{"DOI":"https://doi.org/10.1016/j.energy.2025.136648","ISSN":"0360-5442","abstract":"The vast adoption of electric vehicles (EVs) depends on cost reduction and energy-density improvement of automotive batteries. The learning curve model is capable of quantitatively predicting the cost reduction through the installed battery capacity. The precision of predicted battery cost can be boosted and verified by the refined learning curve model that considers the comprehensive effects of economic scale and technological innovations. The refined model suggests a more rapid battery cost decline compared with single factor models and previous literatures. It is noted that battery cost in China will fall below 100 $ kWh−1 by 2024, which would make battery powered EV cost competitive with gasoline powered vehicle. Especially, lithium iron phosphate (LFP) batteries will fall faster with a forecast of 80 $ kWh−1 by 2023, closely approaching to the actual market price of 88 $ kWh−1 in 2023. These findings also validate the significance of technological innovations on cost reduction. The predicted battery energy density is confirmed by the state-of-the-art battery technologies, such as tab-free cell configuration and cell-to-pack pattern design. Finally, based on the forecasted cost and energy density, this work depicts the quantitative relationship of EV driving range and cost in current and advanced scenarios.","author":[{"dropping-particle":"","family":"Yang","given":"Chen","non-dropping-particle":"","parse-names":false,"suffix":""},{"dropping-particle":"","family":"Liu","given":"Ding-Fei","non-dropping-particle":"","parse-names":false,"suffix":""},{"dropping-particle":"","family":"Liu","given":"Si-Meng","non-dropping-particle":"","parse-names":false,"suffix":""}],"container-title":"Energy","id":"ITEM-1","issued":{"date-parts":[["2025"]]},"page":"136648","title":"Energy and cost analysis of automotive batteries based on learning curve and configuration design","type":"article-journal","volume":"328"},"uris":["http://www.mendeley.com/documents/?uuid=af72f7aa-bf7f-44c7-b22f-5dca8a263378"]}],"mendeley":{"formattedCitation":"(Yang et al., 2025)","plainTextFormattedCitation":"(Yang et al., 2025)","previouslyFormattedCitation":"(Yang et al., 2025)"},"properties":{"noteIndex":0},"schema":"https://github.com/citation-style-language/schema/raw/master/csl-citation.json"}</w:instrText>
      </w:r>
      <w:r w:rsidR="008A0DDC" w:rsidRPr="0070699C">
        <w:fldChar w:fldCharType="separate"/>
      </w:r>
      <w:r w:rsidR="008A0DDC" w:rsidRPr="0070699C">
        <w:rPr>
          <w:noProof/>
        </w:rPr>
        <w:t>(Yang et al., 2025)</w:t>
      </w:r>
      <w:r w:rsidR="008A0DDC" w:rsidRPr="0070699C">
        <w:fldChar w:fldCharType="end"/>
      </w:r>
      <w:r w:rsidR="00191FF7" w:rsidRPr="0070699C">
        <w:t xml:space="preserve">. </w:t>
      </w:r>
    </w:p>
    <w:p w14:paraId="51677755" w14:textId="24EC7274" w:rsidR="00191FF7" w:rsidRPr="0070699C" w:rsidRDefault="0071667E" w:rsidP="00E15B07">
      <w:pPr>
        <w:pStyle w:val="NormalWeb"/>
      </w:pPr>
      <w:r w:rsidRPr="0070699C">
        <w:t xml:space="preserve">A second important area of battle is charging. It is reported globally that the reliable charging infrastructure and investment are necessary to enable mass adoption, especially in regions with limited home charging </w:t>
      </w:r>
      <w:r w:rsidR="008A0DDC" w:rsidRPr="0070699C">
        <w:fldChar w:fldCharType="begin" w:fldLock="1"/>
      </w:r>
      <w:r w:rsidR="00CB3189" w:rsidRPr="0070699C">
        <w:instrText>ADDIN CSL_CITATION {"citationItems":[{"id":"ITEM-1","itemData":{"ISSN":"2058-7546","author":[{"dropping-particle":"","family":"Degen","given":"Florian","non-dropping-particle":"","parse-names":false,"suffix":""},{"dropping-particle":"","family":"Winter","given":"M","non-dropping-particle":"","parse-names":false,"suffix":""},{"dropping-particle":"","family":"Bendig","given":"D","non-dropping-particle":"","parse-names":false,"suffix":""},{"dropping-particle":"","family":"Tübke","given":"Jens","non-dropping-particle":"","parse-names":false,"suffix":""}],"container-title":"Nature energy","id":"ITEM-1","issue":"11","issued":{"date-parts":[["2023"]]},"page":"1284-1295","publisher":"Nature Publishing Group UK London","title":"Energy consumption of current and future production of lithium-ion and post lithium-ion battery cells","type":"article-journal","volume":"8"},"uris":["http://www.mendeley.com/documents/?uuid=371cce44-081f-4228-964d-d12a330bd255"]},{"id":"ITEM-2","itemData":{"URL":"https://www3.weforum.org/docs/WEF_Scaling_Investment_in_EV_Charging_Infrastructure_2024.pdf","accessed":{"date-parts":[["2026","3","7"]]},"author":[{"dropping-particle":"","family":"World Economic Forum","given":"","non-dropping-particle":"","parse-names":false,"suffix":""}],"id":"ITEM-2","issued":{"date-parts":[["2024"]]},"title":"Scaling Investment in EV Charging Infrastructure: A Policy Roadmap for Cities","type":"webpage"},"uris":["http://www.mendeley.com/documents/?uuid=c5cf58ec-d060-4893-a48a-3b32727f1852"]},{"id":"ITEM-3","itemData":{"URL":"https://www.iea.org/reports/global-ev-outlook-2024","accessed":{"date-parts":[["2026","3","7"]]},"author":[{"dropping-particle":"","family":"IEA","given":"","non-dropping-particle":"","parse-names":false,"suffix":""}],"id":"ITEM-3","issued":{"date-parts":[["2024"]]},"title":"Global EV Outlook 2024","type":"webpage"},"uris":["http://www.mendeley.com/documents/?uuid=65eff6f3-d98f-4ca8-a782-fc1d6a476f4b"]}],"mendeley":{"formattedCitation":"(Degen et al., 2023; IEA, 2024a; World Economic Forum, 2024b)","plainTextFormattedCitation":"(Degen et al., 2023; IEA, 2024a; World Economic Forum, 2024b)","previouslyFormattedCitation":"(Degen et al., 2023; IEA, 2024a; World Economic Forum, 2024b)"},"properties":{"noteIndex":0},"schema":"https://github.com/citation-style-language/schema/raw/master/csl-citation.json"}</w:instrText>
      </w:r>
      <w:r w:rsidR="008A0DDC" w:rsidRPr="0070699C">
        <w:fldChar w:fldCharType="separate"/>
      </w:r>
      <w:r w:rsidR="00CB3189" w:rsidRPr="0070699C">
        <w:rPr>
          <w:noProof/>
        </w:rPr>
        <w:t>(Degen et al., 2023; IEA, 2024a; World Economic Forum, 2024b)</w:t>
      </w:r>
      <w:r w:rsidR="008A0DDC" w:rsidRPr="0070699C">
        <w:fldChar w:fldCharType="end"/>
      </w:r>
      <w:r w:rsidR="00191FF7" w:rsidRPr="0070699C">
        <w:t xml:space="preserve">. </w:t>
      </w:r>
    </w:p>
    <w:p w14:paraId="59B79934" w14:textId="49D4B381" w:rsidR="00E15B07" w:rsidRPr="0070699C" w:rsidRDefault="0071667E" w:rsidP="00E15B07">
      <w:pPr>
        <w:pStyle w:val="NormalWeb"/>
      </w:pPr>
      <w:r w:rsidRPr="0070699C">
        <w:t xml:space="preserve">The struggle is becoming more fierce between software/ autonomy race. The what is deployable is determined by regulatory pathways (UNECE) and safety investigations (NHTSA), whereas the software capability is a strategic differentiator as features velocity, </w:t>
      </w:r>
      <w:r w:rsidRPr="0070699C">
        <w:lastRenderedPageBreak/>
        <w:t xml:space="preserve">driver monitoring, and compliance can turn into sources of value or risk </w:t>
      </w:r>
      <w:r w:rsidR="008A0DDC" w:rsidRPr="0070699C">
        <w:fldChar w:fldCharType="begin" w:fldLock="1"/>
      </w:r>
      <w:r w:rsidR="008A0DDC" w:rsidRPr="0070699C">
        <w:instrText>ADDIN CSL_CITATION {"citationItems":[{"id":"ITEM-1","itemData":{"URL":"https://unece.org/sites/default/files/2025-06/R157r1e.pdf","accessed":{"date-parts":[["2026","3","7"]]},"author":[{"dropping-particle":"","family":"United Nations","given":"","non-dropping-particle":"","parse-names":false,"suffix":""}],"id":"ITEM-1","issued":{"date-parts":[["2025"]]},"title":"Concerning the Adoption of Harmonized Technical United Nations Regulations for Wheeled Vehicles, Equipment and Parts which can be Fitted and/or be Used on Wheeled Vehicles and the Conditions for Reciprocal Recognition of Approvals Granted on the Basis of ","type":"webpage"},"uris":["http://www.mendeley.com/documents/?uuid=0d268f76-456f-45e6-92d2-5bf4a02f7a0a"]},{"id":"ITEM-2","itemData":{"URL":"https://static.nhtsa.gov/odi/inv/2022/INCR-EA22002-14496.pdf","accessed":{"date-parts":[["2026","3","7"]]},"author":[{"dropping-particle":"","family":"Static NHTSA","given":"","non-dropping-particle":"","parse-names":false,"suffix":""}],"id":"ITEM-2","issued":{"date-parts":[["2024"]]},"title":"Additional Information Regarding EA22002","type":"webpage"},"uris":["http://www.mendeley.com/documents/?uuid=f835cc33-e97c-4fd1-99aa-adf8b5dcb41b"]}],"mendeley":{"formattedCitation":"(Static NHTSA, 2024a; United Nations, 2025)","plainTextFormattedCitation":"(Static NHTSA, 2024a; United Nations, 2025)","previouslyFormattedCitation":"(Static NHTSA, 2024a; United Nations, 2025)"},"properties":{"noteIndex":0},"schema":"https://github.com/citation-style-language/schema/raw/master/csl-citation.json"}</w:instrText>
      </w:r>
      <w:r w:rsidR="008A0DDC" w:rsidRPr="0070699C">
        <w:fldChar w:fldCharType="separate"/>
      </w:r>
      <w:r w:rsidR="008A0DDC" w:rsidRPr="0070699C">
        <w:rPr>
          <w:noProof/>
        </w:rPr>
        <w:t>(Static NHTSA, 2024a; United Nations, 2025)</w:t>
      </w:r>
      <w:r w:rsidR="008A0DDC" w:rsidRPr="0070699C">
        <w:fldChar w:fldCharType="end"/>
      </w:r>
      <w:r w:rsidR="00E15B07" w:rsidRPr="0070699C">
        <w:t>.</w:t>
      </w:r>
    </w:p>
    <w:p w14:paraId="51A1B504" w14:textId="3642BEBF" w:rsidR="00D41A9C" w:rsidRPr="0070699C" w:rsidRDefault="00E15B07" w:rsidP="007D4172">
      <w:pPr>
        <w:pStyle w:val="Heading3"/>
        <w:rPr>
          <w:bCs/>
        </w:rPr>
      </w:pPr>
      <w:bookmarkStart w:id="8" w:name="_Toc223992280"/>
      <w:r w:rsidRPr="0070699C">
        <w:rPr>
          <w:rStyle w:val="Strong"/>
          <w:b/>
          <w:bCs w:val="0"/>
        </w:rPr>
        <w:t>Environmental</w:t>
      </w:r>
      <w:bookmarkEnd w:id="8"/>
      <w:r w:rsidRPr="0070699C">
        <w:rPr>
          <w:rStyle w:val="Strong"/>
          <w:b/>
          <w:bCs w:val="0"/>
        </w:rPr>
        <w:t xml:space="preserve"> </w:t>
      </w:r>
    </w:p>
    <w:p w14:paraId="281395FA" w14:textId="787425E7" w:rsidR="00E15B07" w:rsidRPr="0070699C" w:rsidRDefault="0071667E" w:rsidP="0071667E">
      <w:pPr>
        <w:pStyle w:val="NormalWeb"/>
      </w:pPr>
      <w:r w:rsidRPr="0070699C">
        <w:t xml:space="preserve">Environmental analysis is moving to a lifecycle perspective: the energy consumption of battery manufacturing, its supply-chain, and recycling. Evidence with peer review indicates that cell manufacturing consumes a large amount of energy meaning that the decarbonisation of production and efficiency positively influence the actual climate performance and ESG stories. The IEA also puts EV growth in the context of energy-system transitions in general, in which clean energy, materials, and capacity to recycle are strategic bottlenecks. In the case of Tesla, this implies that environmental performance is compliance, but reputational, cost, and policy-access, particularly when incentives and procurement procedures are becoming more and more conditional upon sustainability </w:t>
      </w:r>
      <w:r w:rsidR="008A0DDC" w:rsidRPr="0070699C">
        <w:fldChar w:fldCharType="begin" w:fldLock="1"/>
      </w:r>
      <w:r w:rsidR="00CB3189" w:rsidRPr="0070699C">
        <w:instrText>ADDIN CSL_CITATION {"citationItems":[{"id":"ITEM-1","itemData":{"ISSN":"2058-7546","author":[{"dropping-particle":"","family":"Degen","given":"Florian","non-dropping-particle":"","parse-names":false,"suffix":""},{"dropping-particle":"","family":"Winter","given":"M","non-dropping-particle":"","parse-names":false,"suffix":""},{"dropping-particle":"","family":"Bendig","given":"D","non-dropping-particle":"","parse-names":false,"suffix":""},{"dropping-particle":"","family":"Tübke","given":"Jens","non-dropping-particle":"","parse-names":false,"suffix":""}],"container-title":"Nature energy","id":"ITEM-1","issue":"11","issued":{"date-parts":[["2023"]]},"page":"1284-1295","publisher":"Nature Publishing Group UK London","title":"Energy consumption of current and future production of lithium-ion and post lithium-ion battery cells","type":"article-journal","volume":"8"},"uris":["http://www.mendeley.com/documents/?uuid=371cce44-081f-4228-964d-d12a330bd255"]},{"id":"ITEM-2","itemData":{"URL":"https://www.iea.org/reports/global-ev-outlook-2024","accessed":{"date-parts":[["2026","3","7"]]},"author":[{"dropping-particle":"","family":"IEA","given":"","non-dropping-particle":"","parse-names":false,"suffix":""}],"id":"ITEM-2","issued":{"date-parts":[["2024"]]},"title":"Global EV Outlook 2024","type":"webpage"},"uris":["http://www.mendeley.com/documents/?uuid=65eff6f3-d98f-4ca8-a782-fc1d6a476f4b"]}],"mendeley":{"formattedCitation":"(Degen et al., 2023; IEA, 2024a)","plainTextFormattedCitation":"(Degen et al., 2023; IEA, 2024a)","previouslyFormattedCitation":"(Degen et al., 2023; IEA, 2024a)"},"properties":{"noteIndex":0},"schema":"https://github.com/citation-style-language/schema/raw/master/csl-citation.json"}</w:instrText>
      </w:r>
      <w:r w:rsidR="008A0DDC" w:rsidRPr="0070699C">
        <w:fldChar w:fldCharType="separate"/>
      </w:r>
      <w:r w:rsidR="00CB3189" w:rsidRPr="0070699C">
        <w:rPr>
          <w:noProof/>
        </w:rPr>
        <w:t>(Degen et al., 2023; IEA, 2024a)</w:t>
      </w:r>
      <w:r w:rsidR="008A0DDC" w:rsidRPr="0070699C">
        <w:fldChar w:fldCharType="end"/>
      </w:r>
      <w:r w:rsidR="00E15B07" w:rsidRPr="0070699C">
        <w:t xml:space="preserve">. </w:t>
      </w:r>
    </w:p>
    <w:p w14:paraId="6966FDD6" w14:textId="00792B6A" w:rsidR="00E15B07" w:rsidRPr="0070699C" w:rsidRDefault="007015D5" w:rsidP="00E3431B">
      <w:pPr>
        <w:pStyle w:val="Heading2"/>
      </w:pPr>
      <w:bookmarkStart w:id="9" w:name="_Toc223992281"/>
      <w:r w:rsidRPr="0070699C">
        <w:t>Industry success factors + strategic challenges</w:t>
      </w:r>
      <w:bookmarkEnd w:id="9"/>
    </w:p>
    <w:p w14:paraId="6FBE0A18" w14:textId="18C68A87" w:rsidR="00EB4A5F" w:rsidRPr="0070699C" w:rsidRDefault="007015D5" w:rsidP="007D4172">
      <w:pPr>
        <w:pStyle w:val="Heading3"/>
        <w:rPr>
          <w:bCs/>
        </w:rPr>
      </w:pPr>
      <w:bookmarkStart w:id="10" w:name="_Toc223992282"/>
      <w:r w:rsidRPr="0070699C">
        <w:rPr>
          <w:rStyle w:val="Strong"/>
          <w:b/>
          <w:bCs w:val="0"/>
        </w:rPr>
        <w:t>Critical success factors (CSFs) for EV/energy</w:t>
      </w:r>
      <w:bookmarkEnd w:id="10"/>
      <w:r w:rsidRPr="0070699C">
        <w:rPr>
          <w:rStyle w:val="Strong"/>
          <w:b/>
          <w:bCs w:val="0"/>
        </w:rPr>
        <w:t xml:space="preserve"> </w:t>
      </w:r>
    </w:p>
    <w:p w14:paraId="3A937499" w14:textId="119738AC" w:rsidR="007015D5" w:rsidRPr="0070699C" w:rsidRDefault="007015D5" w:rsidP="00D2079D">
      <w:pPr>
        <w:pStyle w:val="NormalWeb"/>
      </w:pPr>
      <w:r w:rsidRPr="0070699C">
        <w:t xml:space="preserve">in </w:t>
      </w:r>
      <w:r w:rsidR="00D2079D" w:rsidRPr="0070699C">
        <w:t xml:space="preserve">The key success factors in EVs and related energy markets include (1) battery cost and performance learning (chemistry, manufacturing efficiency and secure supply), as batteries continue to be the major cost driver and their economics more important to pricing power and mass adoption; (2) scale and flexible manufacturing to externalize fixed costs and respond to demand shocks; (3) supply-chain resilience to critical minerals and components due to geographic concentration and sustainability tensions; (4) access to and reliability of charging, since inadequate public charging is a key barrier to adoption and cities face an investment gap in infrastructure investment </w:t>
      </w:r>
      <w:r w:rsidR="00CA0887" w:rsidRPr="0070699C">
        <w:fldChar w:fldCharType="begin" w:fldLock="1"/>
      </w:r>
      <w:r w:rsidR="00514732" w:rsidRPr="0070699C">
        <w:instrText>ADDIN CSL_CITATION {"citationItems":[{"id":"ITEM-1","itemData":{"abstract":"The Global EV Outlook is an annual publication that reports on recent developments in electric mobility around the world. It is developed with the support of members of the Electric Vehicles Initiative (EVI). The report draws on the latest data to assess trends in electric vehicle deployment, demand for their batteries and charging infrastructure. It considers recent policy developments and industry strategies shaping the outlook for electric vehicles in different markets. This edition features analysis of electric vehicle affordability, manufacturing and trade of electric cars and their batteries, and the total cost of ownership of electric heavy-duty trucks across various markets, and makes projections to 2030. The report is complemented by updated versions of two online tools: the Global EV Data Explorer and the Global EV Policy Explorer, which allow users to further explore EV statistics and projections, and policy measures worldwide.","author":[{"dropping-particle":"","family":"IEA","given":"","non-dropping-particle":"","parse-names":false,"suffix":""}],"id":"ITEM-1","issued":{"date-parts":[["2025"]]},"page":"1-173","title":"Global EV Outlook 2025 Expanding sales in diverse markets","type":"article-journal"},"uris":["http://www.mendeley.com/documents/?uuid=e0c82964-be5f-4a65-93c7-23d9f28606bb"]},{"id":"ITEM-2","itemData":{"ISSN":"2058-7546","author":[{"dropping-particle":"","family":"Degen","given":"Florian","non-dropping-particle":"","parse-names":false,"suffix":""},{"dropping-particle":"","family":"Winter","given":"M","non-dropping-particle":"","parse-names":false,"suffix":""},{"dropping-particle":"","family":"Bendig","given":"D","non-dropping-particle":"","parse-names":false,"suffix":""},{"dropping-particle":"","family":"Tübke","given":"Jens","non-dropping-particle":"","parse-names":false,"suffix":""}],"container-title":"Nature energy","id":"ITEM-2","issue":"11","issued":{"date-parts":[["2023"]]},"page":"1284-1295","publisher":"Nature Publishing Group UK London","title":"Energy consumption of current and future production of lithium-ion and post lithium-ion battery cells","type":"article-journal","volume":"8"},"uris":["http://www.mendeley.com/documents/?uuid=371cce44-081f-4228-964d-d12a330bd255"]},{"id":"ITEM-3","itemData":{"DOI":"https://doi.org/10.1016/j.envc.2024.100966","ISSN":"2667-0100","abstract":"The expected growth of electric mobility will have major sustainability implications in societies across the globe due to a global reliance on primary natural resources and the uneven distribution of benefits and impacts. There has been a call for comprehensive assessments that account for the complex causalities between technological, environmental, social, economic, and political aspects of electric mobility. We present a literature review examining the interconnections between aspects of sustainability in the use of critical materials in electric vehicle batteries. With a holistic review of social sciences, materials science, environmental policy, and innovation management literatures, five domains of sustainability tensions were identified: 1) resource sufficiency, 2) geographical distribution and global value chains, 3) regulation and policies, 4) circular economy, and 5) emerging battery technologies. The framework explicates the wickedness and complex causalities involved in the interdependencies of multiple sustainability dimensions and the related tensions. This study extends the examination to cover political aspects and adds to techno-industrial research on battery materials, supply chains and industrial policies and land use, electricity consumption and governance in EV battery production. This study proposes pathways forward that consider various sustainability interdependencies.","author":[{"dropping-particle":"","family":"Lehtimäki","given":"Hanna","non-dropping-particle":"","parse-names":false,"suffix":""},{"dropping-particle":"","family":"Karhu","given":"Marjaana","non-dropping-particle":"","parse-names":false,"suffix":""},{"dropping-particle":"","family":"Kotilainen","given":"Juha M","non-dropping-particle":"","parse-names":false,"suffix":""},{"dropping-particle":"","family":"Sairinen","given":"Rauno","non-dropping-particle":"","parse-names":false,"suffix":""},{"dropping-particle":"","family":"Jokilaakso","given":"Ari","non-dropping-particle":"","parse-names":false,"suffix":""},{"dropping-particle":"","family":"Lassi","given":"Ulla","non-dropping-particle":"","parse-names":false,"suffix":""},{"dropping-particle":"","family":"Huttunen-Saarivirta","given":"Elina","non-dropping-particle":"","parse-names":false,"suffix":""}],"container-title":"Environmental Challenges","id":"ITEM-3","issued":{"date-parts":[["2024"]]},"page":"100966","title":"Sustainability of the use of critical raw materials in electric vehicle batteries: A transdisciplinary review","type":"article-journal","volume":"16"},"uris":["http://www.mendeley.com/documents/?uuid=73ffa6ab-8d7f-4502-aff1-06bb07a2efc2"]},{"id":"ITEM-4","itemData":{"URL":"https://www.nature.com/collections/eaebjccaab","accessed":{"date-parts":[["2026","3","7"]]},"author":[{"dropping-particle":"","family":"Nature Portfolio","given":"","non-dropping-particle":"","parse-names":false,"suffix":""}],"id":"ITEM-4","issued":{"date-parts":[["2026"]]},"title":"Critical materials supply chain sustainability","type":"webpage"},"uris":["http://www.mendeley.com/documents/?uuid=8d217819-d87d-4b9e-a6a4-cd0fb9f9087d"]},{"id":"ITEM-5","itemData":{"URL":"https://www3.weforum.org/docs/WEF_Scaling_Investment_in_EV_Charging_Infrastructure_2024.pdf","accessed":{"date-parts":[["2026","3","7"]]},"author":[{"dropping-particle":"","family":"World Economic Forum","given":"","non-dropping-particle":"","parse-names":false,"suffix":""}],"id":"ITEM-5","issued":{"date-parts":[["2024"]]},"title":"Scaling Investment in EV Charging Infrastructure: A Policy Roadmap for Cities","type":"webpage"},"uris":["http://www.mendeley.com/documents/?uuid=c5cf58ec-d060-4893-a48a-3b32727f1852"]},{"id":"ITEM-6","itemData":{"URL":"https://www.weforum.org/publications/scaling-investment-in-ev-charging-a-policy-roadmap-for-cities","accessed":{"date-parts":[["2026","3","7"]]},"author":[{"dropping-particle":"","family":"World Economic Forum","given":"","non-dropping-particle":"","parse-names":false,"suffix":""}],"id":"ITEM-6","issued":{"date-parts":[["2024"]]},"title":"Scaling Investment in EV Charging: A Policy Roadmap for Cities","type":"webpage"},"uris":["http://www.mendeley.com/documents/?uuid=4fc3b409-27a7-4335-9322-235a12e04860"]},{"id":"ITEM-7","itemData":{"URL":"https://www.iea.org/reports/global-ev-outlook-2024/outlook-for-electric-vehicle-charging-infrastructure","accessed":{"date-parts":[["2026","3","7"]]},"author":[{"dropping-particle":"","family":"IEA","given":"","non-dropping-particle":"","parse-names":false,"suffix":""}],"id":"ITEM-7","issued":{"date-parts":[["2024"]]},"title":"Outlook for electric vehicle charging infrastructure","type":"webpage"},"uris":["http://www.mendeley.com/documents/?uuid=a19bd77e-4c35-44b3-94a4-f309546ca9ed"]}],"mendeley":{"formattedCitation":"(Degen et al., 2023; IEA, 2024b, 2025d; Lehtimäki et al., 2024; Nature Portfolio, 2026; World Economic Forum, 2024b, 2024a)","plainTextFormattedCitation":"(Degen et al., 2023; IEA, 2024b, 2025d; Lehtimäki et al., 2024; Nature Portfolio, 2026; World Economic Forum, 2024b, 2024a)","previouslyFormattedCitation":"(Degen et al., 2023; IEA, 2024b, 2025d; Lehtimäki et al., 2024; Nature Portfolio, 2026; World Economic Forum, 2024b, 2024a)"},"properties":{"noteIndex":0},"schema":"https://github.com/citation-style-language/schema/raw/master/csl-citation.json"}</w:instrText>
      </w:r>
      <w:r w:rsidR="00CA0887" w:rsidRPr="0070699C">
        <w:fldChar w:fldCharType="separate"/>
      </w:r>
      <w:r w:rsidR="00514732" w:rsidRPr="0070699C">
        <w:rPr>
          <w:noProof/>
        </w:rPr>
        <w:t>(Degen et al., 2023; IEA, 2024b, 2025d; Lehtimäki et al., 2024; Nature Portfolio, 2026; World Economic Forum, 2024b, 2024a)</w:t>
      </w:r>
      <w:r w:rsidR="00CA0887" w:rsidRPr="0070699C">
        <w:fldChar w:fldCharType="end"/>
      </w:r>
      <w:r w:rsidRPr="0070699C">
        <w:t>.</w:t>
      </w:r>
    </w:p>
    <w:p w14:paraId="52A7B3F5" w14:textId="760F021B" w:rsidR="00EB4A5F" w:rsidRPr="0070699C" w:rsidRDefault="007015D5" w:rsidP="007D4172">
      <w:pPr>
        <w:pStyle w:val="Heading3"/>
        <w:rPr>
          <w:bCs/>
        </w:rPr>
      </w:pPr>
      <w:bookmarkStart w:id="11" w:name="_Toc223992283"/>
      <w:r w:rsidRPr="0070699C">
        <w:rPr>
          <w:rStyle w:val="Strong"/>
          <w:b/>
          <w:bCs w:val="0"/>
        </w:rPr>
        <w:t>Strategic challenges (threats + uncertainties)</w:t>
      </w:r>
      <w:bookmarkEnd w:id="11"/>
    </w:p>
    <w:p w14:paraId="45ECDD7C" w14:textId="551D1B7C" w:rsidR="007015D5" w:rsidRPr="0070699C" w:rsidRDefault="00D2079D" w:rsidP="00D2079D">
      <w:pPr>
        <w:pStyle w:val="NormalWeb"/>
      </w:pPr>
      <w:r w:rsidRPr="0070699C">
        <w:t xml:space="preserve">The external threat set is becoming increasingly strong. To start with, intensive competition and price battles, particularly in China, squeeze margins and drive continuous cost-cut and model upgrade strategies. Second, volatility of materials (e.g., changes in the price of lithium) presents a risk to the cost of inputs and supply planning of batteries. Third, relative pricing, localisation choices and market access can be reformed by trade and industrial policy changes (e.g. EU countervailing duties on Chinese BEVs). Fourth, driver-assistance/automation regulatory and safety scrutiny increases compliance costs and reputational risk, and may limit feature rollout. Lastly, a higher risk of disruption and ESG exposure is created by geopolitics and concentrations of supply of critical minerals </w:t>
      </w:r>
      <w:r w:rsidR="00CB3189" w:rsidRPr="0070699C">
        <w:fldChar w:fldCharType="begin" w:fldLock="1"/>
      </w:r>
      <w:r w:rsidR="00B5115C" w:rsidRPr="0070699C">
        <w:instrText>ADDIN CSL_CITATION {"citationItems":[{"id":"ITEM-1","itemData":{"URL":"https://www.reuters.com/technology/chinas-catl-sees-slowest-profit-growth-six-years-2025-03-14","accessed":{"date-parts":[["2026","3","7"]]},"author":[{"dropping-particle":"","family":"Reuters","given":"","non-dropping-particle":"","parse-names":false,"suffix":""}],"id":"ITEM-1","issued":{"date-parts":[["2025"]]},"title":"China's CATL sees slowest profit growth in six years","type":"webpage"},"uris":["http://www.mendeley.com/documents/?uuid=23ac91ea-6c71-480f-b7c2-1c2ce8d59cfd"]},{"id":"ITEM-2","itemData":{"URL":"https://www.reuters.com/world/asia-pacific/china-lithium-prices-tumble-weak-ev-sales-middle-east-war-cloud-demand-outlook-2026-03-03/","accessed":{"date-parts":[["2026","3","7"]]},"author":[{"dropping-particle":"","family":"Reuters","given":"","non-dropping-particle":"","parse-names":false,"suffix":""}],"id":"ITEM-2","issued":{"date-parts":[["2026"]]},"title":"China lithium prices tumble as weak EV sales, Middle East war cloud demand outlook","type":"webpage"},"uris":["http://www.mendeley.com/documents/?uuid=9a1d5289-f7da-490b-aa24-d539affb0388"]},{"id":"ITEM-3","itemData":{"URL":"https://www3.weforum.org/docs/WEF_Scaling_Investment_in_EV_Charging_Infrastructure_2024.pdf","accessed":{"date-parts":[["2026","3","7"]]},"author":[{"dropping-particle":"","family":"World Economic Forum","given":"","non-dropping-particle":"","parse-names":false,"suffix":""}],"id":"ITEM-3","issued":{"date-parts":[["2024"]]},"title":"Scaling Investment in EV Charging Infrastructure: A Policy Roadmap for Cities","type":"webpage"},"uris":["http://www.mendeley.com/documents/?uuid=c5cf58ec-d060-4893-a48a-3b32727f1852"]},{"id":"ITEM-4","itemData":{"ISSN":"2058-7546","author":[{"dropping-particle":"","family":"Degen","given":"Florian","non-dropping-particle":"","parse-names":false,"suffix":""},{"dropping-particle":"","family":"Winter","given":"M","non-dropping-particle":"","parse-names":false,"suffix":""},{"dropping-particle":"","family":"Bendig","given":"D","non-dropping-particle":"","parse-names":false,"suffix":""},{"dropping-particle":"","family":"Tübke","given":"Jens","non-dropping-particle":"","parse-names":false,"suffix":""}],"container-title":"Nature energy","id":"ITEM-4","issue":"11","issued":{"date-parts":[["2023"]]},"page":"1284-1295","publisher":"Nature Publishing Group UK London","title":"Energy consumption of current and future production of lithium-ion and post lithium-ion battery cells","type":"article-journal","volume":"8"},"uris":["http://www.mendeley.com/documents/?uuid=371cce44-081f-4228-964d-d12a330bd255"]},{"id":"ITEM-5","itemData":{"DOI":"https://doi.org/10.1016/j.envc.2024.100966","ISSN":"2667-0100","abstract":"The expected growth of electric mobility will have major sustainability implications in societies across the globe due to a global reliance on primary natural resources and the uneven distribution of benefits and impacts. There has been a call for comprehensive assessments that account for the complex causalities between technological, environmental, social, economic, and political aspects of electric mobility. We present a literature review examining the interconnections between aspects of sustainability in the use of critical materials in electric vehicle batteries. With a holistic review of social sciences, materials science, environmental policy, and innovation management literatures, five domains of sustainability tensions were identified: 1) resource sufficiency, 2) geographical distribution and global value chains, 3) regulation and policies, 4) circular economy, and 5) emerging battery technologies. The framework explicates the wickedness and complex causalities involved in the interdependencies of multiple sustainability dimensions and the related tensions. This study extends the examination to cover political aspects and adds to techno-industrial research on battery materials, supply chains and industrial policies and land use, electricity consumption and governance in EV battery production. This study proposes pathways forward that consider various sustainability interdependencies.","author":[{"dropping-particle":"","family":"Lehtimäki","given":"Hanna","non-dropping-particle":"","parse-names":false,"suffix":""},{"dropping-particle":"","family":"Karhu","given":"Marjaana","non-dropping-particle":"","parse-names":false,"suffix":""},{"dropping-particle":"","family":"Kotilainen","given":"Juha M","non-dropping-particle":"","parse-names":false,"suffix":""},{"dropping-particle":"","family":"Sairinen","given":"Rauno","non-dropping-particle":"","parse-names":false,"suffix":""},{"dropping-particle":"","family":"Jokilaakso","given":"Ari","non-dropping-particle":"","parse-names":false,"suffix":""},{"dropping-particle":"","family":"Lassi","given":"Ulla","non-dropping-particle":"","parse-names":false,"suffix":""},{"dropping-particle":"","family":"Huttunen-Saarivirta","given":"Elina","non-dropping-particle":"","parse-names":false,"suffix":""}],"container-title":"Environmental Challenges","id":"ITEM-5","issued":{"date-parts":[["2024"]]},"page":"100966","title":"Sustainability of the use of critical raw materials in electric vehicle batteries: A transdisciplinary review","type":"article-journal","volume":"16"},"uris":["http://www.mendeley.com/documents/?uuid=73ffa6ab-8d7f-4502-aff1-06bb07a2efc2"]}],"mendeley":{"formattedCitation":"(Degen et al., 2023; Lehtimäki et al., 2024; Reuters, 2025a, 2026; World Economic Forum, 2024b)","plainTextFormattedCitation":"(Degen et al., 2023; Lehtimäki et al., 2024; Reuters, 2025a, 2026; World Economic Forum, 2024b)","previouslyFormattedCitation":"(Degen et al., 2023; Lehtimäki et al., 2024; Reuters, 2025a, 2026; World Economic Forum, 2024b)"},"properties":{"noteIndex":0},"schema":"https://github.com/citation-style-language/schema/raw/master/csl-citation.json"}</w:instrText>
      </w:r>
      <w:r w:rsidR="00CB3189" w:rsidRPr="0070699C">
        <w:fldChar w:fldCharType="separate"/>
      </w:r>
      <w:r w:rsidR="00B5115C" w:rsidRPr="0070699C">
        <w:rPr>
          <w:noProof/>
        </w:rPr>
        <w:t>(Degen et al., 2023; Lehtimäki et al., 2024; Reuters, 2025a, 2026; World Economic Forum, 2024b)</w:t>
      </w:r>
      <w:r w:rsidR="00CB3189" w:rsidRPr="0070699C">
        <w:fldChar w:fldCharType="end"/>
      </w:r>
      <w:r w:rsidR="007015D5" w:rsidRPr="0070699C">
        <w:t>.</w:t>
      </w:r>
    </w:p>
    <w:p w14:paraId="6D0CAFFB" w14:textId="1062655F" w:rsidR="007015D5" w:rsidRPr="0070699C" w:rsidRDefault="007015D5" w:rsidP="00E3431B">
      <w:pPr>
        <w:pStyle w:val="Heading2"/>
        <w:rPr>
          <w:rFonts w:ascii="Times New Roman" w:hAnsi="Times New Roman"/>
          <w:sz w:val="27"/>
        </w:rPr>
      </w:pPr>
      <w:bookmarkStart w:id="12" w:name="_Toc223992284"/>
      <w:r w:rsidRPr="0070699C">
        <w:t>Internal environment + VRIO</w:t>
      </w:r>
      <w:bookmarkEnd w:id="12"/>
    </w:p>
    <w:p w14:paraId="084BF2AF" w14:textId="426A46DB" w:rsidR="00EB4A5F" w:rsidRPr="0070699C" w:rsidRDefault="007015D5" w:rsidP="007D4172">
      <w:pPr>
        <w:pStyle w:val="Heading3"/>
        <w:rPr>
          <w:bCs/>
        </w:rPr>
      </w:pPr>
      <w:bookmarkStart w:id="13" w:name="_Toc223992285"/>
      <w:r w:rsidRPr="0070699C">
        <w:rPr>
          <w:rStyle w:val="Strong"/>
          <w:b/>
          <w:bCs w:val="0"/>
        </w:rPr>
        <w:t>Resources &amp; capabilities (grouped)</w:t>
      </w:r>
      <w:bookmarkEnd w:id="13"/>
    </w:p>
    <w:p w14:paraId="1D7162D0" w14:textId="3ECA7401" w:rsidR="00191FF7" w:rsidRPr="0070699C" w:rsidRDefault="007015D5" w:rsidP="00D2079D">
      <w:pPr>
        <w:pStyle w:val="NormalWeb"/>
      </w:pPr>
      <w:r w:rsidRPr="0070699C">
        <w:rPr>
          <w:rStyle w:val="Strong"/>
        </w:rPr>
        <w:t>Physical:</w:t>
      </w:r>
      <w:r w:rsidRPr="0070699C">
        <w:t xml:space="preserve"> </w:t>
      </w:r>
      <w:r w:rsidR="00D2079D" w:rsidRPr="0070699C">
        <w:t xml:space="preserve">massiveness (gigafactory footprint), integrated manufacturing and logistics, and extensive fast-charging network that helps make the customer convenient and service revenues </w:t>
      </w:r>
      <w:r w:rsidR="00BC4E0F" w:rsidRPr="0070699C">
        <w:fldChar w:fldCharType="begin" w:fldLock="1"/>
      </w:r>
      <w:r w:rsidR="00514732" w:rsidRPr="0070699C">
        <w:instrText>ADDIN CSL_CITATION {"citationItems":[{"id":"ITEM-1","itemData":{"abstract":"The Global EV Outlook is an annual publication that reports on recent developments in electric mobility around the world. It is developed with the support of members of the Electric Vehicles Initiative (EVI). The report draws on the latest data to assess trends in electric vehicle deployment, demand for their batteries and charging infrastructure. It considers recent policy developments and industry strategies shaping the outlook for electric vehicles in different markets. This edition features analysis of electric vehicle affordability, manufacturing and trade of electric cars and their batteries, and the total cost of ownership of electric heavy-duty trucks across various markets, and makes projections to 2030. The report is complemented by updated versions of two online tools: the Global EV Data Explorer and the Global EV Policy Explorer, which allow users to further explore EV statistics and projections, and policy measures worldwide.","author":[{"dropping-particle":"","family":"IEA","given":"","non-dropping-particle":"","parse-names":false,"suffix":""}],"id":"ITEM-1","issued":{"date-parts":[["2025"]]},"page":"1-173","title":"Global EV Outlook 2025 Expanding sales in diverse markets","type":"article-journal"},"uris":["http://www.mendeley.com/documents/?uuid=e0c82964-be5f-4a65-93c7-23d9f28606bb"]},{"id":"ITEM-2","itemData":{"URL":"https://www.sec.gov/Archives/edgar/data/1318605/000162828025003063/tsla-20241231.htm","accessed":{"date-parts":[["2025","12","18"]]},"author":[{"dropping-particle":"","family":"SEC.GOV","given":"","non-dropping-particle":"","parse-names":false,"suffix":""}],"id":"ITEM-2","issued":{"date-parts":[["2024"]]},"title":"UNITED STATES SECURITIES AND EXCHANGE COMMISSION","type":"webpage"},"uris":["http://www.mendeley.com/documents/?uuid=18ccc39c-e964-49fe-8b80-236e86750459"]}],"mendeley":{"formattedCitation":"(IEA, 2025d; SEC.GOV, 2024)","plainTextFormattedCitation":"(IEA, 2025d; SEC.GOV, 2024)","previouslyFormattedCitation":"(IEA, 2025d; SEC.GOV, 2024)"},"properties":{"noteIndex":0},"schema":"https://github.com/citation-style-language/schema/raw/master/csl-citation.json"}</w:instrText>
      </w:r>
      <w:r w:rsidR="00BC4E0F" w:rsidRPr="0070699C">
        <w:fldChar w:fldCharType="separate"/>
      </w:r>
      <w:r w:rsidR="00514732" w:rsidRPr="0070699C">
        <w:rPr>
          <w:noProof/>
        </w:rPr>
        <w:t>(IEA, 2025d; SEC.GOV, 2024)</w:t>
      </w:r>
      <w:r w:rsidR="00BC4E0F" w:rsidRPr="0070699C">
        <w:fldChar w:fldCharType="end"/>
      </w:r>
      <w:r w:rsidR="00191FF7" w:rsidRPr="0070699C">
        <w:t xml:space="preserve">. </w:t>
      </w:r>
    </w:p>
    <w:p w14:paraId="704528E3" w14:textId="0EC37501" w:rsidR="00191FF7" w:rsidRPr="0070699C" w:rsidRDefault="007015D5" w:rsidP="00D2079D">
      <w:pPr>
        <w:pStyle w:val="NormalWeb"/>
      </w:pPr>
      <w:r w:rsidRPr="0070699C">
        <w:rPr>
          <w:rStyle w:val="Strong"/>
        </w:rPr>
        <w:lastRenderedPageBreak/>
        <w:t>Human:</w:t>
      </w:r>
      <w:r w:rsidRPr="0070699C">
        <w:t xml:space="preserve"> </w:t>
      </w:r>
      <w:r w:rsidR="00D2079D" w:rsidRPr="0070699C">
        <w:t xml:space="preserve">battery systems, power electronics, manufacturing, and AI/ADAS development engineering talent; high pace execution capability </w:t>
      </w:r>
      <w:r w:rsidR="00BC4E0F" w:rsidRPr="0070699C">
        <w:fldChar w:fldCharType="begin" w:fldLock="1"/>
      </w:r>
      <w:r w:rsidR="00BC4E0F"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COMMISSION","type":"webpage"},"uris":["http://www.mendeley.com/documents/?uuid=18ccc39c-e964-49fe-8b80-236e86750459"]}],"mendeley":{"formattedCitation":"(SEC.GOV, 2024)","plainTextFormattedCitation":"(SEC.GOV, 2024)","previouslyFormattedCitation":"(SEC.GOV, 2024)"},"properties":{"noteIndex":0},"schema":"https://github.com/citation-style-language/schema/raw/master/csl-citation.json"}</w:instrText>
      </w:r>
      <w:r w:rsidR="00BC4E0F" w:rsidRPr="0070699C">
        <w:fldChar w:fldCharType="separate"/>
      </w:r>
      <w:r w:rsidR="00BC4E0F" w:rsidRPr="0070699C">
        <w:rPr>
          <w:noProof/>
        </w:rPr>
        <w:t>(SEC.GOV, 2024)</w:t>
      </w:r>
      <w:r w:rsidR="00BC4E0F" w:rsidRPr="0070699C">
        <w:fldChar w:fldCharType="end"/>
      </w:r>
      <w:r w:rsidRPr="0070699C">
        <w:t xml:space="preserve">. </w:t>
      </w:r>
    </w:p>
    <w:p w14:paraId="2C18D5C9" w14:textId="72439A47" w:rsidR="00191FF7" w:rsidRPr="0070699C" w:rsidRDefault="007015D5" w:rsidP="00D2079D">
      <w:pPr>
        <w:pStyle w:val="NormalWeb"/>
      </w:pPr>
      <w:r w:rsidRPr="0070699C">
        <w:rPr>
          <w:rStyle w:val="Strong"/>
        </w:rPr>
        <w:t>Organisational:</w:t>
      </w:r>
      <w:r w:rsidRPr="0070699C">
        <w:t xml:space="preserve"> </w:t>
      </w:r>
      <w:r w:rsidR="00D2079D" w:rsidRPr="0070699C">
        <w:t xml:space="preserve">vertical integration, swiftness of cycle, direct-to-customer selling/serving, and information-founded operating practices that decrease the feedback loops </w:t>
      </w:r>
      <w:r w:rsidR="00BC4E0F" w:rsidRPr="0070699C">
        <w:fldChar w:fldCharType="begin" w:fldLock="1"/>
      </w:r>
      <w:r w:rsidR="00BC4E0F"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COMMISSION","type":"webpage"},"uris":["http://www.mendeley.com/documents/?uuid=18ccc39c-e964-49fe-8b80-236e86750459"]}],"mendeley":{"formattedCitation":"(SEC.GOV, 2024)","plainTextFormattedCitation":"(SEC.GOV, 2024)","previouslyFormattedCitation":"(SEC.GOV, 2024)"},"properties":{"noteIndex":0},"schema":"https://github.com/citation-style-language/schema/raw/master/csl-citation.json"}</w:instrText>
      </w:r>
      <w:r w:rsidR="00BC4E0F" w:rsidRPr="0070699C">
        <w:fldChar w:fldCharType="separate"/>
      </w:r>
      <w:r w:rsidR="00BC4E0F" w:rsidRPr="0070699C">
        <w:rPr>
          <w:noProof/>
        </w:rPr>
        <w:t>(SEC.GOV, 2024)</w:t>
      </w:r>
      <w:r w:rsidR="00BC4E0F" w:rsidRPr="0070699C">
        <w:fldChar w:fldCharType="end"/>
      </w:r>
      <w:r w:rsidR="00191FF7" w:rsidRPr="0070699C">
        <w:t xml:space="preserve">. </w:t>
      </w:r>
    </w:p>
    <w:p w14:paraId="1AC83110" w14:textId="5E46118D" w:rsidR="007015D5" w:rsidRPr="0070699C" w:rsidRDefault="007015D5" w:rsidP="00D2079D">
      <w:pPr>
        <w:pStyle w:val="NormalWeb"/>
      </w:pPr>
      <w:r w:rsidRPr="0070699C">
        <w:rPr>
          <w:rStyle w:val="Strong"/>
        </w:rPr>
        <w:t>Technological:</w:t>
      </w:r>
      <w:r w:rsidRPr="0070699C">
        <w:t xml:space="preserve"> </w:t>
      </w:r>
      <w:r w:rsidR="00D2079D" w:rsidRPr="0070699C">
        <w:t xml:space="preserve">proprietary software stack and over-the-air (OTA) updates, fleet data, battery/energy management expertise and energy storage/solar product integration </w:t>
      </w:r>
      <w:r w:rsidR="00BC4E0F" w:rsidRPr="0070699C">
        <w:fldChar w:fldCharType="begin" w:fldLock="1"/>
      </w:r>
      <w:r w:rsidR="00BC4E0F"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author":[{"dropping-particle":"","family":"Otto","given":"Sebastian","non-dropping-particle":"","parse-names":false,"suffix":""},{"dropping-particle":"","family":"Wlcek","given":"Manuel","non-dropping-particle":"","parse-names":false,"suffix":""},{"dropping-particle":"","family":"Wortmann","given":"Felix","non-dropping-particle":"","parse-names":false,"suffix":""}],"id":"ITEM-2","issued":{"date-parts":[["2025"]]},"title":"Towards Conceptualizing Software-Defined Vehicles: A Systematic Review and Future Research Avenues","type":"article-journal"},"uris":["http://www.mendeley.com/documents/?uuid=67e4dd46-d6d6-4db5-8139-8b2e6b6b0751"]}],"mendeley":{"formattedCitation":"(Otto et al., 2025; SEC.GOV, 2024)","plainTextFormattedCitation":"(Otto et al., 2025; SEC.GOV, 2024)","previouslyFormattedCitation":"(Otto et al., 2025; SEC.GOV, 2024)"},"properties":{"noteIndex":0},"schema":"https://github.com/citation-style-language/schema/raw/master/csl-citation.json"}</w:instrText>
      </w:r>
      <w:r w:rsidR="00BC4E0F" w:rsidRPr="0070699C">
        <w:fldChar w:fldCharType="separate"/>
      </w:r>
      <w:r w:rsidR="00BC4E0F" w:rsidRPr="0070699C">
        <w:rPr>
          <w:noProof/>
        </w:rPr>
        <w:t>(Otto et al., 2025; SEC.GOV, 2024)</w:t>
      </w:r>
      <w:r w:rsidR="00BC4E0F" w:rsidRPr="0070699C">
        <w:fldChar w:fldCharType="end"/>
      </w:r>
      <w:r w:rsidRPr="0070699C">
        <w:t xml:space="preserve">. </w:t>
      </w:r>
    </w:p>
    <w:p w14:paraId="0D0EF67A" w14:textId="07E0B998" w:rsidR="007015D5" w:rsidRPr="0070699C" w:rsidRDefault="007015D5" w:rsidP="007D4172">
      <w:pPr>
        <w:pStyle w:val="Heading3"/>
        <w:rPr>
          <w:bCs/>
        </w:rPr>
      </w:pPr>
      <w:bookmarkStart w:id="14" w:name="_Toc223992286"/>
      <w:r w:rsidRPr="0070699C">
        <w:rPr>
          <w:rStyle w:val="Strong"/>
          <w:b/>
          <w:bCs w:val="0"/>
        </w:rPr>
        <w:t>VRIO evaluation</w:t>
      </w:r>
      <w:bookmarkEnd w:id="14"/>
    </w:p>
    <w:tbl>
      <w:tblPr>
        <w:tblW w:w="8380" w:type="dxa"/>
        <w:tblLook w:val="04A0" w:firstRow="1" w:lastRow="0" w:firstColumn="1" w:lastColumn="0" w:noHBand="0" w:noVBand="1"/>
      </w:tblPr>
      <w:tblGrid>
        <w:gridCol w:w="2780"/>
        <w:gridCol w:w="560"/>
        <w:gridCol w:w="540"/>
        <w:gridCol w:w="600"/>
        <w:gridCol w:w="560"/>
        <w:gridCol w:w="3340"/>
      </w:tblGrid>
      <w:tr w:rsidR="007015D5" w:rsidRPr="0070699C" w14:paraId="6364C7F7" w14:textId="77777777" w:rsidTr="007015D5">
        <w:trPr>
          <w:trHeight w:val="300"/>
        </w:trPr>
        <w:tc>
          <w:tcPr>
            <w:tcW w:w="2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D0880" w14:textId="77777777" w:rsidR="007015D5" w:rsidRPr="0070699C" w:rsidRDefault="007015D5" w:rsidP="007015D5">
            <w:pPr>
              <w:spacing w:after="0" w:line="240" w:lineRule="auto"/>
              <w:jc w:val="center"/>
              <w:rPr>
                <w:rFonts w:ascii="Calibri" w:eastAsia="Times New Roman" w:hAnsi="Calibri" w:cs="Calibri"/>
                <w:b/>
                <w:bCs/>
                <w:color w:val="000000"/>
                <w:sz w:val="22"/>
                <w:lang w:val="en-US"/>
              </w:rPr>
            </w:pPr>
            <w:r w:rsidRPr="0070699C">
              <w:rPr>
                <w:rFonts w:ascii="Calibri" w:eastAsia="Times New Roman" w:hAnsi="Calibri" w:cs="Calibri"/>
                <w:b/>
                <w:bCs/>
                <w:color w:val="000000"/>
                <w:sz w:val="22"/>
                <w:lang w:val="en-US"/>
              </w:rPr>
              <w:t>Capability</w:t>
            </w:r>
          </w:p>
        </w:tc>
        <w:tc>
          <w:tcPr>
            <w:tcW w:w="560" w:type="dxa"/>
            <w:tcBorders>
              <w:top w:val="single" w:sz="4" w:space="0" w:color="auto"/>
              <w:left w:val="nil"/>
              <w:bottom w:val="single" w:sz="4" w:space="0" w:color="auto"/>
              <w:right w:val="single" w:sz="4" w:space="0" w:color="auto"/>
            </w:tcBorders>
            <w:shd w:val="clear" w:color="auto" w:fill="auto"/>
            <w:vAlign w:val="center"/>
            <w:hideMark/>
          </w:tcPr>
          <w:p w14:paraId="65BC14C1" w14:textId="77777777" w:rsidR="007015D5" w:rsidRPr="0070699C" w:rsidRDefault="007015D5" w:rsidP="007015D5">
            <w:pPr>
              <w:spacing w:after="0" w:line="240" w:lineRule="auto"/>
              <w:jc w:val="center"/>
              <w:rPr>
                <w:rFonts w:ascii="Calibri" w:eastAsia="Times New Roman" w:hAnsi="Calibri" w:cs="Calibri"/>
                <w:b/>
                <w:bCs/>
                <w:color w:val="000000"/>
                <w:sz w:val="22"/>
                <w:lang w:val="en-US"/>
              </w:rPr>
            </w:pPr>
            <w:r w:rsidRPr="0070699C">
              <w:rPr>
                <w:rFonts w:ascii="Calibri" w:eastAsia="Times New Roman" w:hAnsi="Calibri" w:cs="Calibri"/>
                <w:b/>
                <w:bCs/>
                <w:color w:val="000000"/>
                <w:sz w:val="22"/>
                <w:lang w:val="en-US"/>
              </w:rPr>
              <w:t>V</w:t>
            </w:r>
          </w:p>
        </w:tc>
        <w:tc>
          <w:tcPr>
            <w:tcW w:w="540" w:type="dxa"/>
            <w:tcBorders>
              <w:top w:val="single" w:sz="4" w:space="0" w:color="auto"/>
              <w:left w:val="nil"/>
              <w:bottom w:val="single" w:sz="4" w:space="0" w:color="auto"/>
              <w:right w:val="single" w:sz="4" w:space="0" w:color="auto"/>
            </w:tcBorders>
            <w:shd w:val="clear" w:color="auto" w:fill="auto"/>
            <w:vAlign w:val="center"/>
            <w:hideMark/>
          </w:tcPr>
          <w:p w14:paraId="7B750C6C" w14:textId="77777777" w:rsidR="007015D5" w:rsidRPr="0070699C" w:rsidRDefault="007015D5" w:rsidP="007015D5">
            <w:pPr>
              <w:spacing w:after="0" w:line="240" w:lineRule="auto"/>
              <w:jc w:val="center"/>
              <w:rPr>
                <w:rFonts w:ascii="Calibri" w:eastAsia="Times New Roman" w:hAnsi="Calibri" w:cs="Calibri"/>
                <w:b/>
                <w:bCs/>
                <w:color w:val="000000"/>
                <w:sz w:val="22"/>
                <w:lang w:val="en-US"/>
              </w:rPr>
            </w:pPr>
            <w:r w:rsidRPr="0070699C">
              <w:rPr>
                <w:rFonts w:ascii="Calibri" w:eastAsia="Times New Roman" w:hAnsi="Calibri" w:cs="Calibri"/>
                <w:b/>
                <w:bCs/>
                <w:color w:val="000000"/>
                <w:sz w:val="22"/>
                <w:lang w:val="en-US"/>
              </w:rPr>
              <w:t>R</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546A830B" w14:textId="77777777" w:rsidR="007015D5" w:rsidRPr="0070699C" w:rsidRDefault="007015D5" w:rsidP="007015D5">
            <w:pPr>
              <w:spacing w:after="0" w:line="240" w:lineRule="auto"/>
              <w:jc w:val="center"/>
              <w:rPr>
                <w:rFonts w:ascii="Calibri" w:eastAsia="Times New Roman" w:hAnsi="Calibri" w:cs="Calibri"/>
                <w:b/>
                <w:bCs/>
                <w:color w:val="000000"/>
                <w:sz w:val="22"/>
                <w:lang w:val="en-US"/>
              </w:rPr>
            </w:pPr>
            <w:r w:rsidRPr="0070699C">
              <w:rPr>
                <w:rFonts w:ascii="Calibri" w:eastAsia="Times New Roman" w:hAnsi="Calibri" w:cs="Calibri"/>
                <w:b/>
                <w:bCs/>
                <w:color w:val="000000"/>
                <w:sz w:val="22"/>
                <w:lang w:val="en-US"/>
              </w:rPr>
              <w:t>I</w:t>
            </w:r>
          </w:p>
        </w:tc>
        <w:tc>
          <w:tcPr>
            <w:tcW w:w="560" w:type="dxa"/>
            <w:tcBorders>
              <w:top w:val="single" w:sz="4" w:space="0" w:color="auto"/>
              <w:left w:val="nil"/>
              <w:bottom w:val="single" w:sz="4" w:space="0" w:color="auto"/>
              <w:right w:val="single" w:sz="4" w:space="0" w:color="auto"/>
            </w:tcBorders>
            <w:shd w:val="clear" w:color="auto" w:fill="auto"/>
            <w:vAlign w:val="center"/>
            <w:hideMark/>
          </w:tcPr>
          <w:p w14:paraId="153227EC" w14:textId="77777777" w:rsidR="007015D5" w:rsidRPr="0070699C" w:rsidRDefault="007015D5" w:rsidP="007015D5">
            <w:pPr>
              <w:spacing w:after="0" w:line="240" w:lineRule="auto"/>
              <w:jc w:val="center"/>
              <w:rPr>
                <w:rFonts w:ascii="Calibri" w:eastAsia="Times New Roman" w:hAnsi="Calibri" w:cs="Calibri"/>
                <w:b/>
                <w:bCs/>
                <w:color w:val="000000"/>
                <w:sz w:val="22"/>
                <w:lang w:val="en-US"/>
              </w:rPr>
            </w:pPr>
            <w:r w:rsidRPr="0070699C">
              <w:rPr>
                <w:rFonts w:ascii="Calibri" w:eastAsia="Times New Roman" w:hAnsi="Calibri" w:cs="Calibri"/>
                <w:b/>
                <w:bCs/>
                <w:color w:val="000000"/>
                <w:sz w:val="22"/>
                <w:lang w:val="en-US"/>
              </w:rPr>
              <w:t>O</w:t>
            </w:r>
          </w:p>
        </w:tc>
        <w:tc>
          <w:tcPr>
            <w:tcW w:w="3340" w:type="dxa"/>
            <w:tcBorders>
              <w:top w:val="single" w:sz="4" w:space="0" w:color="auto"/>
              <w:left w:val="nil"/>
              <w:bottom w:val="single" w:sz="4" w:space="0" w:color="auto"/>
              <w:right w:val="single" w:sz="4" w:space="0" w:color="auto"/>
            </w:tcBorders>
            <w:shd w:val="clear" w:color="auto" w:fill="auto"/>
            <w:vAlign w:val="center"/>
            <w:hideMark/>
          </w:tcPr>
          <w:p w14:paraId="403243EE" w14:textId="77777777" w:rsidR="007015D5" w:rsidRPr="0070699C" w:rsidRDefault="007015D5" w:rsidP="007015D5">
            <w:pPr>
              <w:spacing w:after="0" w:line="240" w:lineRule="auto"/>
              <w:jc w:val="center"/>
              <w:rPr>
                <w:rFonts w:ascii="Calibri" w:eastAsia="Times New Roman" w:hAnsi="Calibri" w:cs="Calibri"/>
                <w:b/>
                <w:bCs/>
                <w:color w:val="000000"/>
                <w:sz w:val="22"/>
                <w:lang w:val="en-US"/>
              </w:rPr>
            </w:pPr>
            <w:r w:rsidRPr="0070699C">
              <w:rPr>
                <w:rFonts w:ascii="Calibri" w:eastAsia="Times New Roman" w:hAnsi="Calibri" w:cs="Calibri"/>
                <w:b/>
                <w:bCs/>
                <w:color w:val="000000"/>
                <w:sz w:val="22"/>
                <w:lang w:val="en-US"/>
              </w:rPr>
              <w:t>Advantage</w:t>
            </w:r>
          </w:p>
        </w:tc>
      </w:tr>
      <w:tr w:rsidR="007015D5" w:rsidRPr="0070699C" w14:paraId="7696A78F" w14:textId="77777777" w:rsidTr="007015D5">
        <w:trPr>
          <w:trHeight w:val="600"/>
        </w:trPr>
        <w:tc>
          <w:tcPr>
            <w:tcW w:w="2780" w:type="dxa"/>
            <w:tcBorders>
              <w:top w:val="nil"/>
              <w:left w:val="single" w:sz="4" w:space="0" w:color="auto"/>
              <w:bottom w:val="single" w:sz="4" w:space="0" w:color="auto"/>
              <w:right w:val="single" w:sz="4" w:space="0" w:color="auto"/>
            </w:tcBorders>
            <w:shd w:val="clear" w:color="auto" w:fill="auto"/>
            <w:vAlign w:val="center"/>
            <w:hideMark/>
          </w:tcPr>
          <w:p w14:paraId="2C584C03"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Scale manufacturing + cost learning</w:t>
            </w:r>
          </w:p>
        </w:tc>
        <w:tc>
          <w:tcPr>
            <w:tcW w:w="560" w:type="dxa"/>
            <w:tcBorders>
              <w:top w:val="nil"/>
              <w:left w:val="nil"/>
              <w:bottom w:val="single" w:sz="4" w:space="0" w:color="auto"/>
              <w:right w:val="single" w:sz="4" w:space="0" w:color="auto"/>
            </w:tcBorders>
            <w:shd w:val="clear" w:color="auto" w:fill="auto"/>
            <w:vAlign w:val="center"/>
            <w:hideMark/>
          </w:tcPr>
          <w:p w14:paraId="5268DD8A"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Segoe UI Symbol" w:eastAsia="Times New Roman" w:hAnsi="Segoe UI Symbol" w:cs="Segoe UI Symbol"/>
                <w:color w:val="000000"/>
                <w:sz w:val="22"/>
                <w:lang w:val="en-US"/>
              </w:rPr>
              <w:t>✓</w:t>
            </w:r>
          </w:p>
        </w:tc>
        <w:tc>
          <w:tcPr>
            <w:tcW w:w="540" w:type="dxa"/>
            <w:tcBorders>
              <w:top w:val="nil"/>
              <w:left w:val="nil"/>
              <w:bottom w:val="single" w:sz="4" w:space="0" w:color="auto"/>
              <w:right w:val="single" w:sz="4" w:space="0" w:color="auto"/>
            </w:tcBorders>
            <w:shd w:val="clear" w:color="auto" w:fill="auto"/>
            <w:vAlign w:val="center"/>
            <w:hideMark/>
          </w:tcPr>
          <w:p w14:paraId="1C07D7CB"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Cambria Math" w:eastAsia="Times New Roman" w:hAnsi="Cambria Math" w:cs="Cambria Math"/>
                <w:color w:val="000000"/>
                <w:sz w:val="22"/>
                <w:lang w:val="en-US"/>
              </w:rPr>
              <w:t>△</w:t>
            </w:r>
          </w:p>
        </w:tc>
        <w:tc>
          <w:tcPr>
            <w:tcW w:w="600" w:type="dxa"/>
            <w:tcBorders>
              <w:top w:val="nil"/>
              <w:left w:val="nil"/>
              <w:bottom w:val="single" w:sz="4" w:space="0" w:color="auto"/>
              <w:right w:val="single" w:sz="4" w:space="0" w:color="auto"/>
            </w:tcBorders>
            <w:shd w:val="clear" w:color="auto" w:fill="auto"/>
            <w:vAlign w:val="center"/>
            <w:hideMark/>
          </w:tcPr>
          <w:p w14:paraId="73EE465B"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Cambria Math" w:eastAsia="Times New Roman" w:hAnsi="Cambria Math" w:cs="Cambria Math"/>
                <w:color w:val="000000"/>
                <w:sz w:val="22"/>
                <w:lang w:val="en-US"/>
              </w:rPr>
              <w:t>△</w:t>
            </w:r>
          </w:p>
        </w:tc>
        <w:tc>
          <w:tcPr>
            <w:tcW w:w="560" w:type="dxa"/>
            <w:tcBorders>
              <w:top w:val="nil"/>
              <w:left w:val="nil"/>
              <w:bottom w:val="single" w:sz="4" w:space="0" w:color="auto"/>
              <w:right w:val="single" w:sz="4" w:space="0" w:color="auto"/>
            </w:tcBorders>
            <w:shd w:val="clear" w:color="auto" w:fill="auto"/>
            <w:vAlign w:val="center"/>
            <w:hideMark/>
          </w:tcPr>
          <w:p w14:paraId="170E196E"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Segoe UI Symbol" w:eastAsia="Times New Roman" w:hAnsi="Segoe UI Symbol" w:cs="Segoe UI Symbol"/>
                <w:color w:val="000000"/>
                <w:sz w:val="22"/>
                <w:lang w:val="en-US"/>
              </w:rPr>
              <w:t>✓</w:t>
            </w:r>
          </w:p>
        </w:tc>
        <w:tc>
          <w:tcPr>
            <w:tcW w:w="3340" w:type="dxa"/>
            <w:tcBorders>
              <w:top w:val="nil"/>
              <w:left w:val="nil"/>
              <w:bottom w:val="single" w:sz="4" w:space="0" w:color="auto"/>
              <w:right w:val="single" w:sz="4" w:space="0" w:color="auto"/>
            </w:tcBorders>
            <w:shd w:val="clear" w:color="auto" w:fill="auto"/>
            <w:vAlign w:val="center"/>
            <w:hideMark/>
          </w:tcPr>
          <w:p w14:paraId="12F25AEB" w14:textId="77777777" w:rsidR="007015D5" w:rsidRPr="0070699C" w:rsidRDefault="00C6743A" w:rsidP="007015D5">
            <w:pPr>
              <w:spacing w:after="0" w:line="240" w:lineRule="auto"/>
              <w:rPr>
                <w:rFonts w:ascii="Calibri" w:eastAsia="Times New Roman" w:hAnsi="Calibri" w:cs="Calibri"/>
                <w:color w:val="0563C1"/>
                <w:sz w:val="22"/>
                <w:u w:val="single"/>
                <w:lang w:val="en-US"/>
              </w:rPr>
            </w:pPr>
            <w:hyperlink r:id="rId8" w:tooltip="tsla-20241231" w:history="1">
              <w:r w:rsidR="007015D5" w:rsidRPr="0070699C">
                <w:rPr>
                  <w:rFonts w:ascii="Calibri" w:eastAsia="Times New Roman" w:hAnsi="Calibri" w:cs="Calibri"/>
                  <w:color w:val="0563C1"/>
                  <w:sz w:val="22"/>
                  <w:u w:val="single"/>
                  <w:lang w:val="en-US"/>
                </w:rPr>
                <w:t>Temporary → sustained if cost gap maintained (SEC)</w:t>
              </w:r>
            </w:hyperlink>
          </w:p>
        </w:tc>
      </w:tr>
      <w:tr w:rsidR="007015D5" w:rsidRPr="0070699C" w14:paraId="27294833" w14:textId="77777777" w:rsidTr="007015D5">
        <w:trPr>
          <w:trHeight w:val="600"/>
        </w:trPr>
        <w:tc>
          <w:tcPr>
            <w:tcW w:w="2780" w:type="dxa"/>
            <w:tcBorders>
              <w:top w:val="nil"/>
              <w:left w:val="single" w:sz="4" w:space="0" w:color="auto"/>
              <w:bottom w:val="single" w:sz="4" w:space="0" w:color="auto"/>
              <w:right w:val="single" w:sz="4" w:space="0" w:color="auto"/>
            </w:tcBorders>
            <w:shd w:val="clear" w:color="auto" w:fill="auto"/>
            <w:vAlign w:val="center"/>
            <w:hideMark/>
          </w:tcPr>
          <w:p w14:paraId="0CA71004"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Supercharger/NACS ecosystem</w:t>
            </w:r>
          </w:p>
        </w:tc>
        <w:tc>
          <w:tcPr>
            <w:tcW w:w="560" w:type="dxa"/>
            <w:tcBorders>
              <w:top w:val="nil"/>
              <w:left w:val="nil"/>
              <w:bottom w:val="single" w:sz="4" w:space="0" w:color="auto"/>
              <w:right w:val="single" w:sz="4" w:space="0" w:color="auto"/>
            </w:tcBorders>
            <w:shd w:val="clear" w:color="auto" w:fill="auto"/>
            <w:vAlign w:val="center"/>
            <w:hideMark/>
          </w:tcPr>
          <w:p w14:paraId="001E0EB2"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Segoe UI Symbol" w:eastAsia="Times New Roman" w:hAnsi="Segoe UI Symbol" w:cs="Segoe UI Symbol"/>
                <w:color w:val="000000"/>
                <w:sz w:val="22"/>
                <w:lang w:val="en-US"/>
              </w:rPr>
              <w:t>✓</w:t>
            </w:r>
          </w:p>
        </w:tc>
        <w:tc>
          <w:tcPr>
            <w:tcW w:w="540" w:type="dxa"/>
            <w:tcBorders>
              <w:top w:val="nil"/>
              <w:left w:val="nil"/>
              <w:bottom w:val="single" w:sz="4" w:space="0" w:color="auto"/>
              <w:right w:val="single" w:sz="4" w:space="0" w:color="auto"/>
            </w:tcBorders>
            <w:shd w:val="clear" w:color="auto" w:fill="auto"/>
            <w:vAlign w:val="center"/>
            <w:hideMark/>
          </w:tcPr>
          <w:p w14:paraId="1C2680B5"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Cambria Math" w:eastAsia="Times New Roman" w:hAnsi="Cambria Math" w:cs="Cambria Math"/>
                <w:color w:val="000000"/>
                <w:sz w:val="22"/>
                <w:lang w:val="en-US"/>
              </w:rPr>
              <w:t>△</w:t>
            </w:r>
          </w:p>
        </w:tc>
        <w:tc>
          <w:tcPr>
            <w:tcW w:w="600" w:type="dxa"/>
            <w:tcBorders>
              <w:top w:val="nil"/>
              <w:left w:val="nil"/>
              <w:bottom w:val="single" w:sz="4" w:space="0" w:color="auto"/>
              <w:right w:val="single" w:sz="4" w:space="0" w:color="auto"/>
            </w:tcBorders>
            <w:shd w:val="clear" w:color="auto" w:fill="auto"/>
            <w:vAlign w:val="center"/>
            <w:hideMark/>
          </w:tcPr>
          <w:p w14:paraId="0C246285"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Cambria Math" w:eastAsia="Times New Roman" w:hAnsi="Cambria Math" w:cs="Cambria Math"/>
                <w:color w:val="000000"/>
                <w:sz w:val="22"/>
                <w:lang w:val="en-US"/>
              </w:rPr>
              <w:t>△</w:t>
            </w:r>
          </w:p>
        </w:tc>
        <w:tc>
          <w:tcPr>
            <w:tcW w:w="560" w:type="dxa"/>
            <w:tcBorders>
              <w:top w:val="nil"/>
              <w:left w:val="nil"/>
              <w:bottom w:val="single" w:sz="4" w:space="0" w:color="auto"/>
              <w:right w:val="single" w:sz="4" w:space="0" w:color="auto"/>
            </w:tcBorders>
            <w:shd w:val="clear" w:color="auto" w:fill="auto"/>
            <w:vAlign w:val="center"/>
            <w:hideMark/>
          </w:tcPr>
          <w:p w14:paraId="6AE4441B"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Segoe UI Symbol" w:eastAsia="Times New Roman" w:hAnsi="Segoe UI Symbol" w:cs="Segoe UI Symbol"/>
                <w:color w:val="000000"/>
                <w:sz w:val="22"/>
                <w:lang w:val="en-US"/>
              </w:rPr>
              <w:t>✓</w:t>
            </w:r>
          </w:p>
        </w:tc>
        <w:tc>
          <w:tcPr>
            <w:tcW w:w="3340" w:type="dxa"/>
            <w:tcBorders>
              <w:top w:val="nil"/>
              <w:left w:val="nil"/>
              <w:bottom w:val="single" w:sz="4" w:space="0" w:color="auto"/>
              <w:right w:val="single" w:sz="4" w:space="0" w:color="auto"/>
            </w:tcBorders>
            <w:shd w:val="clear" w:color="auto" w:fill="auto"/>
            <w:vAlign w:val="center"/>
            <w:hideMark/>
          </w:tcPr>
          <w:p w14:paraId="5215BE10" w14:textId="77777777" w:rsidR="007015D5" w:rsidRPr="0070699C" w:rsidRDefault="00C6743A" w:rsidP="007015D5">
            <w:pPr>
              <w:spacing w:after="0" w:line="240" w:lineRule="auto"/>
              <w:rPr>
                <w:rFonts w:ascii="Calibri" w:eastAsia="Times New Roman" w:hAnsi="Calibri" w:cs="Calibri"/>
                <w:color w:val="0563C1"/>
                <w:sz w:val="22"/>
                <w:u w:val="single"/>
                <w:lang w:val="en-US"/>
              </w:rPr>
            </w:pPr>
            <w:hyperlink r:id="rId9" w:tooltip="Trends in electric vehicle charging – Global EV Outlook 2024" w:history="1">
              <w:r w:rsidR="007015D5" w:rsidRPr="0070699C">
                <w:rPr>
                  <w:rFonts w:ascii="Calibri" w:eastAsia="Times New Roman" w:hAnsi="Calibri" w:cs="Calibri"/>
                  <w:color w:val="0563C1"/>
                  <w:sz w:val="22"/>
                  <w:u w:val="single"/>
                  <w:lang w:val="en-US"/>
                </w:rPr>
                <w:t>Temporary (rarity declining as access expands) (IEA)</w:t>
              </w:r>
            </w:hyperlink>
          </w:p>
        </w:tc>
      </w:tr>
      <w:tr w:rsidR="007015D5" w:rsidRPr="0070699C" w14:paraId="61538C10" w14:textId="77777777" w:rsidTr="007015D5">
        <w:trPr>
          <w:trHeight w:val="900"/>
        </w:trPr>
        <w:tc>
          <w:tcPr>
            <w:tcW w:w="2780" w:type="dxa"/>
            <w:tcBorders>
              <w:top w:val="nil"/>
              <w:left w:val="single" w:sz="4" w:space="0" w:color="auto"/>
              <w:bottom w:val="single" w:sz="4" w:space="0" w:color="auto"/>
              <w:right w:val="single" w:sz="4" w:space="0" w:color="auto"/>
            </w:tcBorders>
            <w:shd w:val="clear" w:color="auto" w:fill="auto"/>
            <w:vAlign w:val="center"/>
            <w:hideMark/>
          </w:tcPr>
          <w:p w14:paraId="75C3A4F1"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OTA + software-defined vehicle capability</w:t>
            </w:r>
          </w:p>
        </w:tc>
        <w:tc>
          <w:tcPr>
            <w:tcW w:w="560" w:type="dxa"/>
            <w:tcBorders>
              <w:top w:val="nil"/>
              <w:left w:val="nil"/>
              <w:bottom w:val="single" w:sz="4" w:space="0" w:color="auto"/>
              <w:right w:val="single" w:sz="4" w:space="0" w:color="auto"/>
            </w:tcBorders>
            <w:shd w:val="clear" w:color="auto" w:fill="auto"/>
            <w:vAlign w:val="center"/>
            <w:hideMark/>
          </w:tcPr>
          <w:p w14:paraId="6D9B9846"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Segoe UI Symbol" w:eastAsia="Times New Roman" w:hAnsi="Segoe UI Symbol" w:cs="Segoe UI Symbol"/>
                <w:color w:val="000000"/>
                <w:sz w:val="22"/>
                <w:lang w:val="en-US"/>
              </w:rPr>
              <w:t>✓</w:t>
            </w:r>
          </w:p>
        </w:tc>
        <w:tc>
          <w:tcPr>
            <w:tcW w:w="540" w:type="dxa"/>
            <w:tcBorders>
              <w:top w:val="nil"/>
              <w:left w:val="nil"/>
              <w:bottom w:val="single" w:sz="4" w:space="0" w:color="auto"/>
              <w:right w:val="single" w:sz="4" w:space="0" w:color="auto"/>
            </w:tcBorders>
            <w:shd w:val="clear" w:color="auto" w:fill="auto"/>
            <w:vAlign w:val="center"/>
            <w:hideMark/>
          </w:tcPr>
          <w:p w14:paraId="052DB6D6"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Segoe UI Symbol" w:eastAsia="Times New Roman" w:hAnsi="Segoe UI Symbol" w:cs="Segoe UI Symbol"/>
                <w:color w:val="000000"/>
                <w:sz w:val="22"/>
                <w:lang w:val="en-US"/>
              </w:rPr>
              <w:t>✓</w:t>
            </w:r>
          </w:p>
        </w:tc>
        <w:tc>
          <w:tcPr>
            <w:tcW w:w="600" w:type="dxa"/>
            <w:tcBorders>
              <w:top w:val="nil"/>
              <w:left w:val="nil"/>
              <w:bottom w:val="single" w:sz="4" w:space="0" w:color="auto"/>
              <w:right w:val="single" w:sz="4" w:space="0" w:color="auto"/>
            </w:tcBorders>
            <w:shd w:val="clear" w:color="auto" w:fill="auto"/>
            <w:vAlign w:val="center"/>
            <w:hideMark/>
          </w:tcPr>
          <w:p w14:paraId="45CBD787"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Cambria Math" w:eastAsia="Times New Roman" w:hAnsi="Cambria Math" w:cs="Cambria Math"/>
                <w:color w:val="000000"/>
                <w:sz w:val="22"/>
                <w:lang w:val="en-US"/>
              </w:rPr>
              <w:t>△</w:t>
            </w:r>
          </w:p>
        </w:tc>
        <w:tc>
          <w:tcPr>
            <w:tcW w:w="560" w:type="dxa"/>
            <w:tcBorders>
              <w:top w:val="nil"/>
              <w:left w:val="nil"/>
              <w:bottom w:val="single" w:sz="4" w:space="0" w:color="auto"/>
              <w:right w:val="single" w:sz="4" w:space="0" w:color="auto"/>
            </w:tcBorders>
            <w:shd w:val="clear" w:color="auto" w:fill="auto"/>
            <w:vAlign w:val="center"/>
            <w:hideMark/>
          </w:tcPr>
          <w:p w14:paraId="38184131"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Segoe UI Symbol" w:eastAsia="Times New Roman" w:hAnsi="Segoe UI Symbol" w:cs="Segoe UI Symbol"/>
                <w:color w:val="000000"/>
                <w:sz w:val="22"/>
                <w:lang w:val="en-US"/>
              </w:rPr>
              <w:t>✓</w:t>
            </w:r>
          </w:p>
        </w:tc>
        <w:tc>
          <w:tcPr>
            <w:tcW w:w="3340" w:type="dxa"/>
            <w:tcBorders>
              <w:top w:val="nil"/>
              <w:left w:val="nil"/>
              <w:bottom w:val="single" w:sz="4" w:space="0" w:color="auto"/>
              <w:right w:val="single" w:sz="4" w:space="0" w:color="auto"/>
            </w:tcBorders>
            <w:shd w:val="clear" w:color="auto" w:fill="auto"/>
            <w:vAlign w:val="center"/>
            <w:hideMark/>
          </w:tcPr>
          <w:p w14:paraId="1589C4E7" w14:textId="77777777" w:rsidR="007015D5" w:rsidRPr="0070699C" w:rsidRDefault="00C6743A" w:rsidP="007015D5">
            <w:pPr>
              <w:spacing w:after="0" w:line="240" w:lineRule="auto"/>
              <w:rPr>
                <w:rFonts w:ascii="Calibri" w:eastAsia="Times New Roman" w:hAnsi="Calibri" w:cs="Calibri"/>
                <w:color w:val="0563C1"/>
                <w:sz w:val="22"/>
                <w:u w:val="single"/>
                <w:lang w:val="en-US"/>
              </w:rPr>
            </w:pPr>
            <w:hyperlink r:id="rId10" w:tooltip="Towards Conceptualizing Software-Defined Vehicles" w:history="1">
              <w:r w:rsidR="007015D5" w:rsidRPr="0070699C">
                <w:rPr>
                  <w:rFonts w:ascii="Calibri" w:eastAsia="Times New Roman" w:hAnsi="Calibri" w:cs="Calibri"/>
                  <w:color w:val="0563C1"/>
                  <w:sz w:val="22"/>
                  <w:u w:val="single"/>
                  <w:lang w:val="en-US"/>
                </w:rPr>
                <w:t>Potentially sustained (depends on safety/compliance + execution) (alexandria.unisg.ch)</w:t>
              </w:r>
            </w:hyperlink>
          </w:p>
        </w:tc>
      </w:tr>
      <w:tr w:rsidR="007015D5" w:rsidRPr="0070699C" w14:paraId="13E767DA" w14:textId="77777777" w:rsidTr="007015D5">
        <w:trPr>
          <w:trHeight w:val="600"/>
        </w:trPr>
        <w:tc>
          <w:tcPr>
            <w:tcW w:w="2780" w:type="dxa"/>
            <w:tcBorders>
              <w:top w:val="nil"/>
              <w:left w:val="single" w:sz="4" w:space="0" w:color="auto"/>
              <w:bottom w:val="single" w:sz="4" w:space="0" w:color="auto"/>
              <w:right w:val="single" w:sz="4" w:space="0" w:color="auto"/>
            </w:tcBorders>
            <w:shd w:val="clear" w:color="auto" w:fill="auto"/>
            <w:vAlign w:val="center"/>
            <w:hideMark/>
          </w:tcPr>
          <w:p w14:paraId="5D3119DA"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Energy generation &amp; storage integration</w:t>
            </w:r>
          </w:p>
        </w:tc>
        <w:tc>
          <w:tcPr>
            <w:tcW w:w="560" w:type="dxa"/>
            <w:tcBorders>
              <w:top w:val="nil"/>
              <w:left w:val="nil"/>
              <w:bottom w:val="single" w:sz="4" w:space="0" w:color="auto"/>
              <w:right w:val="single" w:sz="4" w:space="0" w:color="auto"/>
            </w:tcBorders>
            <w:shd w:val="clear" w:color="auto" w:fill="auto"/>
            <w:vAlign w:val="center"/>
            <w:hideMark/>
          </w:tcPr>
          <w:p w14:paraId="3FB9AA72"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Segoe UI Symbol" w:eastAsia="Times New Roman" w:hAnsi="Segoe UI Symbol" w:cs="Segoe UI Symbol"/>
                <w:color w:val="000000"/>
                <w:sz w:val="22"/>
                <w:lang w:val="en-US"/>
              </w:rPr>
              <w:t>✓</w:t>
            </w:r>
          </w:p>
        </w:tc>
        <w:tc>
          <w:tcPr>
            <w:tcW w:w="540" w:type="dxa"/>
            <w:tcBorders>
              <w:top w:val="nil"/>
              <w:left w:val="nil"/>
              <w:bottom w:val="single" w:sz="4" w:space="0" w:color="auto"/>
              <w:right w:val="single" w:sz="4" w:space="0" w:color="auto"/>
            </w:tcBorders>
            <w:shd w:val="clear" w:color="auto" w:fill="auto"/>
            <w:vAlign w:val="center"/>
            <w:hideMark/>
          </w:tcPr>
          <w:p w14:paraId="50CCA09E"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Cambria Math" w:eastAsia="Times New Roman" w:hAnsi="Cambria Math" w:cs="Cambria Math"/>
                <w:color w:val="000000"/>
                <w:sz w:val="22"/>
                <w:lang w:val="en-US"/>
              </w:rPr>
              <w:t>△</w:t>
            </w:r>
          </w:p>
        </w:tc>
        <w:tc>
          <w:tcPr>
            <w:tcW w:w="600" w:type="dxa"/>
            <w:tcBorders>
              <w:top w:val="nil"/>
              <w:left w:val="nil"/>
              <w:bottom w:val="single" w:sz="4" w:space="0" w:color="auto"/>
              <w:right w:val="single" w:sz="4" w:space="0" w:color="auto"/>
            </w:tcBorders>
            <w:shd w:val="clear" w:color="auto" w:fill="auto"/>
            <w:vAlign w:val="center"/>
            <w:hideMark/>
          </w:tcPr>
          <w:p w14:paraId="553AB8FF"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Cambria Math" w:eastAsia="Times New Roman" w:hAnsi="Cambria Math" w:cs="Cambria Math"/>
                <w:color w:val="000000"/>
                <w:sz w:val="22"/>
                <w:lang w:val="en-US"/>
              </w:rPr>
              <w:t>△</w:t>
            </w:r>
          </w:p>
        </w:tc>
        <w:tc>
          <w:tcPr>
            <w:tcW w:w="560" w:type="dxa"/>
            <w:tcBorders>
              <w:top w:val="nil"/>
              <w:left w:val="nil"/>
              <w:bottom w:val="single" w:sz="4" w:space="0" w:color="auto"/>
              <w:right w:val="single" w:sz="4" w:space="0" w:color="auto"/>
            </w:tcBorders>
            <w:shd w:val="clear" w:color="auto" w:fill="auto"/>
            <w:vAlign w:val="center"/>
            <w:hideMark/>
          </w:tcPr>
          <w:p w14:paraId="48D7E22E" w14:textId="77777777" w:rsidR="007015D5" w:rsidRPr="0070699C" w:rsidRDefault="007015D5" w:rsidP="007015D5">
            <w:pPr>
              <w:spacing w:after="0" w:line="240" w:lineRule="auto"/>
              <w:rPr>
                <w:rFonts w:ascii="Calibri" w:eastAsia="Times New Roman" w:hAnsi="Calibri" w:cs="Calibri"/>
                <w:color w:val="000000"/>
                <w:sz w:val="22"/>
                <w:lang w:val="en-US"/>
              </w:rPr>
            </w:pPr>
            <w:r w:rsidRPr="0070699C">
              <w:rPr>
                <w:rFonts w:ascii="Segoe UI Symbol" w:eastAsia="Times New Roman" w:hAnsi="Segoe UI Symbol" w:cs="Segoe UI Symbol"/>
                <w:color w:val="000000"/>
                <w:sz w:val="22"/>
                <w:lang w:val="en-US"/>
              </w:rPr>
              <w:t>✓</w:t>
            </w:r>
          </w:p>
        </w:tc>
        <w:tc>
          <w:tcPr>
            <w:tcW w:w="3340" w:type="dxa"/>
            <w:tcBorders>
              <w:top w:val="nil"/>
              <w:left w:val="nil"/>
              <w:bottom w:val="single" w:sz="4" w:space="0" w:color="auto"/>
              <w:right w:val="single" w:sz="4" w:space="0" w:color="auto"/>
            </w:tcBorders>
            <w:shd w:val="clear" w:color="auto" w:fill="auto"/>
            <w:vAlign w:val="center"/>
            <w:hideMark/>
          </w:tcPr>
          <w:p w14:paraId="1D0CECDC" w14:textId="77777777" w:rsidR="007015D5" w:rsidRPr="0070699C" w:rsidRDefault="00C6743A" w:rsidP="007015D5">
            <w:pPr>
              <w:spacing w:after="0" w:line="240" w:lineRule="auto"/>
              <w:rPr>
                <w:rFonts w:ascii="Calibri" w:eastAsia="Times New Roman" w:hAnsi="Calibri" w:cs="Calibri"/>
                <w:color w:val="0563C1"/>
                <w:sz w:val="22"/>
                <w:u w:val="single"/>
                <w:lang w:val="en-US"/>
              </w:rPr>
            </w:pPr>
            <w:hyperlink r:id="rId11" w:tooltip="tsla-20241231" w:history="1">
              <w:r w:rsidR="007015D5" w:rsidRPr="0070699C">
                <w:rPr>
                  <w:rFonts w:ascii="Calibri" w:eastAsia="Times New Roman" w:hAnsi="Calibri" w:cs="Calibri"/>
                  <w:color w:val="0563C1"/>
                  <w:sz w:val="22"/>
                  <w:u w:val="single"/>
                  <w:lang w:val="en-US"/>
                </w:rPr>
                <w:t>Temporary (integrated platform harder to match at scale) (SEC)</w:t>
              </w:r>
            </w:hyperlink>
          </w:p>
        </w:tc>
      </w:tr>
    </w:tbl>
    <w:p w14:paraId="4605500B" w14:textId="4C405EFF" w:rsidR="007015D5" w:rsidRPr="0070699C" w:rsidRDefault="007015D5">
      <w:pPr>
        <w:rPr>
          <w:lang w:val="en-US"/>
        </w:rPr>
      </w:pPr>
    </w:p>
    <w:p w14:paraId="21AE5A38" w14:textId="7540D504" w:rsidR="00684963" w:rsidRPr="0070699C" w:rsidRDefault="00684963" w:rsidP="00D2079D">
      <w:pPr>
        <w:pStyle w:val="NormalWeb"/>
      </w:pPr>
      <w:r w:rsidRPr="0070699C">
        <w:t xml:space="preserve">Interpretation: </w:t>
      </w:r>
      <w:r w:rsidR="00D2079D" w:rsidRPr="0070699C">
        <w:t xml:space="preserve">The strongest sustained pathway at Tesla is software capability + data + organisational speed, and the charge and scale is becoming increasingly competitive, moving the balance of power of </w:t>
      </w:r>
      <w:r w:rsidR="00D2079D" w:rsidRPr="0070699C">
        <w:rPr>
          <w:i/>
          <w:iCs/>
        </w:rPr>
        <w:t>merely assets to orchestrating capabilities</w:t>
      </w:r>
      <w:r w:rsidR="00D2079D" w:rsidRPr="0070699C">
        <w:t xml:space="preserve"> </w:t>
      </w:r>
      <w:r w:rsidR="00BC4E0F" w:rsidRPr="0070699C">
        <w:rPr>
          <w:rStyle w:val="Emphasis"/>
        </w:rPr>
        <w:fldChar w:fldCharType="begin" w:fldLock="1"/>
      </w:r>
      <w:r w:rsidR="0090608A" w:rsidRPr="0070699C">
        <w:rPr>
          <w:rStyle w:val="Emphasis"/>
        </w:rPr>
        <w:instrText>ADDIN CSL_CITATION {"citationItems":[{"id":"ITEM-1","itemData":{"author":[{"dropping-particle":"","family":"Otto","given":"Sebastian","non-dropping-particle":"","parse-names":false,"suffix":""},{"dropping-particle":"","family":"Wlcek","given":"Manuel","non-dropping-particle":"","parse-names":false,"suffix":""},{"dropping-particle":"","family":"Wortmann","given":"Felix","non-dropping-particle":"","parse-names":false,"suffix":""}],"id":"ITEM-1","issued":{"date-parts":[["2025"]]},"title":"Towards Conceptualizing Software-Defined Vehicles: A Systematic Review and Future Research Avenues","type":"article-journal"},"uris":["http://www.mendeley.com/documents/?uuid=67e4dd46-d6d6-4db5-8139-8b2e6b6b0751"]}],"mendeley":{"formattedCitation":"(Otto et al., 2025)","plainTextFormattedCitation":"(Otto et al., 2025)","previouslyFormattedCitation":"(Otto et al., 2025)"},"properties":{"noteIndex":0},"schema":"https://github.com/citation-style-language/schema/raw/master/csl-citation.json"}</w:instrText>
      </w:r>
      <w:r w:rsidR="00BC4E0F" w:rsidRPr="0070699C">
        <w:rPr>
          <w:rStyle w:val="Emphasis"/>
        </w:rPr>
        <w:fldChar w:fldCharType="separate"/>
      </w:r>
      <w:r w:rsidR="00BC4E0F" w:rsidRPr="0070699C">
        <w:rPr>
          <w:rStyle w:val="Emphasis"/>
          <w:i w:val="0"/>
          <w:noProof/>
        </w:rPr>
        <w:t>(Otto et al., 2025)</w:t>
      </w:r>
      <w:r w:rsidR="00BC4E0F" w:rsidRPr="0070699C">
        <w:rPr>
          <w:rStyle w:val="Emphasis"/>
        </w:rPr>
        <w:fldChar w:fldCharType="end"/>
      </w:r>
      <w:r w:rsidRPr="0070699C">
        <w:t xml:space="preserve">. </w:t>
      </w:r>
    </w:p>
    <w:p w14:paraId="621DC782" w14:textId="656FFAB3" w:rsidR="007D4172" w:rsidRPr="0070699C" w:rsidRDefault="00684963" w:rsidP="007D4172">
      <w:pPr>
        <w:pStyle w:val="Heading3"/>
        <w:rPr>
          <w:bCs/>
        </w:rPr>
      </w:pPr>
      <w:bookmarkStart w:id="15" w:name="_Toc223992287"/>
      <w:r w:rsidRPr="0070699C">
        <w:rPr>
          <w:rStyle w:val="Strong"/>
          <w:b/>
          <w:bCs w:val="0"/>
        </w:rPr>
        <w:t>Causal logic</w:t>
      </w:r>
      <w:bookmarkEnd w:id="15"/>
    </w:p>
    <w:p w14:paraId="38C7D43C" w14:textId="0935621D" w:rsidR="00684963" w:rsidRPr="0070699C" w:rsidRDefault="00D2079D" w:rsidP="00D2079D">
      <w:pPr>
        <w:pStyle w:val="NormalWeb"/>
      </w:pPr>
      <w:r w:rsidRPr="0070699C">
        <w:t xml:space="preserve">EV markets are shifting to commoditised hardware and price pressure; on the inside, the integrated nature of Tesla manufacturing drives down the unit costs and OTA/software allows constant feature additions and the ability to differentiate user-experience. Combined with access to charging and an energy portfolio, this generates switching costs and lifetime monetisation (services, paid charging, energy products). But with access to charging and scale by rivals, the advantage of Tesla lies in transforming software/AI and speedy iteration into trusted, regulatable and refined enhancements </w:t>
      </w:r>
      <w:r w:rsidR="0090608A" w:rsidRPr="0070699C">
        <w:fldChar w:fldCharType="begin" w:fldLock="1"/>
      </w:r>
      <w:r w:rsidR="0090608A"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URL":"https://www.theverge.com/news/711472/honda-acura-ev-tesla-supercharger-access-adapter","accessed":{"date-parts":[["2025","3","7"]]},"author":[{"dropping-particle":"","family":"Roth","given":"Emma","non-dropping-particle":"","parse-names":false,"suffix":""}],"id":"ITEM-2","issued":{"date-parts":[["2025"]]},"title":"Honda and Acura EV owners can now use Tesla Superchargers","type":"webpage"},"uris":["http://www.mendeley.com/documents/?uuid=b3694744-e9d4-4135-8b07-1ca550a5832c"]}],"mendeley":{"formattedCitation":"(Roth, 2025; SEC.GOV, 2024)","plainTextFormattedCitation":"(Roth, 2025; SEC.GOV, 2024)","previouslyFormattedCitation":"(Roth, 2025; SEC.GOV, 2024)"},"properties":{"noteIndex":0},"schema":"https://github.com/citation-style-language/schema/raw/master/csl-citation.json"}</w:instrText>
      </w:r>
      <w:r w:rsidR="0090608A" w:rsidRPr="0070699C">
        <w:fldChar w:fldCharType="separate"/>
      </w:r>
      <w:r w:rsidR="0090608A" w:rsidRPr="0070699C">
        <w:rPr>
          <w:noProof/>
        </w:rPr>
        <w:t>(Roth, 2025; SEC.GOV, 2024)</w:t>
      </w:r>
      <w:r w:rsidR="0090608A" w:rsidRPr="0070699C">
        <w:fldChar w:fldCharType="end"/>
      </w:r>
      <w:r w:rsidR="00684963" w:rsidRPr="0070699C">
        <w:t xml:space="preserve">. </w:t>
      </w:r>
    </w:p>
    <w:p w14:paraId="2393C49F" w14:textId="48DA8895" w:rsidR="001D4160" w:rsidRPr="0070699C" w:rsidRDefault="001D4160" w:rsidP="001D4160">
      <w:pPr>
        <w:pStyle w:val="Heading1"/>
        <w:rPr>
          <w:rFonts w:ascii="Times New Roman" w:hAnsi="Times New Roman"/>
          <w:sz w:val="24"/>
        </w:rPr>
      </w:pPr>
      <w:bookmarkStart w:id="16" w:name="_Toc223992288"/>
      <w:r w:rsidRPr="0070699C">
        <w:rPr>
          <w:rStyle w:val="Strong"/>
          <w:b/>
          <w:bCs/>
        </w:rPr>
        <w:t>CSR and Sustainability Objectives</w:t>
      </w:r>
      <w:bookmarkEnd w:id="16"/>
    </w:p>
    <w:p w14:paraId="0DFB4FB0" w14:textId="39078EE0" w:rsidR="001D4160" w:rsidRPr="0070699C" w:rsidRDefault="001D4160" w:rsidP="00E3431B">
      <w:pPr>
        <w:pStyle w:val="Heading2"/>
        <w:rPr>
          <w:bCs/>
        </w:rPr>
      </w:pPr>
      <w:bookmarkStart w:id="17" w:name="_Toc223992289"/>
      <w:r w:rsidRPr="0070699C">
        <w:rPr>
          <w:rStyle w:val="Strong"/>
          <w:b/>
          <w:bCs w:val="0"/>
        </w:rPr>
        <w:t>Tesla narrative vs reality (balanced critique)</w:t>
      </w:r>
      <w:bookmarkEnd w:id="17"/>
    </w:p>
    <w:p w14:paraId="76EAC846" w14:textId="0C879A90" w:rsidR="001D4160" w:rsidRPr="0070699C" w:rsidRDefault="00D2079D" w:rsidP="00D2079D">
      <w:pPr>
        <w:pStyle w:val="NormalWeb"/>
      </w:pPr>
      <w:r w:rsidRPr="0070699C">
        <w:t xml:space="preserve">Tesla positions CSR as mission-driven sustainability - accelerate the transition of the world to sustainable energy - and reports that it avoids significant emissions of its customers with the adoption of EVs and its energy products. Its reports also highlight on-going advancement in product efficiency and safety results as value generation. Nevertheless, the sustainability leader is a narrative challenged by the effects based on lifecycle elements (battery production energy, sourcing, grid mix), and the stakeholders who are now assessing EV companies based </w:t>
      </w:r>
      <w:r w:rsidRPr="0070699C">
        <w:lastRenderedPageBreak/>
        <w:t xml:space="preserve">on the due diligence of human rights along the supply chain in addition to tailpipe emissions </w:t>
      </w:r>
      <w:r w:rsidR="0090608A" w:rsidRPr="0070699C">
        <w:fldChar w:fldCharType="begin" w:fldLock="1"/>
      </w:r>
      <w:r w:rsidR="00F23E0B" w:rsidRPr="0070699C">
        <w:instrText>ADDIN CSL_CITATION {"citationItems":[{"id":"ITEM-1","itemData":{"URL":"https://www.tesla.com/ns_videos/2024-tesla-impact-report-highlights.pdf","accessed":{"date-parts":[["2026","3","7"]]},"author":[{"dropping-particle":"","family":"Tesla","given":"","non-dropping-particle":"","parse-names":false,"suffix":""}],"id":"ITEM-1","issued":{"date-parts":[["2024"]]},"title":"Impact Report","type":"webpage"},"uris":["http://www.mendeley.com/documents/?uuid=b87e7f77-f5ff-48c4-86e9-36a15bd09d97"]},{"id":"ITEM-2","itemData":{"URL":"https://ir.tesla.com/_flysystem/s3/sec/000162828025003063/tsla-20241231-gen.pdf","accessed":{"date-parts":[["2025","12","18"]]},"author":[{"dropping-particle":"","family":"Tesla","given":"","non-dropping-particle":"","parse-names":false,"suffix":""}],"id":"ITEM-2","issued":{"date-parts":[["2024"]]},"title":"UNITED STATES SECURITIES AND EXCHANGE COMMISSION","type":"webpage"},"uris":["http://www.mendeley.com/documents/?uuid=59fa51ed-e937-43ca-91d3-c111567227f1"]},{"id":"ITEM-3","itemData":{"DOI":"https://doi.org/10.1016/j.jclepro.2023.139033","ISSN":"0959-6526","abstract":"This study examines the influence of CSR and CSiR on supply chain performance in the automotive sector, drawing data from a global sample of 730 automotive firms. Utilizing System GMM analysis, the research establishes significant impacts of both CSR and CSiR on supply chain performance. Notably, the study uncovers that the relationship between CSR and supply chain performance is modulated by the level of environmental turbulence. The findings emphasize the strategic importance of prioritizing CSR and minimizing CSiR for optimizing supply chain performance. Moreover, managers are advised to account for the contextual influence of environmental dynamics when devising CSR strategies. This study makes a valuable contribution by empirically substantiating the interconnected effects of CSR and CSiR on automotive supply chain performance while shedding light on the role of environmental factors as a moderating influence on CSR's impact.","author":[{"dropping-particle":"","family":"Lin","given":"Woon Leong","non-dropping-particle":"","parse-names":false,"suffix":""}],"container-title":"Journal of Cleaner Production","id":"ITEM-3","issued":{"date-parts":[["2023"]]},"page":"139033","title":"Corporate social responsibility and irresponsibility: Effects on supply chain performance in the automotive industry under environmental turbulence","type":"article-journal","volume":"428"},"uris":["http://www.mendeley.com/documents/?uuid=471e340d-7380-4aa3-934b-0e62f345f92a"]}],"mendeley":{"formattedCitation":"(Lin, 2023; Tesla, 2024a, 2024b)","plainTextFormattedCitation":"(Lin, 2023; Tesla, 2024a, 2024b)","previouslyFormattedCitation":"(Lin, 2023; Tesla, 2024a, 2024b)"},"properties":{"noteIndex":0},"schema":"https://github.com/citation-style-language/schema/raw/master/csl-citation.json"}</w:instrText>
      </w:r>
      <w:r w:rsidR="0090608A" w:rsidRPr="0070699C">
        <w:fldChar w:fldCharType="separate"/>
      </w:r>
      <w:r w:rsidR="00F23E0B" w:rsidRPr="0070699C">
        <w:rPr>
          <w:noProof/>
        </w:rPr>
        <w:t>(Lin, 2023; Tesla, 2024a, 2024b)</w:t>
      </w:r>
      <w:r w:rsidR="0090608A" w:rsidRPr="0070699C">
        <w:fldChar w:fldCharType="end"/>
      </w:r>
      <w:r w:rsidR="001D4160" w:rsidRPr="0070699C">
        <w:t>.</w:t>
      </w:r>
    </w:p>
    <w:p w14:paraId="5CBDB133" w14:textId="3B8FB00A" w:rsidR="001D4160" w:rsidRPr="0070699C" w:rsidRDefault="001D4160" w:rsidP="00E3431B">
      <w:pPr>
        <w:pStyle w:val="Heading2"/>
        <w:rPr>
          <w:bCs/>
        </w:rPr>
      </w:pPr>
      <w:bookmarkStart w:id="18" w:name="_Toc223992290"/>
      <w:r w:rsidRPr="0070699C">
        <w:rPr>
          <w:rStyle w:val="Strong"/>
          <w:b/>
          <w:bCs w:val="0"/>
        </w:rPr>
        <w:t>Alignment with business objectives (strategic fit)</w:t>
      </w:r>
      <w:bookmarkEnd w:id="18"/>
    </w:p>
    <w:p w14:paraId="28120E55" w14:textId="5BB6D0FA" w:rsidR="001D4160" w:rsidRPr="0070699C" w:rsidRDefault="00D2079D" w:rsidP="00D2079D">
      <w:pPr>
        <w:pStyle w:val="NormalWeb"/>
      </w:pPr>
      <w:r w:rsidRPr="0070699C">
        <w:t xml:space="preserve">Tesla CSR is best interpreted in CSR-as-strategy: decarbonisation cannot be discussed outside of its growth model. The automotive and energy businesses (storage/solar) of the company are poised to capitalize upon the requirement of electrification and grid flexibility which can be aligned with sustainability goals through strategic CSR research which recommends that sustainability activities that are incorporated into core capabilities such as innovation, resilience and alignment with stakeholders can be used to advance their competitive advantage and not be peripheral philanthropy. In the case of Tesla, sustainability objectives can be converted into operational performance (cost, customer value and market legitimacy) through the scale of energy storage, access to charging, and efficiency enhancements that can be achieved through software </w:t>
      </w:r>
      <w:r w:rsidR="0090608A" w:rsidRPr="0070699C">
        <w:fldChar w:fldCharType="begin" w:fldLock="1"/>
      </w:r>
      <w:r w:rsidR="005B24ED" w:rsidRPr="0070699C">
        <w:instrText>ADDIN CSL_CITATION {"citationItems":[{"id":"ITEM-1","itemData":{"URL":"https://www.tesla.com/ns_videos/2024-tesla-impact-report-highlights.pdf","accessed":{"date-parts":[["2026","3","7"]]},"author":[{"dropping-particle":"","family":"Tesla","given":"","non-dropping-particle":"","parse-names":false,"suffix":""}],"id":"ITEM-1","issued":{"date-parts":[["2024"]]},"title":"Impact Report","type":"webpage"},"uris":["http://www.mendeley.com/documents/?uuid=b87e7f77-f5ff-48c4-86e9-36a15bd09d97"]},{"id":"ITEM-2","itemData":{"URL":"https://ir.tesla.com/_flysystem/s3/sec/000162828025003063/tsla-20241231-gen.pdf","accessed":{"date-parts":[["2025","12","18"]]},"author":[{"dropping-particle":"","family":"Tesla","given":"","non-dropping-particle":"","parse-names":false,"suffix":""}],"id":"ITEM-2","issued":{"date-parts":[["2024"]]},"title":"UNITED STATES SECURITIES AND EXCHANGE COMMISSION","type":"webpage"},"uris":["http://www.mendeley.com/documents/?uuid=59fa51ed-e937-43ca-91d3-c111567227f1"]},{"id":"ITEM-3","itemData":{"DOI":"10.3390/admsci15060212","ISBN":"2076-3387","abstract":"In today’s complex business environments, integrating strategic corporate social responsibility (SCSR) is essential for aligning business objectives with societal interests and strengthening organizational resilience. Using Tesla as a case study, we applied stakeholder theory, grounded theory, and the Stimulus-Organism-Response (S-O-R) model to construct a theoretical framework on the impact of SCSR on organizational resilience and to examine the mechanisms underpinning this process. Through the implementation of SCSR, enterprises deeply engage with primary and public stakeholders, establish resilient relationships, and enhance organizational resilience through seven dimensions: development governance, strategic management, relationship, financial, product, cultural, and social. The theoretical framework developed in this study provides a reference for subsequent research on SCSR and organizational resilience, and offers management insights for enterprises to integrate SCSR, enhance organizational resilience, and improve long-term competitiveness.","author":[{"dropping-particle":"","family":"Liu","given":"Xiaoping","non-dropping-particle":"","parse-names":false,"suffix":""},{"dropping-particle":"","family":"Zhou","given":"Yishu","non-dropping-particle":"","parse-names":false,"suffix":""}],"container-title":"Administrative Sciences","id":"ITEM-3","issue":"6","issued":{"date-parts":[["2025"]]},"page":"212","title":"The Impact of Strategic Corporate Social Responsibility on Organizational Resilience—An Exploratory Case Study Based on Tesla","type":"article","volume":"15"},"uris":["http://www.mendeley.com/documents/?uuid=91edc1b7-dc5f-429b-9bba-27be000122d0"]}],"mendeley":{"formattedCitation":"(X. Liu &amp; Zhou, 2025; Tesla, 2024a, 2024b)","plainTextFormattedCitation":"(X. Liu &amp; Zhou, 2025; Tesla, 2024a, 2024b)","previouslyFormattedCitation":"(X. Liu &amp; Zhou, 2025; Tesla, 2024a, 2024b)"},"properties":{"noteIndex":0},"schema":"https://github.com/citation-style-language/schema/raw/master/csl-citation.json"}</w:instrText>
      </w:r>
      <w:r w:rsidR="0090608A" w:rsidRPr="0070699C">
        <w:fldChar w:fldCharType="separate"/>
      </w:r>
      <w:r w:rsidR="005B24ED" w:rsidRPr="0070699C">
        <w:rPr>
          <w:noProof/>
        </w:rPr>
        <w:t>(X. Liu &amp; Zhou, 2025; Tesla, 2024a, 2024b)</w:t>
      </w:r>
      <w:r w:rsidR="0090608A" w:rsidRPr="0070699C">
        <w:fldChar w:fldCharType="end"/>
      </w:r>
      <w:r w:rsidR="001D4160" w:rsidRPr="0070699C">
        <w:t>.</w:t>
      </w:r>
    </w:p>
    <w:p w14:paraId="64A7A12D" w14:textId="0825E094" w:rsidR="001D4160" w:rsidRPr="0070699C" w:rsidRDefault="001D4160" w:rsidP="00E3431B">
      <w:pPr>
        <w:pStyle w:val="Heading2"/>
        <w:rPr>
          <w:bCs/>
        </w:rPr>
      </w:pPr>
      <w:bookmarkStart w:id="19" w:name="_Toc223992291"/>
      <w:r w:rsidRPr="0070699C">
        <w:rPr>
          <w:rStyle w:val="Strong"/>
          <w:b/>
          <w:bCs w:val="0"/>
        </w:rPr>
        <w:t>Risks/criticisms + credibility gap</w:t>
      </w:r>
      <w:bookmarkEnd w:id="19"/>
    </w:p>
    <w:p w14:paraId="38A62A57" w14:textId="180BAA7A" w:rsidR="001D4160" w:rsidRPr="0070699C" w:rsidRDefault="00D2079D" w:rsidP="00D2079D">
      <w:pPr>
        <w:pStyle w:val="NormalWeb"/>
      </w:pPr>
      <w:r w:rsidRPr="0070699C">
        <w:t xml:space="preserve">The most significant credibility risks are: (i) supply-chain governance-in civil society evaluations, EV manufacturers are said to pay insufficient attention to how they mitigate human-rights risks in mineral supply chains (e.g. cobalt/nickel) leaving reputational and regulatory risk exposed. (ii) safety/ethics and autonomy allegations- US regulators have intervened in Tesla performance of driver-assistance and Full Self-Driving and questioned the level of protection and reporting, a question of trust and compliance. (iii) transparency in governance--any disconnect between the declamations of audacious sustainability and the testable results can ruin brand trust, right of participation, and financier trust </w:t>
      </w:r>
      <w:r w:rsidR="00F23E0B" w:rsidRPr="0070699C">
        <w:fldChar w:fldCharType="begin" w:fldLock="1"/>
      </w:r>
      <w:r w:rsidR="007829C5" w:rsidRPr="0070699C">
        <w:instrText>ADDIN CSL_CITATION {"citationItems":[{"id":"ITEM-1","itemData":{"URL":"https://www.amnesty.org/en/latest/news/2024/10/human-rights-ranking-electric-vehicle-industry/","accessed":{"date-parts":[["2026","3","7"]]},"author":[{"dropping-particle":"","family":"Amnesty International","given":"","non-dropping-particle":"","parse-names":false,"suffix":""}],"id":"ITEM-1","issued":{"date-parts":[["2024"]]},"title":"Recharge for lights","type":"webpage"},"uris":["http://www.mendeley.com/documents/?uuid=4f29f895-1dfb-4ef6-bb7d-a99ac85a6b3b"]},{"id":"ITEM-2","itemData":{"URL":"https://www.amnesty.ch/de/themen/wirtschaft-und-menschenrechte/dok/2024/menschenrechtsrisiken-in-lieferketten/recharge-for-rights-ranking-the-human-rights-due-diligence.pdf","accessed":{"date-parts":[["2026","3","7"]]},"author":[{"dropping-particle":"","family":"Amnesty International","given":"","non-dropping-particle":"","parse-names":false,"suffix":""}],"id":"ITEM-2","issued":{"date-parts":[["2024"]]},"title":"Resharge For Lights","type":"webpage"},"uris":["http://www.mendeley.com/documents/?uuid=c92f22f0-2fd8-4851-9684-010f7f4c619b"]},{"id":"ITEM-3","itemData":{"URL":"https://www.reuters.com/business/autos-transportation/nhtsa-opens-probe-into-24-mln-tesla-vehicles-over-full-self-driving-collisions-2024-10-18/","accessed":{"date-parts":[["2026","3","7"]]},"author":[{"dropping-particle":"","family":"Shepardson","given":"David","non-dropping-particle":"","parse-names":false,"suffix":""}],"id":"ITEM-3","issued":{"date-parts":[["2024"]]},"title":"US probes Tesla's Full Self-Driving software in 2.4 mln cars after fatal crash","type":"webpage"},"uris":["http://www.mendeley.com/documents/?uuid=67a323e6-8d57-49b5-96f5-d7948cc0db27"]}],"mendeley":{"formattedCitation":"(Amnesty International, 2024a, 2024b; Shepardson, 2024)","plainTextFormattedCitation":"(Amnesty International, 2024a, 2024b; Shepardson, 2024)","previouslyFormattedCitation":"(Amnesty International, 2024a, 2024b; Shepardson, 2024)"},"properties":{"noteIndex":0},"schema":"https://github.com/citation-style-language/schema/raw/master/csl-citation.json"}</w:instrText>
      </w:r>
      <w:r w:rsidR="00F23E0B" w:rsidRPr="0070699C">
        <w:fldChar w:fldCharType="separate"/>
      </w:r>
      <w:r w:rsidR="007829C5" w:rsidRPr="0070699C">
        <w:rPr>
          <w:noProof/>
        </w:rPr>
        <w:t>(Amnesty International, 2024a, 2024b; Shepardson, 2024)</w:t>
      </w:r>
      <w:r w:rsidR="00F23E0B" w:rsidRPr="0070699C">
        <w:fldChar w:fldCharType="end"/>
      </w:r>
      <w:r w:rsidR="001D4160" w:rsidRPr="0070699C">
        <w:t>.</w:t>
      </w:r>
    </w:p>
    <w:p w14:paraId="5C893A39" w14:textId="21EC6951" w:rsidR="007015D5" w:rsidRPr="0070699C" w:rsidRDefault="00684963" w:rsidP="001D4160">
      <w:pPr>
        <w:pStyle w:val="Heading1"/>
      </w:pPr>
      <w:bookmarkStart w:id="20" w:name="_Toc223992292"/>
      <w:r w:rsidRPr="0070699C">
        <w:t>Comprehensive &amp; Holistic View: Balanced Scorecard</w:t>
      </w:r>
      <w:bookmarkEnd w:id="20"/>
    </w:p>
    <w:p w14:paraId="5151CCB9" w14:textId="12E63441" w:rsidR="00684963" w:rsidRPr="0070699C" w:rsidRDefault="00D2079D" w:rsidP="00D2079D">
      <w:pPr>
        <w:pStyle w:val="NormalWeb"/>
      </w:pPr>
      <w:r w:rsidRPr="0070699C">
        <w:t xml:space="preserve">Balanced Scorecard is more appropriate to Tesla as its strategy is system-wide (vehicles + software + charging + energy storage), and performance has to be monitored more than financials to encompass customer trust, operational implementation and capability-building in changing EV policy and technology conditions </w:t>
      </w:r>
      <w:r w:rsidR="007829C5" w:rsidRPr="0070699C">
        <w:fldChar w:fldCharType="begin" w:fldLock="1"/>
      </w:r>
      <w:r w:rsidR="007829C5"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URL":"https://www.iea.org/reports/global-ev-outlook-2024","accessed":{"date-parts":[["2026","3","7"]]},"author":[{"dropping-particle":"","family":"IEA","given":"","non-dropping-particle":"","parse-names":false,"suffix":""}],"id":"ITEM-2","issued":{"date-parts":[["2024"]]},"title":"Global EV Outlook 2024","type":"webpage"},"uris":["http://www.mendeley.com/documents/?uuid=65eff6f3-d98f-4ca8-a782-fc1d6a476f4b"]}],"mendeley":{"formattedCitation":"(IEA, 2024a; SEC.GOV, 2024)","plainTextFormattedCitation":"(IEA, 2024a; SEC.GOV, 2024)","previouslyFormattedCitation":"(IEA, 2024a; SEC.GOV, 2024)"},"properties":{"noteIndex":0},"schema":"https://github.com/citation-style-language/schema/raw/master/csl-citation.json"}</w:instrText>
      </w:r>
      <w:r w:rsidR="007829C5" w:rsidRPr="0070699C">
        <w:fldChar w:fldCharType="separate"/>
      </w:r>
      <w:r w:rsidR="007829C5" w:rsidRPr="0070699C">
        <w:rPr>
          <w:noProof/>
        </w:rPr>
        <w:t>(IEA, 2024a; SEC.GOV, 2024)</w:t>
      </w:r>
      <w:r w:rsidR="007829C5" w:rsidRPr="0070699C">
        <w:fldChar w:fldCharType="end"/>
      </w:r>
      <w:r w:rsidR="00684963" w:rsidRPr="0070699C">
        <w:t xml:space="preserve">. </w:t>
      </w:r>
    </w:p>
    <w:p w14:paraId="4A27B424" w14:textId="1A007183" w:rsidR="00684963" w:rsidRPr="0070699C" w:rsidRDefault="00684963" w:rsidP="00E3431B">
      <w:pPr>
        <w:pStyle w:val="Heading2"/>
      </w:pPr>
      <w:r w:rsidRPr="0070699C">
        <w:t xml:space="preserve"> </w:t>
      </w:r>
      <w:bookmarkStart w:id="21" w:name="_Toc223992293"/>
      <w:r w:rsidRPr="0070699C">
        <w:t>Financial perspective</w:t>
      </w:r>
      <w:bookmarkEnd w:id="21"/>
    </w:p>
    <w:p w14:paraId="11BDD72B" w14:textId="3FE9F497" w:rsidR="00191FF7" w:rsidRPr="0070699C" w:rsidRDefault="00684963" w:rsidP="00D2079D">
      <w:pPr>
        <w:pStyle w:val="NormalWeb"/>
      </w:pPr>
      <w:r w:rsidRPr="0070699C">
        <w:rPr>
          <w:rStyle w:val="Strong"/>
          <w:rFonts w:eastAsiaTheme="majorEastAsia"/>
        </w:rPr>
        <w:t>Objective:</w:t>
      </w:r>
      <w:r w:rsidRPr="0070699C">
        <w:t xml:space="preserve"> </w:t>
      </w:r>
      <w:r w:rsidR="00D2079D" w:rsidRPr="0070699C">
        <w:t xml:space="preserve">safeguard the profitability and finance the innovation and expansion of energy. In 2024, Tesla reported margin sensitivity in the automotive business and cost of energy storage is becoming more economical, thus is strategic </w:t>
      </w:r>
      <w:r w:rsidR="007829C5" w:rsidRPr="0070699C">
        <w:fldChar w:fldCharType="begin" w:fldLock="1"/>
      </w:r>
      <w:r w:rsidR="007829C5"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URL":"https://ir.tesla.com/_flysystem/s3/sec/000162828025003063/tsla-20241231-gen.pdf","accessed":{"date-parts":[["2025","12","18"]]},"author":[{"dropping-particle":"","family":"Tesla","given":"","non-dropping-particle":"","parse-names":false,"suffix":""}],"id":"ITEM-2","issued":{"date-parts":[["2024"]]},"title":"UNITED STATES SECURITIES AND EXCHANGE COMMISSION","type":"webpage"},"uris":["http://www.mendeley.com/documents/?uuid=59fa51ed-e937-43ca-91d3-c111567227f1"]}],"mendeley":{"formattedCitation":"(SEC.GOV, 2024; Tesla, 2024b)","plainTextFormattedCitation":"(SEC.GOV, 2024; Tesla, 2024b)","previouslyFormattedCitation":"(SEC.GOV, 2024; Tesla, 2024b)"},"properties":{"noteIndex":0},"schema":"https://github.com/citation-style-language/schema/raw/master/csl-citation.json"}</w:instrText>
      </w:r>
      <w:r w:rsidR="007829C5" w:rsidRPr="0070699C">
        <w:fldChar w:fldCharType="separate"/>
      </w:r>
      <w:r w:rsidR="007829C5" w:rsidRPr="0070699C">
        <w:rPr>
          <w:noProof/>
        </w:rPr>
        <w:t>(SEC.GOV, 2024; Tesla, 2024b)</w:t>
      </w:r>
      <w:r w:rsidR="007829C5" w:rsidRPr="0070699C">
        <w:fldChar w:fldCharType="end"/>
      </w:r>
      <w:r w:rsidR="00191FF7" w:rsidRPr="0070699C">
        <w:t xml:space="preserve">. </w:t>
      </w:r>
    </w:p>
    <w:p w14:paraId="2D71960E" w14:textId="7BAD297B" w:rsidR="00D2079D" w:rsidRPr="0070699C" w:rsidRDefault="00D2079D" w:rsidP="00191FF7">
      <w:pPr>
        <w:pStyle w:val="NormalWeb"/>
      </w:pPr>
      <w:r w:rsidRPr="0070699C">
        <w:rPr>
          <w:b/>
          <w:bCs/>
        </w:rPr>
        <w:t>KPIs:</w:t>
      </w:r>
      <w:r w:rsidRPr="0070699C">
        <w:t xml:space="preserve"> (i) automotive gross margin (and without regulatory credits), (ii) operating margin, (iii) free cash flow and operating cash flow, (iv) Energy Generation &amp; Storage revenue and gross margin (v) capex efficiency ($ capex per unit/throughput). </w:t>
      </w:r>
    </w:p>
    <w:p w14:paraId="7774DC9F" w14:textId="5ACEB6F0" w:rsidR="00191FF7" w:rsidRPr="0070699C" w:rsidRDefault="00684963" w:rsidP="00D2079D">
      <w:pPr>
        <w:pStyle w:val="NormalWeb"/>
      </w:pPr>
      <w:r w:rsidRPr="0070699C">
        <w:rPr>
          <w:rStyle w:val="Strong"/>
          <w:rFonts w:eastAsiaTheme="majorEastAsia"/>
        </w:rPr>
        <w:t>Targets (directional):</w:t>
      </w:r>
      <w:r w:rsidRPr="0070699C">
        <w:t xml:space="preserve"> </w:t>
      </w:r>
      <w:r w:rsidR="00D2079D" w:rsidRPr="0070699C">
        <w:t>maintain positive FCF cycle, grow energy profit contribution, and repair margin (without selling volume)</w:t>
      </w:r>
      <w:r w:rsidR="00191FF7" w:rsidRPr="0070699C">
        <w:t xml:space="preserve">. </w:t>
      </w:r>
    </w:p>
    <w:p w14:paraId="25A165D2" w14:textId="3333F4F0" w:rsidR="00D2079D" w:rsidRPr="0070699C" w:rsidRDefault="00684963" w:rsidP="00D2079D">
      <w:pPr>
        <w:pStyle w:val="NormalWeb"/>
      </w:pPr>
      <w:r w:rsidRPr="0070699C">
        <w:rPr>
          <w:rStyle w:val="Strong"/>
          <w:rFonts w:eastAsiaTheme="majorEastAsia"/>
        </w:rPr>
        <w:lastRenderedPageBreak/>
        <w:t>Initiatives:</w:t>
      </w:r>
      <w:r w:rsidRPr="0070699C">
        <w:t xml:space="preserve"> </w:t>
      </w:r>
      <w:r w:rsidR="00D2079D" w:rsidRPr="0070699C">
        <w:t xml:space="preserve">next-gen cost-down programs (re-design of manufacturing), trim strategy / disciplined pricing, IRA-based manufacturing credits optimisation where feasible, and scaling up higher-margin storage mix  </w:t>
      </w:r>
      <w:r w:rsidR="007829C5" w:rsidRPr="0070699C">
        <w:fldChar w:fldCharType="begin" w:fldLock="1"/>
      </w:r>
      <w:r w:rsidR="00F93EFE"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URL":"https://ir.tesla.com/_flysystem/s3/sec/000162828025003063/tsla-20241231-gen.pdf","accessed":{"date-parts":[["2025","12","18"]]},"author":[{"dropping-particle":"","family":"Tesla","given":"","non-dropping-particle":"","parse-names":false,"suffix":""}],"id":"ITEM-2","issued":{"date-parts":[["2024"]]},"title":"UNITED STATES SECURITIES AND EXCHANGE COMMISSION","type":"webpage"},"uris":["http://www.mendeley.com/documents/?uuid=59fa51ed-e937-43ca-91d3-c111567227f1"]}],"mendeley":{"formattedCitation":"(SEC.GOV, 2024; Tesla, 2024b)","plainTextFormattedCitation":"(SEC.GOV, 2024; Tesla, 2024b)","previouslyFormattedCitation":"(SEC.GOV, 2024; Tesla, 2024b)"},"properties":{"noteIndex":0},"schema":"https://github.com/citation-style-language/schema/raw/master/csl-citation.json"}</w:instrText>
      </w:r>
      <w:r w:rsidR="007829C5" w:rsidRPr="0070699C">
        <w:fldChar w:fldCharType="separate"/>
      </w:r>
      <w:r w:rsidR="007829C5" w:rsidRPr="0070699C">
        <w:rPr>
          <w:noProof/>
        </w:rPr>
        <w:t>(SEC.GOV, 2024; Tesla, 2024b)</w:t>
      </w:r>
      <w:r w:rsidR="007829C5" w:rsidRPr="0070699C">
        <w:fldChar w:fldCharType="end"/>
      </w:r>
      <w:r w:rsidRPr="0070699C">
        <w:t>.</w:t>
      </w:r>
    </w:p>
    <w:p w14:paraId="7BE0F9DC" w14:textId="51AFC2A3" w:rsidR="00684963" w:rsidRPr="0070699C" w:rsidRDefault="00684963" w:rsidP="00E3431B">
      <w:pPr>
        <w:pStyle w:val="Heading2"/>
      </w:pPr>
      <w:bookmarkStart w:id="22" w:name="_Toc223992294"/>
      <w:r w:rsidRPr="0070699C">
        <w:t>Customer perspective</w:t>
      </w:r>
      <w:bookmarkEnd w:id="22"/>
    </w:p>
    <w:p w14:paraId="4AE7466A" w14:textId="22500272" w:rsidR="00191FF7" w:rsidRPr="0070699C" w:rsidRDefault="00684963" w:rsidP="007F5AD7">
      <w:pPr>
        <w:pStyle w:val="NormalWeb"/>
      </w:pPr>
      <w:r w:rsidRPr="0070699C">
        <w:rPr>
          <w:rStyle w:val="Strong"/>
          <w:rFonts w:eastAsiaTheme="majorEastAsia"/>
        </w:rPr>
        <w:t>Objective:</w:t>
      </w:r>
      <w:r w:rsidRPr="0070699C">
        <w:t xml:space="preserve"> </w:t>
      </w:r>
      <w:r w:rsidR="007F5AD7" w:rsidRPr="0070699C">
        <w:t>boost adoption and retention of building trust, convenience, and total value of ownership- essential due to policy review and convergence with other airlines</w:t>
      </w:r>
      <w:r w:rsidR="00191FF7" w:rsidRPr="0070699C">
        <w:t xml:space="preserve">. </w:t>
      </w:r>
    </w:p>
    <w:p w14:paraId="1557ACA0" w14:textId="77777777" w:rsidR="007F5AD7" w:rsidRPr="0070699C" w:rsidRDefault="00684963" w:rsidP="007F5AD7">
      <w:pPr>
        <w:pStyle w:val="NormalWeb"/>
      </w:pPr>
      <w:r w:rsidRPr="0070699C">
        <w:rPr>
          <w:rStyle w:val="Strong"/>
          <w:rFonts w:eastAsiaTheme="majorEastAsia"/>
        </w:rPr>
        <w:t>KPIs:</w:t>
      </w:r>
      <w:r w:rsidRPr="0070699C">
        <w:t xml:space="preserve"> (i) </w:t>
      </w:r>
      <w:r w:rsidR="007F5AD7" w:rsidRPr="0070699C">
        <w:t xml:space="preserve">quality of delivery (defects/vehicle/early service visits), (ii) service turnaround time and parts availability, (iii) charging experience (uptime/availability, wait time), (iv) Net Promoter Score/loyalty proxy (repeat purchase, referral rate), (v) safety perception indicators (complaints, safety-related recalls, incident rates). </w:t>
      </w:r>
    </w:p>
    <w:p w14:paraId="1C666A99" w14:textId="2D02AD79" w:rsidR="00191FF7" w:rsidRPr="0070699C" w:rsidRDefault="00684963" w:rsidP="007F5AD7">
      <w:pPr>
        <w:pStyle w:val="NormalWeb"/>
      </w:pPr>
      <w:r w:rsidRPr="0070699C">
        <w:rPr>
          <w:rStyle w:val="Strong"/>
          <w:rFonts w:eastAsiaTheme="majorEastAsia"/>
        </w:rPr>
        <w:t>Targets:</w:t>
      </w:r>
      <w:r w:rsidRPr="0070699C">
        <w:t xml:space="preserve"> </w:t>
      </w:r>
      <w:r w:rsidR="007F5AD7" w:rsidRPr="0070699C">
        <w:t>minimize early-life problems, enhance the speed of service, continue high charging reliability, and enhance quantifiable safety results/communications</w:t>
      </w:r>
      <w:r w:rsidR="00191FF7" w:rsidRPr="0070699C">
        <w:t xml:space="preserve">. </w:t>
      </w:r>
    </w:p>
    <w:p w14:paraId="00DE54B4" w14:textId="35A8C684" w:rsidR="00684963" w:rsidRPr="0070699C" w:rsidRDefault="00684963" w:rsidP="007F5AD7">
      <w:pPr>
        <w:pStyle w:val="NormalWeb"/>
      </w:pPr>
      <w:r w:rsidRPr="0070699C">
        <w:rPr>
          <w:rStyle w:val="Strong"/>
          <w:rFonts w:eastAsiaTheme="majorEastAsia"/>
        </w:rPr>
        <w:t>Initiatives:</w:t>
      </w:r>
      <w:r w:rsidRPr="0070699C">
        <w:t xml:space="preserve"> </w:t>
      </w:r>
      <w:r w:rsidR="007F5AD7" w:rsidRPr="0070699C">
        <w:t xml:space="preserve">The efforts include: increase/normalise service capacity, active quality campaigns, reliability-investments in charging infrastructure according to the needs of the infrastructure growth, and open safety reporting and strong expectations of driver-monitoring </w:t>
      </w:r>
      <w:r w:rsidR="00F93EFE" w:rsidRPr="0070699C">
        <w:fldChar w:fldCharType="begin" w:fldLock="1"/>
      </w:r>
      <w:r w:rsidR="00854C5E" w:rsidRPr="0070699C">
        <w:instrText>ADDIN CSL_CITATION {"citationItems":[{"id":"ITEM-1","itemData":{"URL":"https://www.iea.org/reports/global-ev-outlook-2024/outlook-for-electric-vehicle-charging-infrastructure","accessed":{"date-parts":[["2026","3","7"]]},"author":[{"dropping-particle":"","family":"IEA","given":"","non-dropping-particle":"","parse-names":false,"suffix":""}],"id":"ITEM-1","issued":{"date-parts":[["2024"]]},"title":"Outlook for electric vehicle charging infrastructure","type":"webpage"},"uris":["http://www.mendeley.com/documents/?uuid=a19bd77e-4c35-44b3-94a4-f309546ca9ed"]},{"id":"ITEM-2","itemData":{"URL":"https://www.iea.org/reports/global-ev-outlook-2024","accessed":{"date-parts":[["2026","3","7"]]},"author":[{"dropping-particle":"","family":"IEA","given":"","non-dropping-particle":"","parse-names":false,"suffix":""}],"id":"ITEM-2","issued":{"date-parts":[["2024"]]},"title":"Global EV Outlook 2024","type":"webpage"},"uris":["http://www.mendeley.com/documents/?uuid=65eff6f3-d98f-4ca8-a782-fc1d6a476f4b"]},{"id":"ITEM-3","itemData":{"URL":"https://www.sec.gov/Archives/edgar/data/1318605/000162828025003063/tsla-20241231.htm","accessed":{"date-parts":[["2025","12","18"]]},"author":[{"dropping-particle":"","family":"SEC.GOV","given":"","non-dropping-particle":"","parse-names":false,"suffix":""}],"id":"ITEM-3","issued":{"date-parts":[["2024"]]},"title":"UNITED STATES SECURITIES AND EXCHANGE COMMISSION","type":"webpage"},"uris":["http://www.mendeley.com/documents/?uuid=18ccc39c-e964-49fe-8b80-236e86750459"]},{"id":"ITEM-4","itemData":{"URL":"https://www.tesla.com/fsd/safety","accessed":{"date-parts":[["2026","3","7"]]},"author":[{"dropping-particle":"","family":"Tesla","given":"","non-dropping-particle":"","parse-names":false,"suffix":""}],"id":"ITEM-4","issued":{"date-parts":[["2025"]]},"title":"Full Self-Driving ( Supervised)","type":"webpage"},"uris":["http://www.mendeley.com/documents/?uuid=95357a81-98ae-4d61-bed6-8bad9972e922"]}],"mendeley":{"formattedCitation":"(IEA, 2024b, 2024a; SEC.GOV, 2024; Tesla, 2025b)","plainTextFormattedCitation":"(IEA, 2024b, 2024a; SEC.GOV, 2024; Tesla, 2025b)","previouslyFormattedCitation":"(IEA, 2024b, 2024a; SEC.GOV, 2024; Tesla, 2025b)"},"properties":{"noteIndex":0},"schema":"https://github.com/citation-style-language/schema/raw/master/csl-citation.json"}</w:instrText>
      </w:r>
      <w:r w:rsidR="00F93EFE" w:rsidRPr="0070699C">
        <w:fldChar w:fldCharType="separate"/>
      </w:r>
      <w:r w:rsidR="00854C5E" w:rsidRPr="0070699C">
        <w:rPr>
          <w:noProof/>
        </w:rPr>
        <w:t>(IEA, 2024b, 2024a; SEC.GOV, 2024; Tesla, 2025b)</w:t>
      </w:r>
      <w:r w:rsidR="00F93EFE" w:rsidRPr="0070699C">
        <w:fldChar w:fldCharType="end"/>
      </w:r>
      <w:r w:rsidRPr="0070699C">
        <w:t xml:space="preserve">. </w:t>
      </w:r>
    </w:p>
    <w:p w14:paraId="6C642088" w14:textId="6C2B02E8" w:rsidR="00684963" w:rsidRPr="0070699C" w:rsidRDefault="00684963" w:rsidP="00E3431B">
      <w:pPr>
        <w:pStyle w:val="Heading2"/>
      </w:pPr>
      <w:r w:rsidRPr="0070699C">
        <w:t xml:space="preserve"> </w:t>
      </w:r>
      <w:bookmarkStart w:id="23" w:name="_Toc223992295"/>
      <w:r w:rsidRPr="0070699C">
        <w:t>Internal process perspective</w:t>
      </w:r>
      <w:bookmarkEnd w:id="23"/>
    </w:p>
    <w:p w14:paraId="68D63C0D" w14:textId="256142E6" w:rsidR="00191FF7" w:rsidRPr="0070699C" w:rsidRDefault="00684963" w:rsidP="007F5AD7">
      <w:pPr>
        <w:pStyle w:val="NormalWeb"/>
      </w:pPr>
      <w:r w:rsidRPr="0070699C">
        <w:rPr>
          <w:rStyle w:val="Strong"/>
          <w:rFonts w:eastAsiaTheme="majorEastAsia"/>
        </w:rPr>
        <w:t>Objective:</w:t>
      </w:r>
      <w:r w:rsidRPr="0070699C">
        <w:t xml:space="preserve"> </w:t>
      </w:r>
      <w:r w:rsidR="007F5AD7" w:rsidRPr="0070699C">
        <w:t>implement cost effective compliant business in manufacturing and supply chain and software release under pressure on price and regulatory control</w:t>
      </w:r>
      <w:r w:rsidR="00191FF7" w:rsidRPr="0070699C">
        <w:t xml:space="preserve">. </w:t>
      </w:r>
    </w:p>
    <w:p w14:paraId="76DFAA0A" w14:textId="77777777" w:rsidR="007F5AD7" w:rsidRPr="0070699C" w:rsidRDefault="00684963" w:rsidP="007F5AD7">
      <w:pPr>
        <w:pStyle w:val="NormalWeb"/>
      </w:pPr>
      <w:r w:rsidRPr="0070699C">
        <w:rPr>
          <w:rStyle w:val="Strong"/>
          <w:rFonts w:eastAsiaTheme="majorEastAsia"/>
        </w:rPr>
        <w:t>KPIs:</w:t>
      </w:r>
      <w:r w:rsidRPr="0070699C">
        <w:t xml:space="preserve"> (i) </w:t>
      </w:r>
      <w:r w:rsidR="007F5AD7" w:rsidRPr="0070699C">
        <w:t xml:space="preserve">manufacturing efficiency (units per line-hour, scrap/rework rate), (ii) cost per vehicle and cycle time, (iii) supplier risk (single-source share, critical-materials lead times), (iv) software release (defects/rollback rate, OTA deployment success), (v) compliance (process) metrics (recall closure time, audit findings). </w:t>
      </w:r>
    </w:p>
    <w:p w14:paraId="25538FD5" w14:textId="0807FB3A" w:rsidR="00191FF7" w:rsidRPr="0070699C" w:rsidRDefault="00684963" w:rsidP="007F5AD7">
      <w:pPr>
        <w:pStyle w:val="NormalWeb"/>
      </w:pPr>
      <w:r w:rsidRPr="0070699C">
        <w:rPr>
          <w:rStyle w:val="Strong"/>
          <w:rFonts w:eastAsiaTheme="majorEastAsia"/>
        </w:rPr>
        <w:t>Targets:</w:t>
      </w:r>
      <w:r w:rsidRPr="0070699C">
        <w:t xml:space="preserve"> </w:t>
      </w:r>
      <w:r w:rsidR="007F5AD7" w:rsidRPr="0070699C">
        <w:t>ongoing unit-cost saving, reduced quality releases, enhanced supply chain continuity and safe-by-design software releases</w:t>
      </w:r>
      <w:r w:rsidR="00191FF7" w:rsidRPr="0070699C">
        <w:t xml:space="preserve">. </w:t>
      </w:r>
    </w:p>
    <w:p w14:paraId="5840E283" w14:textId="5B0CDCC4" w:rsidR="00684963" w:rsidRPr="0070699C" w:rsidRDefault="00684963" w:rsidP="007F5AD7">
      <w:pPr>
        <w:pStyle w:val="NormalWeb"/>
      </w:pPr>
      <w:r w:rsidRPr="0070699C">
        <w:rPr>
          <w:rStyle w:val="Strong"/>
          <w:rFonts w:eastAsiaTheme="majorEastAsia"/>
        </w:rPr>
        <w:t>Initiatives:</w:t>
      </w:r>
      <w:r w:rsidRPr="0070699C">
        <w:t xml:space="preserve"> </w:t>
      </w:r>
      <w:r w:rsidR="007F5AD7" w:rsidRPr="0070699C">
        <w:t xml:space="preserve">simplifying end-to-end manufacturing, dual sourcing/strategic contracts, stricter change-controlling of ADAS updates, and integrated risk management (linking safety, legal, and engineering) </w:t>
      </w:r>
      <w:r w:rsidR="005837BE" w:rsidRPr="0070699C">
        <w:fldChar w:fldCharType="begin" w:fldLock="1"/>
      </w:r>
      <w:r w:rsidR="00854C5E"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URL":"https://www.iea.org/reports/global-ev-outlook-2024","accessed":{"date-parts":[["2026","3","7"]]},"author":[{"dropping-particle":"","family":"IEA","given":"","non-dropping-particle":"","parse-names":false,"suffix":""}],"id":"ITEM-2","issued":{"date-parts":[["2024"]]},"title":"Global EV Outlook 2024","type":"webpage"},"uris":["http://www.mendeley.com/documents/?uuid=65eff6f3-d98f-4ca8-a782-fc1d6a476f4b"]},{"id":"ITEM-3","itemData":{"URL":"https://www.tesla.com/fsd/safety","accessed":{"date-parts":[["2026","3","7"]]},"author":[{"dropping-particle":"","family":"Tesla","given":"","non-dropping-particle":"","parse-names":false,"suffix":""}],"id":"ITEM-3","issued":{"date-parts":[["2025"]]},"title":"Full Self-Driving ( Supervised)","type":"webpage"},"uris":["http://www.mendeley.com/documents/?uuid=95357a81-98ae-4d61-bed6-8bad9972e922"]}],"mendeley":{"formattedCitation":"(IEA, 2024a; SEC.GOV, 2024; Tesla, 2025b)","plainTextFormattedCitation":"(IEA, 2024a; SEC.GOV, 2024; Tesla, 2025b)","previouslyFormattedCitation":"(IEA, 2024a; SEC.GOV, 2024; Tesla, 2025b)"},"properties":{"noteIndex":0},"schema":"https://github.com/citation-style-language/schema/raw/master/csl-citation.json"}</w:instrText>
      </w:r>
      <w:r w:rsidR="005837BE" w:rsidRPr="0070699C">
        <w:fldChar w:fldCharType="separate"/>
      </w:r>
      <w:r w:rsidR="00854C5E" w:rsidRPr="0070699C">
        <w:rPr>
          <w:noProof/>
        </w:rPr>
        <w:t>(IEA, 2024a; SEC.GOV, 2024; Tesla, 2025b)</w:t>
      </w:r>
      <w:r w:rsidR="005837BE" w:rsidRPr="0070699C">
        <w:fldChar w:fldCharType="end"/>
      </w:r>
      <w:r w:rsidRPr="0070699C">
        <w:t xml:space="preserve">. </w:t>
      </w:r>
    </w:p>
    <w:p w14:paraId="4C3EB08D" w14:textId="00432B3A" w:rsidR="00684963" w:rsidRPr="0070699C" w:rsidRDefault="00684963" w:rsidP="00E3431B">
      <w:pPr>
        <w:pStyle w:val="Heading2"/>
      </w:pPr>
      <w:bookmarkStart w:id="24" w:name="_Toc223992296"/>
      <w:r w:rsidRPr="0070699C">
        <w:t>Learning &amp; growth perspective</w:t>
      </w:r>
      <w:bookmarkEnd w:id="24"/>
    </w:p>
    <w:p w14:paraId="78C70565" w14:textId="77777777" w:rsidR="00B10122" w:rsidRPr="0070699C" w:rsidRDefault="00684963" w:rsidP="00B10122">
      <w:pPr>
        <w:pStyle w:val="NormalWeb"/>
      </w:pPr>
      <w:r w:rsidRPr="0070699C">
        <w:rPr>
          <w:rStyle w:val="Strong"/>
          <w:rFonts w:eastAsiaTheme="majorEastAsia"/>
        </w:rPr>
        <w:t>Objective:</w:t>
      </w:r>
      <w:r w:rsidRPr="0070699C">
        <w:t xml:space="preserve"> </w:t>
      </w:r>
      <w:r w:rsidR="00B10122" w:rsidRPr="0070699C">
        <w:t xml:space="preserve">maintain a competitive edge via talent, data/AI ability, and learning rate - in line with the Tesla software-defined approach and VRIO reasoning (capabilities &gt; assets). </w:t>
      </w:r>
    </w:p>
    <w:p w14:paraId="5EF1A081" w14:textId="2FDDFC99" w:rsidR="00191FF7" w:rsidRPr="0070699C" w:rsidRDefault="00684963" w:rsidP="00B10122">
      <w:pPr>
        <w:pStyle w:val="NormalWeb"/>
      </w:pPr>
      <w:r w:rsidRPr="0070699C">
        <w:rPr>
          <w:rStyle w:val="Strong"/>
          <w:rFonts w:eastAsiaTheme="majorEastAsia"/>
        </w:rPr>
        <w:t>KPIs:</w:t>
      </w:r>
      <w:r w:rsidRPr="0070699C">
        <w:t xml:space="preserve"> (i) </w:t>
      </w:r>
      <w:r w:rsidR="00B10122" w:rsidRPr="0070699C">
        <w:t>&amp;D intensity (R&amp;D expenditure/revenue), (ii) critical talent retention (AI, battery, manufacturing engineering), (iii) capability maturity (model/algorithm performance gates, validation coverage), (iv) training hours in safety, quality and compliance, (v) continuous-improvement throughput(closed-loop issues resolved per month</w:t>
      </w:r>
      <w:r w:rsidR="00191FF7" w:rsidRPr="0070699C">
        <w:t xml:space="preserve">). </w:t>
      </w:r>
    </w:p>
    <w:p w14:paraId="2732A458" w14:textId="55F60849" w:rsidR="00191FF7" w:rsidRPr="0070699C" w:rsidRDefault="00684963" w:rsidP="00B10122">
      <w:pPr>
        <w:pStyle w:val="NormalWeb"/>
      </w:pPr>
      <w:r w:rsidRPr="0070699C">
        <w:rPr>
          <w:rStyle w:val="Strong"/>
          <w:rFonts w:eastAsiaTheme="majorEastAsia"/>
        </w:rPr>
        <w:lastRenderedPageBreak/>
        <w:t>Targets:</w:t>
      </w:r>
      <w:r w:rsidRPr="0070699C">
        <w:t xml:space="preserve"> </w:t>
      </w:r>
      <w:r w:rsidR="00B10122" w:rsidRPr="0070699C">
        <w:t>enhance the validated software capability and safety assurance, expedite the learning processes and enhance the stability of the workforce across key technical positions</w:t>
      </w:r>
      <w:r w:rsidR="00191FF7" w:rsidRPr="0070699C">
        <w:t xml:space="preserve">. </w:t>
      </w:r>
    </w:p>
    <w:p w14:paraId="1C07FFD2" w14:textId="7015B2EF" w:rsidR="00684963" w:rsidRPr="0070699C" w:rsidRDefault="00684963" w:rsidP="00B10122">
      <w:pPr>
        <w:pStyle w:val="NormalWeb"/>
      </w:pPr>
      <w:r w:rsidRPr="0070699C">
        <w:rPr>
          <w:rStyle w:val="Strong"/>
          <w:rFonts w:eastAsiaTheme="majorEastAsia"/>
        </w:rPr>
        <w:t>Initiatives:</w:t>
      </w:r>
      <w:r w:rsidRPr="0070699C">
        <w:t xml:space="preserve"> </w:t>
      </w:r>
      <w:r w:rsidR="00B10122" w:rsidRPr="0070699C">
        <w:t xml:space="preserve">systematic trial of governance, large-scale simulation/checking, cross-functional quality and safety learning process, supplier-development supplier-development programs </w:t>
      </w:r>
      <w:r w:rsidR="00E33F2D" w:rsidRPr="0070699C">
        <w:fldChar w:fldCharType="begin" w:fldLock="1"/>
      </w:r>
      <w:r w:rsidR="00B5115C"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COMMISSION","type":"webpage"},"uris":["http://www.mendeley.com/documents/?uuid=18ccc39c-e964-49fe-8b80-236e86750459"]},{"id":"ITEM-2","itemData":{"DOI":"10.3390/systems13080680","ISBN":"2079-8954","abstract":"Digital transformation has brought unprecedented transformation and opportunities in manufacturing enterprises. Focusing on 65 listed companies in the electric vehicle sector as the research objects and drawing on the “Technology–Organization–Environment” (TOE) framework, this study selects three dimensions—technology, organization, and environment—and six antecedent conditions. Using fsQCA configurational analysis, this research explores diverse paths to improving corporate performance, identifying five pathways. Among these, digital transformation and operational efficiency consistently serve as pivotal bridging conditions across multiple configurations. Furthermore, when enterprises demonstrate strong capabilities in both the technological and organizational dimensions, other conditions tend to act as substitutes, interacting synergistically with these core strengths to enhance overall firm performance. This study organically combines the TOE framework and fsQCA, deepening the application of the TOE theory in the field of electric vehicle manufacturing enterprises. Additionally, based on the configurational paths derived from the research, it provides differentiated countermeasure suggestions for electric vehicle manufacturing enterprises, offering practical guidance for enhancing their performance in the context of digital transformation.","author":[{"dropping-particle":"","family":"Zhao","given":"Yiqi","non-dropping-particle":"","parse-names":false,"suffix":""},{"dropping-particle":"","family":"Meng","given":"Qingfeng","non-dropping-particle":"","parse-names":false,"suffix":""},{"dropping-particle":"","family":"Li","given":"Zhen","non-dropping-particle":"","parse-names":false,"suffix":""}],"container-title":"Systems","id":"ITEM-2","issue":"8","issued":{"date-parts":[["2025"]]},"page":"680","title":"Performance Enhancement Pathways for Electric Vehicle Manufacturing Companies Driven by Digital Transformation—A Configuration Analysis Based on the TOE Framework","type":"article","volume":"13"},"uris":["http://www.mendeley.com/documents/?uuid=7641f78d-0914-47aa-bdb9-12e35d1c3f36"]},{"id":"ITEM-3","itemData":{"URL":"https://www.iea.org/reports/global-ev-outlook-2024","accessed":{"date-parts":[["2026","3","7"]]},"author":[{"dropping-particle":"","family":"IEA","given":"","non-dropping-particle":"","parse-names":false,"suffix":""}],"id":"ITEM-3","issued":{"date-parts":[["2024"]]},"title":"Global EV Outlook 2024","type":"webpage"},"uris":["http://www.mendeley.com/documents/?uuid=65eff6f3-d98f-4ca8-a782-fc1d6a476f4b"]}],"mendeley":{"formattedCitation":"(IEA, 2024a; SEC.GOV, 2024; Zhao et al., 2025)","plainTextFormattedCitation":"(IEA, 2024a; SEC.GOV, 2024; Zhao et al., 2025)","previouslyFormattedCitation":"(IEA, 2024a; SEC.GOV, 2024; Zhao et al., 2025)"},"properties":{"noteIndex":0},"schema":"https://github.com/citation-style-language/schema/raw/master/csl-citation.json"}</w:instrText>
      </w:r>
      <w:r w:rsidR="00E33F2D" w:rsidRPr="0070699C">
        <w:fldChar w:fldCharType="separate"/>
      </w:r>
      <w:r w:rsidR="00E33F2D" w:rsidRPr="0070699C">
        <w:rPr>
          <w:noProof/>
        </w:rPr>
        <w:t>(IEA, 2024a; SEC.GOV, 2024; Zhao et al., 2025)</w:t>
      </w:r>
      <w:r w:rsidR="00E33F2D" w:rsidRPr="0070699C">
        <w:fldChar w:fldCharType="end"/>
      </w:r>
      <w:r w:rsidRPr="0070699C">
        <w:t xml:space="preserve">. </w:t>
      </w:r>
    </w:p>
    <w:p w14:paraId="0E8E3363" w14:textId="32C355D1" w:rsidR="00D41A9C" w:rsidRPr="0070699C" w:rsidRDefault="00D41A9C" w:rsidP="001D4160">
      <w:pPr>
        <w:pStyle w:val="Heading1"/>
        <w:rPr>
          <w:rFonts w:ascii="Times New Roman" w:hAnsi="Times New Roman"/>
          <w:sz w:val="27"/>
        </w:rPr>
      </w:pPr>
      <w:bookmarkStart w:id="25" w:name="_Toc223992297"/>
      <w:r w:rsidRPr="0070699C">
        <w:t>Strategic Choices and Implementation</w:t>
      </w:r>
      <w:bookmarkEnd w:id="25"/>
    </w:p>
    <w:p w14:paraId="4BF89098" w14:textId="7EB565AA" w:rsidR="002B3858" w:rsidRPr="0070699C" w:rsidRDefault="00D41A9C" w:rsidP="00E3431B">
      <w:pPr>
        <w:pStyle w:val="Heading2"/>
        <w:rPr>
          <w:bCs/>
        </w:rPr>
      </w:pPr>
      <w:bookmarkStart w:id="26" w:name="_Toc223992298"/>
      <w:r w:rsidRPr="0070699C">
        <w:rPr>
          <w:rStyle w:val="Strong"/>
          <w:b/>
          <w:bCs w:val="0"/>
        </w:rPr>
        <w:t>Business-level strategy (generic strategies): what Tesla is doing now</w:t>
      </w:r>
      <w:bookmarkEnd w:id="26"/>
    </w:p>
    <w:p w14:paraId="0C613455" w14:textId="42691751" w:rsidR="00191FF7" w:rsidRPr="0070699C" w:rsidRDefault="00B10122" w:rsidP="00B10122">
      <w:pPr>
        <w:pStyle w:val="NormalWeb"/>
      </w:pPr>
      <w:r w:rsidRPr="0070699C">
        <w:t xml:space="preserve">Tesla is now seeking the hybrid approach: to protect cost leadership in mass-market BEVs and maintain differentiation via software, charging convenience and brand. The cost push can be seen in frequent price reductions and cost-down models to defend volume in a decelerating, rate-sensitive market-measures that Reuters attributed to the severe squeeze in profit margins in 2024 as Tesla lowered prices to boost demand as it increased AI expenditures. This is an intentional trade-off: scale and manufacturing learning are used to ensure that vehicles remain price-competitive in the case of trade-offs with margin in the short term </w:t>
      </w:r>
      <w:r w:rsidR="00B5115C" w:rsidRPr="0070699C">
        <w:fldChar w:fldCharType="begin" w:fldLock="1"/>
      </w:r>
      <w:r w:rsidR="005B24ED" w:rsidRPr="0070699C">
        <w:instrText>ADDIN CSL_CITATION {"citationItems":[{"id":"ITEM-1","itemData":{"URL":"https://www.reuters.com/business/autos-transportation/tesla-revenue-sees-surprise-rise-second-quarter-revenue-2024-07-23/","accessed":{"date-parts":[["2026","3","7"]]},"author":[{"dropping-particle":"","family":"Reuters","given":"","non-dropping-particle":"","parse-names":false,"suffix":""}],"id":"ITEM-1","issued":{"date-parts":[["2024"]]},"title":"Tesla profit margins worst in five years as price cuts, incentives weigh","type":"webpage"},"uris":["http://www.mendeley.com/documents/?uuid=a8c1cce6-a1d6-44ba-8dac-b2c885d15113"]}],"mendeley":{"formattedCitation":"(Reuters, 2024b)","plainTextFormattedCitation":"(Reuters, 2024b)","previouslyFormattedCitation":"(Reuters, 2024b)"},"properties":{"noteIndex":0},"schema":"https://github.com/citation-style-language/schema/raw/master/csl-citation.json"}</w:instrText>
      </w:r>
      <w:r w:rsidR="00B5115C" w:rsidRPr="0070699C">
        <w:fldChar w:fldCharType="separate"/>
      </w:r>
      <w:r w:rsidR="005B24ED" w:rsidRPr="0070699C">
        <w:rPr>
          <w:noProof/>
        </w:rPr>
        <w:t>(Reuters, 2024b)</w:t>
      </w:r>
      <w:r w:rsidR="00B5115C" w:rsidRPr="0070699C">
        <w:fldChar w:fldCharType="end"/>
      </w:r>
      <w:r w:rsidR="00191FF7" w:rsidRPr="0070699C">
        <w:t xml:space="preserve">. </w:t>
      </w:r>
    </w:p>
    <w:p w14:paraId="005626A0" w14:textId="37F4EA06" w:rsidR="00D41A9C" w:rsidRPr="0070699C" w:rsidRDefault="00B10122" w:rsidP="00D41A9C">
      <w:pPr>
        <w:pStyle w:val="NormalWeb"/>
      </w:pPr>
      <w:r w:rsidRPr="0070699C">
        <w:t xml:space="preserve">Simultaneously, the differentiation of Tesla is through software-defined features (Android updates, ADAS / FSD optional) and an ecosystem that offers less resistance to ownership compared to competitors-an advantage becoming more and more valuable as competition has removed first-mover protection. Practically, the hybrid stance is expected to succeed on total customer value (price + experience), yet it raises the risk of execution: in case competitors keep pace on features and charging access when Tesla margins are kept low, the hybrid position becomes more difficult to maintain </w:t>
      </w:r>
      <w:r w:rsidR="00B5115C" w:rsidRPr="0070699C">
        <w:fldChar w:fldCharType="begin" w:fldLock="1"/>
      </w:r>
      <w:r w:rsidR="005B24ED" w:rsidRPr="0070699C">
        <w:instrText>ADDIN CSL_CITATION {"citationItems":[{"id":"ITEM-1","itemData":{"URL":"https://www.reuters.com/business/autos-transportation/tesla-revenue-sees-surprise-rise-second-quarter-revenue-2024-07-23/","accessed":{"date-parts":[["2026","3","7"]]},"author":[{"dropping-particle":"","family":"Reuters","given":"","non-dropping-particle":"","parse-names":false,"suffix":""}],"id":"ITEM-1","issued":{"date-parts":[["2024"]]},"title":"Tesla profit margins worst in five years as price cuts, incentives weigh","type":"webpage"},"uris":["http://www.mendeley.com/documents/?uuid=a8c1cce6-a1d6-44ba-8dac-b2c885d15113"]},{"id":"ITEM-2","itemData":{"URL":"https://www.reuters.com/business/autos-transportation/growth-cost-teslas-cheaper-evs-might-revive-sales-squeeze-profit-2025-10-21/","accessed":{"date-parts":[["2026","3","7"]]},"author":[{"dropping-particle":"","family":"Reuters","given":"","non-dropping-particle":"","parse-names":false,"suffix":""}],"id":"ITEM-2","issued":{"date-parts":[["2025"]]},"title":"Tesla's cheaper EVs might revive sales but squeeze profit","type":"webpage"},"uris":["http://www.mendeley.com/documents/?uuid=802826af-25d3-4cf3-af57-d496601c31bd"]}],"mendeley":{"formattedCitation":"(Reuters, 2024b, 2025b)","plainTextFormattedCitation":"(Reuters, 2024b, 2025b)","previouslyFormattedCitation":"(Reuters, 2024b, 2025b)"},"properties":{"noteIndex":0},"schema":"https://github.com/citation-style-language/schema/raw/master/csl-citation.json"}</w:instrText>
      </w:r>
      <w:r w:rsidR="00B5115C" w:rsidRPr="0070699C">
        <w:fldChar w:fldCharType="separate"/>
      </w:r>
      <w:r w:rsidR="005B24ED" w:rsidRPr="0070699C">
        <w:rPr>
          <w:noProof/>
        </w:rPr>
        <w:t>(Reuters, 2024b, 2025b)</w:t>
      </w:r>
      <w:r w:rsidR="00B5115C" w:rsidRPr="0070699C">
        <w:fldChar w:fldCharType="end"/>
      </w:r>
      <w:r w:rsidR="00D41A9C" w:rsidRPr="0070699C">
        <w:t>.</w:t>
      </w:r>
    </w:p>
    <w:p w14:paraId="23211B1B" w14:textId="4D76C76F" w:rsidR="002B3858" w:rsidRPr="0070699C" w:rsidRDefault="00D41A9C" w:rsidP="00E3431B">
      <w:pPr>
        <w:pStyle w:val="Heading2"/>
        <w:rPr>
          <w:bCs/>
        </w:rPr>
      </w:pPr>
      <w:bookmarkStart w:id="27" w:name="_Toc223992299"/>
      <w:r w:rsidRPr="0070699C">
        <w:rPr>
          <w:rStyle w:val="Strong"/>
          <w:b/>
          <w:bCs w:val="0"/>
        </w:rPr>
        <w:t>Corporate-level strategy choices</w:t>
      </w:r>
      <w:bookmarkEnd w:id="27"/>
    </w:p>
    <w:p w14:paraId="6A06BA39" w14:textId="36566283" w:rsidR="00191FF7" w:rsidRPr="0070699C" w:rsidRDefault="00B10122" w:rsidP="00B10122">
      <w:pPr>
        <w:pStyle w:val="NormalWeb"/>
      </w:pPr>
      <w:r w:rsidRPr="0070699C">
        <w:t xml:space="preserve">Tesla has a corporate philosophy that consists of vertical integration + global capacity + energy ecosystem expansion. Its SEC reports highlight integrated auto and energy segments, and further investment in production, supply chain and technology development. Vertical integration (battery/pack, power electronics, software) can be used to control costs and speed, but also it is focused on operational risk when demand changes </w:t>
      </w:r>
      <w:r w:rsidR="00B5115C" w:rsidRPr="0070699C">
        <w:fldChar w:fldCharType="begin" w:fldLock="1"/>
      </w:r>
      <w:r w:rsidR="00854C5E"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COMMISSION","type":"webpage"},"uris":["http://www.mendeley.com/documents/?uuid=18ccc39c-e964-49fe-8b80-236e86750459"]}],"mendeley":{"formattedCitation":"(SEC.GOV, 2024)","plainTextFormattedCitation":"(SEC.GOV, 2024)","previouslyFormattedCitation":"(SEC.GOV, 2024)"},"properties":{"noteIndex":0},"schema":"https://github.com/citation-style-language/schema/raw/master/csl-citation.json"}</w:instrText>
      </w:r>
      <w:r w:rsidR="00B5115C" w:rsidRPr="0070699C">
        <w:fldChar w:fldCharType="separate"/>
      </w:r>
      <w:r w:rsidR="00B5115C" w:rsidRPr="0070699C">
        <w:rPr>
          <w:noProof/>
        </w:rPr>
        <w:t>(SEC.GOV, 2024)</w:t>
      </w:r>
      <w:r w:rsidR="00B5115C" w:rsidRPr="0070699C">
        <w:fldChar w:fldCharType="end"/>
      </w:r>
      <w:r w:rsidR="00191FF7" w:rsidRPr="0070699C">
        <w:t>.</w:t>
      </w:r>
    </w:p>
    <w:p w14:paraId="0E1F9B6B" w14:textId="180FC9F7" w:rsidR="00191FF7" w:rsidRPr="0070699C" w:rsidRDefault="00B10122" w:rsidP="00D41A9C">
      <w:pPr>
        <w:pStyle w:val="NormalWeb"/>
      </w:pPr>
      <w:r w:rsidRPr="0070699C">
        <w:t xml:space="preserve">One of the industry/partnership-influencing actions is that of Tesla in the changeover to the North American Charging Standard (NACS). Tesla is expanding the Supercharger network to additional manufacturers and allowing access to adapters as OEMs switch to NACS ports-eliminating charging as an ecosystem play and becoming a platform power player </w:t>
      </w:r>
      <w:r w:rsidR="00854C5E" w:rsidRPr="0070699C">
        <w:fldChar w:fldCharType="begin" w:fldLock="1"/>
      </w:r>
      <w:r w:rsidR="00854C5E" w:rsidRPr="0070699C">
        <w:instrText>ADDIN CSL_CITATION {"citationItems":[{"id":"ITEM-1","itemData":{"URL":"https://www.tesla.com/NACS","accessed":{"date-parts":[["2026","3","7"]]},"author":[{"dropping-particle":"","family":"Tesla","given":"","non-dropping-particle":"","parse-names":false,"suffix":""}],"id":"ITEM-1","issued":{"date-parts":[["2025"]]},"title":"Charging For All","type":"webpage"},"uris":["http://www.mendeley.com/documents/?uuid=5be8cd14-5d3d-4fef-84bc-765d39e590e1"]},{"id":"ITEM-2","itemData":{"URL":"https://www.theverge.com/news/711472/honda-acura-ev-tesla-supercharger-access-adapter","accessed":{"date-parts":[["2025","3","7"]]},"author":[{"dropping-particle":"","family":"Roth","given":"Emma","non-dropping-particle":"","parse-names":false,"suffix":""}],"id":"ITEM-2","issued":{"date-parts":[["2025"]]},"title":"Honda and Acura EV owners can now use Tesla Superchargers","type":"webpage"},"uris":["http://www.mendeley.com/documents/?uuid=b3694744-e9d4-4135-8b07-1ca550a5832c"]}],"mendeley":{"formattedCitation":"(Roth, 2025; Tesla, 2025a)","plainTextFormattedCitation":"(Roth, 2025; Tesla, 2025a)","previouslyFormattedCitation":"(Roth, 2025; Tesla, 2025a)"},"properties":{"noteIndex":0},"schema":"https://github.com/citation-style-language/schema/raw/master/csl-citation.json"}</w:instrText>
      </w:r>
      <w:r w:rsidR="00854C5E" w:rsidRPr="0070699C">
        <w:fldChar w:fldCharType="separate"/>
      </w:r>
      <w:r w:rsidR="00854C5E" w:rsidRPr="0070699C">
        <w:rPr>
          <w:noProof/>
        </w:rPr>
        <w:t>(Roth, 2025; Tesla, 2025a)</w:t>
      </w:r>
      <w:r w:rsidR="00854C5E" w:rsidRPr="0070699C">
        <w:fldChar w:fldCharType="end"/>
      </w:r>
      <w:r w:rsidR="00191FF7" w:rsidRPr="0070699C">
        <w:t xml:space="preserve">. </w:t>
      </w:r>
    </w:p>
    <w:p w14:paraId="04146A72" w14:textId="0C42B2A9" w:rsidR="00D41A9C" w:rsidRPr="0070699C" w:rsidRDefault="00B10122" w:rsidP="00D41A9C">
      <w:pPr>
        <w:pStyle w:val="NormalWeb"/>
      </w:pPr>
      <w:r w:rsidRPr="0070699C">
        <w:t xml:space="preserve">Tesla is also expanding Energy Generation and Storage (Megapack/Powerwall + solar) portfolio-wise. Reporting of investors and industry coverage show that storage is turning into an increasingly better profit contributor with high margins as compared to autos-favored a mobility + grid ecosystem logic. The trade-off is capital investment: energy expansion can level profitability, but Tesla needs to invest in next-generation platforms of vehicles and artificial intelligence/software </w:t>
      </w:r>
      <w:r w:rsidR="00854C5E" w:rsidRPr="0070699C">
        <w:fldChar w:fldCharType="begin" w:fldLock="1"/>
      </w:r>
      <w:r w:rsidR="00854C5E" w:rsidRPr="0070699C">
        <w:instrText>ADDIN CSL_CITATION {"citationItems":[{"id":"ITEM-1","itemData":{"URL":"https://techcrunch.com/2026/01/29/teslas-energy-storage-business-is-growing-faster-than-any-other-part-of-the-company/","accessed":{"date-parts":[["2026","3","7"]]},"author":[{"dropping-particle":"","family":"Crunch","given":"Tech","non-dropping-particle":"","parse-names":false,"suffix":""}],"id":"ITEM-1","issued":{"date-parts":[["2026"]]},"title":"Tesla’s energy storage business is growing faster than any other part of the company","type":"webpage"},"uris":["http://www.mendeley.com/documents/?uuid=062704b1-40f8-4b00-a474-d47f8f22d6d8"]},{"id":"ITEM-2","itemData":{"URL":"https://ir.tesla.com/press-release/tesla-fourth-quarter-2024-production-deliveries-and-deployments","accessed":{"date-parts":[["2025","8","13"]]},"author":[{"dropping-particle":"","family":"ir.tesla","given":"","non-dropping-particle":"","parse-names":false,"suffix":""}],"id":"ITEM-2","issued":{"date-parts":[["2025"]]},"title":"Tesla Fourth Quarter 2024 Production, Deliveries &amp; Deployments","type":"webpage"},"uris":["http://www.mendeley.com/documents/?uuid=049114d2-8b90-41b4-8469-e64b8f5c1baa"]}],"mendeley":{"formattedCitation":"(Crunch, 2026; ir.tesla, 2025)","plainTextFormattedCitation":"(Crunch, 2026; ir.tesla, 2025)","previouslyFormattedCitation":"(Crunch, 2026; ir.tesla, 2025)"},"properties":{"noteIndex":0},"schema":"https://github.com/citation-style-language/schema/raw/master/csl-citation.json"}</w:instrText>
      </w:r>
      <w:r w:rsidR="00854C5E" w:rsidRPr="0070699C">
        <w:fldChar w:fldCharType="separate"/>
      </w:r>
      <w:r w:rsidR="00854C5E" w:rsidRPr="0070699C">
        <w:rPr>
          <w:noProof/>
        </w:rPr>
        <w:t>(Crunch, 2026; ir.tesla, 2025)</w:t>
      </w:r>
      <w:r w:rsidR="00854C5E" w:rsidRPr="0070699C">
        <w:fldChar w:fldCharType="end"/>
      </w:r>
      <w:r w:rsidR="00D41A9C" w:rsidRPr="0070699C">
        <w:t>.</w:t>
      </w:r>
    </w:p>
    <w:p w14:paraId="35533505" w14:textId="09B9E229" w:rsidR="00E3431B" w:rsidRPr="0070699C" w:rsidRDefault="00D41A9C" w:rsidP="00E3431B">
      <w:pPr>
        <w:pStyle w:val="Heading2"/>
        <w:rPr>
          <w:bCs/>
        </w:rPr>
      </w:pPr>
      <w:bookmarkStart w:id="28" w:name="_Toc223992300"/>
      <w:r w:rsidRPr="0070699C">
        <w:rPr>
          <w:rStyle w:val="Strong"/>
          <w:b/>
          <w:bCs w:val="0"/>
        </w:rPr>
        <w:lastRenderedPageBreak/>
        <w:t>Recommendation: what Tesla should prioritise next</w:t>
      </w:r>
      <w:bookmarkEnd w:id="28"/>
    </w:p>
    <w:p w14:paraId="1E44523D" w14:textId="6D901356" w:rsidR="00D41A9C" w:rsidRPr="0070699C" w:rsidRDefault="00B10122" w:rsidP="00B10122">
      <w:pPr>
        <w:pStyle w:val="NormalWeb"/>
      </w:pPr>
      <w:r w:rsidRPr="0070699C">
        <w:t xml:space="preserve">Tesla needs to focus more on (1) a truly cheaper next-generation car platform (to capture the mass market without foregoing permanent margin) and (2) faster scaling of grid storage as a stabiliser of profits. The strategic need to have a cost-disruptive platform in a price-war environment is proven by Reuters coverage about the organized cheaper models and next-gen production schedules. This is to be accompanied by (3) improved safety/compliance governance of ADAS releases, as trust and control are becoming of greater importance in the monetisation and pace of roll-out </w:t>
      </w:r>
      <w:r w:rsidR="00854C5E" w:rsidRPr="0070699C">
        <w:fldChar w:fldCharType="begin" w:fldLock="1"/>
      </w:r>
      <w:r w:rsidR="005B24ED" w:rsidRPr="0070699C">
        <w:instrText>ADDIN CSL_CITATION {"citationItems":[{"id":"ITEM-1","itemData":{"URL":"https://www.reuters.com/business/autos-transportation/teslas-fourth-quarter-profit-margin-misses-estimates-2025-01-29","accessed":{"date-parts":[["2026","3","7"]]},"author":[{"dropping-particle":"","family":"Reuters","given":"","non-dropping-particle":"","parse-names":false,"suffix":""}],"id":"ITEM-1","issued":{"date-parts":[["2025"]]},"title":"Tesla commits to cheaper cars in first half, sees autonomous vehicles 'in the wild' in June","type":"webpage"},"uris":["http://www.mendeley.com/documents/?uuid=864f0881-1fd9-4109-a529-97a868a0a3d1"]},{"id":"ITEM-2","itemData":{"URL":"https://www.reuters.com/business/autos-transportation/tesla-plans-build-new-electric-vehicles-mid-2025-sources-2024-01-24","accessed":{"date-parts":[["2026","3","7"]]},"author":[{"dropping-particle":"","family":"Reuters","given":"","non-dropping-particle":"","parse-names":false,"suffix":""}],"id":"ITEM-2","issued":{"date-parts":[["2024"]]},"title":"Exclusive: Tesla plans to build new electric vehicles in mid-2025","type":"webpage"},"uris":["http://www.mendeley.com/documents/?uuid=46711612-30ce-4953-8622-f9101560dcb5"]}],"mendeley":{"formattedCitation":"(Reuters, 2024a, 2025c)","plainTextFormattedCitation":"(Reuters, 2024a, 2025c)","previouslyFormattedCitation":"(Reuters, 2024a, 2025c)"},"properties":{"noteIndex":0},"schema":"https://github.com/citation-style-language/schema/raw/master/csl-citation.json"}</w:instrText>
      </w:r>
      <w:r w:rsidR="00854C5E" w:rsidRPr="0070699C">
        <w:fldChar w:fldCharType="separate"/>
      </w:r>
      <w:r w:rsidR="005B24ED" w:rsidRPr="0070699C">
        <w:rPr>
          <w:noProof/>
        </w:rPr>
        <w:t>(Reuters, 2024a, 2025c)</w:t>
      </w:r>
      <w:r w:rsidR="00854C5E" w:rsidRPr="0070699C">
        <w:fldChar w:fldCharType="end"/>
      </w:r>
      <w:r w:rsidR="00D41A9C" w:rsidRPr="0070699C">
        <w:t>.</w:t>
      </w:r>
    </w:p>
    <w:p w14:paraId="4E275145" w14:textId="471756CF" w:rsidR="00E3431B" w:rsidRPr="0070699C" w:rsidRDefault="00D41A9C" w:rsidP="00E3431B">
      <w:pPr>
        <w:pStyle w:val="Heading2"/>
        <w:rPr>
          <w:rStyle w:val="Strong"/>
          <w:b/>
          <w:bCs w:val="0"/>
        </w:rPr>
      </w:pPr>
      <w:bookmarkStart w:id="29" w:name="_Toc223992301"/>
      <w:r w:rsidRPr="0070699C">
        <w:rPr>
          <w:rStyle w:val="Strong"/>
          <w:b/>
          <w:bCs w:val="0"/>
        </w:rPr>
        <w:t>Change management critique</w:t>
      </w:r>
      <w:bookmarkEnd w:id="29"/>
    </w:p>
    <w:p w14:paraId="3E13A033" w14:textId="65BF9F13" w:rsidR="00D41A9C" w:rsidRPr="0070699C" w:rsidRDefault="00B10122" w:rsidP="00B10122">
      <w:pPr>
        <w:pStyle w:val="NormalWeb"/>
      </w:pPr>
      <w:r w:rsidRPr="0070699C">
        <w:t xml:space="preserve">Tesla implements change very fast (rapid iteration, centralised decision-making), which favours innovation, scale-up, but may make the process, quality, and stakeholder trust unstable in case the governance falls behind the products. The data on the Tesla innovation culture point to the encouraged experimentation and flatteness, but this practice requires more formal controls since regulation and safety oversight are increasing </w:t>
      </w:r>
      <w:r w:rsidR="005B24ED" w:rsidRPr="0070699C">
        <w:fldChar w:fldCharType="begin" w:fldLock="1"/>
      </w:r>
      <w:r w:rsidR="005B24ED" w:rsidRPr="0070699C">
        <w:instrText>ADDIN CSL_CITATION {"citationItems":[{"id":"ITEM-1","itemData":{"URL":"https://rbr.business.rutgers.edu/sites/default/files/documents/rbr-090103.pdf","accessed":{"date-parts":[["2026","3","7"]]},"author":[{"dropping-particle":"","family":"RBR Business","given":"","non-dropping-particle":"","parse-names":false,"suffix":""}],"id":"ITEM-1","issued":{"date-parts":[["2024"]]},"title":"Tesla's Approach to Innovation Culture","type":"webpage"},"uris":["http://www.mendeley.com/documents/?uuid=ae16b648-3ee1-4db7-81e4-92236e56f4b0"]},{"id":"ITEM-2","itemData":{"DOI":"10.3390/wevj16020090","ISSN":"2032-6653","abstract":"This article examines the rise and recent decline of Tesla in the U.S. electric vehicle market. Using qualitative, semi-quantitative, and statistical methods, the article traces how Tesla acquired a first-mover advantage and how second movers, both established automakers and start-ups, responded to Tesla’s rise. The recent decline in Tesla’s share of the U.S. electric vehicle market is linked to several factors: the proliferation of electric vehicle offerings from competitors, changes in public policy, and controversial decisions by Tesla and its CEO. The article concludes with a discussion of promising future strategies for both Tesla and its competitors.","author":[{"dropping-particle":"","family":"Liu","given":"Chang (Charo)","non-dropping-particle":"","parse-names":false,"suffix":""},{"dropping-particle":"","family":"Boothman","given":"Stella G","non-dropping-particle":"","parse-names":false,"suffix":""},{"dropping-particle":"","family":"Graham","given":"John D","non-dropping-particle":"","parse-names":false,"suffix":""}],"container-title":"World Electric Vehicle Journal","id":"ITEM-2","issue":"2","issued":{"date-parts":[["2025"]]},"title":"The Rise and Recent Decline of Tesla’s Share of the U.S. Electric Vehicle Market","type":"article-journal","volume":"16"},"uris":["http://www.mendeley.com/documents/?uuid=efbc6ace-521a-4d3c-8ea9-a58a1817d332"]}],"mendeley":{"formattedCitation":"(C. (Charo) Liu et al., 2025; RBR Business, 2024)","plainTextFormattedCitation":"(C. (Charo) Liu et al., 2025; RBR Business, 2024)","previouslyFormattedCitation":"(C. (Charo) Liu et al., 2025; RBR Business, 2024)"},"properties":{"noteIndex":0},"schema":"https://github.com/citation-style-language/schema/raw/master/csl-citation.json"}</w:instrText>
      </w:r>
      <w:r w:rsidR="005B24ED" w:rsidRPr="0070699C">
        <w:fldChar w:fldCharType="separate"/>
      </w:r>
      <w:r w:rsidR="005B24ED" w:rsidRPr="0070699C">
        <w:rPr>
          <w:noProof/>
        </w:rPr>
        <w:t>(C. (Charo) Liu et al., 2025; RBR Business, 2024)</w:t>
      </w:r>
      <w:r w:rsidR="005B24ED" w:rsidRPr="0070699C">
        <w:fldChar w:fldCharType="end"/>
      </w:r>
      <w:r w:rsidR="00D41A9C" w:rsidRPr="0070699C">
        <w:t xml:space="preserve">. </w:t>
      </w:r>
    </w:p>
    <w:p w14:paraId="5F8679F4" w14:textId="710C415C" w:rsidR="00D41A9C" w:rsidRPr="0070699C" w:rsidRDefault="00D41A9C" w:rsidP="00E3431B">
      <w:pPr>
        <w:pStyle w:val="Heading1"/>
        <w:rPr>
          <w:rFonts w:ascii="Times New Roman" w:hAnsi="Times New Roman"/>
          <w:sz w:val="24"/>
        </w:rPr>
      </w:pPr>
      <w:bookmarkStart w:id="30" w:name="_Toc223992302"/>
      <w:r w:rsidRPr="0070699C">
        <w:rPr>
          <w:rStyle w:val="Strong"/>
          <w:b/>
          <w:bCs/>
        </w:rPr>
        <w:t>Strategic Evaluation and Recommendations</w:t>
      </w:r>
      <w:bookmarkEnd w:id="30"/>
    </w:p>
    <w:p w14:paraId="45016B05" w14:textId="34DCF4FC" w:rsidR="00D41A9C" w:rsidRPr="0070699C" w:rsidRDefault="00D41A9C" w:rsidP="00E3431B">
      <w:pPr>
        <w:pStyle w:val="Heading2"/>
      </w:pPr>
      <w:bookmarkStart w:id="31" w:name="_Toc223992303"/>
      <w:r w:rsidRPr="0070699C">
        <w:t>Evidence-led SWOT of Tesla’s current strategy</w:t>
      </w:r>
      <w:bookmarkEnd w:id="31"/>
    </w:p>
    <w:p w14:paraId="36A5DC99" w14:textId="4FA0B477" w:rsidR="005B24ED" w:rsidRPr="0070699C" w:rsidRDefault="00191FF7" w:rsidP="00B10122">
      <w:pPr>
        <w:pStyle w:val="NormalWeb"/>
      </w:pPr>
      <w:r w:rsidRPr="0070699C">
        <w:rPr>
          <w:rStyle w:val="Strong"/>
          <w:rFonts w:eastAsiaTheme="majorEastAsia"/>
        </w:rPr>
        <w:t>Strengths:</w:t>
      </w:r>
      <w:r w:rsidR="00D41A9C" w:rsidRPr="0070699C">
        <w:t xml:space="preserve"> </w:t>
      </w:r>
      <w:r w:rsidR="00B10122" w:rsidRPr="0070699C">
        <w:t xml:space="preserve">The strongest strategic capabilities of Tesla can be discussed as (i) mass production and economies of scale, (ii) extensive charging network (Supercharger/NACS), and (iii) vehicle capabilities based on software definition (OTA updates, data-driven iteration). These are recurrently listed in Tesla 2024 Form 10-K as core competitive leverages in automotive, services and energy. Another strength is the energy business: Tesla says that there is material growth potential in Energy Generation and Storage and a profit will increase with time as more deployments are made </w:t>
      </w:r>
      <w:r w:rsidR="005B24ED" w:rsidRPr="0070699C">
        <w:fldChar w:fldCharType="begin" w:fldLock="1"/>
      </w:r>
      <w:r w:rsidR="005B24ED"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URL":"https://ir.tesla.com/_flysystem/s3/sec/000162828025045968/tsla-20250930-gen.pdf","accessed":{"date-parts":[["2025","12","18"]]},"author":[{"dropping-particle":"","family":"Tesla","given":"","non-dropping-particle":"","parse-names":false,"suffix":""}],"id":"ITEM-2","issued":{"date-parts":[["2025"]]},"title":"UNITED STATES SECURITIES AND EXCHANGE COMMISSION Washington, D.C. 20549 FORM 10-Q","type":"webpage"},"uris":["http://www.mendeley.com/documents/?uuid=0fe1847c-0acc-47c6-97da-e0da6d48f146"]}],"mendeley":{"formattedCitation":"(SEC.GOV, 2024; Tesla, 2025c)","plainTextFormattedCitation":"(SEC.GOV, 2024; Tesla, 2025c)","previouslyFormattedCitation":"(SEC.GOV, 2024; Tesla, 2025c)"},"properties":{"noteIndex":0},"schema":"https://github.com/citation-style-language/schema/raw/master/csl-citation.json"}</w:instrText>
      </w:r>
      <w:r w:rsidR="005B24ED" w:rsidRPr="0070699C">
        <w:fldChar w:fldCharType="separate"/>
      </w:r>
      <w:r w:rsidR="005B24ED" w:rsidRPr="0070699C">
        <w:rPr>
          <w:noProof/>
        </w:rPr>
        <w:t>(SEC.GOV, 2024; Tesla, 2025c)</w:t>
      </w:r>
      <w:r w:rsidR="005B24ED" w:rsidRPr="0070699C">
        <w:fldChar w:fldCharType="end"/>
      </w:r>
      <w:r w:rsidR="00D41A9C" w:rsidRPr="0070699C">
        <w:t xml:space="preserve">. </w:t>
      </w:r>
    </w:p>
    <w:p w14:paraId="48DB6FB5" w14:textId="64F20305" w:rsidR="005B24ED" w:rsidRPr="0070699C" w:rsidRDefault="00191FF7" w:rsidP="00B10122">
      <w:pPr>
        <w:pStyle w:val="NormalWeb"/>
      </w:pPr>
      <w:r w:rsidRPr="0070699C">
        <w:rPr>
          <w:rStyle w:val="Strong"/>
          <w:rFonts w:eastAsiaTheme="majorEastAsia"/>
        </w:rPr>
        <w:t>Weaknesses:</w:t>
      </w:r>
      <w:r w:rsidR="00D41A9C" w:rsidRPr="0070699C">
        <w:t xml:space="preserve"> </w:t>
      </w:r>
      <w:r w:rsidR="00B10122" w:rsidRPr="0070699C">
        <w:t xml:space="preserve">The hybrid "volume + innovation" stance adds more vulnerability to margin: the price-led competition will cut the profitability more quickly than the software/brand differentiation will be able to counter it, and the regulatory scrutiny surrounding the advanced driver-assistance will allow feature rollout and perception to be limited </w:t>
      </w:r>
      <w:r w:rsidR="005B24ED" w:rsidRPr="0070699C">
        <w:fldChar w:fldCharType="begin" w:fldLock="1"/>
      </w:r>
      <w:r w:rsidR="0095552E" w:rsidRPr="0070699C">
        <w:instrText>ADDIN CSL_CITATION {"citationItems":[{"id":"ITEM-1","itemData":{"URL":"https://www.reuters.com/business/autos-transportation/nhtsa-opens-probe-into-24-mln-tesla-vehicles-over-full-self-driving-collisions-2024-10-18/","accessed":{"date-parts":[["2026","3","7"]]},"author":[{"dropping-particle":"","family":"Shepardson","given":"David","non-dropping-particle":"","parse-names":false,"suffix":""}],"id":"ITEM-1","issued":{"date-parts":[["2024"]]},"title":"US probes Tesla's Full Self-Driving software in 2.4 mln cars after fatal crash","type":"webpage"},"uris":["http://www.mendeley.com/documents/?uuid=67a323e6-8d57-49b5-96f5-d7948cc0db27"]},{"id":"ITEM-2","itemData":{"URL":"https://www.sec.gov/Archives/edgar/data/1318605/000162828025003063/tsla-20241231.htm","accessed":{"date-parts":[["2025","12","18"]]},"author":[{"dropping-particle":"","family":"SEC.GOV","given":"","non-dropping-particle":"","parse-names":false,"suffix":""}],"id":"ITEM-2","issued":{"date-parts":[["2024"]]},"title":"UNITED STATES SECURITIES AND EXCHANGE COMMISSION","type":"webpage"},"uris":["http://www.mendeley.com/documents/?uuid=18ccc39c-e964-49fe-8b80-236e86750459"]}],"mendeley":{"formattedCitation":"(SEC.GOV, 2024; Shepardson, 2024)","plainTextFormattedCitation":"(SEC.GOV, 2024; Shepardson, 2024)","previouslyFormattedCitation":"(SEC.GOV, 2024; Shepardson, 2024)"},"properties":{"noteIndex":0},"schema":"https://github.com/citation-style-language/schema/raw/master/csl-citation.json"}</w:instrText>
      </w:r>
      <w:r w:rsidR="005B24ED" w:rsidRPr="0070699C">
        <w:fldChar w:fldCharType="separate"/>
      </w:r>
      <w:r w:rsidR="005B24ED" w:rsidRPr="0070699C">
        <w:rPr>
          <w:noProof/>
        </w:rPr>
        <w:t>(SEC.GOV, 2024; Shepardson, 2024)</w:t>
      </w:r>
      <w:r w:rsidR="005B24ED" w:rsidRPr="0070699C">
        <w:fldChar w:fldCharType="end"/>
      </w:r>
      <w:r w:rsidR="00D41A9C" w:rsidRPr="0070699C">
        <w:t xml:space="preserve">. </w:t>
      </w:r>
    </w:p>
    <w:p w14:paraId="5CCF866A" w14:textId="462A62EF" w:rsidR="005B24ED" w:rsidRPr="0070699C" w:rsidRDefault="00191FF7" w:rsidP="00A339D8">
      <w:pPr>
        <w:pStyle w:val="NormalWeb"/>
      </w:pPr>
      <w:r w:rsidRPr="0070699C">
        <w:rPr>
          <w:rStyle w:val="Strong"/>
          <w:rFonts w:eastAsiaTheme="majorEastAsia"/>
        </w:rPr>
        <w:t>Opportunities:</w:t>
      </w:r>
      <w:r w:rsidR="00D41A9C" w:rsidRPr="0070699C">
        <w:t xml:space="preserve"> </w:t>
      </w:r>
      <w:r w:rsidR="00A339D8" w:rsidRPr="0070699C">
        <w:t xml:space="preserve">EV usage continues to grow at scale across the world (sales of electric car units &gt;17m in 2024; &gt; 20% market share), and thus the market has a chance to grow further--particularly where cost is lowered. Electrification and flexibility demands (and by proxy, commodity dynamics like lithium cycles) also structurally favor grid storage growth </w:t>
      </w:r>
      <w:r w:rsidR="0095552E" w:rsidRPr="0070699C">
        <w:fldChar w:fldCharType="begin" w:fldLock="1"/>
      </w:r>
      <w:r w:rsidR="00514732" w:rsidRPr="0070699C">
        <w:instrText>ADDIN CSL_CITATION {"citationItems":[{"id":"ITEM-1","itemData":{"URL":"https://www.iea.org/reports/global-ev-outlook-2025/executive-summary","accessed":{"date-parts":[["2026","3","7"]]},"author":[{"dropping-particle":"","family":"IEA","given":"","non-dropping-particle":"","parse-names":false,"suffix":""}],"id":"ITEM-1","issued":{"date-parts":[["2025"]]},"title":"Electric car sales continue to break records globally, particularly in China and other emerging economies","type":"webpage"},"uris":["http://www.mendeley.com/documents/?uuid=6628ef97-7d3e-4ede-a8b5-bb1714b884b8"]},{"id":"ITEM-2","itemData":{"URL":"https://www.iea.org/reports/global-ev-outlook-2025/trends-in-electric-car-affordability","accessed":{"date-parts":[["2026","3","7"]]},"author":[{"dropping-particle":"","family":"IEA","given":"","non-dropping-particle":"","parse-names":false,"suffix":""}],"id":"ITEM-2","issued":{"date-parts":[["2025"]]},"title":"Falling battery pack prices and intensifying competition underpin progress in electric car affordability","type":"webpage"},"uris":["http://www.mendeley.com/documents/?uuid=c3e826a0-c72a-4ed5-928b-9c82fb4e9402"]},{"id":"ITEM-3","itemData":{"URL":"https://www.reuters.com/world/asia-pacific/china-lithium-prices-tumble-weak-ev-sales-middle-east-war-cloud-demand-outlook-2026-03-03/","accessed":{"date-parts":[["2026","3","7"]]},"author":[{"dropping-particle":"","family":"Reuters","given":"","non-dropping-particle":"","parse-names":false,"suffix":""}],"id":"ITEM-3","issued":{"date-parts":[["2026"]]},"title":"China lithium prices tumble as weak EV sales, Middle East war cloud demand outlook","type":"webpage"},"uris":["http://www.mendeley.com/documents/?uuid=9a1d5289-f7da-490b-aa24-d539affb0388"]}],"mendeley":{"formattedCitation":"(IEA, 2025a, 2025c; Reuters, 2026)","plainTextFormattedCitation":"(IEA, 2025a, 2025c; Reuters, 2026)","previouslyFormattedCitation":"(IEA, 2025a, 2025c; Reuters, 2026)"},"properties":{"noteIndex":0},"schema":"https://github.com/citation-style-language/schema/raw/master/csl-citation.json"}</w:instrText>
      </w:r>
      <w:r w:rsidR="0095552E" w:rsidRPr="0070699C">
        <w:fldChar w:fldCharType="separate"/>
      </w:r>
      <w:r w:rsidR="00514732" w:rsidRPr="0070699C">
        <w:rPr>
          <w:noProof/>
        </w:rPr>
        <w:t>(IEA, 2025a, 2025c; Reuters, 2026)</w:t>
      </w:r>
      <w:r w:rsidR="0095552E" w:rsidRPr="0070699C">
        <w:fldChar w:fldCharType="end"/>
      </w:r>
      <w:r w:rsidR="00D41A9C" w:rsidRPr="0070699C">
        <w:t xml:space="preserve">. </w:t>
      </w:r>
    </w:p>
    <w:p w14:paraId="62736F70" w14:textId="75BE3261" w:rsidR="00D41A9C" w:rsidRPr="0070699C" w:rsidRDefault="00191FF7" w:rsidP="00A339D8">
      <w:pPr>
        <w:pStyle w:val="NormalWeb"/>
      </w:pPr>
      <w:r w:rsidRPr="0070699C">
        <w:rPr>
          <w:rStyle w:val="Strong"/>
          <w:rFonts w:eastAsiaTheme="majorEastAsia"/>
        </w:rPr>
        <w:t>Threats:</w:t>
      </w:r>
      <w:r w:rsidR="00D41A9C" w:rsidRPr="0070699C">
        <w:t xml:space="preserve"> </w:t>
      </w:r>
      <w:r w:rsidR="00A339D8" w:rsidRPr="0070699C">
        <w:t xml:space="preserve">There is a growing cost, uncertainty and reputational risk through intensifying rivalry, price pressure (including China), trade fragmentation (EU definitive countervailing duties on Chinese BEVs), and an increase in autonomy/safety regulation/investigations </w:t>
      </w:r>
      <w:r w:rsidR="005D129A" w:rsidRPr="0070699C">
        <w:fldChar w:fldCharType="begin" w:fldLock="1"/>
      </w:r>
      <w:r w:rsidR="00514732" w:rsidRPr="0070699C">
        <w:instrText>ADDIN CSL_CITATION {"citationItems":[{"id":"ITEM-1","itemData":{"URL":"https://www.iea.org/reports/global-ev-outlook-2025/trends-in-electric-car-markets-2","accessed":{"date-parts":[["2025","5","8"]]},"author":[{"dropping-particle":"","family":"IEA","given":"","non-dropping-particle":"","parse-names":false,"suffix":""}],"id":"ITEM-1","issued":{"date-parts":[["2025"]]},"title":"Trends in electric car markets","type":"webpage"},"uris":["http://www.mendeley.com/documents/?uuid=5e02e63c-a89a-4d26-9c88-66b4f4b1c256"]},{"id":"ITEM-2","itemData":{"URL":"https://www.reuters.com/business/autos-transportation/nhtsa-opens-probe-into-24-mln-tesla-vehicles-over-full-self-driving-collisions-2024-10-18/","accessed":{"date-parts":[["2026","3","7"]]},"author":[{"dropping-particle":"","family":"Shepardson","given":"David","non-dropping-particle":"","parse-names":false,"suffix":""}],"id":"ITEM-2","issued":{"date-parts":[["2024"]]},"title":"US probes Tesla's Full Self-Driving software in 2.4 mln cars after fatal crash","type":"webpage"},"uris":["http://www.mendeley.com/documents/?uuid=67a323e6-8d57-49b5-96f5-d7948cc0db27"]},{"id":"ITEM-3","itemData":{"URL":"https://eur-lex.europa.eu/eli/reg_impl/2024/2754/oj/eng","accessed":{"date-parts":[["2026","3","7"]]},"author":[{"dropping-particle":"","family":"European Union","given":"","non-dropping-particle":"","parse-names":false,"suffix":""}],"id":"ITEM-3","issued":{"date-parts":[["2024"]]},"title":"Commission Implementing Regulation (EU) 2024/2754 of 29 October 2024 imposing a definitive countervailing duty on imports of new battery electric vehicles designed for the transport of persons originating in the People’s Republic of China","type":"webpage"},"uris":["http://www.mendeley.com/documents/?uuid=0b33bd4a-28cf-4860-87c7-15662b6d9e9c"]}],"mendeley":{"formattedCitation":"(European Union, 2024; IEA, 2025e; Shepardson, 2024)","plainTextFormattedCitation":"(European Union, 2024; IEA, 2025e; Shepardson, 2024)","previouslyFormattedCitation":"(European Union, 2024; IEA, 2025e; Shepardson, 2024)"},"properties":{"noteIndex":0},"schema":"https://github.com/citation-style-language/schema/raw/master/csl-citation.json"}</w:instrText>
      </w:r>
      <w:r w:rsidR="005D129A" w:rsidRPr="0070699C">
        <w:fldChar w:fldCharType="separate"/>
      </w:r>
      <w:r w:rsidR="00514732" w:rsidRPr="0070699C">
        <w:rPr>
          <w:noProof/>
        </w:rPr>
        <w:t>(European Union, 2024; IEA, 2025e; Shepardson, 2024)</w:t>
      </w:r>
      <w:r w:rsidR="005D129A" w:rsidRPr="0070699C">
        <w:fldChar w:fldCharType="end"/>
      </w:r>
      <w:r w:rsidR="00D41A9C" w:rsidRPr="0070699C">
        <w:t xml:space="preserve">. </w:t>
      </w:r>
    </w:p>
    <w:p w14:paraId="3415703B" w14:textId="305A521E" w:rsidR="00D41A9C" w:rsidRPr="0070699C" w:rsidRDefault="00D41A9C" w:rsidP="00E3431B">
      <w:pPr>
        <w:pStyle w:val="Heading2"/>
      </w:pPr>
      <w:bookmarkStart w:id="32" w:name="_Toc223992304"/>
      <w:r w:rsidRPr="0070699C">
        <w:lastRenderedPageBreak/>
        <w:t xml:space="preserve">Supporting framework: </w:t>
      </w:r>
      <w:r w:rsidRPr="0070699C">
        <w:rPr>
          <w:rStyle w:val="Strong"/>
          <w:b/>
          <w:bCs w:val="0"/>
        </w:rPr>
        <w:t>Ansoff Matrix</w:t>
      </w:r>
      <w:bookmarkEnd w:id="32"/>
    </w:p>
    <w:p w14:paraId="3F691548" w14:textId="77777777" w:rsidR="00A339D8" w:rsidRPr="0070699C" w:rsidRDefault="00D41A9C" w:rsidP="00A339D8">
      <w:pPr>
        <w:pStyle w:val="NormalWeb"/>
      </w:pPr>
      <w:r w:rsidRPr="0070699C">
        <w:rPr>
          <w:rStyle w:val="Strong"/>
          <w:rFonts w:eastAsiaTheme="majorEastAsia"/>
        </w:rPr>
        <w:t>Market penetration:</w:t>
      </w:r>
      <w:r w:rsidRPr="0070699C">
        <w:t xml:space="preserve"> </w:t>
      </w:r>
      <w:r w:rsidR="00A339D8" w:rsidRPr="0070699C">
        <w:t xml:space="preserve">Tesla has made pricing and trim management to protect volume in current markets- good in the short term but risky in case it normalises lower margin. </w:t>
      </w:r>
    </w:p>
    <w:p w14:paraId="3D624286" w14:textId="77777777" w:rsidR="00A339D8" w:rsidRPr="0070699C" w:rsidRDefault="00A339D8" w:rsidP="00A339D8">
      <w:pPr>
        <w:pStyle w:val="NormalWeb"/>
      </w:pPr>
      <w:r w:rsidRPr="0070699C">
        <w:rPr>
          <w:b/>
          <w:bCs/>
        </w:rPr>
        <w:t>Product development:</w:t>
      </w:r>
      <w:r w:rsidRPr="0070699C">
        <w:t xml:space="preserve"> Improved software capability and lower-cost products Next-gen development is an opportunity promising minimal product development, but needs more rigorous safety validation to prevent regulatory drag. </w:t>
      </w:r>
    </w:p>
    <w:p w14:paraId="7D9EE093" w14:textId="77777777" w:rsidR="00A339D8" w:rsidRPr="0070699C" w:rsidRDefault="00A339D8" w:rsidP="00A339D8">
      <w:pPr>
        <w:pStyle w:val="NormalWeb"/>
      </w:pPr>
      <w:r w:rsidRPr="0070699C">
        <w:rPr>
          <w:b/>
          <w:bCs/>
        </w:rPr>
        <w:t>Market growth:</w:t>
      </w:r>
      <w:r w:rsidRPr="0070699C">
        <w:t xml:space="preserve"> There is also geopolitical/trade limitation to expansion; the example of EU countervailing duties shows how localisation and sourcing decisions may turn into market-entry conditions. </w:t>
      </w:r>
    </w:p>
    <w:p w14:paraId="357F4DF1" w14:textId="531A55B2" w:rsidR="00D41A9C" w:rsidRPr="0070699C" w:rsidRDefault="00A339D8" w:rsidP="00A339D8">
      <w:pPr>
        <w:pStyle w:val="NormalWeb"/>
      </w:pPr>
      <w:r w:rsidRPr="0070699C">
        <w:rPr>
          <w:b/>
          <w:bCs/>
        </w:rPr>
        <w:t>Diversification:</w:t>
      </w:r>
      <w:r w:rsidRPr="0070699C">
        <w:t xml:space="preserve"> The most consistent diversification is energy storage and grid services as it capitalizes on Tesla battery, power electronics, software and manufacturing capabilities (RBV fit) and smooths the cyclicality </w:t>
      </w:r>
      <w:r w:rsidR="0059739B" w:rsidRPr="0070699C">
        <w:fldChar w:fldCharType="begin" w:fldLock="1"/>
      </w:r>
      <w:r w:rsidR="00514732" w:rsidRPr="0070699C">
        <w:instrText>ADDIN CSL_CITATION {"citationItems":[{"id":"ITEM-1","itemData":{"URL":"https://www.iea.org/reports/global-ev-outlook-2025/trends-in-electric-car-affordability","accessed":{"date-parts":[["2026","3","7"]]},"author":[{"dropping-particle":"","family":"IEA","given":"","non-dropping-particle":"","parse-names":false,"suffix":""}],"id":"ITEM-1","issued":{"date-parts":[["2025"]]},"title":"Falling battery pack prices and intensifying competition underpin progress in electric car affordability","type":"webpage"},"uris":["http://www.mendeley.com/documents/?uuid=c3e826a0-c72a-4ed5-928b-9c82fb4e9402"]},{"id":"ITEM-2","itemData":{"URL":"https://www.sec.gov/Archives/edgar/data/1318605/000162828025003063/tsla-20241231.htm","accessed":{"date-parts":[["2025","12","18"]]},"author":[{"dropping-particle":"","family":"SEC.GOV","given":"","non-dropping-particle":"","parse-names":false,"suffix":""}],"id":"ITEM-2","issued":{"date-parts":[["2024"]]},"title":"UNITED STATES SECURITIES AND EXCHANGE COMMISSION","type":"webpage"},"uris":["http://www.mendeley.com/documents/?uuid=18ccc39c-e964-49fe-8b80-236e86750459"]},{"id":"ITEM-3","itemData":{"URL":"https://www.reuters.com/business/autos-transportation/nhtsa-opens-probe-into-24-mln-tesla-vehicles-over-full-self-driving-collisions-2024-10-18/","accessed":{"date-parts":[["2026","3","7"]]},"author":[{"dropping-particle":"","family":"Shepardson","given":"David","non-dropping-particle":"","parse-names":false,"suffix":""}],"id":"ITEM-3","issued":{"date-parts":[["2024"]]},"title":"US probes Tesla's Full Self-Driving software in 2.4 mln cars after fatal crash","type":"webpage"},"uris":["http://www.mendeley.com/documents/?uuid=67a323e6-8d57-49b5-96f5-d7948cc0db27"]},{"id":"ITEM-4","itemData":{"URL":"https://eur-lex.europa.eu/eli/reg_impl/2024/2754/oj/eng","accessed":{"date-parts":[["2026","3","7"]]},"author":[{"dropping-particle":"","family":"European Union","given":"","non-dropping-particle":"","parse-names":false,"suffix":""}],"id":"ITEM-4","issued":{"date-parts":[["2024"]]},"title":"Commission Implementing Regulation (EU) 2024/2754 of 29 October 2024 imposing a definitive countervailing duty on imports of new battery electric vehicles designed for the transport of persons originating in the People’s Republic of China","type":"webpage"},"uris":["http://www.mendeley.com/documents/?uuid=0b33bd4a-28cf-4860-87c7-15662b6d9e9c"]},{"id":"ITEM-5","itemData":{"URL":"https://trade.ec.europa.eu/access-to-markets/en/news/eu-commission-imposes-countervailing-duties-imports-battery-electric-vehicles-bevs-china","accessed":{"date-parts":[["2026","3","7"]]},"author":[{"dropping-particle":"","family":"EUROPEAN COMMISSION","given":"","non-dropping-particle":"","parse-names":false,"suffix":""}],"id":"ITEM-5","issued":{"date-parts":[["2024"]]},"title":"EU Commission imposes countervailing duties on imports of battery electric vehicles (BEVs) from China","type":"webpage"},"uris":["http://www.mendeley.com/documents/?uuid=6b1db0ad-b99d-4592-8680-a9ea8a37d934"]}],"mendeley":{"formattedCitation":"(EUROPEAN COMMISSION, 2024; European Union, 2024; IEA, 2025c; SEC.GOV, 2024; Shepardson, 2024)","plainTextFormattedCitation":"(EUROPEAN COMMISSION, 2024; European Union, 2024; IEA, 2025c; SEC.GOV, 2024; Shepardson, 2024)","previouslyFormattedCitation":"(EUROPEAN COMMISSION, 2024; European Union, 2024; IEA, 2025c; SEC.GOV, 2024; Shepardson, 2024)"},"properties":{"noteIndex":0},"schema":"https://github.com/citation-style-language/schema/raw/master/csl-citation.json"}</w:instrText>
      </w:r>
      <w:r w:rsidR="0059739B" w:rsidRPr="0070699C">
        <w:fldChar w:fldCharType="separate"/>
      </w:r>
      <w:r w:rsidR="00514732" w:rsidRPr="0070699C">
        <w:rPr>
          <w:noProof/>
        </w:rPr>
        <w:t>(EUROPEAN COMMISSION, 2024; European Union, 2024; IEA, 2025c; SEC.GOV, 2024; Shepardson, 2024)</w:t>
      </w:r>
      <w:r w:rsidR="0059739B" w:rsidRPr="0070699C">
        <w:fldChar w:fldCharType="end"/>
      </w:r>
      <w:r w:rsidR="00D41A9C" w:rsidRPr="0070699C">
        <w:t xml:space="preserve">. </w:t>
      </w:r>
    </w:p>
    <w:p w14:paraId="31A51F28" w14:textId="14CFBDF9" w:rsidR="00D41A9C" w:rsidRPr="0070699C" w:rsidRDefault="00E3431B" w:rsidP="00E3431B">
      <w:pPr>
        <w:pStyle w:val="Heading2"/>
      </w:pPr>
      <w:bookmarkStart w:id="33" w:name="_Toc223992305"/>
      <w:r w:rsidRPr="0070699C">
        <w:t>R</w:t>
      </w:r>
      <w:r w:rsidR="00D41A9C" w:rsidRPr="0070699C">
        <w:t>ecommendations</w:t>
      </w:r>
      <w:bookmarkEnd w:id="33"/>
    </w:p>
    <w:p w14:paraId="26A90C16" w14:textId="58DAB285" w:rsidR="00D41A9C" w:rsidRPr="0070699C" w:rsidRDefault="00A339D8" w:rsidP="00A339D8">
      <w:pPr>
        <w:pStyle w:val="NormalWeb"/>
      </w:pPr>
      <w:r w:rsidRPr="0070699C">
        <w:rPr>
          <w:rStyle w:val="Strong"/>
          <w:rFonts w:eastAsiaTheme="majorEastAsia"/>
        </w:rPr>
        <w:t>Introduce a real low-cost platform with manufacturing redesign:</w:t>
      </w:r>
      <w:r w:rsidRPr="0070699C">
        <w:rPr>
          <w:rStyle w:val="Strong"/>
          <w:rFonts w:eastAsiaTheme="majorEastAsia"/>
          <w:b w:val="0"/>
          <w:bCs w:val="0"/>
        </w:rPr>
        <w:t xml:space="preserve"> Focus a new-gen platform that is designed to cost significantly less per unit (simplified architecture, reduced variants, faster cycles) to sustainably compete in price-war conditions. This is in line with Ansoff product development and safeguards the "Value" and "Organisation" aspects of VRIO by increasing the cost advantage that is difficult to scale. Disciplined SKU strategy should be used in order to avoid complexity creep </w:t>
      </w:r>
      <w:r w:rsidR="0059739B" w:rsidRPr="0070699C">
        <w:fldChar w:fldCharType="begin" w:fldLock="1"/>
      </w:r>
      <w:r w:rsidR="00514732"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URL":"https://www.iea.org/reports/global-ev-outlook-2025/trends-in-electric-car-affordability","accessed":{"date-parts":[["2026","3","7"]]},"author":[{"dropping-particle":"","family":"IEA","given":"","non-dropping-particle":"","parse-names":false,"suffix":""}],"id":"ITEM-2","issued":{"date-parts":[["2025"]]},"title":"Falling battery pack prices and intensifying competition underpin progress in electric car affordability","type":"webpage"},"uris":["http://www.mendeley.com/documents/?uuid=c3e826a0-c72a-4ed5-928b-9c82fb4e9402"]}],"mendeley":{"formattedCitation":"(IEA, 2025c; SEC.GOV, 2024)","plainTextFormattedCitation":"(IEA, 2025c; SEC.GOV, 2024)","previouslyFormattedCitation":"(IEA, 2025c; SEC.GOV, 2024)"},"properties":{"noteIndex":0},"schema":"https://github.com/citation-style-language/schema/raw/master/csl-citation.json"}</w:instrText>
      </w:r>
      <w:r w:rsidR="0059739B" w:rsidRPr="0070699C">
        <w:fldChar w:fldCharType="separate"/>
      </w:r>
      <w:r w:rsidR="00514732" w:rsidRPr="0070699C">
        <w:rPr>
          <w:noProof/>
        </w:rPr>
        <w:t>(IEA, 2025c; SEC.GOV, 2024)</w:t>
      </w:r>
      <w:r w:rsidR="0059739B" w:rsidRPr="0070699C">
        <w:fldChar w:fldCharType="end"/>
      </w:r>
      <w:r w:rsidR="00D41A9C" w:rsidRPr="0070699C">
        <w:t xml:space="preserve">. </w:t>
      </w:r>
    </w:p>
    <w:p w14:paraId="3E417791" w14:textId="58D3B586" w:rsidR="00D41A9C" w:rsidRPr="0070699C" w:rsidRDefault="00A339D8" w:rsidP="00D41A9C">
      <w:pPr>
        <w:pStyle w:val="NormalWeb"/>
      </w:pPr>
      <w:r w:rsidRPr="0070699C">
        <w:rPr>
          <w:rStyle w:val="Strong"/>
          <w:rFonts w:eastAsiaTheme="majorEastAsia"/>
        </w:rPr>
        <w:t>Scale Energy generation and storage as a profit stabiliser and flywheel ecosystem:</w:t>
      </w:r>
      <w:r w:rsidRPr="0070699C">
        <w:rPr>
          <w:rStyle w:val="Strong"/>
          <w:rFonts w:eastAsiaTheme="majorEastAsia"/>
          <w:b w:val="0"/>
          <w:bCs w:val="0"/>
        </w:rPr>
        <w:t xml:space="preserve"> Accelerate Megapack/Powerwall scale, grid relationships and software-based energy optimisation. This is diversification of high capability fit and enhances resilience in compressing auto margins. Tie targets to the storage gross margin, deployment increase and contracted backlog quality (where disclosed) to institutionalise execution </w:t>
      </w:r>
      <w:r w:rsidR="0059739B" w:rsidRPr="0070699C">
        <w:fldChar w:fldCharType="begin" w:fldLock="1"/>
      </w:r>
      <w:r w:rsidR="0059739B" w:rsidRPr="0070699C">
        <w:instrText>ADDIN CSL_CITATION {"citationItems":[{"id":"ITEM-1","itemData":{"URL":"https://ir.tesla.com/_flysystem/s3/sec/000162828025003063/tsla-20241231-gen.pdf","accessed":{"date-parts":[["2025","12","18"]]},"author":[{"dropping-particle":"","family":"Tesla","given":"","non-dropping-particle":"","parse-names":false,"suffix":""}],"id":"ITEM-1","issued":{"date-parts":[["2024"]]},"title":"UNITED STATES SECURITIES AND EXCHANGE COMMISSION","type":"webpage"},"uris":["http://www.mendeley.com/documents/?uuid=59fa51ed-e937-43ca-91d3-c111567227f1"]},{"id":"ITEM-2","itemData":{"URL":"https://www.sec.gov/Archives/edgar/data/1318605/000162828025003063/tsla-20241231.htm","accessed":{"date-parts":[["2025","12","18"]]},"author":[{"dropping-particle":"","family":"SEC.GOV","given":"","non-dropping-particle":"","parse-names":false,"suffix":""}],"id":"ITEM-2","issued":{"date-parts":[["2024"]]},"title":"UNITED STATES SECURITIES AND EXCHANGE COMMISSION","type":"webpage"},"uris":["http://www.mendeley.com/documents/?uuid=18ccc39c-e964-49fe-8b80-236e86750459"]}],"mendeley":{"formattedCitation":"(SEC.GOV, 2024; Tesla, 2024b)","plainTextFormattedCitation":"(SEC.GOV, 2024; Tesla, 2024b)","previouslyFormattedCitation":"(SEC.GOV, 2024; Tesla, 2024b)"},"properties":{"noteIndex":0},"schema":"https://github.com/citation-style-language/schema/raw/master/csl-citation.json"}</w:instrText>
      </w:r>
      <w:r w:rsidR="0059739B" w:rsidRPr="0070699C">
        <w:fldChar w:fldCharType="separate"/>
      </w:r>
      <w:r w:rsidR="0059739B" w:rsidRPr="0070699C">
        <w:rPr>
          <w:noProof/>
        </w:rPr>
        <w:t>(SEC.GOV, 2024; Tesla, 2024b)</w:t>
      </w:r>
      <w:r w:rsidR="0059739B" w:rsidRPr="0070699C">
        <w:fldChar w:fldCharType="end"/>
      </w:r>
      <w:r w:rsidR="00D41A9C" w:rsidRPr="0070699C">
        <w:t xml:space="preserve">. </w:t>
      </w:r>
    </w:p>
    <w:p w14:paraId="7094CBC4" w14:textId="6E44A8BE" w:rsidR="00D41A9C" w:rsidRPr="0070699C" w:rsidRDefault="00A339D8" w:rsidP="00D41A9C">
      <w:pPr>
        <w:pStyle w:val="NormalWeb"/>
      </w:pPr>
      <w:r w:rsidRPr="0070699C">
        <w:rPr>
          <w:rStyle w:val="Strong"/>
          <w:rFonts w:eastAsiaTheme="majorEastAsia"/>
        </w:rPr>
        <w:t>Safety-by-design governance of ADAS/FSD releases to ensure trust and regulatory entry:</w:t>
      </w:r>
      <w:r w:rsidRPr="0070699C">
        <w:rPr>
          <w:rStyle w:val="Strong"/>
          <w:rFonts w:eastAsiaTheme="majorEastAsia"/>
          <w:b w:val="0"/>
          <w:bCs w:val="0"/>
        </w:rPr>
        <w:t xml:space="preserve"> Design tougher release gates (scenario testing, driver monitoring effectiveness, documentation) and release clearer safety reporting. This minimizes regulatory risk, increases customer trust and allows sustained differentiation of software (dynamic capabilities) to take place faster without stop-and-go interventions </w:t>
      </w:r>
      <w:r w:rsidR="0059739B" w:rsidRPr="0070699C">
        <w:fldChar w:fldCharType="begin" w:fldLock="1"/>
      </w:r>
      <w:r w:rsidR="0059739B" w:rsidRPr="0070699C">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URL":"https://www.reuters.com/business/autos-transportation/nhtsa-opens-probe-into-24-mln-tesla-vehicles-over-full-self-driving-collisions-2024-10-18/","accessed":{"date-parts":[["2026","3","7"]]},"author":[{"dropping-particle":"","family":"Shepardson","given":"David","non-dropping-particle":"","parse-names":false,"suffix":""}],"id":"ITEM-2","issued":{"date-parts":[["2024"]]},"title":"US probes Tesla's Full Self-Driving software in 2.4 mln cars after fatal crash","type":"webpage"},"uris":["http://www.mendeley.com/documents/?uuid=67a323e6-8d57-49b5-96f5-d7948cc0db27"]}],"mendeley":{"formattedCitation":"(SEC.GOV, 2024; Shepardson, 2024)","plainTextFormattedCitation":"(SEC.GOV, 2024; Shepardson, 2024)","previouslyFormattedCitation":"(SEC.GOV, 2024; Shepardson, 2024)"},"properties":{"noteIndex":0},"schema":"https://github.com/citation-style-language/schema/raw/master/csl-citation.json"}</w:instrText>
      </w:r>
      <w:r w:rsidR="0059739B" w:rsidRPr="0070699C">
        <w:fldChar w:fldCharType="separate"/>
      </w:r>
      <w:r w:rsidR="0059739B" w:rsidRPr="0070699C">
        <w:rPr>
          <w:noProof/>
        </w:rPr>
        <w:t>(SEC.GOV, 2024; Shepardson, 2024)</w:t>
      </w:r>
      <w:r w:rsidR="0059739B" w:rsidRPr="0070699C">
        <w:fldChar w:fldCharType="end"/>
      </w:r>
      <w:r w:rsidR="00D41A9C" w:rsidRPr="0070699C">
        <w:t xml:space="preserve">. </w:t>
      </w:r>
    </w:p>
    <w:p w14:paraId="759B40FA" w14:textId="476D274F" w:rsidR="00D41A9C" w:rsidRPr="0070699C" w:rsidRDefault="00D41A9C" w:rsidP="00D923D4">
      <w:pPr>
        <w:pStyle w:val="Heading2"/>
      </w:pPr>
      <w:bookmarkStart w:id="34" w:name="_Toc223992306"/>
      <w:r w:rsidRPr="0070699C">
        <w:t>Risk note</w:t>
      </w:r>
      <w:bookmarkEnd w:id="34"/>
    </w:p>
    <w:p w14:paraId="6018BF0A" w14:textId="42F861DF" w:rsidR="00D9246B" w:rsidRPr="0070699C" w:rsidRDefault="00A339D8" w:rsidP="00A339D8">
      <w:pPr>
        <w:pStyle w:val="NormalWeb"/>
      </w:pPr>
      <w:r w:rsidRPr="0070699C">
        <w:t xml:space="preserve">The reasons that can derail these recommendations include (i) protracted price wars that exceed cost cuts, (ii) trade-policy shocks that demand rapid localisation, (iii) battery-material volatility and (iv) negative safety incidents/ regulatory action that limits software implementation </w:t>
      </w:r>
      <w:r w:rsidR="0059739B" w:rsidRPr="0070699C">
        <w:fldChar w:fldCharType="begin" w:fldLock="1"/>
      </w:r>
      <w:r w:rsidR="009874AB" w:rsidRPr="0070699C">
        <w:instrText>ADDIN CSL_CITATION {"citationItems":[{"id":"ITEM-1","itemData":{"URL":"https://www.reuters.com/world/asia-pacific/china-lithium-prices-tumble-weak-ev-sales-middle-east-war-cloud-demand-outlook-2026-03-03/","accessed":{"date-parts":[["2026","3","7"]]},"author":[{"dropping-particle":"","family":"Reuters","given":"","non-dropping-particle":"","parse-names":false,"suffix":""}],"id":"ITEM-1","issued":{"date-parts":[["2026"]]},"title":"China lithium prices tumble as weak EV sales, Middle East war cloud demand outlook","type":"webpage"},"uris":["http://www.mendeley.com/documents/?uuid=9a1d5289-f7da-490b-aa24-d539affb0388"]},{"id":"ITEM-2","itemData":{"URL":"https://eur-lex.europa.eu/eli/reg_impl/2024/2754/oj/eng","accessed":{"date-parts":[["2026","3","7"]]},"author":[{"dropping-particle":"","family":"European Union","given":"","non-dropping-particle":"","parse-names":false,"suffix":""}],"id":"ITEM-2","issued":{"date-parts":[["2024"]]},"title":"Commission Implementing Regulation (EU) 2024/2754 of 29 October 2024 imposing a definitive countervailing duty on imports of new battery electric vehicles designed for the transport of persons originating in the People’s Republic of China","type":"webpage"},"uris":["http://www.mendeley.com/documents/?uuid=0b33bd4a-28cf-4860-87c7-15662b6d9e9c"]},{"id":"ITEM-3","itemData":{"URL":"https://www.reuters.com/business/autos-transportation/nhtsa-opens-probe-into-24-mln-tesla-vehicles-over-full-self-driving-collisions-2024-10-18/","accessed":{"date-parts":[["2026","3","7"]]},"author":[{"dropping-particle":"","family":"Shepardson","given":"David","non-dropping-particle":"","parse-names":false,"suffix":""}],"id":"ITEM-3","issued":{"date-parts":[["2024"]]},"title":"US probes Tesla's Full Self-Driving software in 2.4 mln cars after fatal crash","type":"webpage"},"uris":["http://www.mendeley.com/documents/?uuid=67a323e6-8d57-49b5-96f5-d7948cc0db27"]}],"mendeley":{"formattedCitation":"(European Union, 2024; Reuters, 2026; Shepardson, 2024)","plainTextFormattedCitation":"(European Union, 2024; Reuters, 2026; Shepardson, 2024)","previouslyFormattedCitation":"(European Union, 2024; Reuters, 2026; Shepardson, 2024)"},"properties":{"noteIndex":0},"schema":"https://github.com/citation-style-language/schema/raw/master/csl-citation.json"}</w:instrText>
      </w:r>
      <w:r w:rsidR="0059739B" w:rsidRPr="0070699C">
        <w:fldChar w:fldCharType="separate"/>
      </w:r>
      <w:r w:rsidR="009874AB" w:rsidRPr="0070699C">
        <w:rPr>
          <w:noProof/>
        </w:rPr>
        <w:t>(European Union, 2024; Reuters, 2026; Shepardson, 2024)</w:t>
      </w:r>
      <w:r w:rsidR="0059739B" w:rsidRPr="0070699C">
        <w:fldChar w:fldCharType="end"/>
      </w:r>
      <w:r w:rsidR="00D41A9C" w:rsidRPr="0070699C">
        <w:t>.</w:t>
      </w:r>
      <w:r w:rsidR="00D9246B" w:rsidRPr="0070699C">
        <w:br w:type="page"/>
      </w:r>
    </w:p>
    <w:p w14:paraId="2FEC3F60" w14:textId="49845055" w:rsidR="00A719C7" w:rsidRPr="0070699C" w:rsidRDefault="00A719C7" w:rsidP="00A719C7">
      <w:pPr>
        <w:pStyle w:val="Heading1"/>
        <w:numPr>
          <w:ilvl w:val="0"/>
          <w:numId w:val="0"/>
        </w:numPr>
        <w:ind w:left="432" w:hanging="432"/>
        <w:rPr>
          <w:rFonts w:eastAsia="Times New Roman"/>
        </w:rPr>
      </w:pPr>
      <w:bookmarkStart w:id="35" w:name="_Toc223992307"/>
      <w:r w:rsidRPr="0070699C">
        <w:rPr>
          <w:rFonts w:eastAsia="Times New Roman"/>
        </w:rPr>
        <w:lastRenderedPageBreak/>
        <w:t>Section 2:</w:t>
      </w:r>
      <w:bookmarkEnd w:id="35"/>
    </w:p>
    <w:p w14:paraId="0DEE2034" w14:textId="4A0EAC13" w:rsidR="00A70F1D" w:rsidRPr="0070699C" w:rsidRDefault="00A70F1D" w:rsidP="00A70F1D">
      <w:pPr>
        <w:pStyle w:val="Heading1"/>
        <w:rPr>
          <w:rFonts w:eastAsia="Times New Roman"/>
        </w:rPr>
      </w:pPr>
      <w:bookmarkStart w:id="36" w:name="_Toc223992308"/>
      <w:r w:rsidRPr="0070699C">
        <w:rPr>
          <w:rFonts w:eastAsia="Times New Roman"/>
        </w:rPr>
        <w:t>Reflective Account Using Gibbs Cycle</w:t>
      </w:r>
      <w:bookmarkEnd w:id="36"/>
    </w:p>
    <w:p w14:paraId="282EE028" w14:textId="4C5D6BF2" w:rsidR="00A70F1D" w:rsidRPr="0070699C" w:rsidRDefault="00A70F1D" w:rsidP="00A70F1D">
      <w:pPr>
        <w:pStyle w:val="Heading2"/>
        <w:rPr>
          <w:rFonts w:eastAsia="Times New Roman"/>
        </w:rPr>
      </w:pPr>
      <w:bookmarkStart w:id="37" w:name="_Toc223992309"/>
      <w:r w:rsidRPr="0070699C">
        <w:rPr>
          <w:rFonts w:eastAsia="Times New Roman"/>
        </w:rPr>
        <w:t>Description</w:t>
      </w:r>
      <w:bookmarkEnd w:id="37"/>
    </w:p>
    <w:p w14:paraId="035616A7" w14:textId="4527341D" w:rsidR="00A70F1D" w:rsidRPr="0070699C" w:rsidRDefault="003F15BC" w:rsidP="003F15BC">
      <w:p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I picked Tesla and did an audit of the strategy. I developed a source plan that included both academic theory and up-to-date evidence after mapping the frameworks (PESTEL, VRIO, Balanced Scorecard, SWOT/Ansoff) with the report sections. The priority was given to Tesla most recent Form 10-K, official industry analysis (IEA Global EV Outlook 2025), and recent peer-reviewed syntheses of Balanced Scorecard and RBV/VRIO. To avoid going over the limits of words, I maintained an evidence log and typed early bullets of claims and proofs and then typed the paragraphs </w:t>
      </w:r>
      <w:r w:rsidR="009874AB" w:rsidRPr="0070699C">
        <w:rPr>
          <w:rFonts w:ascii="Times New Roman" w:eastAsia="Times New Roman" w:hAnsi="Times New Roman" w:cs="Times New Roman"/>
          <w:szCs w:val="24"/>
          <w:lang w:val="en-US"/>
        </w:rPr>
        <w:fldChar w:fldCharType="begin" w:fldLock="1"/>
      </w:r>
      <w:r w:rsidR="00514732" w:rsidRPr="0070699C">
        <w:rPr>
          <w:rFonts w:ascii="Times New Roman" w:eastAsia="Times New Roman" w:hAnsi="Times New Roman" w:cs="Times New Roman"/>
          <w:szCs w:val="24"/>
          <w:lang w:val="en-US"/>
        </w:rPr>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COMMISSION","type":"webpage"},"uris":["http://www.mendeley.com/documents/?uuid=18ccc39c-e964-49fe-8b80-236e86750459"]},{"id":"ITEM-2","itemData":{"abstract":"The Global EV Outlook is an annual publication that reports on recent developments in electric mobility around the world. It is developed with the support of members of the Electric Vehicles Initiative (EVI). The report draws on the latest data to assess trends in electric vehicle deployment, demand for their batteries and charging infrastructure. It considers recent policy developments and industry strategies shaping the outlook for electric vehicles in different markets. This edition features analysis of electric vehicle affordability, manufacturing and trade of electric cars and their batteries, and the total cost of ownership of electric heavy-duty trucks across various markets, and makes projections to 2030. The report is complemented by updated versions of two online tools: the Global EV Data Explorer and the Global EV Policy Explorer, which allow users to further explore EV statistics and projections, and policy measures worldwide.","author":[{"dropping-particle":"","family":"IEA","given":"","non-dropping-particle":"","parse-names":false,"suffix":""}],"id":"ITEM-2","issued":{"date-parts":[["2025"]]},"page":"1-173","title":"Global EV Outlook 2025 Expanding sales in diverse markets","type":"article-journal"},"uris":["http://www.mendeley.com/documents/?uuid=e0c82964-be5f-4a65-93c7-23d9f28606bb"]}],"mendeley":{"formattedCitation":"(IEA, 2025d; SEC.GOV, 2024)","plainTextFormattedCitation":"(IEA, 2025d; SEC.GOV, 2024)","previouslyFormattedCitation":"(IEA, 2025d; SEC.GOV, 2024)"},"properties":{"noteIndex":0},"schema":"https://github.com/citation-style-language/schema/raw/master/csl-citation.json"}</w:instrText>
      </w:r>
      <w:r w:rsidR="009874AB" w:rsidRPr="0070699C">
        <w:rPr>
          <w:rFonts w:ascii="Times New Roman" w:eastAsia="Times New Roman" w:hAnsi="Times New Roman" w:cs="Times New Roman"/>
          <w:szCs w:val="24"/>
          <w:lang w:val="en-US"/>
        </w:rPr>
        <w:fldChar w:fldCharType="separate"/>
      </w:r>
      <w:r w:rsidR="00514732" w:rsidRPr="0070699C">
        <w:rPr>
          <w:rFonts w:ascii="Times New Roman" w:eastAsia="Times New Roman" w:hAnsi="Times New Roman" w:cs="Times New Roman"/>
          <w:noProof/>
          <w:szCs w:val="24"/>
          <w:lang w:val="en-US"/>
        </w:rPr>
        <w:t>(IEA, 2025d; SEC.GOV, 2024)</w:t>
      </w:r>
      <w:r w:rsidR="009874AB" w:rsidRPr="0070699C">
        <w:rPr>
          <w:rFonts w:ascii="Times New Roman" w:eastAsia="Times New Roman" w:hAnsi="Times New Roman" w:cs="Times New Roman"/>
          <w:szCs w:val="24"/>
          <w:lang w:val="en-US"/>
        </w:rPr>
        <w:fldChar w:fldCharType="end"/>
      </w:r>
      <w:r w:rsidR="00A70F1D" w:rsidRPr="0070699C">
        <w:rPr>
          <w:rFonts w:ascii="Times New Roman" w:eastAsia="Times New Roman" w:hAnsi="Times New Roman" w:cs="Times New Roman"/>
          <w:szCs w:val="24"/>
          <w:lang w:val="en-US"/>
        </w:rPr>
        <w:t>.</w:t>
      </w:r>
    </w:p>
    <w:p w14:paraId="023B736B" w14:textId="31174B2A" w:rsidR="00A70F1D" w:rsidRPr="0070699C" w:rsidRDefault="00A70F1D" w:rsidP="00A70F1D">
      <w:pPr>
        <w:pStyle w:val="Heading2"/>
        <w:rPr>
          <w:rFonts w:eastAsia="Times New Roman"/>
        </w:rPr>
      </w:pPr>
      <w:bookmarkStart w:id="38" w:name="_Toc223992310"/>
      <w:r w:rsidRPr="0070699C">
        <w:rPr>
          <w:rFonts w:eastAsia="Times New Roman"/>
        </w:rPr>
        <w:t>Feelings</w:t>
      </w:r>
      <w:bookmarkEnd w:id="38"/>
    </w:p>
    <w:p w14:paraId="18AFBB25" w14:textId="5DDD16BD" w:rsidR="00A70F1D" w:rsidRPr="0070699C" w:rsidRDefault="003F15BC" w:rsidP="003F15BC">
      <w:p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I began with optimism since Tesla is all covered but I feared the bias: good media stories can make analysis opinionated. Initially, I believed the Tesla advantage to be technology, but it is contingent on regulation and price rivalry. The structured reflection research helped me realize it is not a bad thing to be uncertain, and it can be transformed into learning provided I name the assumptions. I did not mix evidence and interpretation since I felt uneasy making a judgment on disputed issues such as driver-assistance safety </w:t>
      </w:r>
      <w:r w:rsidR="009874AB" w:rsidRPr="0070699C">
        <w:rPr>
          <w:rFonts w:ascii="Times New Roman" w:eastAsia="Times New Roman" w:hAnsi="Times New Roman" w:cs="Times New Roman"/>
          <w:szCs w:val="24"/>
          <w:lang w:val="en-US"/>
        </w:rPr>
        <w:fldChar w:fldCharType="begin" w:fldLock="1"/>
      </w:r>
      <w:r w:rsidR="009874AB" w:rsidRPr="0070699C">
        <w:rPr>
          <w:rFonts w:ascii="Times New Roman" w:eastAsia="Times New Roman" w:hAnsi="Times New Roman" w:cs="Times New Roman"/>
          <w:szCs w:val="24"/>
          <w:lang w:val="en-US"/>
        </w:rPr>
        <w:instrText>ADDIN CSL_CITATION {"citationItems":[{"id":"ITEM-1","itemData":{"URL":"https://reflection.ed.ac.uk/reflectors-toolkit/reflecting-on-experience/gibbs-reflective-cycle","accessed":{"date-parts":[["2026","3","7"]]},"author":[{"dropping-particle":"","family":"Reflection Ed","given":"","non-dropping-particle":"","parse-names":false,"suffix":""}],"id":"ITEM-1","issued":{"date-parts":[["2024"]]},"title":"Gibbs' Reflective Cycle","type":"webpage"},"uris":["http://www.mendeley.com/documents/?uuid=300a6199-6e2b-4fcb-bff0-85774d89e2c3"]},{"id":"ITEM-2","itemData":{"URL":"https://www.ed.ac.uk/reflection/reflectors-toolkit/reflecting-on- experience/gibbs-reflective-cycle","author":[{"dropping-particle":"","family":"Gibbs’ reflective cycle","given":"","non-dropping-particle":"","parse-names":false,"suffix":""}],"id":"ITEM-2","issued":{"date-parts":[["1988"]]},"page":"The University of Edinburgh , 2019. Gibbs' reflect","title":"Gibbs’ reflective cycle","type":"webpage"},"uris":["http://www.mendeley.com/documents/?uuid=92cd6557-7844-4352-8bb4-f2d22f94364b"]}],"mendeley":{"formattedCitation":"(Gibbs’ reflective cycle, 1988; Reflection Ed, 2024)","plainTextFormattedCitation":"(Gibbs’ reflective cycle, 1988; Reflection Ed, 2024)","previouslyFormattedCitation":"(Gibbs’ reflective cycle, 1988; Reflection Ed, 2024)"},"properties":{"noteIndex":0},"schema":"https://github.com/citation-style-language/schema/raw/master/csl-citation.json"}</w:instrText>
      </w:r>
      <w:r w:rsidR="009874AB" w:rsidRPr="0070699C">
        <w:rPr>
          <w:rFonts w:ascii="Times New Roman" w:eastAsia="Times New Roman" w:hAnsi="Times New Roman" w:cs="Times New Roman"/>
          <w:szCs w:val="24"/>
          <w:lang w:val="en-US"/>
        </w:rPr>
        <w:fldChar w:fldCharType="separate"/>
      </w:r>
      <w:r w:rsidR="009874AB" w:rsidRPr="0070699C">
        <w:rPr>
          <w:rFonts w:ascii="Times New Roman" w:eastAsia="Times New Roman" w:hAnsi="Times New Roman" w:cs="Times New Roman"/>
          <w:noProof/>
          <w:szCs w:val="24"/>
          <w:lang w:val="en-US"/>
        </w:rPr>
        <w:t>(Gibbs’ reflective cycle, 1988; Reflection Ed, 2024)</w:t>
      </w:r>
      <w:r w:rsidR="009874AB" w:rsidRPr="0070699C">
        <w:rPr>
          <w:rFonts w:ascii="Times New Roman" w:eastAsia="Times New Roman" w:hAnsi="Times New Roman" w:cs="Times New Roman"/>
          <w:szCs w:val="24"/>
          <w:lang w:val="en-US"/>
        </w:rPr>
        <w:fldChar w:fldCharType="end"/>
      </w:r>
      <w:r w:rsidR="00A70F1D" w:rsidRPr="0070699C">
        <w:rPr>
          <w:rFonts w:ascii="Times New Roman" w:eastAsia="Times New Roman" w:hAnsi="Times New Roman" w:cs="Times New Roman"/>
          <w:szCs w:val="24"/>
          <w:lang w:val="en-US"/>
        </w:rPr>
        <w:t>.</w:t>
      </w:r>
    </w:p>
    <w:p w14:paraId="5ED60C75" w14:textId="25BDDFE9" w:rsidR="00A70F1D" w:rsidRPr="0070699C" w:rsidRDefault="00A70F1D" w:rsidP="00A70F1D">
      <w:pPr>
        <w:pStyle w:val="Heading2"/>
        <w:rPr>
          <w:rFonts w:eastAsia="Times New Roman"/>
        </w:rPr>
      </w:pPr>
      <w:bookmarkStart w:id="39" w:name="_Toc223992311"/>
      <w:r w:rsidRPr="0070699C">
        <w:rPr>
          <w:rFonts w:eastAsia="Times New Roman"/>
        </w:rPr>
        <w:t>Evaluation</w:t>
      </w:r>
      <w:bookmarkEnd w:id="39"/>
    </w:p>
    <w:p w14:paraId="28AB2FF1" w14:textId="1F3D3F74" w:rsidR="00A70F1D" w:rsidRPr="0070699C" w:rsidRDefault="003F15BC" w:rsidP="003F15BC">
      <w:p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Triangulation was the most effective one. The Form 10-K presented hard information about the segments, risks and strategic intent and the IEA clarified demand, charging build-out and policy dependence. Scholarly reviews enhanced my criticism: There is a mixed and context-depending evidence on the use of Balanced Scorecard, and I did not assume KPIs as performance-enhancing. RBV/VRIO literature made me remember that there is a difference between valuable and sustained advantage and whether an organization and governance back a resource. To begin with, employing single articles as big claims (e.g., autonomy timelines) did not work. The solution I arrived at was to categorize the evidence as either regulatory, financial, industry, or academic and then only make strong statements when independent sources concurred </w:t>
      </w:r>
      <w:r w:rsidR="009874AB" w:rsidRPr="0070699C">
        <w:rPr>
          <w:rFonts w:ascii="Times New Roman" w:eastAsia="Times New Roman" w:hAnsi="Times New Roman" w:cs="Times New Roman"/>
          <w:szCs w:val="24"/>
          <w:lang w:val="en-US"/>
        </w:rPr>
        <w:fldChar w:fldCharType="begin" w:fldLock="1"/>
      </w:r>
      <w:r w:rsidR="00514732" w:rsidRPr="0070699C">
        <w:rPr>
          <w:rFonts w:ascii="Times New Roman" w:eastAsia="Times New Roman" w:hAnsi="Times New Roman" w:cs="Times New Roman"/>
          <w:szCs w:val="24"/>
          <w:lang w:val="en-US"/>
        </w:rPr>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URL":"https://www.iea.org/reports/global-ev-outlook-2025/executive-summary","accessed":{"date-parts":[["2026","3","7"]]},"author":[{"dropping-particle":"","family":"IEA","given":"","non-dropping-particle":"","parse-names":false,"suffix":""}],"id":"ITEM-2","issued":{"date-parts":[["2025"]]},"title":"Electric car sales continue to break records globally, particularly in China and other emerging economies","type":"webpage"},"uris":["http://www.mendeley.com/documents/?uuid=6628ef97-7d3e-4ede-a8b5-bb1714b884b8"]},{"id":"ITEM-3","itemData":{"URL":"https://www.iea.org/reports/global-ev-outlook-2025/electric-vehicle-charging","accessed":{"date-parts":[["2025","8","22"]]},"author":[{"dropping-particle":"","family":"IEA","given":"","non-dropping-particle":"","parse-names":false,"suffix":""}],"id":"ITEM-3","issued":{"date-parts":[["2025"]]},"title":"Electric vehicle charging","type":"webpage"},"uris":["http://www.mendeley.com/documents/?uuid=1c3c05e4-4aef-4fdd-ac05-c066043d41a9"]},{"id":"ITEM-4","itemData":{"DOI":"https://doi.org/10.1016/j.bushor.2022.03.005","ISSN":"0007-6813","abstract":"The balanced scorecard (BSC) is one of the most influential strategy implementation and control tools of the past 75 years, but data regarding the BSC’s impact on firm performance is mixed. In this work, we go beyond anecdotal evidence to take stock of the practical impact the BSC has had, synthesize available qualitative and quantitative data on the relationship between BSC adoption and firm performance, and investigate the conditions under which the BSC has been found to be a successful strategy implementation tool. Based on the evidence, we then provide several recommendations on how to maximize the value of BSC adoption. These recommendations are centered on an apparent paradox: While the BSC is a tool for effective strategy implementation, it must itself be effectively implemented to deliver on its potential.","author":[{"dropping-particle":"","family":"Tawse","given":"Alex","non-dropping-particle":"","parse-names":false,"suffix":""},{"dropping-particle":"","family":"Tabesh","given":"Pooya","non-dropping-particle":"","parse-names":false,"suffix":""}],"container-title":"Business Horizons","id":"ITEM-4","issue":"1","issued":{"date-parts":[["2023"]]},"page":"123-132","title":"Thirty years with the balanced scorecard: What we have learned","type":"article-journal","volume":"66"},"uris":["http://www.mendeley.com/documents/?uuid=84dae362-6ca5-40b8-8f4f-90e2eea973b7"]}],"mendeley":{"formattedCitation":"(IEA, 2025a, 2025b; SEC.GOV, 2024; Tawse &amp; Tabesh, 2023)","plainTextFormattedCitation":"(IEA, 2025a, 2025b; SEC.GOV, 2024; Tawse &amp; Tabesh, 2023)","previouslyFormattedCitation":"(IEA, 2025a, 2025b; SEC.GOV, 2024; Tawse &amp; Tabesh, 2023)"},"properties":{"noteIndex":0},"schema":"https://github.com/citation-style-language/schema/raw/master/csl-citation.json"}</w:instrText>
      </w:r>
      <w:r w:rsidR="009874AB" w:rsidRPr="0070699C">
        <w:rPr>
          <w:rFonts w:ascii="Times New Roman" w:eastAsia="Times New Roman" w:hAnsi="Times New Roman" w:cs="Times New Roman"/>
          <w:szCs w:val="24"/>
          <w:lang w:val="en-US"/>
        </w:rPr>
        <w:fldChar w:fldCharType="separate"/>
      </w:r>
      <w:r w:rsidR="00514732" w:rsidRPr="0070699C">
        <w:rPr>
          <w:rFonts w:ascii="Times New Roman" w:eastAsia="Times New Roman" w:hAnsi="Times New Roman" w:cs="Times New Roman"/>
          <w:noProof/>
          <w:szCs w:val="24"/>
          <w:lang w:val="en-US"/>
        </w:rPr>
        <w:t>(IEA, 2025a, 2025b; SEC.GOV, 2024; Tawse &amp; Tabesh, 2023)</w:t>
      </w:r>
      <w:r w:rsidR="009874AB" w:rsidRPr="0070699C">
        <w:rPr>
          <w:rFonts w:ascii="Times New Roman" w:eastAsia="Times New Roman" w:hAnsi="Times New Roman" w:cs="Times New Roman"/>
          <w:szCs w:val="24"/>
          <w:lang w:val="en-US"/>
        </w:rPr>
        <w:fldChar w:fldCharType="end"/>
      </w:r>
      <w:r w:rsidR="00A70F1D" w:rsidRPr="0070699C">
        <w:rPr>
          <w:rFonts w:ascii="Times New Roman" w:eastAsia="Times New Roman" w:hAnsi="Times New Roman" w:cs="Times New Roman"/>
          <w:szCs w:val="24"/>
          <w:lang w:val="en-US"/>
        </w:rPr>
        <w:t>.</w:t>
      </w:r>
    </w:p>
    <w:p w14:paraId="574839F4" w14:textId="18E1DDBD" w:rsidR="00A70F1D" w:rsidRPr="0070699C" w:rsidRDefault="00A70F1D" w:rsidP="00A70F1D">
      <w:pPr>
        <w:pStyle w:val="Heading2"/>
        <w:rPr>
          <w:rFonts w:eastAsia="Times New Roman"/>
        </w:rPr>
      </w:pPr>
      <w:bookmarkStart w:id="40" w:name="_Toc223992312"/>
      <w:r w:rsidRPr="0070699C">
        <w:rPr>
          <w:rFonts w:eastAsia="Times New Roman"/>
        </w:rPr>
        <w:t>Analysis</w:t>
      </w:r>
      <w:bookmarkEnd w:id="40"/>
    </w:p>
    <w:p w14:paraId="4A5AFE8D" w14:textId="4933B04B" w:rsidR="00A70F1D" w:rsidRPr="0070699C" w:rsidRDefault="003F15BC" w:rsidP="003F15BC">
      <w:p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The reason why the Gibbs cycle works is that it compels me to shift towards experience to improvement planning, not reflection. The stage of feelings showed one latent assumption that I was perceiving the capabilities of Tesla as superior but not as benefits that should resist imitation, regulation and macro shocks. PESTEL was an external checklist (Level 7) as opposed to a constraint map. Policy incentives, trade friction, and safety regulation have a positive influence on market access, demand elasticity and feature deployment and are thus of the focus of my priority. The recent library guide states the importance of the PESTEL to define the threats/opportunities to input into SWOT to enhance my section integration </w:t>
      </w:r>
      <w:r w:rsidR="00514732" w:rsidRPr="0070699C">
        <w:rPr>
          <w:rFonts w:ascii="Times New Roman" w:eastAsia="Times New Roman" w:hAnsi="Times New Roman" w:cs="Times New Roman"/>
          <w:szCs w:val="24"/>
          <w:lang w:val="en-US"/>
        </w:rPr>
        <w:fldChar w:fldCharType="begin" w:fldLock="1"/>
      </w:r>
      <w:r w:rsidR="008A179E" w:rsidRPr="0070699C">
        <w:rPr>
          <w:rFonts w:ascii="Times New Roman" w:eastAsia="Times New Roman" w:hAnsi="Times New Roman" w:cs="Times New Roman"/>
          <w:szCs w:val="24"/>
          <w:lang w:val="en-US"/>
        </w:rPr>
        <w:instrText>ADDIN CSL_CITATION {"citationItems":[{"id":"ITEM-1","itemData":{"URL":"https://reflection.ed.ac.uk/reflectors-toolkit/reflecting-on-experience/gibbs-reflective-cycle","accessed":{"date-parts":[["2026","3","7"]]},"author":[{"dropping-particle":"","family":"Reflection Ed","given":"","non-dropping-particle":"","parse-names":false,"suffix":""}],"id":"ITEM-1","issued":{"date-parts":[["2024"]]},"title":"Gibbs' Reflective Cycle","type":"webpage"},"uris":["http://www.mendeley.com/documents/?uuid=300a6199-6e2b-4fcb-bff0-85774d89e2c3"]},{"id":"ITEM-2","itemData":{"URL":"https://libguides.libraries.wsu.edu/c.php?g=294263&amp;p=4358409&amp;","accessed":{"date-parts":[["2026","3","7"]]},"author":[{"dropping-particle":"","family":"Washington State University","given":"","non-dropping-particle":"","parse-names":false,"suffix":""}],"id":"ITEM-2","issued":{"date-parts":[["2026"]]},"title":"WHt is PESTLE","type":"webpage"},"uris":["http://www.mendeley.com/documents/?uuid=e573804a-9b2c-4793-8c2e-4f516db8a320"]}],"mendeley":{"formattedCitation":"(Reflection Ed, 2024; Washington State University, 2026)","plainTextFormattedCitation":"(Reflection Ed, 2024; Washington State University, 2026)","previouslyFormattedCitation":"(Reflection Ed, 2024; Washington State University, 2026)"},"properties":{"noteIndex":0},"schema":"https://github.com/citation-style-language/schema/raw/master/csl-citation.json"}</w:instrText>
      </w:r>
      <w:r w:rsidR="00514732" w:rsidRPr="0070699C">
        <w:rPr>
          <w:rFonts w:ascii="Times New Roman" w:eastAsia="Times New Roman" w:hAnsi="Times New Roman" w:cs="Times New Roman"/>
          <w:szCs w:val="24"/>
          <w:lang w:val="en-US"/>
        </w:rPr>
        <w:fldChar w:fldCharType="separate"/>
      </w:r>
      <w:r w:rsidR="00514732" w:rsidRPr="0070699C">
        <w:rPr>
          <w:rFonts w:ascii="Times New Roman" w:eastAsia="Times New Roman" w:hAnsi="Times New Roman" w:cs="Times New Roman"/>
          <w:noProof/>
          <w:szCs w:val="24"/>
          <w:lang w:val="en-US"/>
        </w:rPr>
        <w:t>(Reflection Ed, 2024; Washington State University, 2026)</w:t>
      </w:r>
      <w:r w:rsidR="00514732" w:rsidRPr="0070699C">
        <w:rPr>
          <w:rFonts w:ascii="Times New Roman" w:eastAsia="Times New Roman" w:hAnsi="Times New Roman" w:cs="Times New Roman"/>
          <w:szCs w:val="24"/>
          <w:lang w:val="en-US"/>
        </w:rPr>
        <w:fldChar w:fldCharType="end"/>
      </w:r>
      <w:r w:rsidR="00A70F1D" w:rsidRPr="0070699C">
        <w:rPr>
          <w:rFonts w:ascii="Times New Roman" w:eastAsia="Times New Roman" w:hAnsi="Times New Roman" w:cs="Times New Roman"/>
          <w:szCs w:val="24"/>
          <w:lang w:val="en-US"/>
        </w:rPr>
        <w:t xml:space="preserve">. </w:t>
      </w:r>
    </w:p>
    <w:p w14:paraId="1FE44470" w14:textId="2596BB8D" w:rsidR="00A70F1D" w:rsidRPr="0070699C" w:rsidRDefault="003F15BC" w:rsidP="003F15BC">
      <w:p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lastRenderedPageBreak/>
        <w:t>VRIO was my internal filter. I did not list resources, but I asked: what rare, valuable, hard-to-imitate, and organizationally-supported capabilities? That taught me to consider charging advantage temporary like standards and access increase and software advantage contingent on compliant deployment and trust. Recently, RBV/VRIO studies have demonstrated that resource attributes and organisational fit are crucial to competitive advantage, therefore I will not talk about assets, I will talk about routines, controls and cross-functional coordination</w:t>
      </w:r>
      <w:r w:rsidR="008A179E" w:rsidRPr="0070699C">
        <w:rPr>
          <w:rFonts w:ascii="Times New Roman" w:eastAsia="Times New Roman" w:hAnsi="Times New Roman" w:cs="Times New Roman"/>
          <w:szCs w:val="24"/>
          <w:lang w:val="en-US"/>
        </w:rPr>
        <w:fldChar w:fldCharType="begin" w:fldLock="1"/>
      </w:r>
      <w:r w:rsidR="008A179E" w:rsidRPr="0070699C">
        <w:rPr>
          <w:rFonts w:ascii="Times New Roman" w:eastAsia="Times New Roman" w:hAnsi="Times New Roman" w:cs="Times New Roman"/>
          <w:szCs w:val="24"/>
          <w:lang w:val="en-US"/>
        </w:rPr>
        <w:instrText>ADDIN CSL_CITATION {"citationItems":[{"id":"ITEM-1","itemData":{"DOI":"10.1108/EJIM-03-2024-0317","ISSN":"1460-1060","abstract":"This multidisciplinary study investigates the transformative role of Generative Artificial Intelligence (Gen-AI) in the digital content marketing (DCM) domain through the lens of the Resource-Based View (RBV). The research examines Gen-AI's impact on DCM strategies and practices, including ethical, legal, and professional implications, thereby highlighting the interplay between rapidly accessible AI solutions and distinctive internal assets that are difficult for competitors to replicate.A Delphi method was employed through a panel of 14 experts to formulate consensus-based recommendations for stakeholders in key areas of content marketing, covering Gen-AI's benefits, content quality and creativity, DCM strategies, ethical and legal considerations, and future technological developments. This expert-based process was combined with an RBV-oriented theoretical framework and a critical review of extant literature, providing a structured approach to capturing how Gen-AI adoption intersects with an organization's unique resources and capabilities.The findings underscore Gen-AI's advantages in augmenting efficiency, innovation, and customization in content creation, emphasizing the growing need for AI-focused skill development, particularly “prompt engineering.” However, the real source of competitive advantage emerges not merely from adopting new technologies, but from integrating them with proprietary data, specialized know-how, and a culture of innovation. The RBV framework elucidates how these intangible resources, when effectively harnessed and preserved in a dynamic context, foster strategies capable of sustaining a durable competitive edge in DCM.The study contributes to both theory and practice by merging the insights of the RBV with the evolving landscape of Gen-AI in DCM. It is among the first to provide a comprehensive framework that illustrates how AI-centric innovations, combined with hard-to-imitate organizational assets, can reinforce long-term strategic benefits. The recommendations derived from the Delphi process offer valuable guidance for stakeholders seeking to navigate the Gen-AI landscape responsibly, ensuring that ethical and legal considerations remain central to a robust and future-oriented DCM strategy.","author":[{"dropping-particle":"","family":"Lanfranchi","given":"Giuseppe","non-dropping-particle":"","parse-names":false,"suffix":""},{"dropping-particle":"","family":"Cioli","given":"Alessandra","non-dropping-particle":"","parse-names":false,"suffix":""},{"dropping-particle":"","family":"Amanti","given":"Andrea","non-dropping-particle":"","parse-names":false,"suffix":""},{"dropping-particle":"","family":"Marinelli","given":"Luca","non-dropping-particle":"","parse-names":false,"suffix":""}],"container-title":"European Journal of Innovation Management","id":"ITEM-1","issued":{"date-parts":[["2025","9","23"]]},"page":"1-29","title":"Reconfiguring competitive advantage: a resource dynamic framework for generative AI adoption in digital content marketing","type":"article-journal"},"uris":["http://www.mendeley.com/documents/?uuid=597dc485-b9aa-43f7-81af-4604e8903745"]},{"id":"ITEM-2","itemData":{"ISSN":"2830-2508","author":[{"dropping-particle":"","family":"Alifia","given":"Shavina","non-dropping-particle":"","parse-names":false,"suffix":""},{"dropping-particle":"","family":"Dalimunthe","given":"Gallang Perdana","non-dropping-particle":"","parse-names":false,"suffix":""}],"container-title":"International Journal of Economics and Management Research","id":"ITEM-2","issue":"3","issued":{"date-parts":[["2024"]]},"page":"286-296","title":"Operationalisation of Internal Analysis Using The Vrio Framework: Assessing Resource and Capability Management in A Bandung-Based Coffee Business (Case Study: Kopi Anjis)","type":"article-journal","volume":"3"},"uris":["http://www.mendeley.com/documents/?uuid=2e285759-1209-400e-8836-28a0c9fd226a"]}],"mendeley":{"formattedCitation":"(Alifia &amp; Dalimunthe, 2024; Lanfranchi et al., 2025)","plainTextFormattedCitation":"(Alifia &amp; Dalimunthe, 2024; Lanfranchi et al., 2025)","previouslyFormattedCitation":"(Alifia &amp; Dalimunthe, 2024; Lanfranchi et al., 2025)"},"properties":{"noteIndex":0},"schema":"https://github.com/citation-style-language/schema/raw/master/csl-citation.json"}</w:instrText>
      </w:r>
      <w:r w:rsidR="008A179E" w:rsidRPr="0070699C">
        <w:rPr>
          <w:rFonts w:ascii="Times New Roman" w:eastAsia="Times New Roman" w:hAnsi="Times New Roman" w:cs="Times New Roman"/>
          <w:szCs w:val="24"/>
          <w:lang w:val="en-US"/>
        </w:rPr>
        <w:fldChar w:fldCharType="separate"/>
      </w:r>
      <w:r w:rsidR="008A179E" w:rsidRPr="0070699C">
        <w:rPr>
          <w:rFonts w:ascii="Times New Roman" w:eastAsia="Times New Roman" w:hAnsi="Times New Roman" w:cs="Times New Roman"/>
          <w:noProof/>
          <w:szCs w:val="24"/>
          <w:lang w:val="en-US"/>
        </w:rPr>
        <w:t>(Alifia &amp; Dalimunthe, 2024; Lanfranchi et al., 2025)</w:t>
      </w:r>
      <w:r w:rsidR="008A179E" w:rsidRPr="0070699C">
        <w:rPr>
          <w:rFonts w:ascii="Times New Roman" w:eastAsia="Times New Roman" w:hAnsi="Times New Roman" w:cs="Times New Roman"/>
          <w:szCs w:val="24"/>
          <w:lang w:val="en-US"/>
        </w:rPr>
        <w:fldChar w:fldCharType="end"/>
      </w:r>
      <w:r w:rsidR="00A70F1D" w:rsidRPr="0070699C">
        <w:rPr>
          <w:rFonts w:ascii="Times New Roman" w:eastAsia="Times New Roman" w:hAnsi="Times New Roman" w:cs="Times New Roman"/>
          <w:szCs w:val="24"/>
          <w:lang w:val="en-US"/>
        </w:rPr>
        <w:t xml:space="preserve">. </w:t>
      </w:r>
    </w:p>
    <w:p w14:paraId="13222EAB" w14:textId="78A9F807" w:rsidR="00A70F1D" w:rsidRPr="0070699C" w:rsidRDefault="003F15BC" w:rsidP="00A70F1D">
      <w:p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Balanced Scorecard enhanced synthesis. I based my KPIs on my PESTEL/VRIO results since the BSC scholarship focuses on its development and cautions that poor design may lead to having metrics lacking strategy. Economic pressure influences margin resilience and cash generation, legal/social scrutiny influences perception of trust and safety and regulatory risk influences the quality of release, recalls closure time and process of compliance, and the software-defined vehicle race influences talent/data capability. I also got to know how to write line of sight sentences that directly connect external pressure to inner ability and quantifiable display </w:t>
      </w:r>
      <w:r w:rsidR="008A179E" w:rsidRPr="0070699C">
        <w:rPr>
          <w:rFonts w:ascii="Times New Roman" w:eastAsia="Times New Roman" w:hAnsi="Times New Roman" w:cs="Times New Roman"/>
          <w:szCs w:val="24"/>
          <w:lang w:val="en-US"/>
        </w:rPr>
        <w:fldChar w:fldCharType="begin" w:fldLock="1"/>
      </w:r>
      <w:r w:rsidR="008A179E" w:rsidRPr="0070699C">
        <w:rPr>
          <w:rFonts w:ascii="Times New Roman" w:eastAsia="Times New Roman" w:hAnsi="Times New Roman" w:cs="Times New Roman"/>
          <w:szCs w:val="24"/>
          <w:lang w:val="en-US"/>
        </w:rPr>
        <w:instrText>ADDIN CSL_CITATION {"citationItems":[{"id":"ITEM-1","itemData":{"DOI":"10.1007/s11846-023-00700-6","ISSN":"1863-6691","abstract":"Balanced scorecard (BSC) is widely studied and practiced. As research on the BSC has matured since its introduction in 1992, it is timely to assess its progress and outline future directions. This study synthesizes extant research and presents avenues to advance the BSC. To accomplish these objectives, we undertake a review employing a bibliometric and systematic methodology on a corpus of 1294 BSC-related studies. The review reveals that the more than 30-year history of BSC research has followed a bell-curve trajectory, with publications appearing in high-quality, multidisciplinary journals and contributions from numerous author groups worldwide. Moreover, the review highlights the evolution of major themes and topics on the BSC, encompassing customer orientation, financial management, integrated reporting, strategic performance management, sustainable development, and systems thinking. Sustainability BSC has also gained prominence due to sustainability firmly establishing itself as a global agenda and grand challenge. Taken collectively, this review serves as a one-stop resource for gaining a state-of-the-art understanding of the trends, developments, and future directions of the BSC.","author":[{"dropping-particle":"","family":"Kumar","given":"Satish","non-dropping-particle":"","parse-names":false,"suffix":""},{"dropping-particle":"","family":"Lim","given":"Weng Marc","non-dropping-particle":"","parse-names":false,"suffix":""},{"dropping-particle":"","family":"Sureka","given":"Riya","non-dropping-particle":"","parse-names":false,"suffix":""},{"dropping-particle":"","family":"Jabbour","given":"Charbel Jose Chiappetta","non-dropping-particle":"","parse-names":false,"suffix":""},{"dropping-particle":"","family":"Bamel","given":"Umesh","non-dropping-particle":"","parse-names":false,"suffix":""}],"container-title":"Review of Managerial Science","id":"ITEM-1","issue":"8","issued":{"date-parts":[["2024"]]},"page":"2397-2439","title":"Balanced scorecard: trends, developments, and future directions","type":"article-journal","volume":"18"},"uris":["http://www.mendeley.com/documents/?uuid=3a678b07-3f59-4a33-96a4-99e7974d34ca"]},{"id":"ITEM-2","itemData":{"DOI":"https://doi.org/10.1016/j.bushor.2022.03.005","ISSN":"0007-6813","abstract":"The balanced scorecard (BSC) is one of the most influential strategy implementation and control tools of the past 75 years, but data regarding the BSC’s impact on firm performance is mixed. In this work, we go beyond anecdotal evidence to take stock of the practical impact the BSC has had, synthesize available qualitative and quantitative data on the relationship between BSC adoption and firm performance, and investigate the conditions under which the BSC has been found to be a successful strategy implementation tool. Based on the evidence, we then provide several recommendations on how to maximize the value of BSC adoption. These recommendations are centered on an apparent paradox: While the BSC is a tool for effective strategy implementation, it must itself be effectively implemented to deliver on its potential.","author":[{"dropping-particle":"","family":"Tawse","given":"Alex","non-dropping-particle":"","parse-names":false,"suffix":""},{"dropping-particle":"","family":"Tabesh","given":"Pooya","non-dropping-particle":"","parse-names":false,"suffix":""}],"container-title":"Business Horizons","id":"ITEM-2","issue":"1","issued":{"date-parts":[["2023"]]},"page":"123-132","title":"Thirty years with the balanced scorecard: What we have learned","type":"article-journal","volume":"66"},"uris":["http://www.mendeley.com/documents/?uuid=84dae362-6ca5-40b8-8f4f-90e2eea973b7"]}],"mendeley":{"formattedCitation":"(Kumar et al., 2024; Tawse &amp; Tabesh, 2023)","plainTextFormattedCitation":"(Kumar et al., 2024; Tawse &amp; Tabesh, 2023)","previouslyFormattedCitation":"(Kumar et al., 2024; Tawse &amp; Tabesh, 2023)"},"properties":{"noteIndex":0},"schema":"https://github.com/citation-style-language/schema/raw/master/csl-citation.json"}</w:instrText>
      </w:r>
      <w:r w:rsidR="008A179E" w:rsidRPr="0070699C">
        <w:rPr>
          <w:rFonts w:ascii="Times New Roman" w:eastAsia="Times New Roman" w:hAnsi="Times New Roman" w:cs="Times New Roman"/>
          <w:szCs w:val="24"/>
          <w:lang w:val="en-US"/>
        </w:rPr>
        <w:fldChar w:fldCharType="separate"/>
      </w:r>
      <w:r w:rsidR="008A179E" w:rsidRPr="0070699C">
        <w:rPr>
          <w:rFonts w:ascii="Times New Roman" w:eastAsia="Times New Roman" w:hAnsi="Times New Roman" w:cs="Times New Roman"/>
          <w:noProof/>
          <w:szCs w:val="24"/>
          <w:lang w:val="en-US"/>
        </w:rPr>
        <w:t>(Kumar et al., 2024; Tawse &amp; Tabesh, 2023)</w:t>
      </w:r>
      <w:r w:rsidR="008A179E" w:rsidRPr="0070699C">
        <w:rPr>
          <w:rFonts w:ascii="Times New Roman" w:eastAsia="Times New Roman" w:hAnsi="Times New Roman" w:cs="Times New Roman"/>
          <w:szCs w:val="24"/>
          <w:lang w:val="en-US"/>
        </w:rPr>
        <w:fldChar w:fldCharType="end"/>
      </w:r>
      <w:r w:rsidR="00A70F1D" w:rsidRPr="0070699C">
        <w:rPr>
          <w:rFonts w:ascii="Times New Roman" w:eastAsia="Times New Roman" w:hAnsi="Times New Roman" w:cs="Times New Roman"/>
          <w:szCs w:val="24"/>
          <w:lang w:val="en-US"/>
        </w:rPr>
        <w:t>.</w:t>
      </w:r>
    </w:p>
    <w:p w14:paraId="21650F85" w14:textId="40040ACC" w:rsidR="00A70F1D" w:rsidRPr="0070699C" w:rsidRDefault="003F15BC" w:rsidP="00A70F1D">
      <w:p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Scholars learnt to deal with conflicting information. With the industry recording good growth, company filings focus on cyclicality and price pressure. I based my argument on policy sensitivity, cost curves and competitive intensity, using forecasts as scenarios. Limiting evidence, counter-arguments (what would make this wrong?), and not being a heroic defender of the truth all enhanced my criticality </w:t>
      </w:r>
      <w:r w:rsidR="008A179E" w:rsidRPr="0070699C">
        <w:rPr>
          <w:rFonts w:ascii="Times New Roman" w:eastAsia="Times New Roman" w:hAnsi="Times New Roman" w:cs="Times New Roman"/>
          <w:szCs w:val="24"/>
          <w:lang w:val="en-US"/>
        </w:rPr>
        <w:fldChar w:fldCharType="begin" w:fldLock="1"/>
      </w:r>
      <w:r w:rsidR="008A179E" w:rsidRPr="0070699C">
        <w:rPr>
          <w:rFonts w:ascii="Times New Roman" w:eastAsia="Times New Roman" w:hAnsi="Times New Roman" w:cs="Times New Roman"/>
          <w:szCs w:val="24"/>
          <w:lang w:val="en-US"/>
        </w:rPr>
        <w:instrText>ADDIN CSL_CITATION {"citationItems":[{"id":"ITEM-1","itemData":{"URL":"https://www.iea.org/reports/global-ev-outlook-2025/executive-summary","accessed":{"date-parts":[["2026","3","7"]]},"author":[{"dropping-particle":"","family":"IEA","given":"","non-dropping-particle":"","parse-names":false,"suffix":""}],"id":"ITEM-1","issued":{"date-parts":[["2025"]]},"title":"Electric car sales continue to break records globally, particularly in China and other emerging economies","type":"webpage"},"uris":["http://www.mendeley.com/documents/?uuid=6628ef97-7d3e-4ede-a8b5-bb1714b884b8"]},{"id":"ITEM-2","itemData":{"URL":"https://www.sec.gov/Archives/edgar/data/1318605/000162828025003063/tsla-20241231.htm","accessed":{"date-parts":[["2025","12","18"]]},"author":[{"dropping-particle":"","family":"SEC.GOV","given":"","non-dropping-particle":"","parse-names":false,"suffix":""}],"id":"ITEM-2","issued":{"date-parts":[["2024"]]},"title":"UNITED STATES SECURITIES AND EXCHANGE COMMISSION","type":"webpage"},"uris":["http://www.mendeley.com/documents/?uuid=18ccc39c-e964-49fe-8b80-236e86750459"]}],"mendeley":{"formattedCitation":"(IEA, 2025a; SEC.GOV, 2024)","plainTextFormattedCitation":"(IEA, 2025a; SEC.GOV, 2024)","previouslyFormattedCitation":"(IEA, 2025a; SEC.GOV, 2024)"},"properties":{"noteIndex":0},"schema":"https://github.com/citation-style-language/schema/raw/master/csl-citation.json"}</w:instrText>
      </w:r>
      <w:r w:rsidR="008A179E" w:rsidRPr="0070699C">
        <w:rPr>
          <w:rFonts w:ascii="Times New Roman" w:eastAsia="Times New Roman" w:hAnsi="Times New Roman" w:cs="Times New Roman"/>
          <w:szCs w:val="24"/>
          <w:lang w:val="en-US"/>
        </w:rPr>
        <w:fldChar w:fldCharType="separate"/>
      </w:r>
      <w:r w:rsidR="008A179E" w:rsidRPr="0070699C">
        <w:rPr>
          <w:rFonts w:ascii="Times New Roman" w:eastAsia="Times New Roman" w:hAnsi="Times New Roman" w:cs="Times New Roman"/>
          <w:noProof/>
          <w:szCs w:val="24"/>
          <w:lang w:val="en-US"/>
        </w:rPr>
        <w:t>(IEA, 2025a; SEC.GOV, 2024)</w:t>
      </w:r>
      <w:r w:rsidR="008A179E" w:rsidRPr="0070699C">
        <w:rPr>
          <w:rFonts w:ascii="Times New Roman" w:eastAsia="Times New Roman" w:hAnsi="Times New Roman" w:cs="Times New Roman"/>
          <w:szCs w:val="24"/>
          <w:lang w:val="en-US"/>
        </w:rPr>
        <w:fldChar w:fldCharType="end"/>
      </w:r>
      <w:r w:rsidR="00A70F1D" w:rsidRPr="0070699C">
        <w:rPr>
          <w:rFonts w:ascii="Times New Roman" w:eastAsia="Times New Roman" w:hAnsi="Times New Roman" w:cs="Times New Roman"/>
          <w:szCs w:val="24"/>
          <w:lang w:val="en-US"/>
        </w:rPr>
        <w:t>.</w:t>
      </w:r>
    </w:p>
    <w:p w14:paraId="3D111A0A" w14:textId="632092F6" w:rsidR="00A70F1D" w:rsidRPr="0070699C" w:rsidRDefault="0070699C" w:rsidP="00421A20">
      <w:p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The other Level 7 learning was academic craft. I ceased to report, and started synthesising: I would contrast the risks of 10K with the tendencies in IEA systems and would make a statement of strategy and measurement implication. To avoid falling in to plagiarism inadvertently, I would save all the citation details as I read it and immediately write it in my own words. My word-counting budgeting also made me remove the paragraphs, which would not add to the argument without being lost </w:t>
      </w:r>
      <w:r w:rsidR="008A179E" w:rsidRPr="0070699C">
        <w:rPr>
          <w:rFonts w:ascii="Times New Roman" w:eastAsia="Times New Roman" w:hAnsi="Times New Roman" w:cs="Times New Roman"/>
          <w:szCs w:val="24"/>
          <w:lang w:val="en-US"/>
        </w:rPr>
        <w:fldChar w:fldCharType="begin" w:fldLock="1"/>
      </w:r>
      <w:r w:rsidR="008A179E" w:rsidRPr="0070699C">
        <w:rPr>
          <w:rFonts w:ascii="Times New Roman" w:eastAsia="Times New Roman" w:hAnsi="Times New Roman" w:cs="Times New Roman"/>
          <w:szCs w:val="24"/>
          <w:lang w:val="en-US"/>
        </w:rPr>
        <w:instrText>ADDIN CSL_CITATION {"citationItems":[{"id":"ITEM-1","itemData":{"URL":"https://www.sec.gov/Archives/edgar/data/1318605/000162828025003063/tsla-20241231.htm","accessed":{"date-parts":[["2025","12","18"]]},"author":[{"dropping-particle":"","family":"SEC.GOV","given":"","non-dropping-particle":"","parse-names":false,"suffix":""}],"id":"ITEM-1","issued":{"date-parts":[["2024"]]},"title":"UNITED STATES SECURITIES AND EXCHANGE COMMISSION","type":"webpage"},"uris":["http://www.mendeley.com/documents/?uuid=18ccc39c-e964-49fe-8b80-236e86750459"]},{"id":"ITEM-2","itemData":{"abstract":"The Global EV Outlook is an annual publication that reports on recent developments in electric mobility around the world. It is developed with the support of members of the Electric Vehicles Initiative (EVI). The report draws on the latest data to assess trends in electric vehicle deployment, demand for their batteries and charging infrastructure. It considers recent policy developments and industry strategies shaping the outlook for electric vehicles in different markets. This edition features analysis of electric vehicle affordability, manufacturing and trade of electric cars and their batteries, and the total cost of ownership of electric heavy-duty trucks across various markets, and makes projections to 2030. The report is complemented by updated versions of two online tools: the Global EV Data Explorer and the Global EV Policy Explorer, which allow users to further explore EV statistics and projections, and policy measures worldwide.","author":[{"dropping-particle":"","family":"IEA","given":"","non-dropping-particle":"","parse-names":false,"suffix":""}],"id":"ITEM-2","issued":{"date-parts":[["2025"]]},"page":"1-173","title":"Global EV Outlook 2025 Expanding sales in diverse markets","type":"article-journal"},"uris":["http://www.mendeley.com/documents/?uuid=e0c82964-be5f-4a65-93c7-23d9f28606bb"]}],"mendeley":{"formattedCitation":"(IEA, 2025d; SEC.GOV, 2024)","plainTextFormattedCitation":"(IEA, 2025d; SEC.GOV, 2024)","previouslyFormattedCitation":"(SEC.GOV, 2024)"},"properties":{"noteIndex":0},"schema":"https://github.com/citation-style-language/schema/raw/master/csl-citation.json"}</w:instrText>
      </w:r>
      <w:r w:rsidR="008A179E" w:rsidRPr="0070699C">
        <w:rPr>
          <w:rFonts w:ascii="Times New Roman" w:eastAsia="Times New Roman" w:hAnsi="Times New Roman" w:cs="Times New Roman"/>
          <w:szCs w:val="24"/>
          <w:lang w:val="en-US"/>
        </w:rPr>
        <w:fldChar w:fldCharType="separate"/>
      </w:r>
      <w:r w:rsidR="008A179E" w:rsidRPr="0070699C">
        <w:rPr>
          <w:rFonts w:ascii="Times New Roman" w:eastAsia="Times New Roman" w:hAnsi="Times New Roman" w:cs="Times New Roman"/>
          <w:noProof/>
          <w:szCs w:val="24"/>
          <w:lang w:val="en-US"/>
        </w:rPr>
        <w:t>(IEA, 2025d; SEC.GOV, 2024)</w:t>
      </w:r>
      <w:r w:rsidR="008A179E" w:rsidRPr="0070699C">
        <w:rPr>
          <w:rFonts w:ascii="Times New Roman" w:eastAsia="Times New Roman" w:hAnsi="Times New Roman" w:cs="Times New Roman"/>
          <w:szCs w:val="24"/>
          <w:lang w:val="en-US"/>
        </w:rPr>
        <w:fldChar w:fldCharType="end"/>
      </w:r>
      <w:r w:rsidR="00A70F1D" w:rsidRPr="0070699C">
        <w:rPr>
          <w:rFonts w:ascii="Times New Roman" w:eastAsia="Times New Roman" w:hAnsi="Times New Roman" w:cs="Times New Roman"/>
          <w:szCs w:val="24"/>
          <w:lang w:val="en-US"/>
        </w:rPr>
        <w:t>.</w:t>
      </w:r>
    </w:p>
    <w:p w14:paraId="5C665BDC" w14:textId="74F05300" w:rsidR="00B1443A" w:rsidRPr="0070699C" w:rsidRDefault="00A70F1D" w:rsidP="00B1443A">
      <w:pPr>
        <w:pStyle w:val="Heading2"/>
        <w:rPr>
          <w:rFonts w:eastAsia="Times New Roman"/>
        </w:rPr>
      </w:pPr>
      <w:bookmarkStart w:id="41" w:name="_Toc223992313"/>
      <w:r w:rsidRPr="0070699C">
        <w:rPr>
          <w:rFonts w:eastAsia="Times New Roman"/>
        </w:rPr>
        <w:t>Conclusion</w:t>
      </w:r>
      <w:bookmarkEnd w:id="41"/>
    </w:p>
    <w:p w14:paraId="5420B85D" w14:textId="5CA42759" w:rsidR="00A70F1D" w:rsidRPr="0070699C" w:rsidRDefault="0070699C" w:rsidP="00421A20">
      <w:p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This allowed me to discover that strategic analysis is more a matter of making defensible evidence-based argument than the right story. The Balanced Scorecard also helped me to relate macro forces to internal strength and quantifiable action against displaying tools separately. I also had an opportunity to learn that sustainability assertions must be quantified in lifecycle and governance measures and not mission statements. The biggest weakness that I have is that I keep defining technology without considering the organizational practice and stakeholder validity. I will need to clarify uncertainty: there are certain (filings, regulation, audited metrics), and probable (forecasts, adoption speed). The fact that it requires being critical means that it should be balanced, clear in terms of trade-offs and that it should be transparent about the quality of the evidence</w:t>
      </w:r>
      <w:r w:rsidR="00A70F1D" w:rsidRPr="0070699C">
        <w:rPr>
          <w:rFonts w:ascii="Times New Roman" w:eastAsia="Times New Roman" w:hAnsi="Times New Roman" w:cs="Times New Roman"/>
          <w:szCs w:val="24"/>
          <w:lang w:val="en-US"/>
        </w:rPr>
        <w:t>.</w:t>
      </w:r>
    </w:p>
    <w:p w14:paraId="749CEA0E" w14:textId="07004BEC" w:rsidR="00B1443A" w:rsidRPr="0070699C" w:rsidRDefault="00A70F1D" w:rsidP="00B1443A">
      <w:pPr>
        <w:pStyle w:val="Heading2"/>
        <w:rPr>
          <w:rFonts w:eastAsia="Times New Roman"/>
        </w:rPr>
      </w:pPr>
      <w:bookmarkStart w:id="42" w:name="_Toc223992314"/>
      <w:r w:rsidRPr="0070699C">
        <w:rPr>
          <w:rFonts w:eastAsia="Times New Roman"/>
        </w:rPr>
        <w:t>Action plan</w:t>
      </w:r>
      <w:bookmarkEnd w:id="42"/>
    </w:p>
    <w:p w14:paraId="76BA8017" w14:textId="77777777" w:rsidR="00B1443A" w:rsidRPr="0070699C" w:rsidRDefault="00A70F1D" w:rsidP="00A70F1D">
      <w:p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Next time I will:</w:t>
      </w:r>
    </w:p>
    <w:p w14:paraId="7CFCE75F" w14:textId="77777777" w:rsidR="00421A20" w:rsidRPr="0070699C" w:rsidRDefault="00421A20" w:rsidP="00421A20">
      <w:pPr>
        <w:pStyle w:val="ListParagraph"/>
        <w:numPr>
          <w:ilvl w:val="0"/>
          <w:numId w:val="12"/>
        </w:num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Every paragraph is relevant by starting with a narrow question, such as How can Tesla maintain an edge in the face of price warfare and regulatory inspection? </w:t>
      </w:r>
    </w:p>
    <w:p w14:paraId="0D45149C" w14:textId="77777777" w:rsidR="00421A20" w:rsidRPr="0070699C" w:rsidRDefault="00421A20" w:rsidP="00421A20">
      <w:pPr>
        <w:pStyle w:val="ListParagraph"/>
        <w:numPr>
          <w:ilvl w:val="0"/>
          <w:numId w:val="12"/>
        </w:num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lastRenderedPageBreak/>
        <w:t xml:space="preserve">Develop early an annotated bibliography and indicate credibility, approach, and risk of bias. </w:t>
      </w:r>
    </w:p>
    <w:p w14:paraId="2E346A22" w14:textId="77777777" w:rsidR="00421A20" w:rsidRPr="0070699C" w:rsidRDefault="00421A20" w:rsidP="00421A20">
      <w:pPr>
        <w:pStyle w:val="ListParagraph"/>
        <w:numPr>
          <w:ilvl w:val="0"/>
          <w:numId w:val="12"/>
        </w:num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Apply a triangulation rule (one main and one independent industry/academic source of each major claim). </w:t>
      </w:r>
    </w:p>
    <w:p w14:paraId="2BD85C71" w14:textId="77777777" w:rsidR="00421A20" w:rsidRPr="0070699C" w:rsidRDefault="00421A20" w:rsidP="00421A20">
      <w:pPr>
        <w:pStyle w:val="ListParagraph"/>
        <w:numPr>
          <w:ilvl w:val="0"/>
          <w:numId w:val="12"/>
        </w:num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Write narrative after logic is clearly known, draft tables (PESTEL priorities, VRIO judgements, BSC KPIs) first. </w:t>
      </w:r>
    </w:p>
    <w:p w14:paraId="265F1679" w14:textId="77777777" w:rsidR="00421A20" w:rsidRPr="0070699C" w:rsidRDefault="00421A20" w:rsidP="00421A20">
      <w:pPr>
        <w:pStyle w:val="ListParagraph"/>
        <w:numPr>
          <w:ilvl w:val="0"/>
          <w:numId w:val="12"/>
        </w:num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Improve critical writing with counter-case sentences and limits sentences at the beginning of every subsection. </w:t>
      </w:r>
    </w:p>
    <w:p w14:paraId="28EDD502" w14:textId="77777777" w:rsidR="00421A20" w:rsidRPr="0070699C" w:rsidRDefault="00421A20" w:rsidP="00421A20">
      <w:pPr>
        <w:pStyle w:val="ListParagraph"/>
        <w:numPr>
          <w:ilvl w:val="0"/>
          <w:numId w:val="12"/>
        </w:num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 xml:space="preserve">Make a final audit of claim-evidence to remove unsubstantiated claims. </w:t>
      </w:r>
    </w:p>
    <w:p w14:paraId="064DB39C" w14:textId="47117848" w:rsidR="00A70F1D" w:rsidRPr="0070699C" w:rsidRDefault="00421A20" w:rsidP="00421A20">
      <w:pPr>
        <w:pStyle w:val="ListParagraph"/>
        <w:numPr>
          <w:ilvl w:val="0"/>
          <w:numId w:val="12"/>
        </w:numPr>
        <w:spacing w:before="100" w:beforeAutospacing="1" w:after="100" w:afterAutospacing="1" w:line="240" w:lineRule="auto"/>
        <w:rPr>
          <w:rFonts w:ascii="Times New Roman" w:eastAsia="Times New Roman" w:hAnsi="Times New Roman" w:cs="Times New Roman"/>
          <w:szCs w:val="24"/>
          <w:lang w:val="en-US"/>
        </w:rPr>
      </w:pPr>
      <w:r w:rsidRPr="0070699C">
        <w:rPr>
          <w:rFonts w:ascii="Times New Roman" w:eastAsia="Times New Roman" w:hAnsi="Times New Roman" w:cs="Times New Roman"/>
          <w:szCs w:val="24"/>
          <w:lang w:val="en-US"/>
        </w:rPr>
        <w:t>Check recency (5 years suggested) and paraphrase correctly to avoid overclaiming</w:t>
      </w:r>
      <w:r w:rsidR="00A70F1D" w:rsidRPr="0070699C">
        <w:rPr>
          <w:rFonts w:ascii="Times New Roman" w:eastAsia="Times New Roman" w:hAnsi="Times New Roman" w:cs="Times New Roman"/>
          <w:szCs w:val="24"/>
          <w:lang w:val="en-US"/>
        </w:rPr>
        <w:t>.</w:t>
      </w:r>
    </w:p>
    <w:p w14:paraId="3992A010" w14:textId="0EBF8A04" w:rsidR="00B1443A" w:rsidRPr="0070699C" w:rsidRDefault="00B1443A" w:rsidP="00B1443A">
      <w:pPr>
        <w:spacing w:before="100" w:beforeAutospacing="1" w:after="100" w:afterAutospacing="1" w:line="240" w:lineRule="auto"/>
        <w:rPr>
          <w:rFonts w:ascii="Times New Roman" w:eastAsia="Times New Roman" w:hAnsi="Times New Roman" w:cs="Times New Roman"/>
          <w:szCs w:val="24"/>
          <w:lang w:val="en-US"/>
        </w:rPr>
      </w:pPr>
    </w:p>
    <w:p w14:paraId="651E72D3" w14:textId="5C27EB68" w:rsidR="00B1443A" w:rsidRPr="0070699C" w:rsidRDefault="00B1443A" w:rsidP="00B1443A">
      <w:pPr>
        <w:spacing w:before="100" w:beforeAutospacing="1" w:after="100" w:afterAutospacing="1" w:line="240" w:lineRule="auto"/>
        <w:rPr>
          <w:rFonts w:ascii="Times New Roman" w:eastAsia="Times New Roman" w:hAnsi="Times New Roman" w:cs="Times New Roman"/>
          <w:szCs w:val="24"/>
          <w:lang w:val="en-US"/>
        </w:rPr>
      </w:pPr>
    </w:p>
    <w:p w14:paraId="027EDE0F" w14:textId="77777777" w:rsidR="00B1443A" w:rsidRPr="0070699C" w:rsidRDefault="00B1443A" w:rsidP="00B1443A">
      <w:pPr>
        <w:spacing w:before="100" w:beforeAutospacing="1" w:after="100" w:afterAutospacing="1" w:line="240" w:lineRule="auto"/>
        <w:rPr>
          <w:rFonts w:ascii="Times New Roman" w:eastAsia="Times New Roman" w:hAnsi="Times New Roman" w:cs="Times New Roman"/>
          <w:szCs w:val="24"/>
          <w:lang w:val="en-US"/>
        </w:rPr>
      </w:pPr>
    </w:p>
    <w:tbl>
      <w:tblPr>
        <w:tblW w:w="9340" w:type="dxa"/>
        <w:tblLook w:val="04A0" w:firstRow="1" w:lastRow="0" w:firstColumn="1" w:lastColumn="0" w:noHBand="0" w:noVBand="1"/>
      </w:tblPr>
      <w:tblGrid>
        <w:gridCol w:w="1468"/>
        <w:gridCol w:w="3162"/>
        <w:gridCol w:w="1425"/>
        <w:gridCol w:w="2013"/>
        <w:gridCol w:w="1272"/>
      </w:tblGrid>
      <w:tr w:rsidR="00B1443A" w:rsidRPr="0070699C" w14:paraId="20AEE21A" w14:textId="77777777" w:rsidTr="00B1443A">
        <w:trPr>
          <w:trHeight w:val="900"/>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811C5C" w14:textId="77777777" w:rsidR="00B1443A" w:rsidRPr="0070699C" w:rsidRDefault="00B1443A" w:rsidP="00B1443A">
            <w:pPr>
              <w:spacing w:after="0" w:line="240" w:lineRule="auto"/>
              <w:jc w:val="center"/>
              <w:rPr>
                <w:rFonts w:ascii="Calibri" w:eastAsia="Times New Roman" w:hAnsi="Calibri" w:cs="Calibri"/>
                <w:b/>
                <w:bCs/>
                <w:color w:val="000000"/>
                <w:sz w:val="22"/>
                <w:lang w:val="en-US"/>
              </w:rPr>
            </w:pPr>
            <w:r w:rsidRPr="0070699C">
              <w:rPr>
                <w:rFonts w:ascii="Calibri" w:eastAsia="Times New Roman" w:hAnsi="Calibri" w:cs="Calibri"/>
                <w:b/>
                <w:bCs/>
                <w:color w:val="000000"/>
                <w:sz w:val="22"/>
                <w:lang w:val="en-US"/>
              </w:rPr>
              <w:t>Improvement area</w:t>
            </w:r>
          </w:p>
        </w:tc>
        <w:tc>
          <w:tcPr>
            <w:tcW w:w="3378" w:type="dxa"/>
            <w:tcBorders>
              <w:top w:val="single" w:sz="4" w:space="0" w:color="auto"/>
              <w:left w:val="nil"/>
              <w:bottom w:val="single" w:sz="4" w:space="0" w:color="auto"/>
              <w:right w:val="single" w:sz="4" w:space="0" w:color="auto"/>
            </w:tcBorders>
            <w:shd w:val="clear" w:color="auto" w:fill="auto"/>
            <w:vAlign w:val="center"/>
            <w:hideMark/>
          </w:tcPr>
          <w:p w14:paraId="1E29BD21" w14:textId="77777777" w:rsidR="00B1443A" w:rsidRPr="0070699C" w:rsidRDefault="00B1443A" w:rsidP="00B1443A">
            <w:pPr>
              <w:spacing w:after="0" w:line="240" w:lineRule="auto"/>
              <w:jc w:val="center"/>
              <w:rPr>
                <w:rFonts w:ascii="Calibri" w:eastAsia="Times New Roman" w:hAnsi="Calibri" w:cs="Calibri"/>
                <w:b/>
                <w:bCs/>
                <w:color w:val="000000"/>
                <w:sz w:val="22"/>
                <w:lang w:val="en-US"/>
              </w:rPr>
            </w:pPr>
            <w:r w:rsidRPr="0070699C">
              <w:rPr>
                <w:rFonts w:ascii="Calibri" w:eastAsia="Times New Roman" w:hAnsi="Calibri" w:cs="Calibri"/>
                <w:b/>
                <w:bCs/>
                <w:color w:val="000000"/>
                <w:sz w:val="22"/>
                <w:lang w:val="en-US"/>
              </w:rPr>
              <w:t>What I will do next time (specific actions)</w:t>
            </w:r>
          </w:p>
        </w:tc>
        <w:tc>
          <w:tcPr>
            <w:tcW w:w="1459" w:type="dxa"/>
            <w:tcBorders>
              <w:top w:val="single" w:sz="4" w:space="0" w:color="auto"/>
              <w:left w:val="nil"/>
              <w:bottom w:val="single" w:sz="4" w:space="0" w:color="auto"/>
              <w:right w:val="single" w:sz="4" w:space="0" w:color="auto"/>
            </w:tcBorders>
            <w:shd w:val="clear" w:color="auto" w:fill="auto"/>
            <w:vAlign w:val="center"/>
            <w:hideMark/>
          </w:tcPr>
          <w:p w14:paraId="42496E4F" w14:textId="77777777" w:rsidR="00B1443A" w:rsidRPr="0070699C" w:rsidRDefault="00B1443A" w:rsidP="00B1443A">
            <w:pPr>
              <w:spacing w:after="0" w:line="240" w:lineRule="auto"/>
              <w:jc w:val="center"/>
              <w:rPr>
                <w:rFonts w:ascii="Calibri" w:eastAsia="Times New Roman" w:hAnsi="Calibri" w:cs="Calibri"/>
                <w:b/>
                <w:bCs/>
                <w:color w:val="000000"/>
                <w:sz w:val="22"/>
                <w:lang w:val="en-US"/>
              </w:rPr>
            </w:pPr>
            <w:r w:rsidRPr="0070699C">
              <w:rPr>
                <w:rFonts w:ascii="Calibri" w:eastAsia="Times New Roman" w:hAnsi="Calibri" w:cs="Calibri"/>
                <w:b/>
                <w:bCs/>
                <w:color w:val="000000"/>
                <w:sz w:val="22"/>
                <w:lang w:val="en-US"/>
              </w:rPr>
              <w:t>Tools / methods</w:t>
            </w:r>
          </w:p>
        </w:tc>
        <w:tc>
          <w:tcPr>
            <w:tcW w:w="2041" w:type="dxa"/>
            <w:tcBorders>
              <w:top w:val="single" w:sz="4" w:space="0" w:color="auto"/>
              <w:left w:val="nil"/>
              <w:bottom w:val="single" w:sz="4" w:space="0" w:color="auto"/>
              <w:right w:val="single" w:sz="4" w:space="0" w:color="auto"/>
            </w:tcBorders>
            <w:shd w:val="clear" w:color="auto" w:fill="auto"/>
            <w:vAlign w:val="center"/>
            <w:hideMark/>
          </w:tcPr>
          <w:p w14:paraId="1619A5F1" w14:textId="77777777" w:rsidR="00B1443A" w:rsidRPr="0070699C" w:rsidRDefault="00B1443A" w:rsidP="00B1443A">
            <w:pPr>
              <w:spacing w:after="0" w:line="240" w:lineRule="auto"/>
              <w:jc w:val="center"/>
              <w:rPr>
                <w:rFonts w:ascii="Calibri" w:eastAsia="Times New Roman" w:hAnsi="Calibri" w:cs="Calibri"/>
                <w:b/>
                <w:bCs/>
                <w:color w:val="000000"/>
                <w:sz w:val="22"/>
                <w:lang w:val="en-US"/>
              </w:rPr>
            </w:pPr>
            <w:r w:rsidRPr="0070699C">
              <w:rPr>
                <w:rFonts w:ascii="Calibri" w:eastAsia="Times New Roman" w:hAnsi="Calibri" w:cs="Calibri"/>
                <w:b/>
                <w:bCs/>
                <w:color w:val="000000"/>
                <w:sz w:val="22"/>
                <w:lang w:val="en-US"/>
              </w:rPr>
              <w:t>Evidence of improvement (how I will measure it)</w:t>
            </w:r>
          </w:p>
        </w:tc>
        <w:tc>
          <w:tcPr>
            <w:tcW w:w="1086" w:type="dxa"/>
            <w:tcBorders>
              <w:top w:val="single" w:sz="4" w:space="0" w:color="auto"/>
              <w:left w:val="nil"/>
              <w:bottom w:val="single" w:sz="4" w:space="0" w:color="auto"/>
              <w:right w:val="single" w:sz="4" w:space="0" w:color="auto"/>
            </w:tcBorders>
            <w:shd w:val="clear" w:color="auto" w:fill="auto"/>
            <w:vAlign w:val="center"/>
            <w:hideMark/>
          </w:tcPr>
          <w:p w14:paraId="70FFCED6" w14:textId="77777777" w:rsidR="00B1443A" w:rsidRPr="0070699C" w:rsidRDefault="00B1443A" w:rsidP="00B1443A">
            <w:pPr>
              <w:spacing w:after="0" w:line="240" w:lineRule="auto"/>
              <w:jc w:val="center"/>
              <w:rPr>
                <w:rFonts w:ascii="Calibri" w:eastAsia="Times New Roman" w:hAnsi="Calibri" w:cs="Calibri"/>
                <w:b/>
                <w:bCs/>
                <w:color w:val="000000"/>
                <w:sz w:val="22"/>
                <w:lang w:val="en-US"/>
              </w:rPr>
            </w:pPr>
            <w:r w:rsidRPr="0070699C">
              <w:rPr>
                <w:rFonts w:ascii="Calibri" w:eastAsia="Times New Roman" w:hAnsi="Calibri" w:cs="Calibri"/>
                <w:b/>
                <w:bCs/>
                <w:color w:val="000000"/>
                <w:sz w:val="22"/>
                <w:lang w:val="en-US"/>
              </w:rPr>
              <w:t>Timeline</w:t>
            </w:r>
          </w:p>
        </w:tc>
      </w:tr>
      <w:tr w:rsidR="00B1443A" w:rsidRPr="0070699C" w14:paraId="1A2A05BD" w14:textId="77777777" w:rsidTr="00B1443A">
        <w:trPr>
          <w:trHeight w:val="1500"/>
        </w:trPr>
        <w:tc>
          <w:tcPr>
            <w:tcW w:w="1376" w:type="dxa"/>
            <w:tcBorders>
              <w:top w:val="nil"/>
              <w:left w:val="single" w:sz="4" w:space="0" w:color="auto"/>
              <w:bottom w:val="single" w:sz="4" w:space="0" w:color="auto"/>
              <w:right w:val="single" w:sz="4" w:space="0" w:color="auto"/>
            </w:tcBorders>
            <w:shd w:val="clear" w:color="auto" w:fill="auto"/>
            <w:vAlign w:val="center"/>
            <w:hideMark/>
          </w:tcPr>
          <w:p w14:paraId="7024CABF"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Sharpen the focus</w:t>
            </w:r>
          </w:p>
        </w:tc>
        <w:tc>
          <w:tcPr>
            <w:tcW w:w="3378" w:type="dxa"/>
            <w:tcBorders>
              <w:top w:val="nil"/>
              <w:left w:val="nil"/>
              <w:bottom w:val="single" w:sz="4" w:space="0" w:color="auto"/>
              <w:right w:val="single" w:sz="4" w:space="0" w:color="auto"/>
            </w:tcBorders>
            <w:shd w:val="clear" w:color="auto" w:fill="auto"/>
            <w:vAlign w:val="center"/>
            <w:hideMark/>
          </w:tcPr>
          <w:p w14:paraId="4E82F048"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Start with one guiding question (e.g., “How can Tesla sustain advantage under price compression + regulation?”) and write a 5–6 line scope statement.</w:t>
            </w:r>
          </w:p>
        </w:tc>
        <w:tc>
          <w:tcPr>
            <w:tcW w:w="1459" w:type="dxa"/>
            <w:tcBorders>
              <w:top w:val="nil"/>
              <w:left w:val="nil"/>
              <w:bottom w:val="single" w:sz="4" w:space="0" w:color="auto"/>
              <w:right w:val="single" w:sz="4" w:space="0" w:color="auto"/>
            </w:tcBorders>
            <w:shd w:val="clear" w:color="auto" w:fill="auto"/>
            <w:vAlign w:val="center"/>
            <w:hideMark/>
          </w:tcPr>
          <w:p w14:paraId="1048CD68"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Research question + scope boundaries</w:t>
            </w:r>
          </w:p>
        </w:tc>
        <w:tc>
          <w:tcPr>
            <w:tcW w:w="2041" w:type="dxa"/>
            <w:tcBorders>
              <w:top w:val="nil"/>
              <w:left w:val="nil"/>
              <w:bottom w:val="single" w:sz="4" w:space="0" w:color="auto"/>
              <w:right w:val="single" w:sz="4" w:space="0" w:color="auto"/>
            </w:tcBorders>
            <w:shd w:val="clear" w:color="auto" w:fill="auto"/>
            <w:vAlign w:val="center"/>
            <w:hideMark/>
          </w:tcPr>
          <w:p w14:paraId="53FCBAB0"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Clear scope paragraph; fewer “off-topic” paragraphs in draft</w:t>
            </w:r>
          </w:p>
        </w:tc>
        <w:tc>
          <w:tcPr>
            <w:tcW w:w="1086" w:type="dxa"/>
            <w:tcBorders>
              <w:top w:val="nil"/>
              <w:left w:val="nil"/>
              <w:bottom w:val="single" w:sz="4" w:space="0" w:color="auto"/>
              <w:right w:val="single" w:sz="4" w:space="0" w:color="auto"/>
            </w:tcBorders>
            <w:shd w:val="clear" w:color="auto" w:fill="auto"/>
            <w:vAlign w:val="center"/>
            <w:hideMark/>
          </w:tcPr>
          <w:p w14:paraId="2192DCB6"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Day 1</w:t>
            </w:r>
          </w:p>
        </w:tc>
      </w:tr>
      <w:tr w:rsidR="00B1443A" w:rsidRPr="0070699C" w14:paraId="6E33F659" w14:textId="77777777" w:rsidTr="00B1443A">
        <w:trPr>
          <w:trHeight w:val="1500"/>
        </w:trPr>
        <w:tc>
          <w:tcPr>
            <w:tcW w:w="1376" w:type="dxa"/>
            <w:tcBorders>
              <w:top w:val="nil"/>
              <w:left w:val="single" w:sz="4" w:space="0" w:color="auto"/>
              <w:bottom w:val="single" w:sz="4" w:space="0" w:color="auto"/>
              <w:right w:val="single" w:sz="4" w:space="0" w:color="auto"/>
            </w:tcBorders>
            <w:shd w:val="clear" w:color="auto" w:fill="auto"/>
            <w:vAlign w:val="center"/>
            <w:hideMark/>
          </w:tcPr>
          <w:p w14:paraId="592AF269"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Source quality &amp; recency</w:t>
            </w:r>
          </w:p>
        </w:tc>
        <w:tc>
          <w:tcPr>
            <w:tcW w:w="3378" w:type="dxa"/>
            <w:tcBorders>
              <w:top w:val="nil"/>
              <w:left w:val="nil"/>
              <w:bottom w:val="single" w:sz="4" w:space="0" w:color="auto"/>
              <w:right w:val="single" w:sz="4" w:space="0" w:color="auto"/>
            </w:tcBorders>
            <w:shd w:val="clear" w:color="auto" w:fill="auto"/>
            <w:vAlign w:val="center"/>
            <w:hideMark/>
          </w:tcPr>
          <w:p w14:paraId="5FA27C4F"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Build an annotated bibliography early; prioritise ≤5-year sources (journals + IEA/BNEF + regulators + 10-K).</w:t>
            </w:r>
          </w:p>
        </w:tc>
        <w:tc>
          <w:tcPr>
            <w:tcW w:w="1459" w:type="dxa"/>
            <w:tcBorders>
              <w:top w:val="nil"/>
              <w:left w:val="nil"/>
              <w:bottom w:val="single" w:sz="4" w:space="0" w:color="auto"/>
              <w:right w:val="single" w:sz="4" w:space="0" w:color="auto"/>
            </w:tcBorders>
            <w:shd w:val="clear" w:color="auto" w:fill="auto"/>
            <w:vAlign w:val="center"/>
            <w:hideMark/>
          </w:tcPr>
          <w:p w14:paraId="7787DE8D"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Database search + source ranking (A/B/C)</w:t>
            </w:r>
          </w:p>
        </w:tc>
        <w:tc>
          <w:tcPr>
            <w:tcW w:w="2041" w:type="dxa"/>
            <w:tcBorders>
              <w:top w:val="nil"/>
              <w:left w:val="nil"/>
              <w:bottom w:val="single" w:sz="4" w:space="0" w:color="auto"/>
              <w:right w:val="single" w:sz="4" w:space="0" w:color="auto"/>
            </w:tcBorders>
            <w:shd w:val="clear" w:color="auto" w:fill="auto"/>
            <w:vAlign w:val="center"/>
            <w:hideMark/>
          </w:tcPr>
          <w:p w14:paraId="3271D118"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At least 70% sources within 5 years; credible mix (primary + industry + academic)</w:t>
            </w:r>
          </w:p>
        </w:tc>
        <w:tc>
          <w:tcPr>
            <w:tcW w:w="1086" w:type="dxa"/>
            <w:tcBorders>
              <w:top w:val="nil"/>
              <w:left w:val="nil"/>
              <w:bottom w:val="single" w:sz="4" w:space="0" w:color="auto"/>
              <w:right w:val="single" w:sz="4" w:space="0" w:color="auto"/>
            </w:tcBorders>
            <w:shd w:val="clear" w:color="auto" w:fill="auto"/>
            <w:vAlign w:val="center"/>
            <w:hideMark/>
          </w:tcPr>
          <w:p w14:paraId="536F4196"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Days 1–2</w:t>
            </w:r>
          </w:p>
        </w:tc>
      </w:tr>
      <w:tr w:rsidR="00B1443A" w:rsidRPr="0070699C" w14:paraId="7D32CB69" w14:textId="77777777" w:rsidTr="00B1443A">
        <w:trPr>
          <w:trHeight w:val="1500"/>
        </w:trPr>
        <w:tc>
          <w:tcPr>
            <w:tcW w:w="1376" w:type="dxa"/>
            <w:tcBorders>
              <w:top w:val="nil"/>
              <w:left w:val="single" w:sz="4" w:space="0" w:color="auto"/>
              <w:bottom w:val="single" w:sz="4" w:space="0" w:color="auto"/>
              <w:right w:val="single" w:sz="4" w:space="0" w:color="auto"/>
            </w:tcBorders>
            <w:shd w:val="clear" w:color="auto" w:fill="auto"/>
            <w:vAlign w:val="center"/>
            <w:hideMark/>
          </w:tcPr>
          <w:p w14:paraId="5A7EB2E2"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Triangulation discipline</w:t>
            </w:r>
          </w:p>
        </w:tc>
        <w:tc>
          <w:tcPr>
            <w:tcW w:w="3378" w:type="dxa"/>
            <w:tcBorders>
              <w:top w:val="nil"/>
              <w:left w:val="nil"/>
              <w:bottom w:val="single" w:sz="4" w:space="0" w:color="auto"/>
              <w:right w:val="single" w:sz="4" w:space="0" w:color="auto"/>
            </w:tcBorders>
            <w:shd w:val="clear" w:color="auto" w:fill="auto"/>
            <w:vAlign w:val="center"/>
            <w:hideMark/>
          </w:tcPr>
          <w:p w14:paraId="49A1805C"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 xml:space="preserve">Use a triangulation rule: </w:t>
            </w:r>
            <w:r w:rsidRPr="0070699C">
              <w:rPr>
                <w:rFonts w:ascii="Calibri" w:eastAsia="Times New Roman" w:hAnsi="Calibri" w:cs="Calibri"/>
                <w:b/>
                <w:bCs/>
                <w:color w:val="000000"/>
                <w:sz w:val="22"/>
                <w:lang w:val="en-US"/>
              </w:rPr>
              <w:t>each major claim must have</w:t>
            </w:r>
            <w:r w:rsidRPr="0070699C">
              <w:rPr>
                <w:rFonts w:ascii="Calibri" w:eastAsia="Times New Roman" w:hAnsi="Calibri" w:cs="Calibri"/>
                <w:color w:val="000000"/>
                <w:sz w:val="22"/>
                <w:lang w:val="en-US"/>
              </w:rPr>
              <w:t xml:space="preserve"> (i) one primary/official source + (ii) one independent academic/industry source.</w:t>
            </w:r>
          </w:p>
        </w:tc>
        <w:tc>
          <w:tcPr>
            <w:tcW w:w="1459" w:type="dxa"/>
            <w:tcBorders>
              <w:top w:val="nil"/>
              <w:left w:val="nil"/>
              <w:bottom w:val="single" w:sz="4" w:space="0" w:color="auto"/>
              <w:right w:val="single" w:sz="4" w:space="0" w:color="auto"/>
            </w:tcBorders>
            <w:shd w:val="clear" w:color="auto" w:fill="auto"/>
            <w:vAlign w:val="center"/>
            <w:hideMark/>
          </w:tcPr>
          <w:p w14:paraId="53C637B7"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Claim–evidence matrix</w:t>
            </w:r>
          </w:p>
        </w:tc>
        <w:tc>
          <w:tcPr>
            <w:tcW w:w="2041" w:type="dxa"/>
            <w:tcBorders>
              <w:top w:val="nil"/>
              <w:left w:val="nil"/>
              <w:bottom w:val="single" w:sz="4" w:space="0" w:color="auto"/>
              <w:right w:val="single" w:sz="4" w:space="0" w:color="auto"/>
            </w:tcBorders>
            <w:shd w:val="clear" w:color="auto" w:fill="auto"/>
            <w:vAlign w:val="center"/>
            <w:hideMark/>
          </w:tcPr>
          <w:p w14:paraId="76544FB4"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Fewer unsupported claims; every key claim has 2-source support</w:t>
            </w:r>
          </w:p>
        </w:tc>
        <w:tc>
          <w:tcPr>
            <w:tcW w:w="1086" w:type="dxa"/>
            <w:tcBorders>
              <w:top w:val="nil"/>
              <w:left w:val="nil"/>
              <w:bottom w:val="single" w:sz="4" w:space="0" w:color="auto"/>
              <w:right w:val="single" w:sz="4" w:space="0" w:color="auto"/>
            </w:tcBorders>
            <w:shd w:val="clear" w:color="auto" w:fill="auto"/>
            <w:vAlign w:val="center"/>
            <w:hideMark/>
          </w:tcPr>
          <w:p w14:paraId="1B829FA2"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Days 2–3</w:t>
            </w:r>
          </w:p>
        </w:tc>
      </w:tr>
      <w:tr w:rsidR="00B1443A" w:rsidRPr="0070699C" w14:paraId="394B6502" w14:textId="77777777" w:rsidTr="00B1443A">
        <w:trPr>
          <w:trHeight w:val="1200"/>
        </w:trPr>
        <w:tc>
          <w:tcPr>
            <w:tcW w:w="1376" w:type="dxa"/>
            <w:tcBorders>
              <w:top w:val="nil"/>
              <w:left w:val="single" w:sz="4" w:space="0" w:color="auto"/>
              <w:bottom w:val="single" w:sz="4" w:space="0" w:color="auto"/>
              <w:right w:val="single" w:sz="4" w:space="0" w:color="auto"/>
            </w:tcBorders>
            <w:shd w:val="clear" w:color="auto" w:fill="auto"/>
            <w:vAlign w:val="center"/>
            <w:hideMark/>
          </w:tcPr>
          <w:p w14:paraId="20B278E0"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Reduce bias &amp; improve criticality</w:t>
            </w:r>
          </w:p>
        </w:tc>
        <w:tc>
          <w:tcPr>
            <w:tcW w:w="3378" w:type="dxa"/>
            <w:tcBorders>
              <w:top w:val="nil"/>
              <w:left w:val="nil"/>
              <w:bottom w:val="single" w:sz="4" w:space="0" w:color="auto"/>
              <w:right w:val="single" w:sz="4" w:space="0" w:color="auto"/>
            </w:tcBorders>
            <w:shd w:val="clear" w:color="auto" w:fill="auto"/>
            <w:vAlign w:val="center"/>
            <w:hideMark/>
          </w:tcPr>
          <w:p w14:paraId="79D3FB6B"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Add a “counter-case” line in each major section (what could make this argument wrong) and a “limits” sentence.</w:t>
            </w:r>
          </w:p>
        </w:tc>
        <w:tc>
          <w:tcPr>
            <w:tcW w:w="1459" w:type="dxa"/>
            <w:tcBorders>
              <w:top w:val="nil"/>
              <w:left w:val="nil"/>
              <w:bottom w:val="single" w:sz="4" w:space="0" w:color="auto"/>
              <w:right w:val="single" w:sz="4" w:space="0" w:color="auto"/>
            </w:tcBorders>
            <w:shd w:val="clear" w:color="auto" w:fill="auto"/>
            <w:vAlign w:val="center"/>
            <w:hideMark/>
          </w:tcPr>
          <w:p w14:paraId="5461341A"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Counter-argument prompts</w:t>
            </w:r>
          </w:p>
        </w:tc>
        <w:tc>
          <w:tcPr>
            <w:tcW w:w="2041" w:type="dxa"/>
            <w:tcBorders>
              <w:top w:val="nil"/>
              <w:left w:val="nil"/>
              <w:bottom w:val="single" w:sz="4" w:space="0" w:color="auto"/>
              <w:right w:val="single" w:sz="4" w:space="0" w:color="auto"/>
            </w:tcBorders>
            <w:shd w:val="clear" w:color="auto" w:fill="auto"/>
            <w:vAlign w:val="center"/>
            <w:hideMark/>
          </w:tcPr>
          <w:p w14:paraId="3018A994"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More balanced tone; explicit trade-offs stated</w:t>
            </w:r>
          </w:p>
        </w:tc>
        <w:tc>
          <w:tcPr>
            <w:tcW w:w="1086" w:type="dxa"/>
            <w:tcBorders>
              <w:top w:val="nil"/>
              <w:left w:val="nil"/>
              <w:bottom w:val="single" w:sz="4" w:space="0" w:color="auto"/>
              <w:right w:val="single" w:sz="4" w:space="0" w:color="auto"/>
            </w:tcBorders>
            <w:shd w:val="clear" w:color="auto" w:fill="auto"/>
            <w:vAlign w:val="center"/>
            <w:hideMark/>
          </w:tcPr>
          <w:p w14:paraId="3D2E6E54"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Throughout drafting</w:t>
            </w:r>
          </w:p>
        </w:tc>
      </w:tr>
      <w:tr w:rsidR="00B1443A" w:rsidRPr="0070699C" w14:paraId="112B745B" w14:textId="77777777" w:rsidTr="00B1443A">
        <w:trPr>
          <w:trHeight w:val="1200"/>
        </w:trPr>
        <w:tc>
          <w:tcPr>
            <w:tcW w:w="1376" w:type="dxa"/>
            <w:tcBorders>
              <w:top w:val="nil"/>
              <w:left w:val="single" w:sz="4" w:space="0" w:color="auto"/>
              <w:bottom w:val="single" w:sz="4" w:space="0" w:color="auto"/>
              <w:right w:val="single" w:sz="4" w:space="0" w:color="auto"/>
            </w:tcBorders>
            <w:shd w:val="clear" w:color="auto" w:fill="auto"/>
            <w:vAlign w:val="center"/>
            <w:hideMark/>
          </w:tcPr>
          <w:p w14:paraId="1C6EC510"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Improve synthesis (Level 7)</w:t>
            </w:r>
          </w:p>
        </w:tc>
        <w:tc>
          <w:tcPr>
            <w:tcW w:w="3378" w:type="dxa"/>
            <w:tcBorders>
              <w:top w:val="nil"/>
              <w:left w:val="nil"/>
              <w:bottom w:val="single" w:sz="4" w:space="0" w:color="auto"/>
              <w:right w:val="single" w:sz="4" w:space="0" w:color="auto"/>
            </w:tcBorders>
            <w:shd w:val="clear" w:color="auto" w:fill="auto"/>
            <w:vAlign w:val="center"/>
            <w:hideMark/>
          </w:tcPr>
          <w:p w14:paraId="608AA74A"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Draft framework tables first (PESTEL priorities → VRIO → BSC KPIs) then write narrative from the logic.</w:t>
            </w:r>
          </w:p>
        </w:tc>
        <w:tc>
          <w:tcPr>
            <w:tcW w:w="1459" w:type="dxa"/>
            <w:tcBorders>
              <w:top w:val="nil"/>
              <w:left w:val="nil"/>
              <w:bottom w:val="single" w:sz="4" w:space="0" w:color="auto"/>
              <w:right w:val="single" w:sz="4" w:space="0" w:color="auto"/>
            </w:tcBorders>
            <w:shd w:val="clear" w:color="auto" w:fill="auto"/>
            <w:vAlign w:val="center"/>
            <w:hideMark/>
          </w:tcPr>
          <w:p w14:paraId="4240AFBA"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Table-first drafting</w:t>
            </w:r>
          </w:p>
        </w:tc>
        <w:tc>
          <w:tcPr>
            <w:tcW w:w="2041" w:type="dxa"/>
            <w:tcBorders>
              <w:top w:val="nil"/>
              <w:left w:val="nil"/>
              <w:bottom w:val="single" w:sz="4" w:space="0" w:color="auto"/>
              <w:right w:val="single" w:sz="4" w:space="0" w:color="auto"/>
            </w:tcBorders>
            <w:shd w:val="clear" w:color="auto" w:fill="auto"/>
            <w:vAlign w:val="center"/>
            <w:hideMark/>
          </w:tcPr>
          <w:p w14:paraId="46A25759"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Clear line-of-sight links across sections; fewer repeated ideas</w:t>
            </w:r>
          </w:p>
        </w:tc>
        <w:tc>
          <w:tcPr>
            <w:tcW w:w="1086" w:type="dxa"/>
            <w:tcBorders>
              <w:top w:val="nil"/>
              <w:left w:val="nil"/>
              <w:bottom w:val="single" w:sz="4" w:space="0" w:color="auto"/>
              <w:right w:val="single" w:sz="4" w:space="0" w:color="auto"/>
            </w:tcBorders>
            <w:shd w:val="clear" w:color="auto" w:fill="auto"/>
            <w:vAlign w:val="center"/>
            <w:hideMark/>
          </w:tcPr>
          <w:p w14:paraId="5CFDD6EF"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Days 3–4</w:t>
            </w:r>
          </w:p>
        </w:tc>
      </w:tr>
      <w:tr w:rsidR="00B1443A" w:rsidRPr="0070699C" w14:paraId="771178F1" w14:textId="77777777" w:rsidTr="00B1443A">
        <w:trPr>
          <w:trHeight w:val="1200"/>
        </w:trPr>
        <w:tc>
          <w:tcPr>
            <w:tcW w:w="1376" w:type="dxa"/>
            <w:tcBorders>
              <w:top w:val="nil"/>
              <w:left w:val="single" w:sz="4" w:space="0" w:color="auto"/>
              <w:bottom w:val="single" w:sz="4" w:space="0" w:color="auto"/>
              <w:right w:val="single" w:sz="4" w:space="0" w:color="auto"/>
            </w:tcBorders>
            <w:shd w:val="clear" w:color="auto" w:fill="auto"/>
            <w:vAlign w:val="center"/>
            <w:hideMark/>
          </w:tcPr>
          <w:p w14:paraId="4B1B7F41"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Handle conflicting data</w:t>
            </w:r>
          </w:p>
        </w:tc>
        <w:tc>
          <w:tcPr>
            <w:tcW w:w="3378" w:type="dxa"/>
            <w:tcBorders>
              <w:top w:val="nil"/>
              <w:left w:val="nil"/>
              <w:bottom w:val="single" w:sz="4" w:space="0" w:color="auto"/>
              <w:right w:val="single" w:sz="4" w:space="0" w:color="auto"/>
            </w:tcBorders>
            <w:shd w:val="clear" w:color="auto" w:fill="auto"/>
            <w:vAlign w:val="center"/>
            <w:hideMark/>
          </w:tcPr>
          <w:p w14:paraId="78EDC34A"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Classify conflicts (forecast vs filing vs media), state uncertainty, and convert into scenarios instead of certainty.</w:t>
            </w:r>
          </w:p>
        </w:tc>
        <w:tc>
          <w:tcPr>
            <w:tcW w:w="1459" w:type="dxa"/>
            <w:tcBorders>
              <w:top w:val="nil"/>
              <w:left w:val="nil"/>
              <w:bottom w:val="single" w:sz="4" w:space="0" w:color="auto"/>
              <w:right w:val="single" w:sz="4" w:space="0" w:color="auto"/>
            </w:tcBorders>
            <w:shd w:val="clear" w:color="auto" w:fill="auto"/>
            <w:vAlign w:val="center"/>
            <w:hideMark/>
          </w:tcPr>
          <w:p w14:paraId="5469F68D"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Scenario framing</w:t>
            </w:r>
          </w:p>
        </w:tc>
        <w:tc>
          <w:tcPr>
            <w:tcW w:w="2041" w:type="dxa"/>
            <w:tcBorders>
              <w:top w:val="nil"/>
              <w:left w:val="nil"/>
              <w:bottom w:val="single" w:sz="4" w:space="0" w:color="auto"/>
              <w:right w:val="single" w:sz="4" w:space="0" w:color="auto"/>
            </w:tcBorders>
            <w:shd w:val="clear" w:color="auto" w:fill="auto"/>
            <w:vAlign w:val="center"/>
            <w:hideMark/>
          </w:tcPr>
          <w:p w14:paraId="0024650E"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Cleaner phrasing (“likely/depends”) + justified assumptions</w:t>
            </w:r>
          </w:p>
        </w:tc>
        <w:tc>
          <w:tcPr>
            <w:tcW w:w="1086" w:type="dxa"/>
            <w:tcBorders>
              <w:top w:val="nil"/>
              <w:left w:val="nil"/>
              <w:bottom w:val="single" w:sz="4" w:space="0" w:color="auto"/>
              <w:right w:val="single" w:sz="4" w:space="0" w:color="auto"/>
            </w:tcBorders>
            <w:shd w:val="clear" w:color="auto" w:fill="auto"/>
            <w:vAlign w:val="center"/>
            <w:hideMark/>
          </w:tcPr>
          <w:p w14:paraId="0F4577CC"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Days 3–5</w:t>
            </w:r>
          </w:p>
        </w:tc>
      </w:tr>
      <w:tr w:rsidR="00B1443A" w:rsidRPr="0070699C" w14:paraId="16D9E1DE" w14:textId="77777777" w:rsidTr="00B1443A">
        <w:trPr>
          <w:trHeight w:val="1200"/>
        </w:trPr>
        <w:tc>
          <w:tcPr>
            <w:tcW w:w="1376" w:type="dxa"/>
            <w:tcBorders>
              <w:top w:val="nil"/>
              <w:left w:val="single" w:sz="4" w:space="0" w:color="auto"/>
              <w:bottom w:val="single" w:sz="4" w:space="0" w:color="auto"/>
              <w:right w:val="single" w:sz="4" w:space="0" w:color="auto"/>
            </w:tcBorders>
            <w:shd w:val="clear" w:color="auto" w:fill="auto"/>
            <w:vAlign w:val="center"/>
            <w:hideMark/>
          </w:tcPr>
          <w:p w14:paraId="7459A7B8"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lastRenderedPageBreak/>
              <w:t>Word-count control</w:t>
            </w:r>
          </w:p>
        </w:tc>
        <w:tc>
          <w:tcPr>
            <w:tcW w:w="3378" w:type="dxa"/>
            <w:tcBorders>
              <w:top w:val="nil"/>
              <w:left w:val="nil"/>
              <w:bottom w:val="single" w:sz="4" w:space="0" w:color="auto"/>
              <w:right w:val="single" w:sz="4" w:space="0" w:color="auto"/>
            </w:tcBorders>
            <w:shd w:val="clear" w:color="auto" w:fill="auto"/>
            <w:vAlign w:val="center"/>
            <w:hideMark/>
          </w:tcPr>
          <w:p w14:paraId="2E843F19"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Allocate word budget per subsection; write in blocks; cut anything that doesn’t add new insight.</w:t>
            </w:r>
          </w:p>
        </w:tc>
        <w:tc>
          <w:tcPr>
            <w:tcW w:w="1459" w:type="dxa"/>
            <w:tcBorders>
              <w:top w:val="nil"/>
              <w:left w:val="nil"/>
              <w:bottom w:val="single" w:sz="4" w:space="0" w:color="auto"/>
              <w:right w:val="single" w:sz="4" w:space="0" w:color="auto"/>
            </w:tcBorders>
            <w:shd w:val="clear" w:color="auto" w:fill="auto"/>
            <w:vAlign w:val="center"/>
            <w:hideMark/>
          </w:tcPr>
          <w:p w14:paraId="2275624C"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Word budget tracker</w:t>
            </w:r>
          </w:p>
        </w:tc>
        <w:tc>
          <w:tcPr>
            <w:tcW w:w="2041" w:type="dxa"/>
            <w:tcBorders>
              <w:top w:val="nil"/>
              <w:left w:val="nil"/>
              <w:bottom w:val="single" w:sz="4" w:space="0" w:color="auto"/>
              <w:right w:val="single" w:sz="4" w:space="0" w:color="auto"/>
            </w:tcBorders>
            <w:shd w:val="clear" w:color="auto" w:fill="auto"/>
            <w:vAlign w:val="center"/>
            <w:hideMark/>
          </w:tcPr>
          <w:p w14:paraId="0C48CAA4"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Final word count within limit; no rushed final trimming</w:t>
            </w:r>
          </w:p>
        </w:tc>
        <w:tc>
          <w:tcPr>
            <w:tcW w:w="1086" w:type="dxa"/>
            <w:tcBorders>
              <w:top w:val="nil"/>
              <w:left w:val="nil"/>
              <w:bottom w:val="single" w:sz="4" w:space="0" w:color="auto"/>
              <w:right w:val="single" w:sz="4" w:space="0" w:color="auto"/>
            </w:tcBorders>
            <w:shd w:val="clear" w:color="auto" w:fill="auto"/>
            <w:vAlign w:val="center"/>
            <w:hideMark/>
          </w:tcPr>
          <w:p w14:paraId="5F929E90"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Throughout drafting</w:t>
            </w:r>
          </w:p>
        </w:tc>
      </w:tr>
      <w:tr w:rsidR="00B1443A" w:rsidRPr="0070699C" w14:paraId="19D74D37" w14:textId="77777777" w:rsidTr="00B1443A">
        <w:trPr>
          <w:trHeight w:val="1200"/>
        </w:trPr>
        <w:tc>
          <w:tcPr>
            <w:tcW w:w="1376" w:type="dxa"/>
            <w:tcBorders>
              <w:top w:val="nil"/>
              <w:left w:val="single" w:sz="4" w:space="0" w:color="auto"/>
              <w:bottom w:val="single" w:sz="4" w:space="0" w:color="auto"/>
              <w:right w:val="single" w:sz="4" w:space="0" w:color="auto"/>
            </w:tcBorders>
            <w:shd w:val="clear" w:color="auto" w:fill="auto"/>
            <w:vAlign w:val="center"/>
            <w:hideMark/>
          </w:tcPr>
          <w:p w14:paraId="3FBAB62C"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Referencing accuracy</w:t>
            </w:r>
          </w:p>
        </w:tc>
        <w:tc>
          <w:tcPr>
            <w:tcW w:w="3378" w:type="dxa"/>
            <w:tcBorders>
              <w:top w:val="nil"/>
              <w:left w:val="nil"/>
              <w:bottom w:val="single" w:sz="4" w:space="0" w:color="auto"/>
              <w:right w:val="single" w:sz="4" w:space="0" w:color="auto"/>
            </w:tcBorders>
            <w:shd w:val="clear" w:color="auto" w:fill="auto"/>
            <w:vAlign w:val="center"/>
            <w:hideMark/>
          </w:tcPr>
          <w:p w14:paraId="78EB9C7C"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Save full citations while reading; paraphrase immediately; keep a reference log to avoid missing sources.</w:t>
            </w:r>
          </w:p>
        </w:tc>
        <w:tc>
          <w:tcPr>
            <w:tcW w:w="1459" w:type="dxa"/>
            <w:tcBorders>
              <w:top w:val="nil"/>
              <w:left w:val="nil"/>
              <w:bottom w:val="single" w:sz="4" w:space="0" w:color="auto"/>
              <w:right w:val="single" w:sz="4" w:space="0" w:color="auto"/>
            </w:tcBorders>
            <w:shd w:val="clear" w:color="auto" w:fill="auto"/>
            <w:vAlign w:val="center"/>
            <w:hideMark/>
          </w:tcPr>
          <w:p w14:paraId="01DF2D79"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Reference log + Harvard checklist</w:t>
            </w:r>
          </w:p>
        </w:tc>
        <w:tc>
          <w:tcPr>
            <w:tcW w:w="2041" w:type="dxa"/>
            <w:tcBorders>
              <w:top w:val="nil"/>
              <w:left w:val="nil"/>
              <w:bottom w:val="single" w:sz="4" w:space="0" w:color="auto"/>
              <w:right w:val="single" w:sz="4" w:space="0" w:color="auto"/>
            </w:tcBorders>
            <w:shd w:val="clear" w:color="auto" w:fill="auto"/>
            <w:vAlign w:val="center"/>
            <w:hideMark/>
          </w:tcPr>
          <w:p w14:paraId="69E02823"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Zero missing references; consistent Harvard style</w:t>
            </w:r>
          </w:p>
        </w:tc>
        <w:tc>
          <w:tcPr>
            <w:tcW w:w="1086" w:type="dxa"/>
            <w:tcBorders>
              <w:top w:val="nil"/>
              <w:left w:val="nil"/>
              <w:bottom w:val="single" w:sz="4" w:space="0" w:color="auto"/>
              <w:right w:val="single" w:sz="4" w:space="0" w:color="auto"/>
            </w:tcBorders>
            <w:shd w:val="clear" w:color="auto" w:fill="auto"/>
            <w:vAlign w:val="center"/>
            <w:hideMark/>
          </w:tcPr>
          <w:p w14:paraId="5770B4DC"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Throughout drafting</w:t>
            </w:r>
          </w:p>
        </w:tc>
      </w:tr>
      <w:tr w:rsidR="00B1443A" w:rsidRPr="0070699C" w14:paraId="62D208C7" w14:textId="77777777" w:rsidTr="00B1443A">
        <w:trPr>
          <w:trHeight w:val="1200"/>
        </w:trPr>
        <w:tc>
          <w:tcPr>
            <w:tcW w:w="1376" w:type="dxa"/>
            <w:tcBorders>
              <w:top w:val="nil"/>
              <w:left w:val="single" w:sz="4" w:space="0" w:color="auto"/>
              <w:bottom w:val="single" w:sz="4" w:space="0" w:color="auto"/>
              <w:right w:val="single" w:sz="4" w:space="0" w:color="auto"/>
            </w:tcBorders>
            <w:shd w:val="clear" w:color="auto" w:fill="auto"/>
            <w:vAlign w:val="center"/>
            <w:hideMark/>
          </w:tcPr>
          <w:p w14:paraId="73BA0308"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Final quality check</w:t>
            </w:r>
          </w:p>
        </w:tc>
        <w:tc>
          <w:tcPr>
            <w:tcW w:w="3378" w:type="dxa"/>
            <w:tcBorders>
              <w:top w:val="nil"/>
              <w:left w:val="nil"/>
              <w:bottom w:val="single" w:sz="4" w:space="0" w:color="auto"/>
              <w:right w:val="single" w:sz="4" w:space="0" w:color="auto"/>
            </w:tcBorders>
            <w:shd w:val="clear" w:color="auto" w:fill="auto"/>
            <w:vAlign w:val="center"/>
            <w:hideMark/>
          </w:tcPr>
          <w:p w14:paraId="421331C2"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Run a final “claim–evidence audit” + coherence check (does each paragraph link back to the main question?).</w:t>
            </w:r>
          </w:p>
        </w:tc>
        <w:tc>
          <w:tcPr>
            <w:tcW w:w="1459" w:type="dxa"/>
            <w:tcBorders>
              <w:top w:val="nil"/>
              <w:left w:val="nil"/>
              <w:bottom w:val="single" w:sz="4" w:space="0" w:color="auto"/>
              <w:right w:val="single" w:sz="4" w:space="0" w:color="auto"/>
            </w:tcBorders>
            <w:shd w:val="clear" w:color="auto" w:fill="auto"/>
            <w:vAlign w:val="center"/>
            <w:hideMark/>
          </w:tcPr>
          <w:p w14:paraId="7568B006"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Audit checklist</w:t>
            </w:r>
          </w:p>
        </w:tc>
        <w:tc>
          <w:tcPr>
            <w:tcW w:w="2041" w:type="dxa"/>
            <w:tcBorders>
              <w:top w:val="nil"/>
              <w:left w:val="nil"/>
              <w:bottom w:val="single" w:sz="4" w:space="0" w:color="auto"/>
              <w:right w:val="single" w:sz="4" w:space="0" w:color="auto"/>
            </w:tcBorders>
            <w:shd w:val="clear" w:color="auto" w:fill="auto"/>
            <w:vAlign w:val="center"/>
            <w:hideMark/>
          </w:tcPr>
          <w:p w14:paraId="4C35BA22"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No unsupported statements; stronger flow</w:t>
            </w:r>
          </w:p>
        </w:tc>
        <w:tc>
          <w:tcPr>
            <w:tcW w:w="1086" w:type="dxa"/>
            <w:tcBorders>
              <w:top w:val="nil"/>
              <w:left w:val="nil"/>
              <w:bottom w:val="single" w:sz="4" w:space="0" w:color="auto"/>
              <w:right w:val="single" w:sz="4" w:space="0" w:color="auto"/>
            </w:tcBorders>
            <w:shd w:val="clear" w:color="auto" w:fill="auto"/>
            <w:vAlign w:val="center"/>
            <w:hideMark/>
          </w:tcPr>
          <w:p w14:paraId="4432902E" w14:textId="77777777" w:rsidR="00B1443A" w:rsidRPr="0070699C" w:rsidRDefault="00B1443A" w:rsidP="00B1443A">
            <w:pPr>
              <w:spacing w:after="0" w:line="240" w:lineRule="auto"/>
              <w:rPr>
                <w:rFonts w:ascii="Calibri" w:eastAsia="Times New Roman" w:hAnsi="Calibri" w:cs="Calibri"/>
                <w:color w:val="000000"/>
                <w:sz w:val="22"/>
                <w:lang w:val="en-US"/>
              </w:rPr>
            </w:pPr>
            <w:r w:rsidRPr="0070699C">
              <w:rPr>
                <w:rFonts w:ascii="Calibri" w:eastAsia="Times New Roman" w:hAnsi="Calibri" w:cs="Calibri"/>
                <w:color w:val="000000"/>
                <w:sz w:val="22"/>
                <w:lang w:val="en-US"/>
              </w:rPr>
              <w:t>Final day</w:t>
            </w:r>
          </w:p>
        </w:tc>
      </w:tr>
    </w:tbl>
    <w:p w14:paraId="5E6AC951" w14:textId="77777777" w:rsidR="00D923D4" w:rsidRPr="0070699C" w:rsidRDefault="00D923D4" w:rsidP="00A70F1D">
      <w:pPr>
        <w:pStyle w:val="NormalWeb"/>
      </w:pPr>
    </w:p>
    <w:p w14:paraId="300B9AF5" w14:textId="77777777" w:rsidR="008A179E" w:rsidRPr="0070699C" w:rsidRDefault="008A179E">
      <w:pPr>
        <w:rPr>
          <w:rFonts w:eastAsiaTheme="majorEastAsia" w:cs="Times New Roman"/>
          <w:b/>
          <w:bCs/>
          <w:color w:val="000000" w:themeColor="text1"/>
          <w:sz w:val="32"/>
          <w:szCs w:val="24"/>
          <w:lang w:val="en-US"/>
        </w:rPr>
      </w:pPr>
      <w:r w:rsidRPr="0070699C">
        <w:br w:type="page"/>
      </w:r>
    </w:p>
    <w:p w14:paraId="05911FDF" w14:textId="53EC6C82" w:rsidR="00684963" w:rsidRPr="0070699C" w:rsidRDefault="0088133C" w:rsidP="0088133C">
      <w:pPr>
        <w:pStyle w:val="Heading1"/>
      </w:pPr>
      <w:bookmarkStart w:id="43" w:name="_Toc223992315"/>
      <w:r w:rsidRPr="0070699C">
        <w:lastRenderedPageBreak/>
        <w:t>References:</w:t>
      </w:r>
      <w:bookmarkEnd w:id="43"/>
    </w:p>
    <w:p w14:paraId="1BC11A36" w14:textId="635BCDA0" w:rsidR="008A179E" w:rsidRPr="0070699C" w:rsidRDefault="00A30DC1"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lang w:val="en-US"/>
        </w:rPr>
        <w:fldChar w:fldCharType="begin" w:fldLock="1"/>
      </w:r>
      <w:r w:rsidRPr="0070699C">
        <w:rPr>
          <w:lang w:val="en-US"/>
        </w:rPr>
        <w:instrText xml:space="preserve">ADDIN Mendeley Bibliography CSL_BIBLIOGRAPHY </w:instrText>
      </w:r>
      <w:r w:rsidRPr="0070699C">
        <w:rPr>
          <w:lang w:val="en-US"/>
        </w:rPr>
        <w:fldChar w:fldCharType="separate"/>
      </w:r>
      <w:r w:rsidR="008A179E" w:rsidRPr="0070699C">
        <w:rPr>
          <w:rFonts w:ascii="Times New Roman" w:hAnsi="Times New Roman" w:cs="Times New Roman"/>
          <w:noProof/>
          <w:szCs w:val="24"/>
        </w:rPr>
        <w:t xml:space="preserve">Alifia, S., &amp; Dalimunthe, G. P. (2024). Operationalisation of Internal Analysis Using The Vrio Framework: Assessing Resource and Capability Management in A Bandung-Based Coffee Business (Case Study: Kopi Anjis). </w:t>
      </w:r>
      <w:r w:rsidR="008A179E" w:rsidRPr="0070699C">
        <w:rPr>
          <w:rFonts w:ascii="Times New Roman" w:hAnsi="Times New Roman" w:cs="Times New Roman"/>
          <w:i/>
          <w:iCs/>
          <w:noProof/>
          <w:szCs w:val="24"/>
        </w:rPr>
        <w:t>International Journal of Economics and Management Research</w:t>
      </w:r>
      <w:r w:rsidR="008A179E" w:rsidRPr="0070699C">
        <w:rPr>
          <w:rFonts w:ascii="Times New Roman" w:hAnsi="Times New Roman" w:cs="Times New Roman"/>
          <w:noProof/>
          <w:szCs w:val="24"/>
        </w:rPr>
        <w:t xml:space="preserve">, </w:t>
      </w:r>
      <w:r w:rsidR="008A179E" w:rsidRPr="0070699C">
        <w:rPr>
          <w:rFonts w:ascii="Times New Roman" w:hAnsi="Times New Roman" w:cs="Times New Roman"/>
          <w:i/>
          <w:iCs/>
          <w:noProof/>
          <w:szCs w:val="24"/>
        </w:rPr>
        <w:t>3</w:t>
      </w:r>
      <w:r w:rsidR="008A179E" w:rsidRPr="0070699C">
        <w:rPr>
          <w:rFonts w:ascii="Times New Roman" w:hAnsi="Times New Roman" w:cs="Times New Roman"/>
          <w:noProof/>
          <w:szCs w:val="24"/>
        </w:rPr>
        <w:t>(3), 286–296.</w:t>
      </w:r>
    </w:p>
    <w:p w14:paraId="5A1754D8"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Amnesty International. (2024a). </w:t>
      </w:r>
      <w:r w:rsidRPr="0070699C">
        <w:rPr>
          <w:rFonts w:ascii="Times New Roman" w:hAnsi="Times New Roman" w:cs="Times New Roman"/>
          <w:i/>
          <w:iCs/>
          <w:noProof/>
          <w:szCs w:val="24"/>
        </w:rPr>
        <w:t>Recharge for lights</w:t>
      </w:r>
      <w:r w:rsidRPr="0070699C">
        <w:rPr>
          <w:rFonts w:ascii="Times New Roman" w:hAnsi="Times New Roman" w:cs="Times New Roman"/>
          <w:noProof/>
          <w:szCs w:val="24"/>
        </w:rPr>
        <w:t>. https://www.amnesty.org/en/latest/news/2024/10/human-rights-ranking-electric-vehicle-industry/</w:t>
      </w:r>
    </w:p>
    <w:p w14:paraId="4C1ECA65"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Amnesty International. (2024b). </w:t>
      </w:r>
      <w:r w:rsidRPr="0070699C">
        <w:rPr>
          <w:rFonts w:ascii="Times New Roman" w:hAnsi="Times New Roman" w:cs="Times New Roman"/>
          <w:i/>
          <w:iCs/>
          <w:noProof/>
          <w:szCs w:val="24"/>
        </w:rPr>
        <w:t>Resharge For Lights</w:t>
      </w:r>
      <w:r w:rsidRPr="0070699C">
        <w:rPr>
          <w:rFonts w:ascii="Times New Roman" w:hAnsi="Times New Roman" w:cs="Times New Roman"/>
          <w:noProof/>
          <w:szCs w:val="24"/>
        </w:rPr>
        <w:t>. https://www.amnesty.ch/de/themen/wirtschaft-und-menschenrechte/dok/2024/menschenrechtsrisiken-in-lieferketten/recharge-for-rights-ranking-the-human-rights-due-diligence.pdf</w:t>
      </w:r>
    </w:p>
    <w:p w14:paraId="54475C0F"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Arreola, F., Platania, F., Toscano Hernandez, C., &amp; Unruh, G. (2024). Systemic entrepreneurship in the digital era: Tesla’s vision and social transformation. </w:t>
      </w:r>
      <w:r w:rsidRPr="0070699C">
        <w:rPr>
          <w:rFonts w:ascii="Times New Roman" w:hAnsi="Times New Roman" w:cs="Times New Roman"/>
          <w:i/>
          <w:iCs/>
          <w:noProof/>
          <w:szCs w:val="24"/>
        </w:rPr>
        <w:t>Journal of Engineering and Technology Management</w:t>
      </w:r>
      <w:r w:rsidRPr="0070699C">
        <w:rPr>
          <w:rFonts w:ascii="Times New Roman" w:hAnsi="Times New Roman" w:cs="Times New Roman"/>
          <w:noProof/>
          <w:szCs w:val="24"/>
        </w:rPr>
        <w:t xml:space="preserve">, </w:t>
      </w:r>
      <w:r w:rsidRPr="0070699C">
        <w:rPr>
          <w:rFonts w:ascii="Times New Roman" w:hAnsi="Times New Roman" w:cs="Times New Roman"/>
          <w:i/>
          <w:iCs/>
          <w:noProof/>
          <w:szCs w:val="24"/>
        </w:rPr>
        <w:t>74</w:t>
      </w:r>
      <w:r w:rsidRPr="0070699C">
        <w:rPr>
          <w:rFonts w:ascii="Times New Roman" w:hAnsi="Times New Roman" w:cs="Times New Roman"/>
          <w:noProof/>
          <w:szCs w:val="24"/>
        </w:rPr>
        <w:t>, 101844. https://doi.org/https://doi.org/10.1016/j.jengtecman.2024.101844</w:t>
      </w:r>
    </w:p>
    <w:p w14:paraId="50A37D58"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BloombergNEF. (2025). </w:t>
      </w:r>
      <w:r w:rsidRPr="0070699C">
        <w:rPr>
          <w:rFonts w:ascii="Times New Roman" w:hAnsi="Times New Roman" w:cs="Times New Roman"/>
          <w:i/>
          <w:iCs/>
          <w:noProof/>
          <w:szCs w:val="24"/>
        </w:rPr>
        <w:t>Electric Vehicle Outlook 2025</w:t>
      </w:r>
      <w:r w:rsidRPr="0070699C">
        <w:rPr>
          <w:rFonts w:ascii="Times New Roman" w:hAnsi="Times New Roman" w:cs="Times New Roman"/>
          <w:noProof/>
          <w:szCs w:val="24"/>
        </w:rPr>
        <w:t>. https://about.bnef.com/insights/clean-transport/electric-vehicle-outlook/</w:t>
      </w:r>
    </w:p>
    <w:p w14:paraId="2B0C8744"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Crunch, T. (2026). </w:t>
      </w:r>
      <w:r w:rsidRPr="0070699C">
        <w:rPr>
          <w:rFonts w:ascii="Times New Roman" w:hAnsi="Times New Roman" w:cs="Times New Roman"/>
          <w:i/>
          <w:iCs/>
          <w:noProof/>
          <w:szCs w:val="24"/>
        </w:rPr>
        <w:t>Tesla’s energy storage business is growing faster than any other part of the company</w:t>
      </w:r>
      <w:r w:rsidRPr="0070699C">
        <w:rPr>
          <w:rFonts w:ascii="Times New Roman" w:hAnsi="Times New Roman" w:cs="Times New Roman"/>
          <w:noProof/>
          <w:szCs w:val="24"/>
        </w:rPr>
        <w:t>. https://techcrunch.com/2026/01/29/teslas-energy-storage-business-is-growing-faster-than-any-other-part-of-the-company/</w:t>
      </w:r>
    </w:p>
    <w:p w14:paraId="1AADFD91"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Degen, F., Winter, M., Bendig, D., &amp; Tübke, J. (2023). Energy consumption of current and future production of lithium-ion and post lithium-ion battery cells. </w:t>
      </w:r>
      <w:r w:rsidRPr="0070699C">
        <w:rPr>
          <w:rFonts w:ascii="Times New Roman" w:hAnsi="Times New Roman" w:cs="Times New Roman"/>
          <w:i/>
          <w:iCs/>
          <w:noProof/>
          <w:szCs w:val="24"/>
        </w:rPr>
        <w:t>Nature Energy</w:t>
      </w:r>
      <w:r w:rsidRPr="0070699C">
        <w:rPr>
          <w:rFonts w:ascii="Times New Roman" w:hAnsi="Times New Roman" w:cs="Times New Roman"/>
          <w:noProof/>
          <w:szCs w:val="24"/>
        </w:rPr>
        <w:t xml:space="preserve">, </w:t>
      </w:r>
      <w:r w:rsidRPr="0070699C">
        <w:rPr>
          <w:rFonts w:ascii="Times New Roman" w:hAnsi="Times New Roman" w:cs="Times New Roman"/>
          <w:i/>
          <w:iCs/>
          <w:noProof/>
          <w:szCs w:val="24"/>
        </w:rPr>
        <w:t>8</w:t>
      </w:r>
      <w:r w:rsidRPr="0070699C">
        <w:rPr>
          <w:rFonts w:ascii="Times New Roman" w:hAnsi="Times New Roman" w:cs="Times New Roman"/>
          <w:noProof/>
          <w:szCs w:val="24"/>
        </w:rPr>
        <w:t>(11), 1284–1295.</w:t>
      </w:r>
    </w:p>
    <w:p w14:paraId="1FE5708E"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EUROPEAN COMMISSION. (2024). </w:t>
      </w:r>
      <w:r w:rsidRPr="0070699C">
        <w:rPr>
          <w:rFonts w:ascii="Times New Roman" w:hAnsi="Times New Roman" w:cs="Times New Roman"/>
          <w:i/>
          <w:iCs/>
          <w:noProof/>
          <w:szCs w:val="24"/>
        </w:rPr>
        <w:t>EU Commission imposes countervailing duties on imports of battery electric vehicles (BEVs) from China</w:t>
      </w:r>
      <w:r w:rsidRPr="0070699C">
        <w:rPr>
          <w:rFonts w:ascii="Times New Roman" w:hAnsi="Times New Roman" w:cs="Times New Roman"/>
          <w:noProof/>
          <w:szCs w:val="24"/>
        </w:rPr>
        <w:t>. https://trade.ec.europa.eu/access-to-markets/en/news/eu-commission-imposes-countervailing-duties-imports-battery-electric-vehicles-bevs-china</w:t>
      </w:r>
    </w:p>
    <w:p w14:paraId="401BB900"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European Union. (2024). </w:t>
      </w:r>
      <w:r w:rsidRPr="0070699C">
        <w:rPr>
          <w:rFonts w:ascii="Times New Roman" w:hAnsi="Times New Roman" w:cs="Times New Roman"/>
          <w:i/>
          <w:iCs/>
          <w:noProof/>
          <w:szCs w:val="24"/>
        </w:rPr>
        <w:t>Commission Implementing Regulation (EU) 2024/2754 of 29 October 2024 imposing a definitive countervailing duty on imports of new battery electric vehicles designed for the transport of persons originating in the People’s Republic of China</w:t>
      </w:r>
      <w:r w:rsidRPr="0070699C">
        <w:rPr>
          <w:rFonts w:ascii="Times New Roman" w:hAnsi="Times New Roman" w:cs="Times New Roman"/>
          <w:noProof/>
          <w:szCs w:val="24"/>
        </w:rPr>
        <w:t>. https://eur-lex.europa.eu/eli/reg_impl/2024/2754/oj/eng</w:t>
      </w:r>
    </w:p>
    <w:p w14:paraId="0294FE6F"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Fastmarkets. (2024). </w:t>
      </w:r>
      <w:r w:rsidRPr="0070699C">
        <w:rPr>
          <w:rFonts w:ascii="Times New Roman" w:hAnsi="Times New Roman" w:cs="Times New Roman"/>
          <w:i/>
          <w:iCs/>
          <w:noProof/>
          <w:szCs w:val="24"/>
        </w:rPr>
        <w:t>Battery raw materials outlook 2025: Robust and rebalancing market</w:t>
      </w:r>
      <w:r w:rsidRPr="0070699C">
        <w:rPr>
          <w:rFonts w:ascii="Times New Roman" w:hAnsi="Times New Roman" w:cs="Times New Roman"/>
          <w:noProof/>
          <w:szCs w:val="24"/>
        </w:rPr>
        <w:t>. https://www.fastmarkets.com/insights/battery-raw-materials-outlook-2025-robust-and-rebalancing-market</w:t>
      </w:r>
    </w:p>
    <w:p w14:paraId="28F19C1A"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Financial Times. (2026). </w:t>
      </w:r>
      <w:r w:rsidRPr="0070699C">
        <w:rPr>
          <w:rFonts w:ascii="Times New Roman" w:hAnsi="Times New Roman" w:cs="Times New Roman"/>
          <w:i/>
          <w:iCs/>
          <w:noProof/>
          <w:szCs w:val="24"/>
        </w:rPr>
        <w:t>Tesla loses EV crown to China’s BYD</w:t>
      </w:r>
      <w:r w:rsidRPr="0070699C">
        <w:rPr>
          <w:rFonts w:ascii="Times New Roman" w:hAnsi="Times New Roman" w:cs="Times New Roman"/>
          <w:noProof/>
          <w:szCs w:val="24"/>
        </w:rPr>
        <w:t>. https://www.ft.com/content/c1c5f811-7b3f-4011-8e1e-cccb5aa80313</w:t>
      </w:r>
    </w:p>
    <w:p w14:paraId="57FE58A1"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Gibbs’ reflective cycle. (1988). </w:t>
      </w:r>
      <w:r w:rsidRPr="0070699C">
        <w:rPr>
          <w:rFonts w:ascii="Times New Roman" w:hAnsi="Times New Roman" w:cs="Times New Roman"/>
          <w:i/>
          <w:iCs/>
          <w:noProof/>
          <w:szCs w:val="24"/>
        </w:rPr>
        <w:t>Gibbs’ reflective cycle</w:t>
      </w:r>
      <w:r w:rsidRPr="0070699C">
        <w:rPr>
          <w:rFonts w:ascii="Times New Roman" w:hAnsi="Times New Roman" w:cs="Times New Roman"/>
          <w:noProof/>
          <w:szCs w:val="24"/>
        </w:rPr>
        <w:t>. https://www.ed.ac.uk/reflection/reflectors-toolkit/reflecting-on- experience/gibbs-reflective-cycle</w:t>
      </w:r>
    </w:p>
    <w:p w14:paraId="539AF865"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IEA. (2024a). </w:t>
      </w:r>
      <w:r w:rsidRPr="0070699C">
        <w:rPr>
          <w:rFonts w:ascii="Times New Roman" w:hAnsi="Times New Roman" w:cs="Times New Roman"/>
          <w:i/>
          <w:iCs/>
          <w:noProof/>
          <w:szCs w:val="24"/>
        </w:rPr>
        <w:t>Global EV Outlook 2024</w:t>
      </w:r>
      <w:r w:rsidRPr="0070699C">
        <w:rPr>
          <w:rFonts w:ascii="Times New Roman" w:hAnsi="Times New Roman" w:cs="Times New Roman"/>
          <w:noProof/>
          <w:szCs w:val="24"/>
        </w:rPr>
        <w:t>. https://www.iea.org/reports/global-ev-outlook-2024</w:t>
      </w:r>
    </w:p>
    <w:p w14:paraId="7B3827B5"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IEA. (2024b). </w:t>
      </w:r>
      <w:r w:rsidRPr="0070699C">
        <w:rPr>
          <w:rFonts w:ascii="Times New Roman" w:hAnsi="Times New Roman" w:cs="Times New Roman"/>
          <w:i/>
          <w:iCs/>
          <w:noProof/>
          <w:szCs w:val="24"/>
        </w:rPr>
        <w:t>Outlook for electric vehicle charging infrastructure</w:t>
      </w:r>
      <w:r w:rsidRPr="0070699C">
        <w:rPr>
          <w:rFonts w:ascii="Times New Roman" w:hAnsi="Times New Roman" w:cs="Times New Roman"/>
          <w:noProof/>
          <w:szCs w:val="24"/>
        </w:rPr>
        <w:t xml:space="preserve">. </w:t>
      </w:r>
      <w:r w:rsidRPr="0070699C">
        <w:rPr>
          <w:rFonts w:ascii="Times New Roman" w:hAnsi="Times New Roman" w:cs="Times New Roman"/>
          <w:noProof/>
          <w:szCs w:val="24"/>
        </w:rPr>
        <w:lastRenderedPageBreak/>
        <w:t>https://www.iea.org/reports/global-ev-outlook-2024/outlook-for-electric-vehicle-charging-infrastructure</w:t>
      </w:r>
    </w:p>
    <w:p w14:paraId="345855F9"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IEA. (2025a). </w:t>
      </w:r>
      <w:r w:rsidRPr="0070699C">
        <w:rPr>
          <w:rFonts w:ascii="Times New Roman" w:hAnsi="Times New Roman" w:cs="Times New Roman"/>
          <w:i/>
          <w:iCs/>
          <w:noProof/>
          <w:szCs w:val="24"/>
        </w:rPr>
        <w:t>Electric car sales continue to break records globally, particularly in China and other emerging economies</w:t>
      </w:r>
      <w:r w:rsidRPr="0070699C">
        <w:rPr>
          <w:rFonts w:ascii="Times New Roman" w:hAnsi="Times New Roman" w:cs="Times New Roman"/>
          <w:noProof/>
          <w:szCs w:val="24"/>
        </w:rPr>
        <w:t>. https://www.iea.org/reports/global-ev-outlook-2025/executive-summary</w:t>
      </w:r>
    </w:p>
    <w:p w14:paraId="3BE6F7D1"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IEA. (2025b). </w:t>
      </w:r>
      <w:r w:rsidRPr="0070699C">
        <w:rPr>
          <w:rFonts w:ascii="Times New Roman" w:hAnsi="Times New Roman" w:cs="Times New Roman"/>
          <w:i/>
          <w:iCs/>
          <w:noProof/>
          <w:szCs w:val="24"/>
        </w:rPr>
        <w:t>Electric vehicle charging</w:t>
      </w:r>
      <w:r w:rsidRPr="0070699C">
        <w:rPr>
          <w:rFonts w:ascii="Times New Roman" w:hAnsi="Times New Roman" w:cs="Times New Roman"/>
          <w:noProof/>
          <w:szCs w:val="24"/>
        </w:rPr>
        <w:t>. https://www.iea.org/reports/global-ev-outlook-2025/electric-vehicle-charging</w:t>
      </w:r>
    </w:p>
    <w:p w14:paraId="26BDD5E8"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IEA. (2025c). </w:t>
      </w:r>
      <w:r w:rsidRPr="0070699C">
        <w:rPr>
          <w:rFonts w:ascii="Times New Roman" w:hAnsi="Times New Roman" w:cs="Times New Roman"/>
          <w:i/>
          <w:iCs/>
          <w:noProof/>
          <w:szCs w:val="24"/>
        </w:rPr>
        <w:t>Falling battery pack prices and intensifying competition underpin progress in electric car affordability</w:t>
      </w:r>
      <w:r w:rsidRPr="0070699C">
        <w:rPr>
          <w:rFonts w:ascii="Times New Roman" w:hAnsi="Times New Roman" w:cs="Times New Roman"/>
          <w:noProof/>
          <w:szCs w:val="24"/>
        </w:rPr>
        <w:t>. https://www.iea.org/reports/global-ev-outlook-2025/trends-in-electric-car-affordability</w:t>
      </w:r>
    </w:p>
    <w:p w14:paraId="5BC3FBF9"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IEA. (2025d). </w:t>
      </w:r>
      <w:r w:rsidRPr="0070699C">
        <w:rPr>
          <w:rFonts w:ascii="Times New Roman" w:hAnsi="Times New Roman" w:cs="Times New Roman"/>
          <w:i/>
          <w:iCs/>
          <w:noProof/>
          <w:szCs w:val="24"/>
        </w:rPr>
        <w:t>Global EV Outlook 2025 Expanding sales in diverse markets</w:t>
      </w:r>
      <w:r w:rsidRPr="0070699C">
        <w:rPr>
          <w:rFonts w:ascii="Times New Roman" w:hAnsi="Times New Roman" w:cs="Times New Roman"/>
          <w:noProof/>
          <w:szCs w:val="24"/>
        </w:rPr>
        <w:t>. 1–173. https://www.iea.org/reports/global-ev-outlook-2025</w:t>
      </w:r>
    </w:p>
    <w:p w14:paraId="08A65F5E"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IEA. (2025e). </w:t>
      </w:r>
      <w:r w:rsidRPr="0070699C">
        <w:rPr>
          <w:rFonts w:ascii="Times New Roman" w:hAnsi="Times New Roman" w:cs="Times New Roman"/>
          <w:i/>
          <w:iCs/>
          <w:noProof/>
          <w:szCs w:val="24"/>
        </w:rPr>
        <w:t>Trends in electric car markets</w:t>
      </w:r>
      <w:r w:rsidRPr="0070699C">
        <w:rPr>
          <w:rFonts w:ascii="Times New Roman" w:hAnsi="Times New Roman" w:cs="Times New Roman"/>
          <w:noProof/>
          <w:szCs w:val="24"/>
        </w:rPr>
        <w:t>. https://www.iea.org/reports/global-ev-outlook-2025/trends-in-electric-car-markets-2</w:t>
      </w:r>
    </w:p>
    <w:p w14:paraId="71A55FCE"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ir.tesla. (2025). </w:t>
      </w:r>
      <w:r w:rsidRPr="0070699C">
        <w:rPr>
          <w:rFonts w:ascii="Times New Roman" w:hAnsi="Times New Roman" w:cs="Times New Roman"/>
          <w:i/>
          <w:iCs/>
          <w:noProof/>
          <w:szCs w:val="24"/>
        </w:rPr>
        <w:t>Tesla Fourth Quarter 2024 Production, Deliveries &amp; Deployments</w:t>
      </w:r>
      <w:r w:rsidRPr="0070699C">
        <w:rPr>
          <w:rFonts w:ascii="Times New Roman" w:hAnsi="Times New Roman" w:cs="Times New Roman"/>
          <w:noProof/>
          <w:szCs w:val="24"/>
        </w:rPr>
        <w:t>. https://ir.tesla.com/press-release/tesla-fourth-quarter-2024-production-deliveries-and-deployments</w:t>
      </w:r>
    </w:p>
    <w:p w14:paraId="705946B0"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IRS. (2025). </w:t>
      </w:r>
      <w:r w:rsidRPr="0070699C">
        <w:rPr>
          <w:rFonts w:ascii="Times New Roman" w:hAnsi="Times New Roman" w:cs="Times New Roman"/>
          <w:i/>
          <w:iCs/>
          <w:noProof/>
          <w:szCs w:val="24"/>
        </w:rPr>
        <w:t>Credits for new clean vehicles purchased in 2023 or after</w:t>
      </w:r>
      <w:r w:rsidRPr="0070699C">
        <w:rPr>
          <w:rFonts w:ascii="Times New Roman" w:hAnsi="Times New Roman" w:cs="Times New Roman"/>
          <w:noProof/>
          <w:szCs w:val="24"/>
        </w:rPr>
        <w:t>. https://www.irs.gov/credits-deductions/credits-for-new-clean-vehicles-purchased-in-2023-or-after?</w:t>
      </w:r>
    </w:p>
    <w:p w14:paraId="2BF9BAA9"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Kumar, S., Lim, W. M., Sureka, R., Jabbour, C. J. C., &amp; Bamel, U. (2024). Balanced scorecard: trends, developments, and future directions. </w:t>
      </w:r>
      <w:r w:rsidRPr="0070699C">
        <w:rPr>
          <w:rFonts w:ascii="Times New Roman" w:hAnsi="Times New Roman" w:cs="Times New Roman"/>
          <w:i/>
          <w:iCs/>
          <w:noProof/>
          <w:szCs w:val="24"/>
        </w:rPr>
        <w:t>Review of Managerial Science</w:t>
      </w:r>
      <w:r w:rsidRPr="0070699C">
        <w:rPr>
          <w:rFonts w:ascii="Times New Roman" w:hAnsi="Times New Roman" w:cs="Times New Roman"/>
          <w:noProof/>
          <w:szCs w:val="24"/>
        </w:rPr>
        <w:t xml:space="preserve">, </w:t>
      </w:r>
      <w:r w:rsidRPr="0070699C">
        <w:rPr>
          <w:rFonts w:ascii="Times New Roman" w:hAnsi="Times New Roman" w:cs="Times New Roman"/>
          <w:i/>
          <w:iCs/>
          <w:noProof/>
          <w:szCs w:val="24"/>
        </w:rPr>
        <w:t>18</w:t>
      </w:r>
      <w:r w:rsidRPr="0070699C">
        <w:rPr>
          <w:rFonts w:ascii="Times New Roman" w:hAnsi="Times New Roman" w:cs="Times New Roman"/>
          <w:noProof/>
          <w:szCs w:val="24"/>
        </w:rPr>
        <w:t>(8), 2397–2439. https://doi.org/10.1007/s11846-023-00700-6</w:t>
      </w:r>
    </w:p>
    <w:p w14:paraId="267AAE74"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Lanfranchi, G., Cioli, A., Amanti, A., &amp; Marinelli, L. (2025). Reconfiguring competitive advantage: a resource dynamic framework for generative AI adoption in digital content marketing. </w:t>
      </w:r>
      <w:r w:rsidRPr="0070699C">
        <w:rPr>
          <w:rFonts w:ascii="Times New Roman" w:hAnsi="Times New Roman" w:cs="Times New Roman"/>
          <w:i/>
          <w:iCs/>
          <w:noProof/>
          <w:szCs w:val="24"/>
        </w:rPr>
        <w:t>European Journal of Innovation Management</w:t>
      </w:r>
      <w:r w:rsidRPr="0070699C">
        <w:rPr>
          <w:rFonts w:ascii="Times New Roman" w:hAnsi="Times New Roman" w:cs="Times New Roman"/>
          <w:noProof/>
          <w:szCs w:val="24"/>
        </w:rPr>
        <w:t>, 1–29. https://doi.org/10.1108/EJIM-03-2024-0317</w:t>
      </w:r>
    </w:p>
    <w:p w14:paraId="4B834F70"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Lehtimäki, H., Karhu, M., Kotilainen, J. M., Sairinen, R., Jokilaakso, A., Lassi, U., &amp; Huttunen-Saarivirta, E. (2024). Sustainability of the use of critical raw materials in electric vehicle batteries: A transdisciplinary review. </w:t>
      </w:r>
      <w:r w:rsidRPr="0070699C">
        <w:rPr>
          <w:rFonts w:ascii="Times New Roman" w:hAnsi="Times New Roman" w:cs="Times New Roman"/>
          <w:i/>
          <w:iCs/>
          <w:noProof/>
          <w:szCs w:val="24"/>
        </w:rPr>
        <w:t>Environmental Challenges</w:t>
      </w:r>
      <w:r w:rsidRPr="0070699C">
        <w:rPr>
          <w:rFonts w:ascii="Times New Roman" w:hAnsi="Times New Roman" w:cs="Times New Roman"/>
          <w:noProof/>
          <w:szCs w:val="24"/>
        </w:rPr>
        <w:t xml:space="preserve">, </w:t>
      </w:r>
      <w:r w:rsidRPr="0070699C">
        <w:rPr>
          <w:rFonts w:ascii="Times New Roman" w:hAnsi="Times New Roman" w:cs="Times New Roman"/>
          <w:i/>
          <w:iCs/>
          <w:noProof/>
          <w:szCs w:val="24"/>
        </w:rPr>
        <w:t>16</w:t>
      </w:r>
      <w:r w:rsidRPr="0070699C">
        <w:rPr>
          <w:rFonts w:ascii="Times New Roman" w:hAnsi="Times New Roman" w:cs="Times New Roman"/>
          <w:noProof/>
          <w:szCs w:val="24"/>
        </w:rPr>
        <w:t>, 100966. https://doi.org/https://doi.org/10.1016/j.envc.2024.100966</w:t>
      </w:r>
    </w:p>
    <w:p w14:paraId="078B577A"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Lin, W. L. (2023). Corporate social responsibility and irresponsibility: Effects on supply chain performance in the automotive industry under environmental turbulence. </w:t>
      </w:r>
      <w:r w:rsidRPr="0070699C">
        <w:rPr>
          <w:rFonts w:ascii="Times New Roman" w:hAnsi="Times New Roman" w:cs="Times New Roman"/>
          <w:i/>
          <w:iCs/>
          <w:noProof/>
          <w:szCs w:val="24"/>
        </w:rPr>
        <w:t>Journal of Cleaner Production</w:t>
      </w:r>
      <w:r w:rsidRPr="0070699C">
        <w:rPr>
          <w:rFonts w:ascii="Times New Roman" w:hAnsi="Times New Roman" w:cs="Times New Roman"/>
          <w:noProof/>
          <w:szCs w:val="24"/>
        </w:rPr>
        <w:t xml:space="preserve">, </w:t>
      </w:r>
      <w:r w:rsidRPr="0070699C">
        <w:rPr>
          <w:rFonts w:ascii="Times New Roman" w:hAnsi="Times New Roman" w:cs="Times New Roman"/>
          <w:i/>
          <w:iCs/>
          <w:noProof/>
          <w:szCs w:val="24"/>
        </w:rPr>
        <w:t>428</w:t>
      </w:r>
      <w:r w:rsidRPr="0070699C">
        <w:rPr>
          <w:rFonts w:ascii="Times New Roman" w:hAnsi="Times New Roman" w:cs="Times New Roman"/>
          <w:noProof/>
          <w:szCs w:val="24"/>
        </w:rPr>
        <w:t>, 139033. https://doi.org/https://doi.org/10.1016/j.jclepro.2023.139033</w:t>
      </w:r>
    </w:p>
    <w:p w14:paraId="07A7AA5B"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Liu, C. (Charo), Boothman, S. G., &amp; Graham, J. D. (2025). The Rise and Recent Decline of Tesla’s Share of the U.S. Electric Vehicle Market. </w:t>
      </w:r>
      <w:r w:rsidRPr="0070699C">
        <w:rPr>
          <w:rFonts w:ascii="Times New Roman" w:hAnsi="Times New Roman" w:cs="Times New Roman"/>
          <w:i/>
          <w:iCs/>
          <w:noProof/>
          <w:szCs w:val="24"/>
        </w:rPr>
        <w:t>World Electric Vehicle Journal</w:t>
      </w:r>
      <w:r w:rsidRPr="0070699C">
        <w:rPr>
          <w:rFonts w:ascii="Times New Roman" w:hAnsi="Times New Roman" w:cs="Times New Roman"/>
          <w:noProof/>
          <w:szCs w:val="24"/>
        </w:rPr>
        <w:t xml:space="preserve">, </w:t>
      </w:r>
      <w:r w:rsidRPr="0070699C">
        <w:rPr>
          <w:rFonts w:ascii="Times New Roman" w:hAnsi="Times New Roman" w:cs="Times New Roman"/>
          <w:i/>
          <w:iCs/>
          <w:noProof/>
          <w:szCs w:val="24"/>
        </w:rPr>
        <w:t>16</w:t>
      </w:r>
      <w:r w:rsidRPr="0070699C">
        <w:rPr>
          <w:rFonts w:ascii="Times New Roman" w:hAnsi="Times New Roman" w:cs="Times New Roman"/>
          <w:noProof/>
          <w:szCs w:val="24"/>
        </w:rPr>
        <w:t>(2). https://doi.org/10.3390/wevj16020090</w:t>
      </w:r>
    </w:p>
    <w:p w14:paraId="463F2007"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Liu, X., &amp; Zhou, Y. (2025). The Impact of Strategic Corporate Social Responsibility on Organizational Resilience—An Exploratory Case Study Based on Tesla. In </w:t>
      </w:r>
      <w:r w:rsidRPr="0070699C">
        <w:rPr>
          <w:rFonts w:ascii="Times New Roman" w:hAnsi="Times New Roman" w:cs="Times New Roman"/>
          <w:i/>
          <w:iCs/>
          <w:noProof/>
          <w:szCs w:val="24"/>
        </w:rPr>
        <w:t>Administrative Sciences</w:t>
      </w:r>
      <w:r w:rsidRPr="0070699C">
        <w:rPr>
          <w:rFonts w:ascii="Times New Roman" w:hAnsi="Times New Roman" w:cs="Times New Roman"/>
          <w:noProof/>
          <w:szCs w:val="24"/>
        </w:rPr>
        <w:t xml:space="preserve"> (Vol. 15, Issue 6, p. 212). https://doi.org/10.3390/admsci15060212</w:t>
      </w:r>
    </w:p>
    <w:p w14:paraId="7EBC8481"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lastRenderedPageBreak/>
        <w:t xml:space="preserve">McKinsey &amp; Company. (2025). </w:t>
      </w:r>
      <w:r w:rsidRPr="0070699C">
        <w:rPr>
          <w:rFonts w:ascii="Times New Roman" w:hAnsi="Times New Roman" w:cs="Times New Roman"/>
          <w:i/>
          <w:iCs/>
          <w:noProof/>
          <w:szCs w:val="24"/>
        </w:rPr>
        <w:t>New twists in the electric-vehicle transition: A consumer perspective</w:t>
      </w:r>
      <w:r w:rsidRPr="0070699C">
        <w:rPr>
          <w:rFonts w:ascii="Times New Roman" w:hAnsi="Times New Roman" w:cs="Times New Roman"/>
          <w:noProof/>
          <w:szCs w:val="24"/>
        </w:rPr>
        <w:t>. https://www.mckinsey.com/features/mckinsey-center-for-future-mobility/our-insights/new-twists-in-the-electric-vehicle-transition-a-consumer-perspective?</w:t>
      </w:r>
    </w:p>
    <w:p w14:paraId="21345282"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Nature Portfolio. (2026). </w:t>
      </w:r>
      <w:r w:rsidRPr="0070699C">
        <w:rPr>
          <w:rFonts w:ascii="Times New Roman" w:hAnsi="Times New Roman" w:cs="Times New Roman"/>
          <w:i/>
          <w:iCs/>
          <w:noProof/>
          <w:szCs w:val="24"/>
        </w:rPr>
        <w:t>Critical materials supply chain sustainability</w:t>
      </w:r>
      <w:r w:rsidRPr="0070699C">
        <w:rPr>
          <w:rFonts w:ascii="Times New Roman" w:hAnsi="Times New Roman" w:cs="Times New Roman"/>
          <w:noProof/>
          <w:szCs w:val="24"/>
        </w:rPr>
        <w:t>. https://www.nature.com/collections/eaebjccaab</w:t>
      </w:r>
    </w:p>
    <w:p w14:paraId="6F4E12A0"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Otto, S., Wlcek, M., &amp; Wortmann, F. (2025). </w:t>
      </w:r>
      <w:r w:rsidRPr="0070699C">
        <w:rPr>
          <w:rFonts w:ascii="Times New Roman" w:hAnsi="Times New Roman" w:cs="Times New Roman"/>
          <w:i/>
          <w:iCs/>
          <w:noProof/>
          <w:szCs w:val="24"/>
        </w:rPr>
        <w:t>Towards Conceptualizing Software-Defined Vehicles: A Systematic Review and Future Research Avenues</w:t>
      </w:r>
      <w:r w:rsidRPr="0070699C">
        <w:rPr>
          <w:rFonts w:ascii="Times New Roman" w:hAnsi="Times New Roman" w:cs="Times New Roman"/>
          <w:noProof/>
          <w:szCs w:val="24"/>
        </w:rPr>
        <w:t>.</w:t>
      </w:r>
    </w:p>
    <w:p w14:paraId="212D7651"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RBR Business. (2024). </w:t>
      </w:r>
      <w:r w:rsidRPr="0070699C">
        <w:rPr>
          <w:rFonts w:ascii="Times New Roman" w:hAnsi="Times New Roman" w:cs="Times New Roman"/>
          <w:i/>
          <w:iCs/>
          <w:noProof/>
          <w:szCs w:val="24"/>
        </w:rPr>
        <w:t>Tesla’s Approach to Innovation Culture</w:t>
      </w:r>
      <w:r w:rsidRPr="0070699C">
        <w:rPr>
          <w:rFonts w:ascii="Times New Roman" w:hAnsi="Times New Roman" w:cs="Times New Roman"/>
          <w:noProof/>
          <w:szCs w:val="24"/>
        </w:rPr>
        <w:t>. https://rbr.business.rutgers.edu/sites/default/files/documents/rbr-090103.pdf</w:t>
      </w:r>
    </w:p>
    <w:p w14:paraId="6820D45F"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Reflection Ed. (2024). </w:t>
      </w:r>
      <w:r w:rsidRPr="0070699C">
        <w:rPr>
          <w:rFonts w:ascii="Times New Roman" w:hAnsi="Times New Roman" w:cs="Times New Roman"/>
          <w:i/>
          <w:iCs/>
          <w:noProof/>
          <w:szCs w:val="24"/>
        </w:rPr>
        <w:t>Gibbs’ Reflective Cycle</w:t>
      </w:r>
      <w:r w:rsidRPr="0070699C">
        <w:rPr>
          <w:rFonts w:ascii="Times New Roman" w:hAnsi="Times New Roman" w:cs="Times New Roman"/>
          <w:noProof/>
          <w:szCs w:val="24"/>
        </w:rPr>
        <w:t>. https://reflection.ed.ac.uk/reflectors-toolkit/reflecting-on-experience/gibbs-reflective-cycle</w:t>
      </w:r>
    </w:p>
    <w:p w14:paraId="4E801D46"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Reuters. (2024a). </w:t>
      </w:r>
      <w:r w:rsidRPr="0070699C">
        <w:rPr>
          <w:rFonts w:ascii="Times New Roman" w:hAnsi="Times New Roman" w:cs="Times New Roman"/>
          <w:i/>
          <w:iCs/>
          <w:noProof/>
          <w:szCs w:val="24"/>
        </w:rPr>
        <w:t>Exclusive: Tesla plans to build new electric vehicles in mid-2025</w:t>
      </w:r>
      <w:r w:rsidRPr="0070699C">
        <w:rPr>
          <w:rFonts w:ascii="Times New Roman" w:hAnsi="Times New Roman" w:cs="Times New Roman"/>
          <w:noProof/>
          <w:szCs w:val="24"/>
        </w:rPr>
        <w:t>. https://www.reuters.com/business/autos-transportation/tesla-plans-build-new-electric-vehicles-mid-2025-sources-2024-01-24</w:t>
      </w:r>
    </w:p>
    <w:p w14:paraId="23EFDB53"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Reuters. (2024b). </w:t>
      </w:r>
      <w:r w:rsidRPr="0070699C">
        <w:rPr>
          <w:rFonts w:ascii="Times New Roman" w:hAnsi="Times New Roman" w:cs="Times New Roman"/>
          <w:i/>
          <w:iCs/>
          <w:noProof/>
          <w:szCs w:val="24"/>
        </w:rPr>
        <w:t>Tesla profit margins worst in five years as price cuts, incentives weigh</w:t>
      </w:r>
      <w:r w:rsidRPr="0070699C">
        <w:rPr>
          <w:rFonts w:ascii="Times New Roman" w:hAnsi="Times New Roman" w:cs="Times New Roman"/>
          <w:noProof/>
          <w:szCs w:val="24"/>
        </w:rPr>
        <w:t>. https://www.reuters.com/business/autos-transportation/tesla-revenue-sees-surprise-rise-second-quarter-revenue-2024-07-23/</w:t>
      </w:r>
    </w:p>
    <w:p w14:paraId="43BDD146"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Reuters. (2025a). </w:t>
      </w:r>
      <w:r w:rsidRPr="0070699C">
        <w:rPr>
          <w:rFonts w:ascii="Times New Roman" w:hAnsi="Times New Roman" w:cs="Times New Roman"/>
          <w:i/>
          <w:iCs/>
          <w:noProof/>
          <w:szCs w:val="24"/>
        </w:rPr>
        <w:t>China’s CATL sees slowest profit growth in six years</w:t>
      </w:r>
      <w:r w:rsidRPr="0070699C">
        <w:rPr>
          <w:rFonts w:ascii="Times New Roman" w:hAnsi="Times New Roman" w:cs="Times New Roman"/>
          <w:noProof/>
          <w:szCs w:val="24"/>
        </w:rPr>
        <w:t>. https://www.reuters.com/technology/chinas-catl-sees-slowest-profit-growth-six-years-2025-03-14</w:t>
      </w:r>
    </w:p>
    <w:p w14:paraId="64124744"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Reuters. (2025b). </w:t>
      </w:r>
      <w:r w:rsidRPr="0070699C">
        <w:rPr>
          <w:rFonts w:ascii="Times New Roman" w:hAnsi="Times New Roman" w:cs="Times New Roman"/>
          <w:i/>
          <w:iCs/>
          <w:noProof/>
          <w:szCs w:val="24"/>
        </w:rPr>
        <w:t>Tesla’s cheaper EVs might revive sales but squeeze profit</w:t>
      </w:r>
      <w:r w:rsidRPr="0070699C">
        <w:rPr>
          <w:rFonts w:ascii="Times New Roman" w:hAnsi="Times New Roman" w:cs="Times New Roman"/>
          <w:noProof/>
          <w:szCs w:val="24"/>
        </w:rPr>
        <w:t>. https://www.reuters.com/business/autos-transportation/growth-cost-teslas-cheaper-evs-might-revive-sales-squeeze-profit-2025-10-21/</w:t>
      </w:r>
    </w:p>
    <w:p w14:paraId="2C44D791"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Reuters. (2025c). </w:t>
      </w:r>
      <w:r w:rsidRPr="0070699C">
        <w:rPr>
          <w:rFonts w:ascii="Times New Roman" w:hAnsi="Times New Roman" w:cs="Times New Roman"/>
          <w:i/>
          <w:iCs/>
          <w:noProof/>
          <w:szCs w:val="24"/>
        </w:rPr>
        <w:t>Tesla commits to cheaper cars in first half, sees autonomous vehicles “in the wild” in June</w:t>
      </w:r>
      <w:r w:rsidRPr="0070699C">
        <w:rPr>
          <w:rFonts w:ascii="Times New Roman" w:hAnsi="Times New Roman" w:cs="Times New Roman"/>
          <w:noProof/>
          <w:szCs w:val="24"/>
        </w:rPr>
        <w:t>. https://www.reuters.com/business/autos-transportation/teslas-fourth-quarter-profit-margin-misses-estimates-2025-01-29</w:t>
      </w:r>
    </w:p>
    <w:p w14:paraId="680EA3AD"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Reuters. (2026). </w:t>
      </w:r>
      <w:r w:rsidRPr="0070699C">
        <w:rPr>
          <w:rFonts w:ascii="Times New Roman" w:hAnsi="Times New Roman" w:cs="Times New Roman"/>
          <w:i/>
          <w:iCs/>
          <w:noProof/>
          <w:szCs w:val="24"/>
        </w:rPr>
        <w:t>China lithium prices tumble as weak EV sales, Middle East war cloud demand outlook</w:t>
      </w:r>
      <w:r w:rsidRPr="0070699C">
        <w:rPr>
          <w:rFonts w:ascii="Times New Roman" w:hAnsi="Times New Roman" w:cs="Times New Roman"/>
          <w:noProof/>
          <w:szCs w:val="24"/>
        </w:rPr>
        <w:t>. https://www.reuters.com/world/asia-pacific/china-lithium-prices-tumble-weak-ev-sales-middle-east-war-cloud-demand-outlook-2026-03-03/</w:t>
      </w:r>
    </w:p>
    <w:p w14:paraId="14AA0110"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Roth, E. (2025). </w:t>
      </w:r>
      <w:r w:rsidRPr="0070699C">
        <w:rPr>
          <w:rFonts w:ascii="Times New Roman" w:hAnsi="Times New Roman" w:cs="Times New Roman"/>
          <w:i/>
          <w:iCs/>
          <w:noProof/>
          <w:szCs w:val="24"/>
        </w:rPr>
        <w:t>Honda and Acura EV owners can now use Tesla Superchargers</w:t>
      </w:r>
      <w:r w:rsidRPr="0070699C">
        <w:rPr>
          <w:rFonts w:ascii="Times New Roman" w:hAnsi="Times New Roman" w:cs="Times New Roman"/>
          <w:noProof/>
          <w:szCs w:val="24"/>
        </w:rPr>
        <w:t>. https://www.theverge.com/news/711472/honda-acura-ev-tesla-supercharger-access-adapter</w:t>
      </w:r>
    </w:p>
    <w:p w14:paraId="58F774CA"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SEC.GOV. (2024). </w:t>
      </w:r>
      <w:r w:rsidRPr="0070699C">
        <w:rPr>
          <w:rFonts w:ascii="Times New Roman" w:hAnsi="Times New Roman" w:cs="Times New Roman"/>
          <w:i/>
          <w:iCs/>
          <w:noProof/>
          <w:szCs w:val="24"/>
        </w:rPr>
        <w:t>UNITED STATES SECURITIES AND EXCHANGE COMMISSION</w:t>
      </w:r>
      <w:r w:rsidRPr="0070699C">
        <w:rPr>
          <w:rFonts w:ascii="Times New Roman" w:hAnsi="Times New Roman" w:cs="Times New Roman"/>
          <w:noProof/>
          <w:szCs w:val="24"/>
        </w:rPr>
        <w:t>. https://www.sec.gov/Archives/edgar/data/1318605/000162828025003063/tsla-20241231.htm</w:t>
      </w:r>
    </w:p>
    <w:p w14:paraId="28484925"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Shepardson, D. (2024). </w:t>
      </w:r>
      <w:r w:rsidRPr="0070699C">
        <w:rPr>
          <w:rFonts w:ascii="Times New Roman" w:hAnsi="Times New Roman" w:cs="Times New Roman"/>
          <w:i/>
          <w:iCs/>
          <w:noProof/>
          <w:szCs w:val="24"/>
        </w:rPr>
        <w:t>US probes Tesla’s Full Self-Driving software in 2.4 mln cars after fatal crash</w:t>
      </w:r>
      <w:r w:rsidRPr="0070699C">
        <w:rPr>
          <w:rFonts w:ascii="Times New Roman" w:hAnsi="Times New Roman" w:cs="Times New Roman"/>
          <w:noProof/>
          <w:szCs w:val="24"/>
        </w:rPr>
        <w:t>. https://www.reuters.com/business/autos-transportation/nhtsa-opens-probe-into-24-mln-tesla-vehicles-over-full-self-driving-collisions-2024-10-18/</w:t>
      </w:r>
    </w:p>
    <w:p w14:paraId="782AC929"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Static NHTSA. (2024a). </w:t>
      </w:r>
      <w:r w:rsidRPr="0070699C">
        <w:rPr>
          <w:rFonts w:ascii="Times New Roman" w:hAnsi="Times New Roman" w:cs="Times New Roman"/>
          <w:i/>
          <w:iCs/>
          <w:noProof/>
          <w:szCs w:val="24"/>
        </w:rPr>
        <w:t>Additional Information Regarding EA22002</w:t>
      </w:r>
      <w:r w:rsidRPr="0070699C">
        <w:rPr>
          <w:rFonts w:ascii="Times New Roman" w:hAnsi="Times New Roman" w:cs="Times New Roman"/>
          <w:noProof/>
          <w:szCs w:val="24"/>
        </w:rPr>
        <w:t>. https://static.nhtsa.gov/odi/inv/2022/INCR-EA22002-14496.pdf</w:t>
      </w:r>
    </w:p>
    <w:p w14:paraId="1C7416FE"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lastRenderedPageBreak/>
        <w:t xml:space="preserve">Static NHTSA. (2024b). </w:t>
      </w:r>
      <w:r w:rsidRPr="0070699C">
        <w:rPr>
          <w:rFonts w:ascii="Times New Roman" w:hAnsi="Times New Roman" w:cs="Times New Roman"/>
          <w:i/>
          <w:iCs/>
          <w:noProof/>
          <w:szCs w:val="24"/>
        </w:rPr>
        <w:t>Part 573 Safety Recall Report 23V-838</w:t>
      </w:r>
      <w:r w:rsidRPr="0070699C">
        <w:rPr>
          <w:rFonts w:ascii="Times New Roman" w:hAnsi="Times New Roman" w:cs="Times New Roman"/>
          <w:noProof/>
          <w:szCs w:val="24"/>
        </w:rPr>
        <w:t>. https://static.nhtsa.gov/odi/rcl/2023/RCLRPT-23V838-8276.PDF</w:t>
      </w:r>
    </w:p>
    <w:p w14:paraId="2CA2D3BC"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Tawse, A., &amp; Tabesh, P. (2023). Thirty years with the balanced scorecard: What we have learned. </w:t>
      </w:r>
      <w:r w:rsidRPr="0070699C">
        <w:rPr>
          <w:rFonts w:ascii="Times New Roman" w:hAnsi="Times New Roman" w:cs="Times New Roman"/>
          <w:i/>
          <w:iCs/>
          <w:noProof/>
          <w:szCs w:val="24"/>
        </w:rPr>
        <w:t>Business Horizons</w:t>
      </w:r>
      <w:r w:rsidRPr="0070699C">
        <w:rPr>
          <w:rFonts w:ascii="Times New Roman" w:hAnsi="Times New Roman" w:cs="Times New Roman"/>
          <w:noProof/>
          <w:szCs w:val="24"/>
        </w:rPr>
        <w:t xml:space="preserve">, </w:t>
      </w:r>
      <w:r w:rsidRPr="0070699C">
        <w:rPr>
          <w:rFonts w:ascii="Times New Roman" w:hAnsi="Times New Roman" w:cs="Times New Roman"/>
          <w:i/>
          <w:iCs/>
          <w:noProof/>
          <w:szCs w:val="24"/>
        </w:rPr>
        <w:t>66</w:t>
      </w:r>
      <w:r w:rsidRPr="0070699C">
        <w:rPr>
          <w:rFonts w:ascii="Times New Roman" w:hAnsi="Times New Roman" w:cs="Times New Roman"/>
          <w:noProof/>
          <w:szCs w:val="24"/>
        </w:rPr>
        <w:t>(1), 123–132. https://doi.org/https://doi.org/10.1016/j.bushor.2022.03.005</w:t>
      </w:r>
    </w:p>
    <w:p w14:paraId="7DA19561"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Tesla. (2024a). </w:t>
      </w:r>
      <w:r w:rsidRPr="0070699C">
        <w:rPr>
          <w:rFonts w:ascii="Times New Roman" w:hAnsi="Times New Roman" w:cs="Times New Roman"/>
          <w:i/>
          <w:iCs/>
          <w:noProof/>
          <w:szCs w:val="24"/>
        </w:rPr>
        <w:t>Impact Report</w:t>
      </w:r>
      <w:r w:rsidRPr="0070699C">
        <w:rPr>
          <w:rFonts w:ascii="Times New Roman" w:hAnsi="Times New Roman" w:cs="Times New Roman"/>
          <w:noProof/>
          <w:szCs w:val="24"/>
        </w:rPr>
        <w:t>. https://www.tesla.com/ns_videos/2024-tesla-impact-report-highlights.pdf</w:t>
      </w:r>
    </w:p>
    <w:p w14:paraId="3AECB262"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Tesla. (2024b). </w:t>
      </w:r>
      <w:r w:rsidRPr="0070699C">
        <w:rPr>
          <w:rFonts w:ascii="Times New Roman" w:hAnsi="Times New Roman" w:cs="Times New Roman"/>
          <w:i/>
          <w:iCs/>
          <w:noProof/>
          <w:szCs w:val="24"/>
        </w:rPr>
        <w:t>UNITED STATES SECURITIES AND EXCHANGE COMMISSION</w:t>
      </w:r>
      <w:r w:rsidRPr="0070699C">
        <w:rPr>
          <w:rFonts w:ascii="Times New Roman" w:hAnsi="Times New Roman" w:cs="Times New Roman"/>
          <w:noProof/>
          <w:szCs w:val="24"/>
        </w:rPr>
        <w:t>. https://ir.tesla.com/_flysystem/s3/sec/000162828025003063/tsla-20241231-gen.pdf</w:t>
      </w:r>
    </w:p>
    <w:p w14:paraId="25843517"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Tesla. (2025a). </w:t>
      </w:r>
      <w:r w:rsidRPr="0070699C">
        <w:rPr>
          <w:rFonts w:ascii="Times New Roman" w:hAnsi="Times New Roman" w:cs="Times New Roman"/>
          <w:i/>
          <w:iCs/>
          <w:noProof/>
          <w:szCs w:val="24"/>
        </w:rPr>
        <w:t>Charging For All</w:t>
      </w:r>
      <w:r w:rsidRPr="0070699C">
        <w:rPr>
          <w:rFonts w:ascii="Times New Roman" w:hAnsi="Times New Roman" w:cs="Times New Roman"/>
          <w:noProof/>
          <w:szCs w:val="24"/>
        </w:rPr>
        <w:t>. https://www.tesla.com/NACS</w:t>
      </w:r>
    </w:p>
    <w:p w14:paraId="5BF584E0"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Tesla. (2025b). </w:t>
      </w:r>
      <w:r w:rsidRPr="0070699C">
        <w:rPr>
          <w:rFonts w:ascii="Times New Roman" w:hAnsi="Times New Roman" w:cs="Times New Roman"/>
          <w:i/>
          <w:iCs/>
          <w:noProof/>
          <w:szCs w:val="24"/>
        </w:rPr>
        <w:t>Full Self-Driving ( Supervised)</w:t>
      </w:r>
      <w:r w:rsidRPr="0070699C">
        <w:rPr>
          <w:rFonts w:ascii="Times New Roman" w:hAnsi="Times New Roman" w:cs="Times New Roman"/>
          <w:noProof/>
          <w:szCs w:val="24"/>
        </w:rPr>
        <w:t>. https://www.tesla.com/fsd/safety</w:t>
      </w:r>
    </w:p>
    <w:p w14:paraId="74F77730"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Tesla. (2025c). </w:t>
      </w:r>
      <w:r w:rsidRPr="0070699C">
        <w:rPr>
          <w:rFonts w:ascii="Times New Roman" w:hAnsi="Times New Roman" w:cs="Times New Roman"/>
          <w:i/>
          <w:iCs/>
          <w:noProof/>
          <w:szCs w:val="24"/>
        </w:rPr>
        <w:t>UNITED STATES SECURITIES AND EXCHANGE COMMISSION Washington, D.C. 20549 FORM 10-Q</w:t>
      </w:r>
      <w:r w:rsidRPr="0070699C">
        <w:rPr>
          <w:rFonts w:ascii="Times New Roman" w:hAnsi="Times New Roman" w:cs="Times New Roman"/>
          <w:noProof/>
          <w:szCs w:val="24"/>
        </w:rPr>
        <w:t>. https://ir.tesla.com/_flysystem/s3/sec/000162828025045968/tsla-20250930-gen.pdf</w:t>
      </w:r>
    </w:p>
    <w:p w14:paraId="54A46944"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United Nations. (2025). </w:t>
      </w:r>
      <w:r w:rsidRPr="0070699C">
        <w:rPr>
          <w:rFonts w:ascii="Times New Roman" w:hAnsi="Times New Roman" w:cs="Times New Roman"/>
          <w:i/>
          <w:iCs/>
          <w:noProof/>
          <w:szCs w:val="24"/>
        </w:rPr>
        <w:t xml:space="preserve">Concerning the Adoption of Harmonized Technical United Nations Regulations for Wheeled Vehicles, Equipment and Parts which can be Fitted and/or be Used on Wheeled Vehicles and the Conditions for Reciprocal Recognition of Approvals Granted on the Basis of </w:t>
      </w:r>
      <w:r w:rsidRPr="0070699C">
        <w:rPr>
          <w:rFonts w:ascii="Times New Roman" w:hAnsi="Times New Roman" w:cs="Times New Roman"/>
          <w:noProof/>
          <w:szCs w:val="24"/>
        </w:rPr>
        <w:t>. https://unece.org/sites/default/files/2025-06/R157r1e.pdf</w:t>
      </w:r>
    </w:p>
    <w:p w14:paraId="42674738"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Washington State University. (2026). </w:t>
      </w:r>
      <w:r w:rsidRPr="0070699C">
        <w:rPr>
          <w:rFonts w:ascii="Times New Roman" w:hAnsi="Times New Roman" w:cs="Times New Roman"/>
          <w:i/>
          <w:iCs/>
          <w:noProof/>
          <w:szCs w:val="24"/>
        </w:rPr>
        <w:t>WHt is PESTLE</w:t>
      </w:r>
      <w:r w:rsidRPr="0070699C">
        <w:rPr>
          <w:rFonts w:ascii="Times New Roman" w:hAnsi="Times New Roman" w:cs="Times New Roman"/>
          <w:noProof/>
          <w:szCs w:val="24"/>
        </w:rPr>
        <w:t>. https://libguides.libraries.wsu.edu/c.php?g=294263&amp;p=4358409&amp;</w:t>
      </w:r>
    </w:p>
    <w:p w14:paraId="0F24104E"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World Economic Forum. (2024a). </w:t>
      </w:r>
      <w:r w:rsidRPr="0070699C">
        <w:rPr>
          <w:rFonts w:ascii="Times New Roman" w:hAnsi="Times New Roman" w:cs="Times New Roman"/>
          <w:i/>
          <w:iCs/>
          <w:noProof/>
          <w:szCs w:val="24"/>
        </w:rPr>
        <w:t>Scaling Investment in EV Charging: A Policy Roadmap for Cities</w:t>
      </w:r>
      <w:r w:rsidRPr="0070699C">
        <w:rPr>
          <w:rFonts w:ascii="Times New Roman" w:hAnsi="Times New Roman" w:cs="Times New Roman"/>
          <w:noProof/>
          <w:szCs w:val="24"/>
        </w:rPr>
        <w:t>. https://www.weforum.org/publications/scaling-investment-in-ev-charging-a-policy-roadmap-for-cities</w:t>
      </w:r>
    </w:p>
    <w:p w14:paraId="75923575"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World Economic Forum. (2024b). </w:t>
      </w:r>
      <w:r w:rsidRPr="0070699C">
        <w:rPr>
          <w:rFonts w:ascii="Times New Roman" w:hAnsi="Times New Roman" w:cs="Times New Roman"/>
          <w:i/>
          <w:iCs/>
          <w:noProof/>
          <w:szCs w:val="24"/>
        </w:rPr>
        <w:t>Scaling Investment in EV Charging Infrastructure: A Policy Roadmap for Cities</w:t>
      </w:r>
      <w:r w:rsidRPr="0070699C">
        <w:rPr>
          <w:rFonts w:ascii="Times New Roman" w:hAnsi="Times New Roman" w:cs="Times New Roman"/>
          <w:noProof/>
          <w:szCs w:val="24"/>
        </w:rPr>
        <w:t>. https://www3.weforum.org/docs/WEF_Scaling_Investment_in_EV_Charging_Infrastructure_2024.pdf</w:t>
      </w:r>
    </w:p>
    <w:p w14:paraId="0519C165"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szCs w:val="24"/>
        </w:rPr>
      </w:pPr>
      <w:r w:rsidRPr="0070699C">
        <w:rPr>
          <w:rFonts w:ascii="Times New Roman" w:hAnsi="Times New Roman" w:cs="Times New Roman"/>
          <w:noProof/>
          <w:szCs w:val="24"/>
        </w:rPr>
        <w:t xml:space="preserve">Yang, C., Liu, D.-F., &amp; Liu, S.-M. (2025). Energy and cost analysis of automotive batteries based on learning curve and configuration design. </w:t>
      </w:r>
      <w:r w:rsidRPr="0070699C">
        <w:rPr>
          <w:rFonts w:ascii="Times New Roman" w:hAnsi="Times New Roman" w:cs="Times New Roman"/>
          <w:i/>
          <w:iCs/>
          <w:noProof/>
          <w:szCs w:val="24"/>
        </w:rPr>
        <w:t>Energy</w:t>
      </w:r>
      <w:r w:rsidRPr="0070699C">
        <w:rPr>
          <w:rFonts w:ascii="Times New Roman" w:hAnsi="Times New Roman" w:cs="Times New Roman"/>
          <w:noProof/>
          <w:szCs w:val="24"/>
        </w:rPr>
        <w:t xml:space="preserve">, </w:t>
      </w:r>
      <w:r w:rsidRPr="0070699C">
        <w:rPr>
          <w:rFonts w:ascii="Times New Roman" w:hAnsi="Times New Roman" w:cs="Times New Roman"/>
          <w:i/>
          <w:iCs/>
          <w:noProof/>
          <w:szCs w:val="24"/>
        </w:rPr>
        <w:t>328</w:t>
      </w:r>
      <w:r w:rsidRPr="0070699C">
        <w:rPr>
          <w:rFonts w:ascii="Times New Roman" w:hAnsi="Times New Roman" w:cs="Times New Roman"/>
          <w:noProof/>
          <w:szCs w:val="24"/>
        </w:rPr>
        <w:t>, 136648. https://doi.org/https://doi.org/10.1016/j.energy.2025.136648</w:t>
      </w:r>
    </w:p>
    <w:p w14:paraId="481CE4C8" w14:textId="77777777" w:rsidR="008A179E" w:rsidRPr="0070699C" w:rsidRDefault="008A179E" w:rsidP="008A179E">
      <w:pPr>
        <w:widowControl w:val="0"/>
        <w:autoSpaceDE w:val="0"/>
        <w:autoSpaceDN w:val="0"/>
        <w:adjustRightInd w:val="0"/>
        <w:spacing w:line="240" w:lineRule="auto"/>
        <w:ind w:left="480" w:hanging="480"/>
        <w:rPr>
          <w:rFonts w:ascii="Times New Roman" w:hAnsi="Times New Roman" w:cs="Times New Roman"/>
          <w:noProof/>
        </w:rPr>
      </w:pPr>
      <w:r w:rsidRPr="0070699C">
        <w:rPr>
          <w:rFonts w:ascii="Times New Roman" w:hAnsi="Times New Roman" w:cs="Times New Roman"/>
          <w:noProof/>
          <w:szCs w:val="24"/>
        </w:rPr>
        <w:t xml:space="preserve">Zhao, Y., Meng, Q., &amp; Li, Z. (2025). Performance Enhancement Pathways for Electric Vehicle Manufacturing Companies Driven by Digital Transformation—A Configuration Analysis Based on the TOE Framework. In </w:t>
      </w:r>
      <w:r w:rsidRPr="0070699C">
        <w:rPr>
          <w:rFonts w:ascii="Times New Roman" w:hAnsi="Times New Roman" w:cs="Times New Roman"/>
          <w:i/>
          <w:iCs/>
          <w:noProof/>
          <w:szCs w:val="24"/>
        </w:rPr>
        <w:t>Systems</w:t>
      </w:r>
      <w:r w:rsidRPr="0070699C">
        <w:rPr>
          <w:rFonts w:ascii="Times New Roman" w:hAnsi="Times New Roman" w:cs="Times New Roman"/>
          <w:noProof/>
          <w:szCs w:val="24"/>
        </w:rPr>
        <w:t xml:space="preserve"> (Vol. 13, Issue 8, p. 680). https://doi.org/10.3390/systems13080680</w:t>
      </w:r>
    </w:p>
    <w:p w14:paraId="2D483A99" w14:textId="1AD73D35" w:rsidR="0088133C" w:rsidRPr="00E15B07" w:rsidRDefault="00A30DC1">
      <w:pPr>
        <w:rPr>
          <w:lang w:val="en-US"/>
        </w:rPr>
      </w:pPr>
      <w:r w:rsidRPr="0070699C">
        <w:rPr>
          <w:lang w:val="en-US"/>
        </w:rPr>
        <w:fldChar w:fldCharType="end"/>
      </w:r>
    </w:p>
    <w:sectPr w:rsidR="0088133C" w:rsidRPr="00E15B07" w:rsidSect="00A70F1D">
      <w:head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4EB06" w14:textId="77777777" w:rsidR="00C6743A" w:rsidRDefault="00C6743A" w:rsidP="002621AE">
      <w:pPr>
        <w:spacing w:after="0" w:line="240" w:lineRule="auto"/>
      </w:pPr>
      <w:r>
        <w:separator/>
      </w:r>
    </w:p>
  </w:endnote>
  <w:endnote w:type="continuationSeparator" w:id="0">
    <w:p w14:paraId="54669103" w14:textId="77777777" w:rsidR="00C6743A" w:rsidRDefault="00C6743A" w:rsidP="00262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DD982" w14:textId="77777777" w:rsidR="00C6743A" w:rsidRDefault="00C6743A" w:rsidP="002621AE">
      <w:pPr>
        <w:spacing w:after="0" w:line="240" w:lineRule="auto"/>
      </w:pPr>
      <w:r>
        <w:separator/>
      </w:r>
    </w:p>
  </w:footnote>
  <w:footnote w:type="continuationSeparator" w:id="0">
    <w:p w14:paraId="098B9267" w14:textId="77777777" w:rsidR="00C6743A" w:rsidRDefault="00C6743A" w:rsidP="00262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F8938" w14:textId="1A6343EE" w:rsidR="002621AE" w:rsidRDefault="002621AE">
    <w:pPr>
      <w:pStyle w:val="Header"/>
    </w:pPr>
    <w:r w:rsidRPr="00A406E5">
      <w:rPr>
        <w:rFonts w:ascii="Arial" w:hAnsi="Arial" w:cs="Arial"/>
        <w:noProof/>
      </w:rPr>
      <w:drawing>
        <wp:anchor distT="0" distB="0" distL="114300" distR="114300" simplePos="0" relativeHeight="251659264" behindDoc="0" locked="0" layoutInCell="1" allowOverlap="1" wp14:anchorId="6D31BA67" wp14:editId="09CC1F93">
          <wp:simplePos x="0" y="0"/>
          <wp:positionH relativeFrom="column">
            <wp:posOffset>-323850</wp:posOffset>
          </wp:positionH>
          <wp:positionV relativeFrom="paragraph">
            <wp:posOffset>-228600</wp:posOffset>
          </wp:positionV>
          <wp:extent cx="1504950" cy="542925"/>
          <wp:effectExtent l="0" t="0" r="0" b="952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04950"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C4D05"/>
    <w:multiLevelType w:val="multilevel"/>
    <w:tmpl w:val="8210195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CB6521A"/>
    <w:multiLevelType w:val="multilevel"/>
    <w:tmpl w:val="54DABE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E2D39D2"/>
    <w:multiLevelType w:val="multilevel"/>
    <w:tmpl w:val="BF0C9F2A"/>
    <w:lvl w:ilvl="0">
      <w:start w:val="1"/>
      <w:numFmt w:val="decimal"/>
      <w:lvlText w:val="%1"/>
      <w:lvlJc w:val="left"/>
      <w:pPr>
        <w:ind w:left="432" w:hanging="432"/>
      </w:pPr>
      <w:rPr>
        <w:sz w:val="32"/>
        <w:szCs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915AB3"/>
    <w:multiLevelType w:val="hybridMultilevel"/>
    <w:tmpl w:val="B0843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D5257F"/>
    <w:multiLevelType w:val="multilevel"/>
    <w:tmpl w:val="780845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BF28FC"/>
    <w:multiLevelType w:val="multilevel"/>
    <w:tmpl w:val="764A7638"/>
    <w:lvl w:ilvl="0">
      <w:start w:val="1"/>
      <w:numFmt w:val="decimal"/>
      <w:pStyle w:val="Heading1"/>
      <w:lvlText w:val="%1"/>
      <w:lvlJc w:val="left"/>
      <w:pPr>
        <w:ind w:left="432" w:hanging="432"/>
      </w:pPr>
      <w:rPr>
        <w:sz w:val="32"/>
        <w:szCs w:val="3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2"/>
  </w:num>
  <w:num w:numId="3">
    <w:abstractNumId w:val="2"/>
  </w:num>
  <w:num w:numId="4">
    <w:abstractNumId w:val="1"/>
  </w:num>
  <w:num w:numId="5">
    <w:abstractNumId w:val="2"/>
  </w:num>
  <w:num w:numId="6">
    <w:abstractNumId w:val="0"/>
  </w:num>
  <w:num w:numId="7">
    <w:abstractNumId w:val="0"/>
  </w:num>
  <w:num w:numId="8">
    <w:abstractNumId w:val="6"/>
  </w:num>
  <w:num w:numId="9">
    <w:abstractNumId w:val="0"/>
  </w:num>
  <w:num w:numId="10">
    <w:abstractNumId w:val="0"/>
  </w:num>
  <w:num w:numId="11">
    <w:abstractNumId w:val="5"/>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F59"/>
    <w:rsid w:val="000355BB"/>
    <w:rsid w:val="000506C0"/>
    <w:rsid w:val="001615B2"/>
    <w:rsid w:val="00191FF7"/>
    <w:rsid w:val="001A2B22"/>
    <w:rsid w:val="001B421A"/>
    <w:rsid w:val="001C159E"/>
    <w:rsid w:val="001C3DFB"/>
    <w:rsid w:val="001D1EA7"/>
    <w:rsid w:val="001D4160"/>
    <w:rsid w:val="001F3C46"/>
    <w:rsid w:val="00260C51"/>
    <w:rsid w:val="002621AE"/>
    <w:rsid w:val="00264E2A"/>
    <w:rsid w:val="00291FAF"/>
    <w:rsid w:val="002B3858"/>
    <w:rsid w:val="0033570C"/>
    <w:rsid w:val="003F15BC"/>
    <w:rsid w:val="00412DD3"/>
    <w:rsid w:val="00421A20"/>
    <w:rsid w:val="004A477A"/>
    <w:rsid w:val="005002A2"/>
    <w:rsid w:val="00514732"/>
    <w:rsid w:val="00555CAB"/>
    <w:rsid w:val="005837BE"/>
    <w:rsid w:val="0059739B"/>
    <w:rsid w:val="005B24ED"/>
    <w:rsid w:val="005D129A"/>
    <w:rsid w:val="00662EC7"/>
    <w:rsid w:val="00684963"/>
    <w:rsid w:val="006B7F59"/>
    <w:rsid w:val="007015D5"/>
    <w:rsid w:val="0070699C"/>
    <w:rsid w:val="0071667E"/>
    <w:rsid w:val="00740997"/>
    <w:rsid w:val="00772241"/>
    <w:rsid w:val="007829C5"/>
    <w:rsid w:val="007A5A8C"/>
    <w:rsid w:val="007D4172"/>
    <w:rsid w:val="007F5AD7"/>
    <w:rsid w:val="00811F91"/>
    <w:rsid w:val="00854C5E"/>
    <w:rsid w:val="0088133C"/>
    <w:rsid w:val="008A096F"/>
    <w:rsid w:val="008A0DDC"/>
    <w:rsid w:val="008A179E"/>
    <w:rsid w:val="0090608A"/>
    <w:rsid w:val="00925BD5"/>
    <w:rsid w:val="00932E16"/>
    <w:rsid w:val="0095552E"/>
    <w:rsid w:val="00964ABE"/>
    <w:rsid w:val="009874AB"/>
    <w:rsid w:val="00A14B4E"/>
    <w:rsid w:val="00A30DC1"/>
    <w:rsid w:val="00A339D8"/>
    <w:rsid w:val="00A47A12"/>
    <w:rsid w:val="00A70F1D"/>
    <w:rsid w:val="00A719C7"/>
    <w:rsid w:val="00B10122"/>
    <w:rsid w:val="00B1443A"/>
    <w:rsid w:val="00B5115C"/>
    <w:rsid w:val="00BC4E0F"/>
    <w:rsid w:val="00C02CBB"/>
    <w:rsid w:val="00C03DCB"/>
    <w:rsid w:val="00C50C9E"/>
    <w:rsid w:val="00C6743A"/>
    <w:rsid w:val="00CA0887"/>
    <w:rsid w:val="00CB3189"/>
    <w:rsid w:val="00CC183E"/>
    <w:rsid w:val="00D2079D"/>
    <w:rsid w:val="00D41A9C"/>
    <w:rsid w:val="00D53C97"/>
    <w:rsid w:val="00D923D4"/>
    <w:rsid w:val="00D9246B"/>
    <w:rsid w:val="00DB3376"/>
    <w:rsid w:val="00DE0A02"/>
    <w:rsid w:val="00DF0ACB"/>
    <w:rsid w:val="00E15B07"/>
    <w:rsid w:val="00E33F2D"/>
    <w:rsid w:val="00E3431B"/>
    <w:rsid w:val="00EA0D1E"/>
    <w:rsid w:val="00EB1607"/>
    <w:rsid w:val="00EB4A5F"/>
    <w:rsid w:val="00F11F80"/>
    <w:rsid w:val="00F23E0B"/>
    <w:rsid w:val="00F9050C"/>
    <w:rsid w:val="00F93E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15BE6"/>
  <w15:chartTrackingRefBased/>
  <w15:docId w15:val="{B121CAF4-3807-43D0-B816-42610EC96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2A2"/>
    <w:rPr>
      <w:rFonts w:asciiTheme="majorBidi" w:hAnsiTheme="majorBidi"/>
      <w:sz w:val="24"/>
      <w:lang w:val="en-IN"/>
    </w:rPr>
  </w:style>
  <w:style w:type="paragraph" w:styleId="Heading1">
    <w:name w:val="heading 1"/>
    <w:basedOn w:val="Normal"/>
    <w:next w:val="Normal"/>
    <w:link w:val="Heading1Char"/>
    <w:autoRedefine/>
    <w:uiPriority w:val="9"/>
    <w:qFormat/>
    <w:rsid w:val="001D4160"/>
    <w:pPr>
      <w:keepNext/>
      <w:keepLines/>
      <w:numPr>
        <w:numId w:val="8"/>
      </w:numPr>
      <w:spacing w:before="240" w:after="0"/>
      <w:jc w:val="both"/>
      <w:outlineLvl w:val="0"/>
    </w:pPr>
    <w:rPr>
      <w:rFonts w:eastAsiaTheme="majorEastAsia" w:cs="Times New Roman"/>
      <w:b/>
      <w:bCs/>
      <w:color w:val="000000" w:themeColor="text1"/>
      <w:sz w:val="32"/>
      <w:szCs w:val="24"/>
      <w:lang w:val="en-US"/>
    </w:rPr>
  </w:style>
  <w:style w:type="paragraph" w:styleId="Heading2">
    <w:name w:val="heading 2"/>
    <w:basedOn w:val="Normal"/>
    <w:next w:val="Normal"/>
    <w:link w:val="Heading2Char"/>
    <w:autoRedefine/>
    <w:uiPriority w:val="9"/>
    <w:unhideWhenUsed/>
    <w:qFormat/>
    <w:rsid w:val="00E3431B"/>
    <w:pPr>
      <w:keepNext/>
      <w:keepLines/>
      <w:numPr>
        <w:ilvl w:val="1"/>
        <w:numId w:val="8"/>
      </w:numPr>
      <w:spacing w:before="40" w:after="0"/>
      <w:jc w:val="both"/>
      <w:outlineLvl w:val="1"/>
    </w:pPr>
    <w:rPr>
      <w:rFonts w:eastAsiaTheme="majorEastAsia" w:cstheme="majorBidi"/>
      <w:b/>
      <w:color w:val="000000" w:themeColor="text1"/>
      <w:sz w:val="28"/>
      <w:szCs w:val="26"/>
      <w:lang w:val="en-US"/>
    </w:rPr>
  </w:style>
  <w:style w:type="paragraph" w:styleId="Heading3">
    <w:name w:val="heading 3"/>
    <w:basedOn w:val="Normal"/>
    <w:next w:val="Normal"/>
    <w:link w:val="Heading3Char"/>
    <w:autoRedefine/>
    <w:uiPriority w:val="9"/>
    <w:unhideWhenUsed/>
    <w:qFormat/>
    <w:rsid w:val="007D4172"/>
    <w:pPr>
      <w:keepNext/>
      <w:keepLines/>
      <w:numPr>
        <w:ilvl w:val="2"/>
        <w:numId w:val="8"/>
      </w:numPr>
      <w:spacing w:before="40" w:after="0"/>
      <w:outlineLvl w:val="2"/>
    </w:pPr>
    <w:rPr>
      <w:rFonts w:eastAsiaTheme="majorEastAsia" w:cs="Segoe UI Emoji"/>
      <w:b/>
      <w:szCs w:val="24"/>
    </w:rPr>
  </w:style>
  <w:style w:type="paragraph" w:styleId="Heading4">
    <w:name w:val="heading 4"/>
    <w:basedOn w:val="Normal"/>
    <w:next w:val="Normal"/>
    <w:link w:val="Heading4Char"/>
    <w:uiPriority w:val="9"/>
    <w:semiHidden/>
    <w:unhideWhenUsed/>
    <w:qFormat/>
    <w:rsid w:val="00684963"/>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41A9C"/>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41A9C"/>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41A9C"/>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41A9C"/>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41A9C"/>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160"/>
    <w:rPr>
      <w:rFonts w:asciiTheme="majorBidi" w:eastAsiaTheme="majorEastAsia" w:hAnsiTheme="majorBidi" w:cs="Times New Roman"/>
      <w:b/>
      <w:bCs/>
      <w:color w:val="000000" w:themeColor="text1"/>
      <w:sz w:val="32"/>
      <w:szCs w:val="24"/>
    </w:rPr>
  </w:style>
  <w:style w:type="character" w:customStyle="1" w:styleId="Heading2Char">
    <w:name w:val="Heading 2 Char"/>
    <w:basedOn w:val="DefaultParagraphFont"/>
    <w:link w:val="Heading2"/>
    <w:uiPriority w:val="9"/>
    <w:rsid w:val="00E3431B"/>
    <w:rPr>
      <w:rFonts w:asciiTheme="majorBidi" w:eastAsiaTheme="majorEastAsia" w:hAnsiTheme="majorBidi" w:cstheme="majorBidi"/>
      <w:b/>
      <w:color w:val="000000" w:themeColor="text1"/>
      <w:sz w:val="28"/>
      <w:szCs w:val="26"/>
    </w:rPr>
  </w:style>
  <w:style w:type="character" w:customStyle="1" w:styleId="Heading3Char">
    <w:name w:val="Heading 3 Char"/>
    <w:basedOn w:val="DefaultParagraphFont"/>
    <w:link w:val="Heading3"/>
    <w:uiPriority w:val="9"/>
    <w:rsid w:val="007D4172"/>
    <w:rPr>
      <w:rFonts w:asciiTheme="majorBidi" w:eastAsiaTheme="majorEastAsia" w:hAnsiTheme="majorBidi" w:cs="Segoe UI Emoji"/>
      <w:b/>
      <w:sz w:val="24"/>
      <w:szCs w:val="24"/>
      <w:lang w:val="en-IN"/>
    </w:rPr>
  </w:style>
  <w:style w:type="paragraph" w:styleId="NormalWeb">
    <w:name w:val="Normal (Web)"/>
    <w:basedOn w:val="Normal"/>
    <w:uiPriority w:val="99"/>
    <w:unhideWhenUsed/>
    <w:rsid w:val="00E15B07"/>
    <w:pPr>
      <w:spacing w:before="100" w:beforeAutospacing="1" w:after="100" w:afterAutospacing="1" w:line="240" w:lineRule="auto"/>
    </w:pPr>
    <w:rPr>
      <w:rFonts w:ascii="Times New Roman" w:eastAsia="Times New Roman" w:hAnsi="Times New Roman" w:cs="Times New Roman"/>
      <w:szCs w:val="24"/>
      <w:lang w:val="en-US"/>
    </w:rPr>
  </w:style>
  <w:style w:type="character" w:styleId="Strong">
    <w:name w:val="Strong"/>
    <w:basedOn w:val="DefaultParagraphFont"/>
    <w:uiPriority w:val="22"/>
    <w:qFormat/>
    <w:rsid w:val="00E15B07"/>
    <w:rPr>
      <w:b/>
      <w:bCs/>
    </w:rPr>
  </w:style>
  <w:style w:type="character" w:styleId="Hyperlink">
    <w:name w:val="Hyperlink"/>
    <w:basedOn w:val="DefaultParagraphFont"/>
    <w:uiPriority w:val="99"/>
    <w:unhideWhenUsed/>
    <w:rsid w:val="007015D5"/>
    <w:rPr>
      <w:color w:val="0563C1"/>
      <w:u w:val="single"/>
    </w:rPr>
  </w:style>
  <w:style w:type="character" w:styleId="Emphasis">
    <w:name w:val="Emphasis"/>
    <w:basedOn w:val="DefaultParagraphFont"/>
    <w:uiPriority w:val="20"/>
    <w:qFormat/>
    <w:rsid w:val="00684963"/>
    <w:rPr>
      <w:i/>
      <w:iCs/>
    </w:rPr>
  </w:style>
  <w:style w:type="character" w:customStyle="1" w:styleId="Heading4Char">
    <w:name w:val="Heading 4 Char"/>
    <w:basedOn w:val="DefaultParagraphFont"/>
    <w:link w:val="Heading4"/>
    <w:uiPriority w:val="9"/>
    <w:semiHidden/>
    <w:rsid w:val="00684963"/>
    <w:rPr>
      <w:rFonts w:asciiTheme="majorHAnsi" w:eastAsiaTheme="majorEastAsia" w:hAnsiTheme="majorHAnsi" w:cstheme="majorBidi"/>
      <w:i/>
      <w:iCs/>
      <w:color w:val="2F5496" w:themeColor="accent1" w:themeShade="BF"/>
      <w:sz w:val="24"/>
      <w:lang w:val="en-IN"/>
    </w:rPr>
  </w:style>
  <w:style w:type="character" w:customStyle="1" w:styleId="Heading5Char">
    <w:name w:val="Heading 5 Char"/>
    <w:basedOn w:val="DefaultParagraphFont"/>
    <w:link w:val="Heading5"/>
    <w:uiPriority w:val="9"/>
    <w:semiHidden/>
    <w:rsid w:val="00D41A9C"/>
    <w:rPr>
      <w:rFonts w:asciiTheme="majorHAnsi" w:eastAsiaTheme="majorEastAsia" w:hAnsiTheme="majorHAnsi" w:cstheme="majorBidi"/>
      <w:color w:val="2F5496" w:themeColor="accent1" w:themeShade="BF"/>
      <w:sz w:val="24"/>
      <w:lang w:val="en-IN"/>
    </w:rPr>
  </w:style>
  <w:style w:type="character" w:customStyle="1" w:styleId="Heading6Char">
    <w:name w:val="Heading 6 Char"/>
    <w:basedOn w:val="DefaultParagraphFont"/>
    <w:link w:val="Heading6"/>
    <w:uiPriority w:val="9"/>
    <w:semiHidden/>
    <w:rsid w:val="00D41A9C"/>
    <w:rPr>
      <w:rFonts w:asciiTheme="majorHAnsi" w:eastAsiaTheme="majorEastAsia" w:hAnsiTheme="majorHAnsi" w:cstheme="majorBidi"/>
      <w:color w:val="1F3763" w:themeColor="accent1" w:themeShade="7F"/>
      <w:sz w:val="24"/>
      <w:lang w:val="en-IN"/>
    </w:rPr>
  </w:style>
  <w:style w:type="character" w:customStyle="1" w:styleId="Heading7Char">
    <w:name w:val="Heading 7 Char"/>
    <w:basedOn w:val="DefaultParagraphFont"/>
    <w:link w:val="Heading7"/>
    <w:uiPriority w:val="9"/>
    <w:semiHidden/>
    <w:rsid w:val="00D41A9C"/>
    <w:rPr>
      <w:rFonts w:asciiTheme="majorHAnsi" w:eastAsiaTheme="majorEastAsia" w:hAnsiTheme="majorHAnsi" w:cstheme="majorBidi"/>
      <w:i/>
      <w:iCs/>
      <w:color w:val="1F3763" w:themeColor="accent1" w:themeShade="7F"/>
      <w:sz w:val="24"/>
      <w:lang w:val="en-IN"/>
    </w:rPr>
  </w:style>
  <w:style w:type="character" w:customStyle="1" w:styleId="Heading8Char">
    <w:name w:val="Heading 8 Char"/>
    <w:basedOn w:val="DefaultParagraphFont"/>
    <w:link w:val="Heading8"/>
    <w:uiPriority w:val="9"/>
    <w:semiHidden/>
    <w:rsid w:val="00D41A9C"/>
    <w:rPr>
      <w:rFonts w:asciiTheme="majorHAnsi" w:eastAsiaTheme="majorEastAsia" w:hAnsiTheme="majorHAnsi" w:cstheme="majorBidi"/>
      <w:color w:val="272727" w:themeColor="text1" w:themeTint="D8"/>
      <w:sz w:val="21"/>
      <w:szCs w:val="21"/>
      <w:lang w:val="en-IN"/>
    </w:rPr>
  </w:style>
  <w:style w:type="character" w:customStyle="1" w:styleId="Heading9Char">
    <w:name w:val="Heading 9 Char"/>
    <w:basedOn w:val="DefaultParagraphFont"/>
    <w:link w:val="Heading9"/>
    <w:uiPriority w:val="9"/>
    <w:semiHidden/>
    <w:rsid w:val="00D41A9C"/>
    <w:rPr>
      <w:rFonts w:asciiTheme="majorHAnsi" w:eastAsiaTheme="majorEastAsia" w:hAnsiTheme="majorHAnsi" w:cstheme="majorBidi"/>
      <w:i/>
      <w:iCs/>
      <w:color w:val="272727" w:themeColor="text1" w:themeTint="D8"/>
      <w:sz w:val="21"/>
      <w:szCs w:val="21"/>
      <w:lang w:val="en-IN"/>
    </w:rPr>
  </w:style>
  <w:style w:type="paragraph" w:styleId="ListParagraph">
    <w:name w:val="List Paragraph"/>
    <w:basedOn w:val="Normal"/>
    <w:uiPriority w:val="34"/>
    <w:qFormat/>
    <w:rsid w:val="00B1443A"/>
    <w:pPr>
      <w:ind w:left="720"/>
      <w:contextualSpacing/>
    </w:pPr>
  </w:style>
  <w:style w:type="paragraph" w:styleId="TOCHeading">
    <w:name w:val="TOC Heading"/>
    <w:basedOn w:val="Heading1"/>
    <w:next w:val="Normal"/>
    <w:uiPriority w:val="39"/>
    <w:unhideWhenUsed/>
    <w:qFormat/>
    <w:rsid w:val="001A2B22"/>
    <w:pPr>
      <w:numPr>
        <w:numId w:val="0"/>
      </w:numPr>
      <w:jc w:val="left"/>
      <w:outlineLvl w:val="9"/>
    </w:pPr>
    <w:rPr>
      <w:rFonts w:asciiTheme="majorHAnsi" w:hAnsiTheme="majorHAnsi" w:cstheme="majorBidi"/>
      <w:b w:val="0"/>
      <w:bCs w:val="0"/>
      <w:color w:val="2F5496" w:themeColor="accent1" w:themeShade="BF"/>
      <w:szCs w:val="32"/>
    </w:rPr>
  </w:style>
  <w:style w:type="paragraph" w:styleId="TOC1">
    <w:name w:val="toc 1"/>
    <w:basedOn w:val="Normal"/>
    <w:next w:val="Normal"/>
    <w:autoRedefine/>
    <w:uiPriority w:val="39"/>
    <w:unhideWhenUsed/>
    <w:rsid w:val="001A2B22"/>
    <w:pPr>
      <w:spacing w:after="100"/>
    </w:pPr>
  </w:style>
  <w:style w:type="paragraph" w:styleId="TOC2">
    <w:name w:val="toc 2"/>
    <w:basedOn w:val="Normal"/>
    <w:next w:val="Normal"/>
    <w:autoRedefine/>
    <w:uiPriority w:val="39"/>
    <w:unhideWhenUsed/>
    <w:rsid w:val="001A2B22"/>
    <w:pPr>
      <w:spacing w:after="100"/>
      <w:ind w:left="240"/>
    </w:pPr>
  </w:style>
  <w:style w:type="paragraph" w:styleId="TOC3">
    <w:name w:val="toc 3"/>
    <w:basedOn w:val="Normal"/>
    <w:next w:val="Normal"/>
    <w:autoRedefine/>
    <w:uiPriority w:val="39"/>
    <w:unhideWhenUsed/>
    <w:rsid w:val="001A2B22"/>
    <w:pPr>
      <w:spacing w:after="100"/>
      <w:ind w:left="480"/>
    </w:pPr>
  </w:style>
  <w:style w:type="paragraph" w:styleId="Header">
    <w:name w:val="header"/>
    <w:basedOn w:val="Normal"/>
    <w:link w:val="HeaderChar"/>
    <w:uiPriority w:val="99"/>
    <w:unhideWhenUsed/>
    <w:rsid w:val="002621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1AE"/>
    <w:rPr>
      <w:rFonts w:asciiTheme="majorBidi" w:hAnsiTheme="majorBidi"/>
      <w:sz w:val="24"/>
      <w:lang w:val="en-IN"/>
    </w:rPr>
  </w:style>
  <w:style w:type="paragraph" w:styleId="Footer">
    <w:name w:val="footer"/>
    <w:basedOn w:val="Normal"/>
    <w:link w:val="FooterChar"/>
    <w:uiPriority w:val="99"/>
    <w:unhideWhenUsed/>
    <w:rsid w:val="002621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1AE"/>
    <w:rPr>
      <w:rFonts w:asciiTheme="majorBidi" w:hAnsiTheme="majorBidi"/>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611406">
      <w:bodyDiv w:val="1"/>
      <w:marLeft w:val="0"/>
      <w:marRight w:val="0"/>
      <w:marTop w:val="0"/>
      <w:marBottom w:val="0"/>
      <w:divBdr>
        <w:top w:val="none" w:sz="0" w:space="0" w:color="auto"/>
        <w:left w:val="none" w:sz="0" w:space="0" w:color="auto"/>
        <w:bottom w:val="none" w:sz="0" w:space="0" w:color="auto"/>
        <w:right w:val="none" w:sz="0" w:space="0" w:color="auto"/>
      </w:divBdr>
    </w:div>
    <w:div w:id="355421786">
      <w:bodyDiv w:val="1"/>
      <w:marLeft w:val="0"/>
      <w:marRight w:val="0"/>
      <w:marTop w:val="0"/>
      <w:marBottom w:val="0"/>
      <w:divBdr>
        <w:top w:val="none" w:sz="0" w:space="0" w:color="auto"/>
        <w:left w:val="none" w:sz="0" w:space="0" w:color="auto"/>
        <w:bottom w:val="none" w:sz="0" w:space="0" w:color="auto"/>
        <w:right w:val="none" w:sz="0" w:space="0" w:color="auto"/>
      </w:divBdr>
    </w:div>
    <w:div w:id="711658902">
      <w:bodyDiv w:val="1"/>
      <w:marLeft w:val="0"/>
      <w:marRight w:val="0"/>
      <w:marTop w:val="0"/>
      <w:marBottom w:val="0"/>
      <w:divBdr>
        <w:top w:val="none" w:sz="0" w:space="0" w:color="auto"/>
        <w:left w:val="none" w:sz="0" w:space="0" w:color="auto"/>
        <w:bottom w:val="none" w:sz="0" w:space="0" w:color="auto"/>
        <w:right w:val="none" w:sz="0" w:space="0" w:color="auto"/>
      </w:divBdr>
    </w:div>
    <w:div w:id="931668487">
      <w:bodyDiv w:val="1"/>
      <w:marLeft w:val="0"/>
      <w:marRight w:val="0"/>
      <w:marTop w:val="0"/>
      <w:marBottom w:val="0"/>
      <w:divBdr>
        <w:top w:val="none" w:sz="0" w:space="0" w:color="auto"/>
        <w:left w:val="none" w:sz="0" w:space="0" w:color="auto"/>
        <w:bottom w:val="none" w:sz="0" w:space="0" w:color="auto"/>
        <w:right w:val="none" w:sz="0" w:space="0" w:color="auto"/>
      </w:divBdr>
    </w:div>
    <w:div w:id="1035080846">
      <w:bodyDiv w:val="1"/>
      <w:marLeft w:val="0"/>
      <w:marRight w:val="0"/>
      <w:marTop w:val="0"/>
      <w:marBottom w:val="0"/>
      <w:divBdr>
        <w:top w:val="none" w:sz="0" w:space="0" w:color="auto"/>
        <w:left w:val="none" w:sz="0" w:space="0" w:color="auto"/>
        <w:bottom w:val="none" w:sz="0" w:space="0" w:color="auto"/>
        <w:right w:val="none" w:sz="0" w:space="0" w:color="auto"/>
      </w:divBdr>
    </w:div>
    <w:div w:id="1239553380">
      <w:bodyDiv w:val="1"/>
      <w:marLeft w:val="0"/>
      <w:marRight w:val="0"/>
      <w:marTop w:val="0"/>
      <w:marBottom w:val="0"/>
      <w:divBdr>
        <w:top w:val="none" w:sz="0" w:space="0" w:color="auto"/>
        <w:left w:val="none" w:sz="0" w:space="0" w:color="auto"/>
        <w:bottom w:val="none" w:sz="0" w:space="0" w:color="auto"/>
        <w:right w:val="none" w:sz="0" w:space="0" w:color="auto"/>
      </w:divBdr>
    </w:div>
    <w:div w:id="1447971085">
      <w:bodyDiv w:val="1"/>
      <w:marLeft w:val="0"/>
      <w:marRight w:val="0"/>
      <w:marTop w:val="0"/>
      <w:marBottom w:val="0"/>
      <w:divBdr>
        <w:top w:val="none" w:sz="0" w:space="0" w:color="auto"/>
        <w:left w:val="none" w:sz="0" w:space="0" w:color="auto"/>
        <w:bottom w:val="none" w:sz="0" w:space="0" w:color="auto"/>
        <w:right w:val="none" w:sz="0" w:space="0" w:color="auto"/>
      </w:divBdr>
    </w:div>
    <w:div w:id="1497958144">
      <w:bodyDiv w:val="1"/>
      <w:marLeft w:val="0"/>
      <w:marRight w:val="0"/>
      <w:marTop w:val="0"/>
      <w:marBottom w:val="0"/>
      <w:divBdr>
        <w:top w:val="none" w:sz="0" w:space="0" w:color="auto"/>
        <w:left w:val="none" w:sz="0" w:space="0" w:color="auto"/>
        <w:bottom w:val="none" w:sz="0" w:space="0" w:color="auto"/>
        <w:right w:val="none" w:sz="0" w:space="0" w:color="auto"/>
      </w:divBdr>
    </w:div>
    <w:div w:id="1572035715">
      <w:bodyDiv w:val="1"/>
      <w:marLeft w:val="0"/>
      <w:marRight w:val="0"/>
      <w:marTop w:val="0"/>
      <w:marBottom w:val="0"/>
      <w:divBdr>
        <w:top w:val="none" w:sz="0" w:space="0" w:color="auto"/>
        <w:left w:val="none" w:sz="0" w:space="0" w:color="auto"/>
        <w:bottom w:val="none" w:sz="0" w:space="0" w:color="auto"/>
        <w:right w:val="none" w:sz="0" w:space="0" w:color="auto"/>
      </w:divBdr>
    </w:div>
    <w:div w:id="1626042371">
      <w:bodyDiv w:val="1"/>
      <w:marLeft w:val="0"/>
      <w:marRight w:val="0"/>
      <w:marTop w:val="0"/>
      <w:marBottom w:val="0"/>
      <w:divBdr>
        <w:top w:val="none" w:sz="0" w:space="0" w:color="auto"/>
        <w:left w:val="none" w:sz="0" w:space="0" w:color="auto"/>
        <w:bottom w:val="none" w:sz="0" w:space="0" w:color="auto"/>
        <w:right w:val="none" w:sz="0" w:space="0" w:color="auto"/>
      </w:divBdr>
    </w:div>
    <w:div w:id="1739784888">
      <w:bodyDiv w:val="1"/>
      <w:marLeft w:val="0"/>
      <w:marRight w:val="0"/>
      <w:marTop w:val="0"/>
      <w:marBottom w:val="0"/>
      <w:divBdr>
        <w:top w:val="none" w:sz="0" w:space="0" w:color="auto"/>
        <w:left w:val="none" w:sz="0" w:space="0" w:color="auto"/>
        <w:bottom w:val="none" w:sz="0" w:space="0" w:color="auto"/>
        <w:right w:val="none" w:sz="0" w:space="0" w:color="auto"/>
      </w:divBdr>
    </w:div>
    <w:div w:id="1900626156">
      <w:bodyDiv w:val="1"/>
      <w:marLeft w:val="0"/>
      <w:marRight w:val="0"/>
      <w:marTop w:val="0"/>
      <w:marBottom w:val="0"/>
      <w:divBdr>
        <w:top w:val="none" w:sz="0" w:space="0" w:color="auto"/>
        <w:left w:val="none" w:sz="0" w:space="0" w:color="auto"/>
        <w:bottom w:val="none" w:sz="0" w:space="0" w:color="auto"/>
        <w:right w:val="none" w:sz="0" w:space="0" w:color="auto"/>
      </w:divBdr>
    </w:div>
    <w:div w:id="191407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c.gov/Archives/edgar/data/1318605/000162828025003063/tsla-20241231.htm?utm_source=chatgp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c.gov/Archives/edgar/data/1318605/000162828025003063/tsla-20241231.htm?utm_source=chatgpt.com" TargetMode="External"/><Relationship Id="rId5" Type="http://schemas.openxmlformats.org/officeDocument/2006/relationships/webSettings" Target="webSettings.xml"/><Relationship Id="rId10" Type="http://schemas.openxmlformats.org/officeDocument/2006/relationships/hyperlink" Target="https://www.alexandria.unisg.ch/server/api/core/bitstreams/281ff3a5-c56a-41f1-bb16-ada07e914582/content?utm_source=chatgpt.com" TargetMode="External"/><Relationship Id="rId4" Type="http://schemas.openxmlformats.org/officeDocument/2006/relationships/settings" Target="settings.xml"/><Relationship Id="rId9" Type="http://schemas.openxmlformats.org/officeDocument/2006/relationships/hyperlink" Target="https://www.iea.org/reports/global-ev-outlook-2024/trends-in-electric-vehicle-charging?utm_source=chatgpt.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54B35-DD8F-4962-9F74-9F458C69D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21</Pages>
  <Words>26288</Words>
  <Characters>149842</Characters>
  <Application>Microsoft Office Word</Application>
  <DocSecurity>0</DocSecurity>
  <Lines>1248</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Umer Munir</dc:creator>
  <cp:keywords/>
  <dc:description/>
  <cp:lastModifiedBy>Muhammad Umer Munir</cp:lastModifiedBy>
  <cp:revision>39</cp:revision>
  <dcterms:created xsi:type="dcterms:W3CDTF">2026-03-07T06:36:00Z</dcterms:created>
  <dcterms:modified xsi:type="dcterms:W3CDTF">2026-03-09T19:04:00Z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c7702850-12c1-33f4-bc5b-7b34f53ea880</vt:lpwstr>
  </property>
  <property fmtid="{D5CDD505-2E9C-101B-9397-08002B2CF9AE}" pid="4" name="Mendeley Citation Style_1">
    <vt:lpwstr>http://www.zotero.org/styles/apa</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 6th/7th edition</vt:lpwstr>
  </property>
  <property fmtid="{D5CDD505-2E9C-101B-9397-08002B2CF9AE}" pid="9" name="Mendeley Recent Style Id 2_1">
    <vt:lpwstr>http://www.zotero.org/styles/harvard-cite-them-right</vt:lpwstr>
  </property>
  <property fmtid="{D5CDD505-2E9C-101B-9397-08002B2CF9AE}" pid="10" name="Mendeley Recent Style Name 2_1">
    <vt:lpwstr>Cite Them Right 12th edition - Harvard</vt:lpwstr>
  </property>
  <property fmtid="{D5CDD505-2E9C-101B-9397-08002B2CF9AE}" pid="11" name="Mendeley Recent Style Id 3_1">
    <vt:lpwstr>http://www.zotero.org/styles/harvard1</vt:lpwstr>
  </property>
  <property fmtid="{D5CDD505-2E9C-101B-9397-08002B2CF9AE}" pid="12" name="Mendeley Recent Style Name 3_1">
    <vt:lpwstr>Harvard reference format 1 (deprecated)</vt:lpwstr>
  </property>
  <property fmtid="{D5CDD505-2E9C-101B-9397-08002B2CF9AE}" pid="13" name="Mendeley Recent Style Id 4_1">
    <vt:lpwstr>http://www.zotero.org/styles/modern-humanities-research-association</vt:lpwstr>
  </property>
  <property fmtid="{D5CDD505-2E9C-101B-9397-08002B2CF9AE}" pid="14" name="Mendeley Recent Style Name 4_1">
    <vt:lpwstr>Modern Humanities Research Association, 4th edition (note with bibliography)</vt:lpwstr>
  </property>
  <property fmtid="{D5CDD505-2E9C-101B-9397-08002B2CF9AE}" pid="15" name="Mendeley Recent Style Id 5_1">
    <vt:lpwstr>http://www.zotero.org/styles/modern-language-association</vt:lpwstr>
  </property>
  <property fmtid="{D5CDD505-2E9C-101B-9397-08002B2CF9AE}" pid="16" name="Mendeley Recent Style Name 5_1">
    <vt:lpwstr>Modern Language Association 9th edition</vt:lpwstr>
  </property>
  <property fmtid="{D5CDD505-2E9C-101B-9397-08002B2CF9AE}" pid="17" name="Mendeley Recent Style Id 6_1">
    <vt:lpwstr>http://www.zotero.org/styles/nature</vt:lpwstr>
  </property>
  <property fmtid="{D5CDD505-2E9C-101B-9397-08002B2CF9AE}" pid="18" name="Mendeley Recent Style Name 6_1">
    <vt:lpwstr>Nature</vt:lpwstr>
  </property>
  <property fmtid="{D5CDD505-2E9C-101B-9397-08002B2CF9AE}" pid="19" name="Mendeley Recent Style Id 7_1">
    <vt:lpwstr>http://www.zotero.org/styles/oscola</vt:lpwstr>
  </property>
  <property fmtid="{D5CDD505-2E9C-101B-9397-08002B2CF9AE}" pid="20" name="Mendeley Recent Style Name 7_1">
    <vt:lpwstr>OSCOLA (Oxford University Standard for Citation of Legal Authorities)</vt:lpwstr>
  </property>
  <property fmtid="{D5CDD505-2E9C-101B-9397-08002B2CF9AE}" pid="21" name="Mendeley Recent Style Id 8_1">
    <vt:lpwstr>http://www.zotero.org/styles/oscola-journal-abbreviations</vt:lpwstr>
  </property>
  <property fmtid="{D5CDD505-2E9C-101B-9397-08002B2CF9AE}" pid="22" name="Mendeley Recent Style Name 8_1">
    <vt:lpwstr>OSCOLA (Oxford University Standard for Citation of Legal Authorities, with journal abbreviations)</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