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1B6FE8">
      <w:pPr>
        <w:spacing w:before="200"/>
        <w:ind w:firstLine="720"/>
        <w:jc w:val="center"/>
        <w:rPr>
          <w:rFonts w:cs="Arial"/>
          <w:b/>
          <w:sz w:val="22"/>
          <w:szCs w:val="22"/>
        </w:rPr>
      </w:pPr>
      <w:r>
        <w:rPr>
          <w:rFonts w:cs="Arial"/>
          <w:b/>
          <w:sz w:val="22"/>
          <w:szCs w:val="22"/>
        </w:rPr>
        <w:t>PG1 - FULL RESEARCH PROPOSAL</w:t>
      </w:r>
    </w:p>
    <w:p w14:paraId="67A10B1E">
      <w:pPr>
        <w:rPr>
          <w:rFonts w:cs="Arial"/>
          <w:b/>
          <w:sz w:val="22"/>
          <w:szCs w:val="22"/>
        </w:rPr>
      </w:pPr>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14:paraId="7FC84945">
        <w:tc>
          <w:tcPr>
            <w:tcW w:w="9776" w:type="dxa"/>
          </w:tcPr>
          <w:p w14:paraId="2834770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20"/>
                <w:rFonts w:cs="Arial"/>
                <w:sz w:val="22"/>
                <w:szCs w:val="22"/>
              </w:rPr>
              <w:t>pgresearch@uwtsd.ac.uk</w:t>
            </w:r>
            <w:r>
              <w:rPr>
                <w:rStyle w:val="20"/>
                <w:rFonts w:cs="Arial"/>
                <w:sz w:val="22"/>
                <w:szCs w:val="22"/>
              </w:rPr>
              <w:fldChar w:fldCharType="end"/>
            </w:r>
            <w:r>
              <w:rPr>
                <w:rFonts w:cs="Arial"/>
                <w:b/>
                <w:bCs/>
                <w:sz w:val="22"/>
                <w:szCs w:val="22"/>
              </w:rPr>
              <w:t xml:space="preserve">. </w:t>
            </w:r>
          </w:p>
        </w:tc>
      </w:tr>
    </w:tbl>
    <w:p w14:paraId="41AFDF91">
      <w:pPr>
        <w:rPr>
          <w:rFonts w:cs="Arial"/>
          <w:b/>
          <w:sz w:val="22"/>
          <w:szCs w:val="22"/>
        </w:rPr>
      </w:pPr>
    </w:p>
    <w:p w14:paraId="13208F20">
      <w:pPr>
        <w:spacing w:before="240"/>
        <w:rPr>
          <w:rFonts w:cs="Arial"/>
          <w:b/>
          <w:sz w:val="22"/>
          <w:szCs w:val="22"/>
        </w:rPr>
      </w:pPr>
      <w:r>
        <w:rPr>
          <w:rFonts w:cs="Arial"/>
          <w:b/>
          <w:sz w:val="22"/>
          <w:szCs w:val="22"/>
        </w:rPr>
        <w:t xml:space="preserve">Student Details </w:t>
      </w: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55"/>
        <w:gridCol w:w="2056"/>
        <w:gridCol w:w="2835"/>
        <w:gridCol w:w="2835"/>
      </w:tblGrid>
      <w:tr w14:paraId="0707E424">
        <w:tc>
          <w:tcPr>
            <w:tcW w:w="4111" w:type="dxa"/>
            <w:gridSpan w:val="2"/>
            <w:shd w:val="clear" w:color="auto" w:fill="F1F1F1" w:themeFill="background1" w:themeFillShade="F2"/>
          </w:tcPr>
          <w:p w14:paraId="631F831C">
            <w:pPr>
              <w:tabs>
                <w:tab w:val="center" w:pos="2202"/>
              </w:tabs>
              <w:rPr>
                <w:rFonts w:cs="Arial"/>
                <w:sz w:val="22"/>
                <w:szCs w:val="22"/>
              </w:rPr>
            </w:pPr>
            <w:r>
              <w:rPr>
                <w:rFonts w:cs="Arial"/>
                <w:sz w:val="22"/>
                <w:szCs w:val="22"/>
              </w:rPr>
              <w:t>Student Family / Surname:</w:t>
            </w:r>
          </w:p>
          <w:p w14:paraId="4AF5A3C3">
            <w:pPr>
              <w:rPr>
                <w:rFonts w:cs="Arial"/>
                <w:sz w:val="22"/>
                <w:szCs w:val="22"/>
              </w:rPr>
            </w:pPr>
          </w:p>
        </w:tc>
        <w:tc>
          <w:tcPr>
            <w:tcW w:w="5670" w:type="dxa"/>
            <w:gridSpan w:val="2"/>
            <w:shd w:val="clear" w:color="auto" w:fill="auto"/>
          </w:tcPr>
          <w:p w14:paraId="4C983A78">
            <w:pPr>
              <w:rPr>
                <w:rFonts w:hint="default" w:cs="Arial"/>
                <w:sz w:val="22"/>
                <w:szCs w:val="22"/>
                <w:lang w:val="en-US" w:eastAsia="zh-CN"/>
              </w:rPr>
            </w:pPr>
            <w:r>
              <w:rPr>
                <w:rFonts w:hint="default" w:cs="Arial"/>
                <w:sz w:val="22"/>
                <w:szCs w:val="22"/>
                <w:lang w:val="en-US" w:eastAsia="zh-CN"/>
              </w:rPr>
              <w:t>X</w:t>
            </w:r>
            <w:r>
              <w:rPr>
                <w:rFonts w:hint="eastAsia" w:cs="Arial"/>
                <w:sz w:val="22"/>
                <w:szCs w:val="22"/>
                <w:lang w:val="en-US" w:eastAsia="zh-CN"/>
              </w:rPr>
              <w:t>ue</w:t>
            </w:r>
          </w:p>
        </w:tc>
      </w:tr>
      <w:tr w14:paraId="75A0E515">
        <w:tc>
          <w:tcPr>
            <w:tcW w:w="4111" w:type="dxa"/>
            <w:gridSpan w:val="2"/>
            <w:shd w:val="clear" w:color="auto" w:fill="F1F1F1" w:themeFill="background1" w:themeFillShade="F2"/>
          </w:tcPr>
          <w:p w14:paraId="54C7E4AF">
            <w:pPr>
              <w:rPr>
                <w:rFonts w:cs="Arial"/>
                <w:sz w:val="22"/>
                <w:szCs w:val="22"/>
              </w:rPr>
            </w:pPr>
            <w:r>
              <w:rPr>
                <w:rFonts w:cs="Arial"/>
                <w:sz w:val="22"/>
                <w:szCs w:val="22"/>
              </w:rPr>
              <w:t>Student Given / First name:</w:t>
            </w:r>
          </w:p>
          <w:p w14:paraId="139D02D7">
            <w:pPr>
              <w:rPr>
                <w:rFonts w:cs="Arial"/>
                <w:sz w:val="22"/>
                <w:szCs w:val="22"/>
              </w:rPr>
            </w:pPr>
          </w:p>
        </w:tc>
        <w:tc>
          <w:tcPr>
            <w:tcW w:w="5670" w:type="dxa"/>
            <w:gridSpan w:val="2"/>
            <w:shd w:val="clear" w:color="auto" w:fill="auto"/>
          </w:tcPr>
          <w:p w14:paraId="0982AFDA">
            <w:pPr>
              <w:rPr>
                <w:rFonts w:hint="default" w:cs="Arial"/>
                <w:sz w:val="22"/>
                <w:szCs w:val="22"/>
                <w:lang w:val="en-US" w:eastAsia="zh-CN"/>
              </w:rPr>
            </w:pPr>
            <w:r>
              <w:rPr>
                <w:rFonts w:hint="default" w:cs="Arial"/>
                <w:sz w:val="22"/>
                <w:szCs w:val="22"/>
                <w:lang w:val="en-US" w:eastAsia="zh-CN"/>
              </w:rPr>
              <w:t>M</w:t>
            </w:r>
            <w:r>
              <w:rPr>
                <w:rFonts w:hint="eastAsia" w:cs="Arial"/>
                <w:sz w:val="22"/>
                <w:szCs w:val="22"/>
                <w:lang w:val="en-US" w:eastAsia="zh-CN"/>
              </w:rPr>
              <w:t>ingmei</w:t>
            </w:r>
          </w:p>
        </w:tc>
      </w:tr>
      <w:tr w14:paraId="3BE87A21">
        <w:tc>
          <w:tcPr>
            <w:tcW w:w="4111" w:type="dxa"/>
            <w:gridSpan w:val="2"/>
            <w:shd w:val="clear" w:color="auto" w:fill="F1F1F1" w:themeFill="background1" w:themeFillShade="F2"/>
          </w:tcPr>
          <w:p w14:paraId="38813AE2">
            <w:pPr>
              <w:rPr>
                <w:rFonts w:cs="Arial"/>
                <w:sz w:val="22"/>
                <w:szCs w:val="22"/>
              </w:rPr>
            </w:pPr>
            <w:r>
              <w:rPr>
                <w:rFonts w:cs="Arial"/>
                <w:sz w:val="22"/>
                <w:szCs w:val="22"/>
              </w:rPr>
              <w:t>Student Number</w:t>
            </w:r>
          </w:p>
          <w:p w14:paraId="50BCCB4A">
            <w:pPr>
              <w:tabs>
                <w:tab w:val="center" w:pos="2202"/>
              </w:tabs>
              <w:rPr>
                <w:rFonts w:cs="Arial"/>
                <w:sz w:val="22"/>
                <w:szCs w:val="22"/>
              </w:rPr>
            </w:pPr>
          </w:p>
        </w:tc>
        <w:tc>
          <w:tcPr>
            <w:tcW w:w="5670" w:type="dxa"/>
            <w:gridSpan w:val="2"/>
            <w:shd w:val="clear" w:color="auto" w:fill="auto"/>
          </w:tcPr>
          <w:p w14:paraId="75CFB1E4">
            <w:pPr>
              <w:rPr>
                <w:rFonts w:hint="default" w:eastAsia="宋体" w:cs="Arial"/>
                <w:sz w:val="22"/>
                <w:szCs w:val="22"/>
                <w:lang w:val="en-US" w:eastAsia="zh-CN"/>
              </w:rPr>
            </w:pPr>
            <w:r>
              <w:rPr>
                <w:rFonts w:hint="eastAsia" w:eastAsia="宋体" w:cs="Arial"/>
                <w:sz w:val="22"/>
                <w:szCs w:val="22"/>
                <w:lang w:val="en-US" w:eastAsia="zh-CN"/>
              </w:rPr>
              <w:t>2221944</w:t>
            </w:r>
          </w:p>
        </w:tc>
      </w:tr>
      <w:tr w14:paraId="38B50353">
        <w:trPr>
          <w:trHeight w:val="413" w:hRule="atLeast"/>
        </w:trPr>
        <w:tc>
          <w:tcPr>
            <w:tcW w:w="4111" w:type="dxa"/>
            <w:gridSpan w:val="2"/>
            <w:shd w:val="clear" w:color="auto" w:fill="F1F1F1" w:themeFill="background1" w:themeFillShade="F2"/>
          </w:tcPr>
          <w:p w14:paraId="60A21908">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45A727F7">
            <w:pPr>
              <w:rPr>
                <w:rFonts w:hint="default" w:eastAsia="宋体" w:cs="Arial"/>
                <w:sz w:val="22"/>
                <w:szCs w:val="22"/>
                <w:lang w:val="en-US" w:eastAsia="zh-CN"/>
              </w:rPr>
            </w:pPr>
            <w:r>
              <w:rPr>
                <w:rFonts w:hint="default" w:eastAsia="宋体" w:cs="Arial"/>
                <w:sz w:val="22"/>
                <w:szCs w:val="22"/>
                <w:lang w:val="en-US" w:eastAsia="zh-CN"/>
              </w:rPr>
              <w:t>WISA</w:t>
            </w:r>
          </w:p>
        </w:tc>
      </w:tr>
      <w:tr w14:paraId="61E08842">
        <w:trPr>
          <w:trHeight w:val="413" w:hRule="atLeast"/>
        </w:trPr>
        <w:tc>
          <w:tcPr>
            <w:tcW w:w="4111" w:type="dxa"/>
            <w:gridSpan w:val="2"/>
            <w:shd w:val="clear" w:color="auto" w:fill="F1F1F1" w:themeFill="background1" w:themeFillShade="F2"/>
          </w:tcPr>
          <w:p w14:paraId="134D63C4">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1AF91D2A">
            <w:pPr>
              <w:rPr>
                <w:rFonts w:cs="Arial"/>
                <w:sz w:val="22"/>
                <w:szCs w:val="22"/>
              </w:rPr>
            </w:pPr>
          </w:p>
        </w:tc>
      </w:tr>
      <w:tr w14:paraId="567B8265">
        <w:tc>
          <w:tcPr>
            <w:tcW w:w="2055" w:type="dxa"/>
            <w:shd w:val="clear" w:color="auto" w:fill="F1F1F1" w:themeFill="background1" w:themeFillShade="F2"/>
          </w:tcPr>
          <w:p w14:paraId="7DD8280F">
            <w:pPr>
              <w:rPr>
                <w:rFonts w:cs="Arial"/>
                <w:sz w:val="22"/>
                <w:szCs w:val="22"/>
              </w:rPr>
            </w:pPr>
            <w:r>
              <w:rPr>
                <w:rFonts w:cs="Arial"/>
                <w:sz w:val="22"/>
                <w:szCs w:val="22"/>
              </w:rPr>
              <w:t>Start Date</w:t>
            </w:r>
          </w:p>
        </w:tc>
        <w:tc>
          <w:tcPr>
            <w:tcW w:w="2056" w:type="dxa"/>
            <w:shd w:val="clear" w:color="auto" w:fill="FFFFFF" w:themeFill="background1"/>
          </w:tcPr>
          <w:p w14:paraId="6885D0B7">
            <w:pPr>
              <w:rPr>
                <w:rFonts w:hint="default" w:eastAsia="宋体" w:cs="Arial"/>
                <w:sz w:val="22"/>
                <w:szCs w:val="22"/>
                <w:lang w:val="en-US" w:eastAsia="zh-CN"/>
              </w:rPr>
            </w:pPr>
            <w:r>
              <w:rPr>
                <w:rFonts w:hint="eastAsia" w:eastAsia="宋体" w:cs="Arial"/>
                <w:sz w:val="22"/>
                <w:szCs w:val="22"/>
                <w:lang w:val="en-US" w:eastAsia="zh-CN"/>
              </w:rPr>
              <w:t>2024.10</w:t>
            </w:r>
          </w:p>
        </w:tc>
        <w:tc>
          <w:tcPr>
            <w:tcW w:w="2835" w:type="dxa"/>
            <w:shd w:val="clear" w:color="auto" w:fill="F1F1F1" w:themeFill="background1" w:themeFillShade="F2"/>
          </w:tcPr>
          <w:p w14:paraId="70A4F3B0">
            <w:pPr>
              <w:rPr>
                <w:rFonts w:hint="default" w:eastAsia="宋体" w:cs="Arial"/>
                <w:sz w:val="22"/>
                <w:szCs w:val="22"/>
                <w:lang w:val="en-US" w:eastAsia="zh-CN"/>
              </w:rPr>
            </w:pPr>
            <w:r>
              <w:rPr>
                <w:rFonts w:hint="default" w:cs="Arial"/>
                <w:sz w:val="22"/>
                <w:szCs w:val="22"/>
                <w:lang w:val="en-US"/>
              </w:rPr>
              <w:t>E</w:t>
            </w:r>
            <w:r>
              <w:rPr>
                <w:rFonts w:hint="eastAsia" w:eastAsia="宋体" w:cs="Arial"/>
                <w:sz w:val="22"/>
                <w:szCs w:val="22"/>
                <w:lang w:val="en-US" w:eastAsia="zh-CN"/>
              </w:rPr>
              <w:t xml:space="preserve">nd </w:t>
            </w:r>
            <w:r>
              <w:rPr>
                <w:rFonts w:hint="default" w:eastAsia="宋体" w:cs="Arial"/>
                <w:sz w:val="22"/>
                <w:szCs w:val="22"/>
                <w:lang w:val="en-US" w:eastAsia="zh-CN"/>
              </w:rPr>
              <w:t>Date</w:t>
            </w:r>
          </w:p>
        </w:tc>
        <w:tc>
          <w:tcPr>
            <w:tcW w:w="2835" w:type="dxa"/>
            <w:shd w:val="clear" w:color="auto" w:fill="auto"/>
          </w:tcPr>
          <w:p w14:paraId="0325A6C5">
            <w:pPr>
              <w:rPr>
                <w:rFonts w:hint="default" w:cs="Arial"/>
                <w:sz w:val="22"/>
                <w:szCs w:val="22"/>
                <w:lang w:val="en-US"/>
              </w:rPr>
            </w:pPr>
            <w:r>
              <w:rPr>
                <w:rFonts w:hint="default" w:cs="Arial"/>
                <w:sz w:val="22"/>
                <w:szCs w:val="22"/>
                <w:lang w:val="en-US"/>
              </w:rPr>
              <w:t>2028.09</w:t>
            </w:r>
          </w:p>
        </w:tc>
      </w:tr>
      <w:tr w14:paraId="251E083D">
        <w:tc>
          <w:tcPr>
            <w:tcW w:w="4111" w:type="dxa"/>
            <w:gridSpan w:val="2"/>
            <w:shd w:val="clear" w:color="auto" w:fill="F1F1F1" w:themeFill="background1" w:themeFillShade="F2"/>
          </w:tcPr>
          <w:p w14:paraId="5B464AB0">
            <w:pPr>
              <w:rPr>
                <w:rFonts w:cs="Arial"/>
                <w:sz w:val="22"/>
                <w:szCs w:val="22"/>
              </w:rPr>
            </w:pPr>
            <w:r>
              <w:rPr>
                <w:rFonts w:cs="Arial"/>
                <w:sz w:val="22"/>
                <w:szCs w:val="22"/>
              </w:rPr>
              <w:t>Mode of Study</w:t>
            </w:r>
          </w:p>
          <w:p w14:paraId="32AC254B">
            <w:pPr>
              <w:rPr>
                <w:rFonts w:cs="Arial"/>
                <w:sz w:val="22"/>
                <w:szCs w:val="22"/>
              </w:rPr>
            </w:pPr>
          </w:p>
        </w:tc>
        <w:tc>
          <w:tcPr>
            <w:tcW w:w="2835" w:type="dxa"/>
            <w:shd w:val="clear" w:color="auto" w:fill="auto"/>
          </w:tcPr>
          <w:p w14:paraId="111F828B">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c>
          <w:tcPr>
            <w:tcW w:w="2835" w:type="dxa"/>
            <w:shd w:val="clear" w:color="auto" w:fill="auto"/>
          </w:tcPr>
          <w:p w14:paraId="00DFCF3D">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lang w:val="en-GB" w:eastAsia="en-GB" w:bidi="ar-SA"/>
                  </w:rPr>
                  <w:t>☒</w:t>
                </w:r>
              </w:sdtContent>
            </w:sdt>
          </w:p>
        </w:tc>
      </w:tr>
    </w:tbl>
    <w:tbl>
      <w:tblPr>
        <w:tblStyle w:val="15"/>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52116E2E">
        <w:tc>
          <w:tcPr>
            <w:tcW w:w="1623" w:type="dxa"/>
            <w:shd w:val="clear" w:color="auto" w:fill="F1F1F1" w:themeFill="background1" w:themeFillShade="F2"/>
          </w:tcPr>
          <w:p w14:paraId="0C2EE508">
            <w:pPr>
              <w:rPr>
                <w:rFonts w:cs="Arial"/>
                <w:sz w:val="22"/>
                <w:szCs w:val="22"/>
              </w:rPr>
            </w:pPr>
            <w:r>
              <w:rPr>
                <w:rFonts w:cs="Arial"/>
                <w:sz w:val="22"/>
                <w:szCs w:val="22"/>
              </w:rPr>
              <w:t>PhD</w:t>
            </w:r>
          </w:p>
          <w:p w14:paraId="7E150CDA">
            <w:pPr>
              <w:rPr>
                <w:rFonts w:cs="Arial"/>
                <w:sz w:val="22"/>
                <w:szCs w:val="22"/>
              </w:rPr>
            </w:pPr>
            <w:r>
              <w:rPr>
                <w:rFonts w:cs="Arial"/>
                <w:sz w:val="22"/>
                <w:szCs w:val="22"/>
              </w:rPr>
              <w:t>by Research</w:t>
            </w:r>
          </w:p>
        </w:tc>
        <w:tc>
          <w:tcPr>
            <w:tcW w:w="1660" w:type="dxa"/>
            <w:shd w:val="clear" w:color="auto" w:fill="F1F1F1" w:themeFill="background1" w:themeFillShade="F2"/>
          </w:tcPr>
          <w:p w14:paraId="089AFE73">
            <w:pPr>
              <w:rPr>
                <w:rFonts w:cs="Arial"/>
                <w:sz w:val="22"/>
                <w:szCs w:val="22"/>
              </w:rPr>
            </w:pPr>
            <w:r>
              <w:rPr>
                <w:rFonts w:cs="Arial"/>
                <w:sz w:val="22"/>
                <w:szCs w:val="22"/>
              </w:rPr>
              <w:t xml:space="preserve">PhD </w:t>
            </w:r>
          </w:p>
          <w:p w14:paraId="3D202538">
            <w:pPr>
              <w:rPr>
                <w:rFonts w:cs="Arial"/>
                <w:sz w:val="22"/>
                <w:szCs w:val="22"/>
              </w:rPr>
            </w:pPr>
            <w:r>
              <w:rPr>
                <w:rFonts w:cs="Arial"/>
                <w:sz w:val="22"/>
                <w:szCs w:val="22"/>
              </w:rPr>
              <w:t>Practice Based</w:t>
            </w:r>
          </w:p>
        </w:tc>
        <w:tc>
          <w:tcPr>
            <w:tcW w:w="1648" w:type="dxa"/>
            <w:shd w:val="clear" w:color="auto" w:fill="F1F1F1" w:themeFill="background1" w:themeFillShade="F2"/>
          </w:tcPr>
          <w:p w14:paraId="1540ABF7">
            <w:pPr>
              <w:rPr>
                <w:rFonts w:cs="Arial"/>
                <w:sz w:val="22"/>
                <w:szCs w:val="22"/>
              </w:rPr>
            </w:pPr>
            <w:r>
              <w:rPr>
                <w:rFonts w:cs="Arial"/>
                <w:sz w:val="22"/>
                <w:szCs w:val="22"/>
              </w:rPr>
              <w:t xml:space="preserve">PhD by </w:t>
            </w:r>
          </w:p>
          <w:p w14:paraId="6D11D54E">
            <w:pPr>
              <w:rPr>
                <w:rFonts w:cs="Arial"/>
                <w:sz w:val="22"/>
                <w:szCs w:val="22"/>
              </w:rPr>
            </w:pPr>
            <w:r>
              <w:rPr>
                <w:rFonts w:cs="Arial"/>
                <w:sz w:val="22"/>
                <w:szCs w:val="22"/>
              </w:rPr>
              <w:t>Published Works</w:t>
            </w:r>
          </w:p>
        </w:tc>
        <w:tc>
          <w:tcPr>
            <w:tcW w:w="1662" w:type="dxa"/>
            <w:shd w:val="clear" w:color="auto" w:fill="F1F1F1" w:themeFill="background1" w:themeFillShade="F2"/>
          </w:tcPr>
          <w:p w14:paraId="6031027A">
            <w:pPr>
              <w:rPr>
                <w:rFonts w:cs="Arial"/>
                <w:sz w:val="22"/>
                <w:szCs w:val="22"/>
              </w:rPr>
            </w:pPr>
            <w:r>
              <w:rPr>
                <w:rFonts w:cs="Arial"/>
                <w:sz w:val="22"/>
                <w:szCs w:val="22"/>
              </w:rPr>
              <w:t>Professional Doctorate</w:t>
            </w:r>
          </w:p>
          <w:p w14:paraId="5338E6CC">
            <w:pPr>
              <w:rPr>
                <w:rFonts w:cs="Arial"/>
                <w:sz w:val="22"/>
                <w:szCs w:val="22"/>
              </w:rPr>
            </w:pPr>
            <w:r>
              <w:rPr>
                <w:rFonts w:cs="Arial"/>
                <w:szCs w:val="22"/>
              </w:rPr>
              <w:t>(including DBA, DProf, Ed D)</w:t>
            </w:r>
          </w:p>
        </w:tc>
        <w:tc>
          <w:tcPr>
            <w:tcW w:w="1629" w:type="dxa"/>
            <w:shd w:val="clear" w:color="auto" w:fill="F1F1F1" w:themeFill="background1" w:themeFillShade="F2"/>
          </w:tcPr>
          <w:p w14:paraId="48FB1034">
            <w:pPr>
              <w:rPr>
                <w:rFonts w:cs="Arial"/>
                <w:sz w:val="22"/>
                <w:szCs w:val="22"/>
              </w:rPr>
            </w:pPr>
            <w:r>
              <w:rPr>
                <w:rFonts w:cs="Arial"/>
                <w:sz w:val="22"/>
                <w:szCs w:val="22"/>
              </w:rPr>
              <w:t>MPhil by Research</w:t>
            </w:r>
          </w:p>
          <w:p w14:paraId="62A96A8A">
            <w:pPr>
              <w:rPr>
                <w:rFonts w:cs="Arial"/>
                <w:sz w:val="22"/>
                <w:szCs w:val="22"/>
              </w:rPr>
            </w:pPr>
          </w:p>
        </w:tc>
        <w:tc>
          <w:tcPr>
            <w:tcW w:w="1525" w:type="dxa"/>
            <w:shd w:val="clear" w:color="auto" w:fill="F1F1F1" w:themeFill="background1" w:themeFillShade="F2"/>
          </w:tcPr>
          <w:p w14:paraId="18690D32">
            <w:pPr>
              <w:rPr>
                <w:rFonts w:cs="Arial"/>
                <w:sz w:val="22"/>
                <w:szCs w:val="22"/>
              </w:rPr>
            </w:pPr>
            <w:r>
              <w:rPr>
                <w:rFonts w:cs="Arial"/>
                <w:sz w:val="22"/>
                <w:szCs w:val="22"/>
              </w:rPr>
              <w:t>MPhil</w:t>
            </w:r>
          </w:p>
          <w:p w14:paraId="112C0192">
            <w:pPr>
              <w:rPr>
                <w:rFonts w:cs="Arial"/>
                <w:sz w:val="22"/>
                <w:szCs w:val="22"/>
              </w:rPr>
            </w:pPr>
            <w:r>
              <w:rPr>
                <w:rFonts w:cs="Arial"/>
                <w:sz w:val="22"/>
                <w:szCs w:val="22"/>
              </w:rPr>
              <w:t xml:space="preserve">Practice Based </w:t>
            </w:r>
          </w:p>
          <w:p w14:paraId="6044FFAD">
            <w:pPr>
              <w:rPr>
                <w:rFonts w:cs="Arial"/>
                <w:sz w:val="22"/>
                <w:szCs w:val="22"/>
              </w:rPr>
            </w:pPr>
          </w:p>
        </w:tc>
      </w:tr>
      <w:tr w14:paraId="7302DE43">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01BCCEDB">
                <w:pPr>
                  <w:jc w:val="center"/>
                  <w:rPr>
                    <w:rFonts w:cs="Arial"/>
                    <w:sz w:val="22"/>
                    <w:szCs w:val="22"/>
                  </w:rPr>
                </w:pPr>
                <w:r>
                  <w:rPr>
                    <w:rFonts w:ascii="MS Gothic" w:hAnsi="MS Gothic" w:eastAsia="MS Gothic" w:cs="Arial"/>
                    <w:sz w:val="22"/>
                    <w:szCs w:val="22"/>
                  </w:rPr>
                  <w:t>☐</w:t>
                </w:r>
              </w:p>
            </w:sdtContent>
          </w:sdt>
          <w:p w14:paraId="43584980">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rPr>
              <w:rFonts w:cs="Arial"/>
              <w:sz w:val="22"/>
              <w:szCs w:val="22"/>
            </w:rPr>
          </w:sdtEndPr>
          <w:sdtContent>
            <w:tc>
              <w:tcPr>
                <w:tcW w:w="1660" w:type="dxa"/>
              </w:tcPr>
              <w:p w14:paraId="2D089835">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3DC3F887">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tc>
              <w:tcPr>
                <w:tcW w:w="1662" w:type="dxa"/>
              </w:tcPr>
              <w:p w14:paraId="222233A1">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15236023">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092BDE7C">
                <w:pPr>
                  <w:jc w:val="center"/>
                  <w:rPr>
                    <w:rFonts w:cs="Arial"/>
                    <w:sz w:val="22"/>
                    <w:szCs w:val="22"/>
                  </w:rPr>
                </w:pPr>
                <w:r>
                  <w:rPr>
                    <w:rFonts w:ascii="MS Gothic" w:hAnsi="MS Gothic" w:eastAsia="MS Gothic" w:cs="Arial"/>
                    <w:sz w:val="22"/>
                    <w:szCs w:val="22"/>
                  </w:rPr>
                  <w:t>☐</w:t>
                </w:r>
              </w:p>
            </w:tc>
          </w:sdtContent>
        </w:sdt>
      </w:tr>
      <w:tr w14:paraId="002C30E3">
        <w:tc>
          <w:tcPr>
            <w:tcW w:w="1623" w:type="dxa"/>
            <w:shd w:val="clear" w:color="auto" w:fill="D8D8D8" w:themeFill="background1" w:themeFillShade="D9"/>
          </w:tcPr>
          <w:p w14:paraId="5015986A">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6784FFE2">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74597816">
            <w:pPr>
              <w:jc w:val="center"/>
              <w:rPr>
                <w:rFonts w:cs="Arial"/>
                <w:sz w:val="22"/>
                <w:szCs w:val="22"/>
              </w:rPr>
            </w:pPr>
            <w:r>
              <w:rPr>
                <w:rFonts w:cs="Arial"/>
                <w:sz w:val="22"/>
                <w:szCs w:val="22"/>
              </w:rPr>
              <w:t>MRes</w:t>
            </w:r>
          </w:p>
        </w:tc>
        <w:tc>
          <w:tcPr>
            <w:tcW w:w="1662" w:type="dxa"/>
            <w:shd w:val="clear" w:color="auto" w:fill="D8D8D8" w:themeFill="background1" w:themeFillShade="D9"/>
          </w:tcPr>
          <w:p w14:paraId="2760CEEB">
            <w:pPr>
              <w:jc w:val="center"/>
              <w:rPr>
                <w:rFonts w:cs="Arial"/>
                <w:sz w:val="22"/>
                <w:szCs w:val="22"/>
              </w:rPr>
            </w:pPr>
          </w:p>
        </w:tc>
        <w:tc>
          <w:tcPr>
            <w:tcW w:w="1629" w:type="dxa"/>
            <w:shd w:val="clear" w:color="auto" w:fill="D8D8D8" w:themeFill="background1" w:themeFillShade="D9"/>
          </w:tcPr>
          <w:p w14:paraId="47EEC8A4">
            <w:pPr>
              <w:jc w:val="center"/>
              <w:rPr>
                <w:rFonts w:cs="Arial"/>
                <w:sz w:val="22"/>
                <w:szCs w:val="22"/>
              </w:rPr>
            </w:pPr>
          </w:p>
        </w:tc>
        <w:tc>
          <w:tcPr>
            <w:tcW w:w="1525" w:type="dxa"/>
            <w:shd w:val="clear" w:color="auto" w:fill="D8D8D8" w:themeFill="background1" w:themeFillShade="D9"/>
          </w:tcPr>
          <w:p w14:paraId="2E94090E">
            <w:pPr>
              <w:jc w:val="center"/>
              <w:rPr>
                <w:rFonts w:cs="Arial"/>
                <w:sz w:val="22"/>
                <w:szCs w:val="22"/>
              </w:rPr>
            </w:pPr>
          </w:p>
        </w:tc>
      </w:tr>
      <w:tr w14:paraId="6E7B34B3">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3A5C1CED">
                <w:pPr>
                  <w:jc w:val="center"/>
                  <w:rPr>
                    <w:rFonts w:cs="Arial"/>
                    <w:sz w:val="22"/>
                    <w:szCs w:val="22"/>
                  </w:rPr>
                </w:pPr>
                <w:r>
                  <w:rPr>
                    <w:rFonts w:ascii="MS Gothic" w:hAnsi="MS Gothic" w:eastAsia="MS Gothic" w:cs="Arial"/>
                    <w:sz w:val="22"/>
                    <w:szCs w:val="22"/>
                  </w:rPr>
                  <w:t>☐</w:t>
                </w:r>
              </w:p>
            </w:sdtContent>
          </w:sdt>
          <w:p w14:paraId="7ACE8D3B">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610D168E">
                <w:pPr>
                  <w:jc w:val="center"/>
                  <w:rPr>
                    <w:rFonts w:cs="Arial"/>
                    <w:sz w:val="22"/>
                    <w:szCs w:val="22"/>
                  </w:rPr>
                </w:pPr>
                <w:r>
                  <w:rPr>
                    <w:rFonts w:ascii="MS Gothic" w:hAnsi="MS Gothic" w:eastAsia="MS Gothic" w:cs="Arial"/>
                    <w:sz w:val="22"/>
                    <w:szCs w:val="22"/>
                  </w:rPr>
                  <w:t>☐</w:t>
                </w:r>
              </w:p>
            </w:sdtContent>
          </w:sdt>
          <w:p w14:paraId="4E2724AB">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4EB6A137">
                <w:pPr>
                  <w:jc w:val="center"/>
                  <w:rPr>
                    <w:rFonts w:cs="Arial"/>
                    <w:sz w:val="22"/>
                    <w:szCs w:val="22"/>
                  </w:rPr>
                </w:pPr>
                <w:r>
                  <w:rPr>
                    <w:rFonts w:ascii="MS Gothic" w:hAnsi="MS Gothic" w:eastAsia="MS Gothic" w:cs="Arial"/>
                    <w:sz w:val="22"/>
                    <w:szCs w:val="22"/>
                  </w:rPr>
                  <w:t>☐</w:t>
                </w:r>
              </w:p>
            </w:sdtContent>
          </w:sdt>
          <w:p w14:paraId="4F53A6CD">
            <w:pPr>
              <w:jc w:val="center"/>
              <w:rPr>
                <w:rFonts w:cs="Arial"/>
                <w:sz w:val="22"/>
                <w:szCs w:val="22"/>
              </w:rPr>
            </w:pPr>
          </w:p>
        </w:tc>
        <w:tc>
          <w:tcPr>
            <w:tcW w:w="1662" w:type="dxa"/>
          </w:tcPr>
          <w:p w14:paraId="5732EEEC">
            <w:pPr>
              <w:jc w:val="center"/>
              <w:rPr>
                <w:rFonts w:cs="Arial"/>
                <w:sz w:val="22"/>
                <w:szCs w:val="22"/>
              </w:rPr>
            </w:pPr>
          </w:p>
        </w:tc>
        <w:tc>
          <w:tcPr>
            <w:tcW w:w="1629" w:type="dxa"/>
          </w:tcPr>
          <w:p w14:paraId="5804B584">
            <w:pPr>
              <w:jc w:val="center"/>
              <w:rPr>
                <w:rFonts w:cs="Arial"/>
                <w:sz w:val="22"/>
                <w:szCs w:val="22"/>
              </w:rPr>
            </w:pPr>
          </w:p>
        </w:tc>
        <w:tc>
          <w:tcPr>
            <w:tcW w:w="1525" w:type="dxa"/>
          </w:tcPr>
          <w:p w14:paraId="47B4645E">
            <w:pPr>
              <w:jc w:val="center"/>
              <w:rPr>
                <w:rFonts w:cs="Arial"/>
                <w:sz w:val="22"/>
                <w:szCs w:val="22"/>
              </w:rPr>
            </w:pPr>
          </w:p>
        </w:tc>
      </w:tr>
    </w:tbl>
    <w:p w14:paraId="07A1ACF8">
      <w:pPr>
        <w:ind w:left="180" w:hanging="270"/>
        <w:rPr>
          <w:rFonts w:cs="Arial"/>
          <w:b/>
          <w:sz w:val="22"/>
          <w:szCs w:val="22"/>
        </w:rPr>
      </w:pPr>
    </w:p>
    <w:p w14:paraId="607555D2">
      <w:pPr>
        <w:rPr>
          <w:rFonts w:cs="Arial"/>
          <w:sz w:val="22"/>
          <w:szCs w:val="22"/>
        </w:rPr>
      </w:pPr>
    </w:p>
    <w:p w14:paraId="106A4E2E">
      <w:pPr>
        <w:ind w:left="-142"/>
        <w:rPr>
          <w:rFonts w:cs="Arial"/>
          <w:bCs/>
          <w:sz w:val="22"/>
          <w:szCs w:val="22"/>
        </w:rPr>
      </w:pPr>
      <w:r>
        <w:rPr>
          <w:rFonts w:cs="Arial"/>
          <w:b/>
          <w:bCs/>
          <w:sz w:val="22"/>
          <w:szCs w:val="22"/>
        </w:rPr>
        <w:t>Proposed Research</w:t>
      </w:r>
    </w:p>
    <w:p w14:paraId="5945FBF9">
      <w:pPr>
        <w:rPr>
          <w:rFonts w:cs="Arial"/>
          <w:sz w:val="22"/>
          <w:szCs w:val="22"/>
        </w:rPr>
      </w:pP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81"/>
      </w:tblGrid>
      <w:tr w14:paraId="77021C71">
        <w:trPr>
          <w:trHeight w:val="397" w:hRule="atLeast"/>
        </w:trPr>
        <w:tc>
          <w:tcPr>
            <w:tcW w:w="9781" w:type="dxa"/>
            <w:shd w:val="clear" w:color="auto" w:fill="F1F1F1" w:themeFill="background1" w:themeFillShade="F2"/>
            <w:vAlign w:val="center"/>
          </w:tcPr>
          <w:p w14:paraId="6CE06150">
            <w:pPr>
              <w:rPr>
                <w:rFonts w:cs="Arial"/>
                <w:sz w:val="22"/>
                <w:szCs w:val="22"/>
              </w:rPr>
            </w:pPr>
            <w:r>
              <w:rPr>
                <w:rFonts w:cs="Arial"/>
                <w:sz w:val="22"/>
                <w:szCs w:val="22"/>
              </w:rPr>
              <w:t>Current Proposed Title (20 / 30 words):</w:t>
            </w:r>
          </w:p>
        </w:tc>
      </w:tr>
      <w:tr w14:paraId="46DEBFBA">
        <w:trPr>
          <w:trHeight w:val="700" w:hRule="atLeast"/>
        </w:trPr>
        <w:tc>
          <w:tcPr>
            <w:tcW w:w="9781" w:type="dxa"/>
            <w:vAlign w:val="center"/>
          </w:tcPr>
          <w:p w14:paraId="270A07EC">
            <w:pPr>
              <w:ind w:left="440" w:hanging="440" w:hangingChars="200"/>
              <w:rPr>
                <w:rFonts w:cs="Arial"/>
                <w:sz w:val="22"/>
                <w:szCs w:val="22"/>
              </w:rPr>
            </w:pPr>
            <w:r>
              <w:rPr>
                <w:rFonts w:hint="default" w:ascii="Arial Bold" w:hAnsi="Arial Bold" w:cs="Arial Bold"/>
                <w:b/>
                <w:bCs/>
                <w:sz w:val="22"/>
                <w:szCs w:val="22"/>
              </w:rPr>
              <w:t>From Presence to Empathy: A Culturally Sensitive AI Companion Prototype for Chinese Students in the UK</w:t>
            </w:r>
          </w:p>
        </w:tc>
      </w:tr>
      <w:tr w14:paraId="047A55B1">
        <w:trPr>
          <w:trHeight w:val="397" w:hRule="atLeast"/>
        </w:trPr>
        <w:tc>
          <w:tcPr>
            <w:tcW w:w="9781" w:type="dxa"/>
            <w:shd w:val="clear" w:color="auto" w:fill="F1F1F1" w:themeFill="background1" w:themeFillShade="F2"/>
            <w:vAlign w:val="center"/>
          </w:tcPr>
          <w:p w14:paraId="6A6E17FC">
            <w:pPr>
              <w:rPr>
                <w:rFonts w:cs="Arial"/>
                <w:sz w:val="22"/>
                <w:szCs w:val="22"/>
              </w:rPr>
            </w:pPr>
            <w:r>
              <w:rPr>
                <w:rFonts w:cs="Arial"/>
                <w:sz w:val="22"/>
                <w:szCs w:val="22"/>
              </w:rPr>
              <w:t xml:space="preserve"> </w:t>
            </w:r>
          </w:p>
          <w:p w14:paraId="1C9B2173">
            <w:pPr>
              <w:rPr>
                <w:rFonts w:cs="Arial"/>
                <w:sz w:val="22"/>
                <w:szCs w:val="22"/>
              </w:rPr>
            </w:pPr>
            <w:r>
              <w:rPr>
                <w:rFonts w:cs="Arial"/>
                <w:sz w:val="22"/>
                <w:szCs w:val="22"/>
              </w:rPr>
              <w:t>Background &amp; Context (approx. 500 words)</w:t>
            </w:r>
          </w:p>
          <w:p w14:paraId="065EF8C5">
            <w:pPr>
              <w:rPr>
                <w:rFonts w:cs="Arial"/>
                <w:sz w:val="22"/>
                <w:szCs w:val="22"/>
              </w:rPr>
            </w:pPr>
          </w:p>
        </w:tc>
      </w:tr>
      <w:tr w14:paraId="3F5B4463">
        <w:trPr>
          <w:trHeight w:val="11110" w:hRule="atLeast"/>
        </w:trPr>
        <w:tc>
          <w:tcPr>
            <w:tcW w:w="9781" w:type="dxa"/>
            <w:vAlign w:val="center"/>
          </w:tcPr>
          <w:p w14:paraId="10717C77">
            <w:pPr>
              <w:rPr>
                <w:rFonts w:cs="Arial"/>
                <w:sz w:val="22"/>
                <w:szCs w:val="22"/>
              </w:rPr>
            </w:pPr>
            <w:r>
              <w:rPr>
                <w:rFonts w:cs="Arial"/>
                <w:sz w:val="22"/>
                <w:szCs w:val="22"/>
              </w:rPr>
              <w:t>In this section you will need to:</w:t>
            </w:r>
          </w:p>
          <w:p w14:paraId="6CC08A10">
            <w:pPr>
              <w:pStyle w:val="37"/>
              <w:numPr>
                <w:ilvl w:val="0"/>
                <w:numId w:val="1"/>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317D87CB">
            <w:pPr>
              <w:pStyle w:val="37"/>
              <w:numPr>
                <w:ilvl w:val="0"/>
                <w:numId w:val="1"/>
              </w:numPr>
              <w:autoSpaceDE w:val="0"/>
              <w:autoSpaceDN w:val="0"/>
              <w:adjustRightInd w:val="0"/>
              <w:contextualSpacing/>
              <w:rPr>
                <w:rFonts w:cs="Arial"/>
                <w:sz w:val="22"/>
                <w:szCs w:val="22"/>
              </w:rPr>
            </w:pPr>
            <w:r>
              <w:rPr>
                <w:rFonts w:cs="Arial"/>
                <w:sz w:val="22"/>
                <w:szCs w:val="22"/>
              </w:rPr>
              <w:t>Explain why the research is significant and important.</w:t>
            </w:r>
          </w:p>
          <w:p w14:paraId="58276FDB">
            <w:pPr>
              <w:pStyle w:val="37"/>
              <w:numPr>
                <w:ilvl w:val="0"/>
                <w:numId w:val="1"/>
              </w:numPr>
              <w:autoSpaceDE w:val="0"/>
              <w:autoSpaceDN w:val="0"/>
              <w:adjustRightInd w:val="0"/>
              <w:contextualSpacing/>
              <w:rPr>
                <w:rFonts w:cs="Arial"/>
                <w:sz w:val="22"/>
                <w:szCs w:val="22"/>
              </w:rPr>
            </w:pPr>
            <w:r>
              <w:rPr>
                <w:rFonts w:cs="Arial"/>
                <w:sz w:val="22"/>
                <w:szCs w:val="22"/>
              </w:rPr>
              <w:t>Place the research in the current academic context.</w:t>
            </w:r>
          </w:p>
          <w:p w14:paraId="74C771AE">
            <w:pPr>
              <w:pStyle w:val="28"/>
              <w:numPr>
                <w:ilvl w:val="0"/>
                <w:numId w:val="0"/>
              </w:numPr>
              <w:autoSpaceDE w:val="0"/>
              <w:autoSpaceDN w:val="0"/>
              <w:adjustRightInd w:val="0"/>
              <w:contextualSpacing/>
              <w:rPr>
                <w:rFonts w:hint="default" w:ascii="Times New Roman Regular" w:hAnsi="Times New Roman Regular" w:cs="Times New Roman Regular"/>
                <w:sz w:val="18"/>
                <w:szCs w:val="18"/>
                <w:lang w:eastAsia="zh-CN"/>
              </w:rPr>
            </w:pPr>
          </w:p>
          <w:p w14:paraId="39CCBF8E">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r>
              <w:rPr>
                <w:rFonts w:hint="default" w:ascii="Arial Regular" w:hAnsi="Arial Regular" w:cs="Arial Regular"/>
                <w:sz w:val="20"/>
                <w:szCs w:val="20"/>
                <w:lang w:val="en-US" w:eastAsia="zh-CN"/>
              </w:rPr>
              <w:t>Over the past decade, as the global trend towards internationalisation in higher education has continued to advance, China has emerged as one of the world's most significant sources of international students. In 2023 alone, over 150,000 Chinese students were enrolled in the United Kingdom (HESA, 2024). However, beneath this rapid growth in student numbers lies a significant challenge of cross-cultural adaptation: during their initial period in the UK (from enrolment through to 12 months), Chinese students commonly experience issues such as identity confusion, emotional suppression, and social isolation within a foreign cultural environment. This phenomenon increasingly presents a challenge that cannot be overlooked within university mental health services (Amer, 2024; Wei, 2025). </w:t>
            </w:r>
          </w:p>
          <w:p w14:paraId="3C21CA98">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p>
          <w:p w14:paraId="5895B2AE">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r>
              <w:rPr>
                <w:rFonts w:hint="default" w:ascii="Arial Regular" w:hAnsi="Arial Regular" w:cs="Arial Regular"/>
                <w:sz w:val="20"/>
                <w:szCs w:val="20"/>
                <w:lang w:val="en-US" w:eastAsia="zh-CN"/>
              </w:rPr>
              <w:t>From historical, cultural, and societal perspectives, the emotional distress experienced by Chinese students is not coincidental but stems from persistent pressures and cultural isolation inherent in the cross-cultural adaptation process (Berry, 2006; Kim, 2001). The cultural tenets emphasised by Confucian traditions—such as reserved expression, the concept of face, relational harmony, and collectivist values—clash markedly with the cultural characteristics prioritised in British society, including individual autonomy, direct communication, and high self-presentation (Hofstede, 2010). These cultural divergences readily create an expressive predicament where feelings are ‘felt but not easily articulated’, rendering the experience of being understood comparatively scarce. Recent cross-cultural psychology and interaction studies further indicate that reliance on indirect speech and non-verbal cues varies across cultures. When mediated dialogue overlooks these differences, it often exacerbates misunderstandings and interaction fatigue (Pang et al., 2024). </w:t>
            </w:r>
          </w:p>
          <w:p w14:paraId="31AA1503">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p>
          <w:p w14:paraId="11DA55B6">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r>
              <w:rPr>
                <w:rFonts w:hint="default" w:ascii="Arial Regular" w:hAnsi="Arial Regular" w:cs="Arial Regular"/>
                <w:sz w:val="20"/>
                <w:szCs w:val="20"/>
                <w:lang w:val="en-US" w:eastAsia="zh-CN"/>
              </w:rPr>
              <w:t>Concurrently, university psychological and international student support resources face constraints in both time and manpower. The advancement of artificial intelligence technology presents new opportunities for innovation in personalised emotional companionship and digital intervention methods. Some scholars are currently examining the relationship between cross-cultural communication and AI conversational systems. For instance, mainstream psychological support tools and AI emotional companionship systems (such as Replika and Woebot) are already widely deployed. Among the top 100 AI applications, 16 fall under the category of emotional companion AI. The distinctive feature of companion AI lies in its ability to create an illusion of social presence and relational continuity, enabling it to function as a social proxy that elicits users' social and moral responses (Merrill et al., 2022). Conversational AI offers low barriers to entry and instant responsiveness, yet its critical value lies not in ‘knowledge retrieval’ but in enabling students to experience a subjective sense of presence and understanding during pivotal moments (Salvetti, Bertagni and Contardo, 2025). Consequently, this study identifies and validates a set of designable ‘presence cues’ that elevate AI from functional responders to empathetic conversational partners within contextual settings. In other words, the crux lies not merely in ‘knowledge delivery’ but in the system's capacity to cultivate a sense of other-presence at pivotal moments, eliciting users' subjective perception of ‘being understood’ (Karkosz and Szymański, 2024). </w:t>
            </w:r>
          </w:p>
          <w:p w14:paraId="0B63505B">
            <w:pPr>
              <w:pStyle w:val="28"/>
              <w:numPr>
                <w:ilvl w:val="0"/>
                <w:numId w:val="0"/>
              </w:numPr>
              <w:autoSpaceDE w:val="0"/>
              <w:autoSpaceDN w:val="0"/>
              <w:adjustRightInd w:val="0"/>
              <w:contextualSpacing/>
              <w:jc w:val="both"/>
              <w:rPr>
                <w:rFonts w:hint="default" w:ascii="Arial Regular" w:hAnsi="Arial Regular" w:cs="Arial Regular"/>
                <w:sz w:val="20"/>
                <w:szCs w:val="20"/>
                <w:lang w:val="en-US" w:eastAsia="zh-CN"/>
              </w:rPr>
            </w:pPr>
          </w:p>
          <w:p w14:paraId="73543782">
            <w:pPr>
              <w:pStyle w:val="28"/>
              <w:numPr>
                <w:ilvl w:val="0"/>
                <w:numId w:val="0"/>
              </w:numPr>
              <w:autoSpaceDE w:val="0"/>
              <w:autoSpaceDN w:val="0"/>
              <w:adjustRightInd w:val="0"/>
              <w:contextualSpacing/>
              <w:jc w:val="both"/>
              <w:rPr>
                <w:rFonts w:hint="eastAsia" w:ascii="Times New Roman Regular" w:hAnsi="Times New Roman Regular" w:cs="Times New Roman Regular"/>
                <w:sz w:val="18"/>
                <w:szCs w:val="18"/>
                <w:lang w:val="en-US" w:eastAsia="zh-CN"/>
              </w:rPr>
            </w:pPr>
            <w:r>
              <w:rPr>
                <w:rFonts w:hint="default" w:ascii="Arial Regular" w:hAnsi="Arial Regular" w:cs="Arial Regular"/>
                <w:sz w:val="20"/>
                <w:szCs w:val="20"/>
                <w:lang w:val="en-US" w:eastAsia="zh-CN"/>
              </w:rPr>
              <w:t>Within the current academic discourse, existing research has affirmed the potential of digital psychological interventions and emotional chatbots in terms of accessibility and acceptability. It has also explored their impact on attitudes, trust, and continued usage intentions through the lenses of social presence and anthropomorphic cues. However, significant gaps remain at the cross-cultural and contextual levels: there is a lack of research validating ‘presence cues’ as controllable independent variables to test their direct impact on perceived presence, perceived understanding, and immediate emotions; and there are insufficient comparative studies on effective combination mechanisms and boundary conditions within specific settings such as classrooms, social interactions, and festive occasions. Consequently, this study focuses on how AI presence facilitates empathetic dialogue. It identifies, manipulates, and validates presence cues within the specific context of Chinese students studying in the UK, elucidating the mechanism linking presence-understanding-immediate emotion. This research aims to establish an AI interaction design system centred on cultural empathy and emotional companionship.</w:t>
            </w:r>
          </w:p>
        </w:tc>
      </w:tr>
      <w:tr w14:paraId="5BABABCE">
        <w:trPr>
          <w:trHeight w:val="397" w:hRule="atLeast"/>
        </w:trPr>
        <w:tc>
          <w:tcPr>
            <w:tcW w:w="9781" w:type="dxa"/>
            <w:shd w:val="clear" w:color="auto" w:fill="F1F1F1" w:themeFill="background1" w:themeFillShade="F2"/>
            <w:vAlign w:val="center"/>
          </w:tcPr>
          <w:p w14:paraId="2B5B6BE6">
            <w:pPr>
              <w:rPr>
                <w:rFonts w:cs="Arial"/>
                <w:sz w:val="22"/>
                <w:szCs w:val="22"/>
                <w:lang w:eastAsia="zh-CN"/>
              </w:rPr>
            </w:pPr>
          </w:p>
          <w:p w14:paraId="6D47198A">
            <w:pPr>
              <w:rPr>
                <w:rFonts w:cs="Arial"/>
                <w:sz w:val="22"/>
                <w:szCs w:val="22"/>
              </w:rPr>
            </w:pPr>
            <w:r>
              <w:rPr>
                <w:rFonts w:cs="Arial"/>
                <w:sz w:val="22"/>
                <w:szCs w:val="22"/>
              </w:rPr>
              <w:t>Aims and Objectives (approx.. 250 – 500 words)</w:t>
            </w:r>
          </w:p>
        </w:tc>
      </w:tr>
      <w:tr w14:paraId="1AEA8840">
        <w:trPr>
          <w:trHeight w:val="397" w:hRule="atLeast"/>
        </w:trPr>
        <w:tc>
          <w:tcPr>
            <w:tcW w:w="9781" w:type="dxa"/>
            <w:vAlign w:val="center"/>
          </w:tcPr>
          <w:p w14:paraId="665265C4">
            <w:pPr>
              <w:rPr>
                <w:rFonts w:cs="Arial"/>
                <w:sz w:val="22"/>
                <w:szCs w:val="22"/>
              </w:rPr>
            </w:pPr>
            <w:r>
              <w:rPr>
                <w:rFonts w:cs="Arial"/>
                <w:sz w:val="22"/>
                <w:szCs w:val="22"/>
              </w:rPr>
              <w:t>In this section you will need to:</w:t>
            </w:r>
          </w:p>
          <w:p w14:paraId="0216F5E3">
            <w:pPr>
              <w:pStyle w:val="37"/>
              <w:numPr>
                <w:ilvl w:val="0"/>
                <w:numId w:val="2"/>
              </w:numPr>
              <w:autoSpaceDE w:val="0"/>
              <w:autoSpaceDN w:val="0"/>
              <w:adjustRightInd w:val="0"/>
              <w:contextualSpacing/>
              <w:rPr>
                <w:rFonts w:cs="Arial"/>
                <w:sz w:val="22"/>
                <w:szCs w:val="22"/>
              </w:rPr>
            </w:pPr>
            <w:r>
              <w:rPr>
                <w:rFonts w:cs="Arial"/>
                <w:sz w:val="22"/>
                <w:szCs w:val="22"/>
              </w:rPr>
              <w:t>Explain what you want to achieve through the research.</w:t>
            </w:r>
          </w:p>
          <w:p w14:paraId="68EA2D1C">
            <w:pPr>
              <w:pStyle w:val="37"/>
              <w:numPr>
                <w:ilvl w:val="0"/>
                <w:numId w:val="2"/>
              </w:numPr>
              <w:autoSpaceDE w:val="0"/>
              <w:autoSpaceDN w:val="0"/>
              <w:adjustRightInd w:val="0"/>
              <w:contextualSpacing/>
              <w:rPr>
                <w:rFonts w:hint="default" w:ascii="Arial Regular" w:hAnsi="Arial Regular" w:eastAsia="pingfang sc" w:cs="Arial Regular"/>
                <w:color w:val="000000"/>
                <w:kern w:val="0"/>
                <w:sz w:val="20"/>
                <w:szCs w:val="20"/>
                <w:lang w:val="en-US" w:eastAsia="zh-CN" w:bidi="ar"/>
              </w:rPr>
            </w:pPr>
            <w:r>
              <w:rPr>
                <w:rFonts w:cs="Arial"/>
                <w:sz w:val="22"/>
                <w:szCs w:val="22"/>
              </w:rPr>
              <w:t>Outline the aims of the research.</w:t>
            </w:r>
          </w:p>
          <w:p w14:paraId="7FBD9B82">
            <w:pPr>
              <w:pStyle w:val="12"/>
              <w:keepNext w:val="0"/>
              <w:keepLines w:val="0"/>
              <w:widowControl/>
              <w:suppressLineNumbers w:val="0"/>
              <w:spacing w:before="0" w:beforeAutospacing="0" w:after="160" w:afterAutospacing="0"/>
              <w:ind w:left="0" w:right="0"/>
              <w:jc w:val="both"/>
              <w:rPr>
                <w:rFonts w:hint="default" w:ascii="Arial Bold" w:hAnsi="Arial Bold" w:eastAsia="pingfang sc" w:cs="Arial Bold"/>
                <w:b/>
                <w:bCs/>
                <w:color w:val="000000"/>
                <w:kern w:val="0"/>
                <w:sz w:val="20"/>
                <w:szCs w:val="20"/>
                <w:lang w:val="en-US" w:eastAsia="zh-CN" w:bidi="ar"/>
              </w:rPr>
            </w:pPr>
            <w:r>
              <w:rPr>
                <w:rFonts w:hint="default" w:ascii="Arial Bold" w:hAnsi="Arial Bold" w:eastAsia="pingfang sc" w:cs="Arial Bold"/>
                <w:b/>
                <w:bCs/>
                <w:color w:val="000000"/>
                <w:kern w:val="0"/>
                <w:sz w:val="20"/>
                <w:szCs w:val="20"/>
                <w:lang w:val="en-US" w:eastAsia="zh-CN" w:bidi="ar"/>
              </w:rPr>
              <w:t>Aims:</w:t>
            </w:r>
          </w:p>
          <w:p w14:paraId="11E34AF3">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This study aims to identify, design, and validate a set of manipulable AI presence cues (visual anthropomorphism, linguistic empathy structures, relational memory, etc.) for early-stage Chinese international students in the UK (arrival ≤12 months). It seeks to elucidate how these cues enhance ‘sense of being present and understood’ to facilitate higher-quality empathetic dialogue, thereby reducing immediate emotional load in specific contexts and fostering incremental offline connections with local communities. Deliverables include a transferable Presence-Empathy design principle framework, dialogue corpus, and interactive prototype application.</w:t>
            </w:r>
          </w:p>
          <w:p w14:paraId="7E7B8B9E">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b/>
                <w:bCs/>
                <w:color w:val="000000"/>
                <w:kern w:val="0"/>
                <w:sz w:val="20"/>
                <w:szCs w:val="20"/>
                <w:lang w:val="en-US" w:eastAsia="zh-CN" w:bidi="ar"/>
              </w:rPr>
            </w:pPr>
            <w:r>
              <w:rPr>
                <w:rFonts w:hint="default" w:ascii="Arial Regular" w:hAnsi="Arial Regular" w:eastAsia="pingfang sc" w:cs="Arial Regular"/>
                <w:b/>
                <w:bCs/>
                <w:color w:val="000000"/>
                <w:kern w:val="0"/>
                <w:sz w:val="20"/>
                <w:szCs w:val="20"/>
                <w:lang w:val="en-US" w:eastAsia="zh-CN" w:bidi="ar"/>
              </w:rPr>
              <w:t>Objectives：</w:t>
            </w:r>
          </w:p>
          <w:p w14:paraId="6D193509">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To design and validate a culturally sensitive AI emotional companion prototype app for Chinese students arriving in the UK for ≤12 months. This will examine how AI presence cues (temporal rhythm, visual anthropomorphism, linguistic empathy structures, etc.) enhance perceptions of “being present” and “being understood”, thereby fostering empathetic dialogue and alleviating immediate negative emotions in specific contexts. This will inform the development of a reusable design framework.</w:t>
            </w:r>
          </w:p>
          <w:p w14:paraId="1F80DA2D">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color w:val="000000"/>
                <w:kern w:val="0"/>
                <w:sz w:val="20"/>
                <w:szCs w:val="20"/>
                <w:lang w:val="en-US" w:eastAsia="zh-CN" w:bidi="ar"/>
              </w:rPr>
            </w:pPr>
            <w:r>
              <w:rPr>
                <w:rFonts w:hint="default" w:ascii="Arial Bold" w:hAnsi="Arial Bold" w:eastAsia="PingFang SC Semibold" w:cs="Arial Bold"/>
                <w:b/>
                <w:bCs/>
                <w:color w:val="000000"/>
                <w:kern w:val="0"/>
                <w:sz w:val="20"/>
                <w:szCs w:val="20"/>
                <w:lang w:val="en-US" w:eastAsia="zh-CN" w:bidi="ar"/>
              </w:rPr>
              <w:t>Objective 1:</w:t>
            </w:r>
            <w:r>
              <w:rPr>
                <w:rFonts w:hint="default" w:ascii="Arial Regular" w:hAnsi="Arial Regular" w:eastAsia="PingFang SC Semibold" w:cs="Arial Regular"/>
                <w:b/>
                <w:bCs/>
                <w:color w:val="000000"/>
                <w:kern w:val="0"/>
                <w:sz w:val="20"/>
                <w:szCs w:val="20"/>
                <w:lang w:val="en-US" w:eastAsia="zh-CN" w:bidi="ar"/>
              </w:rPr>
              <w:t xml:space="preserve"> </w:t>
            </w:r>
            <w:r>
              <w:rPr>
                <w:rFonts w:hint="default" w:ascii="Arial Regular" w:hAnsi="Arial Regular" w:eastAsia="pingfang sc" w:cs="Arial Regular"/>
                <w:color w:val="000000"/>
                <w:kern w:val="0"/>
                <w:sz w:val="20"/>
                <w:szCs w:val="20"/>
                <w:lang w:val="en-US" w:eastAsia="zh-CN" w:bidi="ar"/>
              </w:rPr>
              <w:t>Define and clarify typical scenarios under cross-cultural stress (classroom, social, festive) alongside AI presence cues (rhythm, memory, anthropomorphism, tone), establishing measurable indicators.</w:t>
            </w:r>
          </w:p>
          <w:p w14:paraId="4C77366C">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Semibold" w:cs="Arial Regular"/>
                <w:b/>
                <w:bCs/>
                <w:color w:val="000000"/>
                <w:kern w:val="0"/>
                <w:sz w:val="20"/>
                <w:szCs w:val="20"/>
                <w:lang w:val="en-US" w:eastAsia="zh-CN" w:bidi="ar"/>
              </w:rPr>
              <w:t xml:space="preserve">Objective 2: </w:t>
            </w:r>
            <w:r>
              <w:rPr>
                <w:rFonts w:hint="default" w:ascii="Arial Regular" w:hAnsi="Arial Regular" w:eastAsia="pingfang sc" w:cs="Arial Regular"/>
                <w:color w:val="000000"/>
                <w:kern w:val="0"/>
                <w:sz w:val="20"/>
                <w:szCs w:val="20"/>
                <w:lang w:val="en-US" w:eastAsia="zh-CN" w:bidi="ar"/>
              </w:rPr>
              <w:t>Conduct participatory workshops to generate a dialogue atom sentence library. Implement cue toggles and data collection (questionnaires, interviews, logs) within the app to construct an initial prototype.</w:t>
            </w:r>
          </w:p>
          <w:p w14:paraId="65A93E10">
            <w:pPr>
              <w:pStyle w:val="12"/>
              <w:keepNext w:val="0"/>
              <w:keepLines w:val="0"/>
              <w:widowControl/>
              <w:suppressLineNumbers w:val="0"/>
              <w:spacing w:before="0" w:beforeAutospacing="0" w:after="160" w:afterAutospacing="0"/>
              <w:ind w:left="0" w:right="0"/>
              <w:jc w:val="both"/>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Semibold" w:cs="Arial Regular"/>
                <w:b/>
                <w:bCs/>
                <w:color w:val="000000"/>
                <w:kern w:val="0"/>
                <w:sz w:val="20"/>
                <w:szCs w:val="20"/>
                <w:lang w:val="en-US" w:eastAsia="zh-CN" w:bidi="ar"/>
              </w:rPr>
              <w:t xml:space="preserve">Objective 3: </w:t>
            </w:r>
            <w:r>
              <w:rPr>
                <w:rFonts w:hint="default" w:ascii="Arial Regular" w:hAnsi="Arial Regular" w:eastAsia="pingfang sc" w:cs="Arial Regular"/>
                <w:color w:val="000000"/>
                <w:kern w:val="0"/>
                <w:sz w:val="20"/>
                <w:szCs w:val="20"/>
                <w:lang w:val="en-US" w:eastAsia="zh-CN" w:bidi="ar"/>
              </w:rPr>
              <w:t>Employ intra-group WoZ experiments to compare single vs. dual cues, low vs. high anthropomorphism, etc., within specific cross-cultural pressure scenarios. Assess their impact on perceived presence, understanding, and immediate negative emotions to identify effective elements, mechanisms, and combinations for achieving AI presence.</w:t>
            </w:r>
          </w:p>
          <w:p w14:paraId="764764C0">
            <w:pPr>
              <w:pStyle w:val="12"/>
              <w:keepNext w:val="0"/>
              <w:keepLines w:val="0"/>
              <w:widowControl/>
              <w:suppressLineNumbers w:val="0"/>
              <w:spacing w:before="0" w:beforeAutospacing="0" w:after="160" w:afterAutospacing="0"/>
              <w:ind w:left="0" w:right="0"/>
              <w:jc w:val="both"/>
              <w:rPr>
                <w:rFonts w:hint="eastAsia" w:ascii="pingfang sc" w:hAnsi="pingfang sc" w:eastAsia="pingfang sc" w:cs="pingfang sc"/>
                <w:color w:val="000000"/>
                <w:kern w:val="0"/>
                <w:sz w:val="18"/>
                <w:szCs w:val="18"/>
                <w:lang w:val="en-US" w:eastAsia="zh-CN" w:bidi="ar"/>
              </w:rPr>
            </w:pPr>
            <w:r>
              <w:rPr>
                <w:rFonts w:hint="default" w:ascii="Arial Regular" w:hAnsi="Arial Regular" w:eastAsia="PingFang SC Semibold" w:cs="Arial Regular"/>
                <w:b/>
                <w:bCs/>
                <w:color w:val="000000"/>
                <w:kern w:val="0"/>
                <w:sz w:val="20"/>
                <w:szCs w:val="20"/>
                <w:lang w:val="en-US" w:eastAsia="zh-CN" w:bidi="ar"/>
              </w:rPr>
              <w:t xml:space="preserve">Objective 4: </w:t>
            </w:r>
            <w:r>
              <w:rPr>
                <w:rFonts w:hint="default" w:ascii="Arial Regular" w:hAnsi="Arial Regular" w:eastAsia="pingfang sc" w:cs="Arial Regular"/>
                <w:color w:val="000000"/>
                <w:kern w:val="0"/>
                <w:sz w:val="20"/>
                <w:szCs w:val="20"/>
                <w:lang w:val="en-US" w:eastAsia="zh-CN" w:bidi="ar"/>
              </w:rPr>
              <w:t>Construct and iteratively refine the app prototype using the minimal viable combination. Conduct small-scale pilot testing to evaluate feasibility and acceptance (TAM), distilling Presence-Empathy design principles and iterative prototypes.</w:t>
            </w:r>
          </w:p>
        </w:tc>
      </w:tr>
      <w:tr w14:paraId="3B2963C3">
        <w:trPr>
          <w:trHeight w:val="397" w:hRule="atLeast"/>
        </w:trPr>
        <w:tc>
          <w:tcPr>
            <w:tcW w:w="9781" w:type="dxa"/>
            <w:shd w:val="clear" w:color="auto" w:fill="F1F1F1" w:themeFill="background1" w:themeFillShade="F2"/>
            <w:vAlign w:val="center"/>
          </w:tcPr>
          <w:p w14:paraId="3279BA5F">
            <w:pPr>
              <w:rPr>
                <w:rFonts w:cs="Arial"/>
                <w:sz w:val="22"/>
                <w:szCs w:val="22"/>
              </w:rPr>
            </w:pPr>
          </w:p>
          <w:p w14:paraId="02EF8E0E">
            <w:pPr>
              <w:rPr>
                <w:rFonts w:cs="Arial"/>
                <w:sz w:val="22"/>
                <w:szCs w:val="22"/>
              </w:rPr>
            </w:pPr>
            <w:r>
              <w:rPr>
                <w:rFonts w:cs="Arial"/>
                <w:sz w:val="22"/>
                <w:szCs w:val="22"/>
              </w:rPr>
              <w:t xml:space="preserve">Proposed plan of work including timetable </w:t>
            </w:r>
          </w:p>
        </w:tc>
      </w:tr>
      <w:tr w14:paraId="6D638DD3">
        <w:trPr>
          <w:trHeight w:val="397" w:hRule="atLeast"/>
        </w:trPr>
        <w:tc>
          <w:tcPr>
            <w:tcW w:w="9781" w:type="dxa"/>
          </w:tcPr>
          <w:p w14:paraId="3DE4FDEB">
            <w:pPr>
              <w:rPr>
                <w:rFonts w:cs="Arial"/>
                <w:i/>
                <w:sz w:val="22"/>
                <w:szCs w:val="22"/>
              </w:rPr>
            </w:pPr>
            <w:r>
              <w:rPr>
                <w:rFonts w:cs="Arial"/>
                <w:i/>
                <w:sz w:val="22"/>
                <w:szCs w:val="22"/>
              </w:rPr>
              <w:t>Proposed plan of work</w:t>
            </w:r>
          </w:p>
          <w:p w14:paraId="14EDF531">
            <w:pPr>
              <w:rPr>
                <w:rFonts w:cs="Arial"/>
                <w:sz w:val="22"/>
                <w:szCs w:val="22"/>
              </w:rPr>
            </w:pPr>
          </w:p>
          <w:p w14:paraId="07E423F5">
            <w:pPr>
              <w:rPr>
                <w:rFonts w:cs="Arial"/>
                <w:sz w:val="22"/>
                <w:szCs w:val="22"/>
              </w:rPr>
            </w:pPr>
            <w:r>
              <w:rPr>
                <w:rFonts w:cs="Arial"/>
                <w:sz w:val="22"/>
                <w:szCs w:val="22"/>
              </w:rPr>
              <w:t>In this section you will need to complete a proposed plan of your work explaining the timeline for key elements of the thesis. This can be set out as a table like below or as a gantt chart (for example)</w:t>
            </w:r>
          </w:p>
          <w:p w14:paraId="56442899">
            <w:pPr>
              <w:rPr>
                <w:rFonts w:cs="Arial"/>
                <w:sz w:val="22"/>
                <w:szCs w:val="22"/>
              </w:rPr>
            </w:pPr>
          </w:p>
          <w:p w14:paraId="0FD65113">
            <w:pPr>
              <w:rPr>
                <w:rFonts w:cs="Arial"/>
                <w:sz w:val="22"/>
                <w:szCs w:val="22"/>
              </w:rPr>
            </w:pPr>
            <w:r>
              <w:rPr>
                <w:rFonts w:cs="Arial"/>
                <w:sz w:val="22"/>
                <w:szCs w:val="22"/>
              </w:rPr>
              <w:t>This plan should indicate that the research will be completed by the end of the fee paying period (the minimum period of candidature.</w:t>
            </w:r>
          </w:p>
          <w:p w14:paraId="2BF0F110">
            <w:pPr>
              <w:rPr>
                <w:rFonts w:cs="Arial"/>
                <w:sz w:val="22"/>
                <w:szCs w:val="22"/>
                <w:lang w:eastAsia="zh-CN"/>
              </w:rPr>
            </w:pPr>
          </w:p>
          <w:tbl>
            <w:tblPr>
              <w:tblStyle w:val="15"/>
              <w:tblW w:w="4993"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0"/>
              <w:gridCol w:w="2316"/>
              <w:gridCol w:w="5176"/>
            </w:tblGrid>
            <w:tr w14:paraId="413EFB86">
              <w:tc>
                <w:tcPr>
                  <w:tcW w:w="1074" w:type="pct"/>
                </w:tcPr>
                <w:p w14:paraId="555CBE44">
                  <w:pPr>
                    <w:rPr>
                      <w:rFonts w:hint="eastAsia" w:eastAsia="宋体" w:cs="Arial"/>
                      <w:sz w:val="22"/>
                      <w:szCs w:val="22"/>
                      <w:lang w:val="en-US" w:eastAsia="zh-CN"/>
                    </w:rPr>
                  </w:pPr>
                  <w:r>
                    <w:rPr>
                      <w:rFonts w:hint="default" w:cs="Arial"/>
                      <w:sz w:val="22"/>
                      <w:szCs w:val="22"/>
                      <w:lang w:val="en-US"/>
                    </w:rPr>
                    <w:t>S</w:t>
                  </w:r>
                  <w:r>
                    <w:rPr>
                      <w:rFonts w:hint="eastAsia" w:eastAsia="宋体" w:cs="Arial"/>
                      <w:sz w:val="22"/>
                      <w:szCs w:val="22"/>
                      <w:lang w:val="en-US" w:eastAsia="zh-CN"/>
                    </w:rPr>
                    <w:t>tate</w:t>
                  </w:r>
                </w:p>
              </w:tc>
              <w:tc>
                <w:tcPr>
                  <w:tcW w:w="1213" w:type="pct"/>
                </w:tcPr>
                <w:p w14:paraId="61FC0D2B">
                  <w:pPr>
                    <w:rPr>
                      <w:rFonts w:hint="default" w:eastAsia="宋体" w:cs="Arial"/>
                      <w:sz w:val="22"/>
                      <w:szCs w:val="22"/>
                      <w:lang w:val="en-US" w:eastAsia="zh-CN"/>
                    </w:rPr>
                  </w:pPr>
                  <w:r>
                    <w:rPr>
                      <w:rFonts w:hint="default" w:cs="Arial"/>
                      <w:sz w:val="22"/>
                      <w:szCs w:val="22"/>
                      <w:lang w:val="en-US"/>
                    </w:rPr>
                    <w:t>T</w:t>
                  </w:r>
                  <w:r>
                    <w:rPr>
                      <w:rFonts w:hint="eastAsia" w:eastAsia="宋体" w:cs="Arial"/>
                      <w:sz w:val="22"/>
                      <w:szCs w:val="22"/>
                      <w:lang w:val="en-US" w:eastAsia="zh-CN"/>
                    </w:rPr>
                    <w:t>ime frame</w:t>
                  </w:r>
                </w:p>
              </w:tc>
              <w:tc>
                <w:tcPr>
                  <w:tcW w:w="2711" w:type="pct"/>
                </w:tcPr>
                <w:p w14:paraId="59100B28">
                  <w:pPr>
                    <w:rPr>
                      <w:rFonts w:hint="eastAsia" w:eastAsia="宋体" w:cs="Arial"/>
                      <w:sz w:val="22"/>
                      <w:szCs w:val="22"/>
                      <w:lang w:val="en-US" w:eastAsia="zh-CN"/>
                    </w:rPr>
                  </w:pPr>
                  <w:r>
                    <w:rPr>
                      <w:rFonts w:hint="default" w:cs="Arial"/>
                      <w:sz w:val="22"/>
                      <w:szCs w:val="22"/>
                      <w:lang w:val="en-US"/>
                    </w:rPr>
                    <w:t>A</w:t>
                  </w:r>
                  <w:r>
                    <w:rPr>
                      <w:rFonts w:hint="eastAsia" w:eastAsia="宋体" w:cs="Arial"/>
                      <w:sz w:val="22"/>
                      <w:szCs w:val="22"/>
                      <w:lang w:val="en-US" w:eastAsia="zh-CN"/>
                    </w:rPr>
                    <w:t>chievement</w:t>
                  </w:r>
                </w:p>
              </w:tc>
            </w:tr>
            <w:tr w14:paraId="0B25996A">
              <w:tc>
                <w:tcPr>
                  <w:tcW w:w="1074" w:type="pct"/>
                </w:tcPr>
                <w:p w14:paraId="6BFC2323">
                  <w:pPr>
                    <w:rPr>
                      <w:rFonts w:hint="default" w:cs="Arial"/>
                      <w:sz w:val="22"/>
                      <w:szCs w:val="22"/>
                      <w:lang w:val="en-US"/>
                    </w:rPr>
                  </w:pPr>
                  <w:r>
                    <w:rPr>
                      <w:rFonts w:hint="default" w:cs="Arial"/>
                      <w:sz w:val="20"/>
                      <w:szCs w:val="20"/>
                      <w:lang w:val="en-US"/>
                    </w:rPr>
                    <w:t>PG1</w:t>
                  </w:r>
                </w:p>
              </w:tc>
              <w:tc>
                <w:tcPr>
                  <w:tcW w:w="1213" w:type="pct"/>
                </w:tcPr>
                <w:p w14:paraId="70F0EFEE">
                  <w:pPr>
                    <w:rPr>
                      <w:rFonts w:hint="default" w:eastAsia="宋体" w:cs="Arial"/>
                      <w:sz w:val="22"/>
                      <w:szCs w:val="22"/>
                      <w:lang w:val="en-US" w:eastAsia="zh-CN"/>
                    </w:rPr>
                  </w:pPr>
                  <w:r>
                    <w:rPr>
                      <w:rFonts w:hint="eastAsia" w:eastAsia="宋体" w:cs="Arial"/>
                      <w:sz w:val="20"/>
                      <w:szCs w:val="20"/>
                      <w:lang w:val="en-US" w:eastAsia="zh-CN"/>
                    </w:rPr>
                    <w:t>02/2026</w:t>
                  </w:r>
                </w:p>
              </w:tc>
              <w:tc>
                <w:tcPr>
                  <w:tcW w:w="2711" w:type="pct"/>
                  <w:shd w:val="clear" w:color="auto" w:fill="auto"/>
                  <w:vAlign w:val="top"/>
                </w:tcPr>
                <w:p w14:paraId="0F149FA7">
                  <w:pPr>
                    <w:rPr>
                      <w:rFonts w:ascii="Arial" w:hAnsi="Arial" w:eastAsia="Times New Roman" w:cs="Arial"/>
                      <w:sz w:val="22"/>
                      <w:szCs w:val="22"/>
                      <w:lang w:val="en-US" w:eastAsia="zh-CN" w:bidi="ar-SA"/>
                    </w:rPr>
                  </w:pPr>
                  <w:r>
                    <w:rPr>
                      <w:rFonts w:cs="Arial"/>
                      <w:sz w:val="20"/>
                      <w:szCs w:val="20"/>
                      <w:lang w:val="en-US" w:eastAsia="zh-CN"/>
                    </w:rPr>
                    <w:t>Submit full project proposal</w:t>
                  </w:r>
                </w:p>
              </w:tc>
            </w:tr>
            <w:tr w14:paraId="73409DC6">
              <w:tc>
                <w:tcPr>
                  <w:tcW w:w="1074" w:type="pct"/>
                </w:tcPr>
                <w:p w14:paraId="37929AEF">
                  <w:pPr>
                    <w:rPr>
                      <w:rFonts w:hint="default" w:cs="Arial"/>
                      <w:sz w:val="22"/>
                      <w:szCs w:val="22"/>
                      <w:lang w:val="en-US"/>
                    </w:rPr>
                  </w:pPr>
                  <w:r>
                    <w:rPr>
                      <w:rFonts w:hint="default" w:cs="Arial"/>
                      <w:sz w:val="20"/>
                      <w:szCs w:val="20"/>
                      <w:lang w:val="en-US"/>
                    </w:rPr>
                    <w:t>PG2</w:t>
                  </w:r>
                </w:p>
              </w:tc>
              <w:tc>
                <w:tcPr>
                  <w:tcW w:w="1213" w:type="pct"/>
                </w:tcPr>
                <w:p w14:paraId="217A2793">
                  <w:pPr>
                    <w:rPr>
                      <w:rFonts w:hint="default" w:eastAsia="宋体" w:cs="Arial"/>
                      <w:sz w:val="22"/>
                      <w:szCs w:val="22"/>
                      <w:lang w:val="en-US" w:eastAsia="zh-CN"/>
                    </w:rPr>
                  </w:pPr>
                  <w:r>
                    <w:rPr>
                      <w:rFonts w:hint="eastAsia" w:eastAsia="宋体" w:cs="Arial"/>
                      <w:sz w:val="20"/>
                      <w:szCs w:val="20"/>
                      <w:lang w:val="en-US" w:eastAsia="zh-CN"/>
                    </w:rPr>
                    <w:t>05/2026</w:t>
                  </w:r>
                </w:p>
              </w:tc>
              <w:tc>
                <w:tcPr>
                  <w:tcW w:w="2711" w:type="pct"/>
                  <w:shd w:val="clear" w:color="auto" w:fill="auto"/>
                  <w:vAlign w:val="top"/>
                </w:tcPr>
                <w:p w14:paraId="1DB9A318">
                  <w:pPr>
                    <w:rPr>
                      <w:rFonts w:ascii="Arial" w:hAnsi="Arial" w:eastAsia="Times New Roman" w:cs="Arial"/>
                      <w:sz w:val="22"/>
                      <w:szCs w:val="22"/>
                      <w:lang w:val="en-US" w:eastAsia="zh-CN" w:bidi="ar-SA"/>
                    </w:rPr>
                  </w:pPr>
                  <w:r>
                    <w:rPr>
                      <w:rFonts w:cs="Arial"/>
                      <w:sz w:val="20"/>
                      <w:szCs w:val="20"/>
                      <w:lang w:val="en-US" w:eastAsia="zh-CN"/>
                    </w:rPr>
                    <w:t>Submit full Ethics form</w:t>
                  </w:r>
                </w:p>
              </w:tc>
            </w:tr>
            <w:tr w14:paraId="7744842E">
              <w:tc>
                <w:tcPr>
                  <w:tcW w:w="1074" w:type="pct"/>
                  <w:shd w:val="clear" w:color="auto" w:fill="auto"/>
                  <w:vAlign w:val="top"/>
                </w:tcPr>
                <w:p w14:paraId="129F87E6">
                  <w:pPr>
                    <w:rPr>
                      <w:rFonts w:ascii="Arial" w:hAnsi="Arial" w:eastAsia="Times New Roman" w:cs="Arial"/>
                      <w:sz w:val="22"/>
                      <w:szCs w:val="22"/>
                      <w:lang w:val="cy-GB" w:eastAsia="en-GB" w:bidi="ar-SA"/>
                    </w:rPr>
                  </w:pPr>
                  <w:r>
                    <w:rPr>
                      <w:rFonts w:cs="Arial"/>
                      <w:sz w:val="20"/>
                      <w:szCs w:val="20"/>
                      <w:lang w:val="cy-GB"/>
                    </w:rPr>
                    <w:t>Literature Review I</w:t>
                  </w:r>
                </w:p>
              </w:tc>
              <w:tc>
                <w:tcPr>
                  <w:tcW w:w="1213" w:type="pct"/>
                </w:tcPr>
                <w:p w14:paraId="6385D803">
                  <w:pPr>
                    <w:rPr>
                      <w:rFonts w:hint="default" w:eastAsia="宋体" w:cs="Arial"/>
                      <w:sz w:val="22"/>
                      <w:szCs w:val="22"/>
                      <w:lang w:val="en-US" w:eastAsia="zh-CN"/>
                    </w:rPr>
                  </w:pPr>
                  <w:r>
                    <w:rPr>
                      <w:rFonts w:hint="eastAsia" w:eastAsia="宋体" w:cs="Arial"/>
                      <w:sz w:val="20"/>
                      <w:szCs w:val="20"/>
                      <w:lang w:val="en-US" w:eastAsia="zh-CN"/>
                    </w:rPr>
                    <w:t>06/2026-09/2026</w:t>
                  </w:r>
                </w:p>
              </w:tc>
              <w:tc>
                <w:tcPr>
                  <w:tcW w:w="2711" w:type="pct"/>
                </w:tcPr>
                <w:p w14:paraId="766A35AE">
                  <w:pPr>
                    <w:pStyle w:val="12"/>
                    <w:keepNext w:val="0"/>
                    <w:keepLines w:val="0"/>
                    <w:widowControl/>
                    <w:suppressLineNumbers w:val="0"/>
                    <w:spacing w:line="240" w:lineRule="auto"/>
                    <w:jc w:val="left"/>
                    <w:rPr>
                      <w:rFonts w:hint="default" w:eastAsia="宋体" w:cs="Arial"/>
                      <w:sz w:val="22"/>
                      <w:szCs w:val="22"/>
                      <w:lang w:val="en-US" w:eastAsia="zh-CN"/>
                    </w:rPr>
                  </w:pPr>
                  <w:r>
                    <w:rPr>
                      <w:rFonts w:hint="default" w:ascii="Arial Regular" w:hAnsi="Arial Regular" w:eastAsia="宋体" w:cs="Arial Regular"/>
                      <w:sz w:val="20"/>
                      <w:szCs w:val="20"/>
                      <w:lang w:val="en-US" w:eastAsia="zh-CN"/>
                    </w:rPr>
                    <w:t>Completion of the first round of literature review collation: post-phenomenological theory, cross-cultural adaptation stress, social presence, user experience theory, affective design, and other frameworks.</w:t>
                  </w:r>
                </w:p>
              </w:tc>
            </w:tr>
            <w:tr w14:paraId="39013221">
              <w:tc>
                <w:tcPr>
                  <w:tcW w:w="1074" w:type="pct"/>
                  <w:shd w:val="clear" w:color="auto" w:fill="auto"/>
                  <w:vAlign w:val="top"/>
                </w:tcPr>
                <w:p w14:paraId="09488BEF">
                  <w:pPr>
                    <w:jc w:val="left"/>
                    <w:rPr>
                      <w:rFonts w:hint="default" w:ascii="Arial" w:hAnsi="Arial" w:eastAsia="Times New Roman" w:cs="Arial"/>
                      <w:sz w:val="18"/>
                      <w:szCs w:val="18"/>
                      <w:lang w:val="en-US" w:eastAsia="zh-CN" w:bidi="ar-SA"/>
                    </w:rPr>
                  </w:pPr>
                  <w:r>
                    <w:rPr>
                      <w:rFonts w:cs="Arial"/>
                      <w:sz w:val="20"/>
                      <w:szCs w:val="20"/>
                      <w:lang w:eastAsia="zh-Hans"/>
                    </w:rPr>
                    <w:t xml:space="preserve">Hypothesis. </w:t>
                  </w:r>
                  <w:r>
                    <w:rPr>
                      <w:rFonts w:cs="Arial"/>
                      <w:sz w:val="20"/>
                      <w:szCs w:val="20"/>
                      <w:lang w:val="en-US" w:eastAsia="zh-Hans"/>
                    </w:rPr>
                    <w:t>T</w:t>
                  </w:r>
                  <w:r>
                    <w:rPr>
                      <w:rFonts w:cs="Arial"/>
                      <w:sz w:val="20"/>
                      <w:szCs w:val="20"/>
                      <w:lang w:eastAsia="zh-Hans"/>
                    </w:rPr>
                    <w:t>echni</w:t>
                  </w:r>
                  <w:r>
                    <w:rPr>
                      <w:rFonts w:cs="Arial"/>
                      <w:sz w:val="20"/>
                      <w:szCs w:val="20"/>
                      <w:lang w:val="en-US" w:eastAsia="zh-Hans"/>
                    </w:rPr>
                    <w:t>cal</w:t>
                  </w:r>
                  <w:r>
                    <w:rPr>
                      <w:rFonts w:cs="Arial"/>
                      <w:sz w:val="20"/>
                      <w:szCs w:val="20"/>
                      <w:lang w:eastAsia="zh-Hans"/>
                    </w:rPr>
                    <w:t xml:space="preserve"> </w:t>
                  </w:r>
                  <w:r>
                    <w:rPr>
                      <w:rFonts w:cs="Arial"/>
                      <w:sz w:val="20"/>
                      <w:szCs w:val="20"/>
                      <w:lang w:val="en-US" w:eastAsia="zh-Hans"/>
                    </w:rPr>
                    <w:t>S</w:t>
                  </w:r>
                  <w:r>
                    <w:rPr>
                      <w:rFonts w:cs="Arial"/>
                      <w:sz w:val="20"/>
                      <w:szCs w:val="20"/>
                      <w:lang w:eastAsia="zh-Hans"/>
                    </w:rPr>
                    <w:t>upport</w:t>
                  </w:r>
                  <w:r>
                    <w:rPr>
                      <w:rFonts w:cs="Arial"/>
                      <w:sz w:val="20"/>
                      <w:szCs w:val="20"/>
                      <w:lang w:val="en-US" w:eastAsia="zh-Hans"/>
                    </w:rPr>
                    <w:t xml:space="preserve"> Seeking</w:t>
                  </w:r>
                </w:p>
              </w:tc>
              <w:tc>
                <w:tcPr>
                  <w:tcW w:w="1213" w:type="pct"/>
                </w:tcPr>
                <w:p w14:paraId="3F2D0D31">
                  <w:pPr>
                    <w:rPr>
                      <w:rFonts w:hint="default" w:cs="Arial"/>
                      <w:sz w:val="22"/>
                      <w:szCs w:val="22"/>
                      <w:lang w:val="en-US"/>
                    </w:rPr>
                  </w:pPr>
                  <w:r>
                    <w:rPr>
                      <w:rFonts w:hint="eastAsia" w:eastAsia="宋体" w:cs="Arial"/>
                      <w:sz w:val="22"/>
                      <w:szCs w:val="22"/>
                      <w:lang w:val="en-US" w:eastAsia="zh-CN"/>
                    </w:rPr>
                    <w:t>10</w:t>
                  </w:r>
                  <w:r>
                    <w:rPr>
                      <w:rFonts w:hint="default" w:cs="Arial"/>
                      <w:sz w:val="22"/>
                      <w:szCs w:val="22"/>
                      <w:lang w:val="en-US"/>
                    </w:rPr>
                    <w:t>/2026</w:t>
                  </w:r>
                </w:p>
              </w:tc>
              <w:tc>
                <w:tcPr>
                  <w:tcW w:w="2711" w:type="pct"/>
                </w:tcPr>
                <w:p w14:paraId="1F956177">
                  <w:pPr>
                    <w:jc w:val="left"/>
                    <w:rPr>
                      <w:rFonts w:hint="default" w:eastAsia="宋体" w:cs="Arial"/>
                      <w:sz w:val="22"/>
                      <w:szCs w:val="22"/>
                      <w:lang w:val="en-US" w:eastAsia="zh-CN"/>
                    </w:rPr>
                  </w:pPr>
                  <w:r>
                    <w:rPr>
                      <w:rFonts w:hint="eastAsia" w:eastAsia="宋体" w:cs="Arial"/>
                      <w:sz w:val="20"/>
                      <w:szCs w:val="20"/>
                      <w:lang w:val="en-US" w:eastAsia="zh-CN"/>
                    </w:rPr>
                    <w:t>Conduct a competitive analysis of existing AI emotional companion applications,assessing their overall interface design and interaction flows,and identifying corresponding strengths and weaknesses.</w:t>
                  </w:r>
                </w:p>
              </w:tc>
            </w:tr>
            <w:tr w14:paraId="094806AB">
              <w:tc>
                <w:tcPr>
                  <w:tcW w:w="1074" w:type="pct"/>
                </w:tcPr>
                <w:p w14:paraId="7F5D96E5">
                  <w:pPr>
                    <w:jc w:val="left"/>
                    <w:rPr>
                      <w:rFonts w:hint="default" w:eastAsia="宋体" w:cs="Arial"/>
                      <w:sz w:val="22"/>
                      <w:szCs w:val="22"/>
                      <w:lang w:val="en-US" w:eastAsia="zh-CN"/>
                    </w:rPr>
                  </w:pPr>
                  <w:r>
                    <w:rPr>
                      <w:rFonts w:hint="eastAsia" w:eastAsia="宋体" w:cs="Arial"/>
                      <w:sz w:val="20"/>
                      <w:szCs w:val="20"/>
                      <w:lang w:val="en-US" w:eastAsia="zh-CN"/>
                    </w:rPr>
                    <w:t>Participatory Workshop and Small-Scale Test</w:t>
                  </w:r>
                </w:p>
              </w:tc>
              <w:tc>
                <w:tcPr>
                  <w:tcW w:w="1213" w:type="pct"/>
                </w:tcPr>
                <w:p w14:paraId="4472CEDF">
                  <w:pPr>
                    <w:rPr>
                      <w:rFonts w:hint="default" w:eastAsia="宋体" w:cs="Arial"/>
                      <w:sz w:val="22"/>
                      <w:szCs w:val="22"/>
                      <w:lang w:val="en-US" w:eastAsia="zh-CN"/>
                    </w:rPr>
                  </w:pPr>
                  <w:r>
                    <w:rPr>
                      <w:rFonts w:hint="eastAsia" w:eastAsia="宋体" w:cs="Arial"/>
                      <w:sz w:val="20"/>
                      <w:szCs w:val="20"/>
                      <w:lang w:val="en-US" w:eastAsia="zh-CN"/>
                    </w:rPr>
                    <w:t>11/2026-12/2026</w:t>
                  </w:r>
                </w:p>
              </w:tc>
              <w:tc>
                <w:tcPr>
                  <w:tcW w:w="2711" w:type="pct"/>
                </w:tcPr>
                <w:p w14:paraId="0DE73D14">
                  <w:pPr>
                    <w:rPr>
                      <w:rFonts w:hint="default" w:eastAsia="宋体" w:cs="Arial"/>
                      <w:sz w:val="22"/>
                      <w:szCs w:val="22"/>
                      <w:lang w:val="en-US" w:eastAsia="zh-CN"/>
                    </w:rPr>
                  </w:pPr>
                  <w:r>
                    <w:rPr>
                      <w:rFonts w:hint="default" w:eastAsia="宋体" w:cs="Arial"/>
                      <w:sz w:val="20"/>
                      <w:szCs w:val="20"/>
                      <w:lang w:val="en-US" w:eastAsia="zh-CN"/>
                    </w:rPr>
                    <w:t>Conduct participatory workshop sessions to finalise interface design and AI interaction workflow architecture, followed by small-scale prototype testing.</w:t>
                  </w:r>
                </w:p>
              </w:tc>
            </w:tr>
            <w:tr w14:paraId="5C50BE85">
              <w:tc>
                <w:tcPr>
                  <w:tcW w:w="1074" w:type="pct"/>
                  <w:shd w:val="clear" w:color="auto" w:fill="auto"/>
                  <w:vAlign w:val="top"/>
                </w:tcPr>
                <w:p w14:paraId="56BA6C4B">
                  <w:pPr>
                    <w:jc w:val="left"/>
                    <w:rPr>
                      <w:rFonts w:hint="default" w:ascii="Arial" w:hAnsi="Arial" w:eastAsia="Times New Roman" w:cs="Arial"/>
                      <w:sz w:val="18"/>
                      <w:szCs w:val="18"/>
                      <w:lang w:val="en-US" w:eastAsia="en-GB" w:bidi="ar-SA"/>
                    </w:rPr>
                  </w:pPr>
                  <w:r>
                    <w:rPr>
                      <w:rFonts w:hint="eastAsia" w:eastAsia="宋体" w:cs="Arial"/>
                      <w:sz w:val="20"/>
                      <w:szCs w:val="20"/>
                      <w:lang w:val="en-US" w:eastAsia="zh-CN"/>
                    </w:rPr>
                    <w:t>Prototype Optimisation and Dialogue Laboratory</w:t>
                  </w:r>
                </w:p>
              </w:tc>
              <w:tc>
                <w:tcPr>
                  <w:tcW w:w="1213" w:type="pct"/>
                </w:tcPr>
                <w:p w14:paraId="739AFF27">
                  <w:pPr>
                    <w:rPr>
                      <w:rFonts w:hint="eastAsia" w:eastAsia="宋体" w:cs="Arial"/>
                      <w:sz w:val="22"/>
                      <w:szCs w:val="22"/>
                      <w:lang w:val="en-US" w:eastAsia="zh-CN"/>
                    </w:rPr>
                  </w:pPr>
                  <w:r>
                    <w:rPr>
                      <w:rFonts w:hint="eastAsia" w:eastAsia="宋体" w:cs="Arial"/>
                      <w:sz w:val="20"/>
                      <w:szCs w:val="20"/>
                      <w:lang w:val="en-US" w:eastAsia="zh-CN"/>
                    </w:rPr>
                    <w:t>01</w:t>
                  </w:r>
                  <w:r>
                    <w:rPr>
                      <w:rFonts w:hint="default" w:cs="Arial"/>
                      <w:sz w:val="20"/>
                      <w:szCs w:val="20"/>
                      <w:lang w:val="en-US"/>
                    </w:rPr>
                    <w:t>/202</w:t>
                  </w:r>
                  <w:r>
                    <w:rPr>
                      <w:rFonts w:hint="eastAsia" w:eastAsia="宋体" w:cs="Arial"/>
                      <w:sz w:val="20"/>
                      <w:szCs w:val="20"/>
                      <w:lang w:val="en-US" w:eastAsia="zh-CN"/>
                    </w:rPr>
                    <w:t>7</w:t>
                  </w:r>
                  <w:r>
                    <w:rPr>
                      <w:rFonts w:hint="default" w:cs="Arial"/>
                      <w:sz w:val="20"/>
                      <w:szCs w:val="20"/>
                      <w:lang w:val="en-US"/>
                    </w:rPr>
                    <w:t>-</w:t>
                  </w:r>
                  <w:r>
                    <w:rPr>
                      <w:rFonts w:hint="eastAsia" w:eastAsia="宋体" w:cs="Arial"/>
                      <w:sz w:val="20"/>
                      <w:szCs w:val="20"/>
                      <w:lang w:val="en-US" w:eastAsia="zh-CN"/>
                    </w:rPr>
                    <w:t>02</w:t>
                  </w:r>
                  <w:r>
                    <w:rPr>
                      <w:rFonts w:hint="default" w:cs="Arial"/>
                      <w:sz w:val="20"/>
                      <w:szCs w:val="20"/>
                      <w:lang w:val="en-US"/>
                    </w:rPr>
                    <w:t>/202</w:t>
                  </w:r>
                  <w:r>
                    <w:rPr>
                      <w:rFonts w:hint="eastAsia" w:eastAsia="宋体" w:cs="Arial"/>
                      <w:sz w:val="20"/>
                      <w:szCs w:val="20"/>
                      <w:lang w:val="en-US" w:eastAsia="zh-CN"/>
                    </w:rPr>
                    <w:t>7</w:t>
                  </w:r>
                </w:p>
              </w:tc>
              <w:tc>
                <w:tcPr>
                  <w:tcW w:w="2711" w:type="pct"/>
                </w:tcPr>
                <w:p w14:paraId="7F74BC73">
                  <w:pPr>
                    <w:jc w:val="left"/>
                    <w:rPr>
                      <w:rFonts w:hint="default" w:eastAsia="宋体" w:cs="Arial"/>
                      <w:sz w:val="22"/>
                      <w:szCs w:val="22"/>
                      <w:lang w:val="en-US" w:eastAsia="zh-CN"/>
                    </w:rPr>
                  </w:pPr>
                  <w:r>
                    <w:rPr>
                      <w:rFonts w:hint="eastAsia" w:eastAsia="宋体" w:cs="Arial"/>
                      <w:sz w:val="20"/>
                      <w:szCs w:val="20"/>
                      <w:lang w:val="en-US" w:eastAsia="zh-CN"/>
                    </w:rPr>
                    <w:t>Fine-tune dialogue strategies based on WoZ results from the dialogue laboratory, optimise visual anthropomorphic representations, tone, and dialogue atomic sentences, and compile a scale.</w:t>
                  </w:r>
                </w:p>
              </w:tc>
            </w:tr>
            <w:tr w14:paraId="6538894E">
              <w:tc>
                <w:tcPr>
                  <w:tcW w:w="1074" w:type="pct"/>
                </w:tcPr>
                <w:p w14:paraId="324BF1C1">
                  <w:pPr>
                    <w:jc w:val="left"/>
                    <w:rPr>
                      <w:rFonts w:hint="default" w:eastAsia="宋体" w:cs="Arial"/>
                      <w:sz w:val="22"/>
                      <w:szCs w:val="22"/>
                      <w:lang w:val="en-US" w:eastAsia="zh-CN"/>
                    </w:rPr>
                  </w:pPr>
                  <w:r>
                    <w:rPr>
                      <w:rFonts w:hint="eastAsia" w:eastAsia="宋体" w:cs="Arial"/>
                      <w:sz w:val="20"/>
                      <w:szCs w:val="20"/>
                      <w:lang w:val="en-US" w:eastAsia="zh-CN"/>
                    </w:rPr>
                    <w:t>Mid-term analysis and prototype iteration upgrades</w:t>
                  </w:r>
                </w:p>
              </w:tc>
              <w:tc>
                <w:tcPr>
                  <w:tcW w:w="1213" w:type="pct"/>
                </w:tcPr>
                <w:p w14:paraId="01731808">
                  <w:pPr>
                    <w:rPr>
                      <w:rFonts w:hint="default" w:eastAsia="宋体" w:cs="Arial"/>
                      <w:sz w:val="22"/>
                      <w:szCs w:val="22"/>
                      <w:lang w:val="en-US" w:eastAsia="zh-CN"/>
                    </w:rPr>
                  </w:pPr>
                  <w:r>
                    <w:rPr>
                      <w:rFonts w:hint="eastAsia" w:eastAsia="宋体" w:cs="Arial"/>
                      <w:sz w:val="20"/>
                      <w:szCs w:val="20"/>
                      <w:lang w:val="en-US" w:eastAsia="zh-CN"/>
                    </w:rPr>
                    <w:t>02/2027-03/2027</w:t>
                  </w:r>
                </w:p>
              </w:tc>
              <w:tc>
                <w:tcPr>
                  <w:tcW w:w="2711" w:type="pct"/>
                </w:tcPr>
                <w:p w14:paraId="61253D26">
                  <w:pPr>
                    <w:rPr>
                      <w:rFonts w:hint="default" w:eastAsia="宋体" w:cs="Arial"/>
                      <w:sz w:val="22"/>
                      <w:szCs w:val="22"/>
                      <w:lang w:val="en-US" w:eastAsia="zh-CN"/>
                    </w:rPr>
                  </w:pPr>
                  <w:r>
                    <w:rPr>
                      <w:rFonts w:hint="eastAsia" w:eastAsia="宋体" w:cs="Arial"/>
                      <w:sz w:val="20"/>
                      <w:szCs w:val="20"/>
                      <w:lang w:val="en-US" w:eastAsia="zh-CN"/>
                    </w:rPr>
                    <w:t>Formulate design principles and final high-fidelity prototype designs.</w:t>
                  </w:r>
                </w:p>
              </w:tc>
            </w:tr>
            <w:tr w14:paraId="1EAB2BA1">
              <w:tc>
                <w:tcPr>
                  <w:tcW w:w="1074" w:type="pct"/>
                </w:tcPr>
                <w:p w14:paraId="03CF225D">
                  <w:pPr>
                    <w:rPr>
                      <w:rFonts w:hint="default" w:eastAsia="宋体" w:cs="Arial"/>
                      <w:sz w:val="22"/>
                      <w:szCs w:val="22"/>
                      <w:lang w:val="en-US" w:eastAsia="zh-CN"/>
                    </w:rPr>
                  </w:pPr>
                  <w:r>
                    <w:rPr>
                      <w:rFonts w:hint="eastAsia" w:eastAsia="宋体" w:cs="Arial"/>
                      <w:sz w:val="20"/>
                      <w:szCs w:val="20"/>
                      <w:lang w:val="en-US" w:eastAsia="zh-CN"/>
                    </w:rPr>
                    <w:t>Data analysis</w:t>
                  </w:r>
                </w:p>
              </w:tc>
              <w:tc>
                <w:tcPr>
                  <w:tcW w:w="1213" w:type="pct"/>
                </w:tcPr>
                <w:p w14:paraId="3C660521">
                  <w:pPr>
                    <w:rPr>
                      <w:rFonts w:hint="default" w:eastAsia="宋体" w:cs="Arial"/>
                      <w:sz w:val="22"/>
                      <w:szCs w:val="22"/>
                      <w:lang w:val="en-US" w:eastAsia="zh-CN"/>
                    </w:rPr>
                  </w:pPr>
                  <w:r>
                    <w:rPr>
                      <w:rFonts w:hint="eastAsia" w:eastAsia="宋体" w:cs="Arial"/>
                      <w:sz w:val="20"/>
                      <w:szCs w:val="20"/>
                      <w:lang w:val="en-US" w:eastAsia="zh-CN"/>
                    </w:rPr>
                    <w:t>04/2027-06/2027</w:t>
                  </w:r>
                </w:p>
              </w:tc>
              <w:tc>
                <w:tcPr>
                  <w:tcW w:w="2711" w:type="pct"/>
                </w:tcPr>
                <w:p w14:paraId="14ED9DC8">
                  <w:pPr>
                    <w:pStyle w:val="12"/>
                    <w:keepNext w:val="0"/>
                    <w:keepLines w:val="0"/>
                    <w:widowControl/>
                    <w:suppressLineNumbers w:val="0"/>
                    <w:rPr>
                      <w:rFonts w:hint="default" w:eastAsia="宋体" w:cs="Arial"/>
                      <w:sz w:val="22"/>
                      <w:szCs w:val="22"/>
                      <w:lang w:val="en-US" w:eastAsia="zh-CN"/>
                    </w:rPr>
                  </w:pPr>
                  <w:r>
                    <w:rPr>
                      <w:rFonts w:hint="default" w:ascii="Arial Regular" w:hAnsi="Arial Regular" w:cs="Arial Regular"/>
                      <w:sz w:val="20"/>
                      <w:szCs w:val="20"/>
                    </w:rPr>
                    <w:t>Synthesise qualitative and quantitative data to finalise service blueprints, dialogue libraries, and other deliverables.</w:t>
                  </w:r>
                </w:p>
              </w:tc>
            </w:tr>
            <w:tr w14:paraId="74931FE7">
              <w:tc>
                <w:tcPr>
                  <w:tcW w:w="1074" w:type="pct"/>
                </w:tcPr>
                <w:p w14:paraId="0CC14C01">
                  <w:pPr>
                    <w:rPr>
                      <w:rFonts w:hint="default" w:eastAsia="宋体" w:cs="Arial"/>
                      <w:sz w:val="22"/>
                      <w:szCs w:val="22"/>
                      <w:lang w:val="en-US" w:eastAsia="zh-CN"/>
                    </w:rPr>
                  </w:pPr>
                  <w:r>
                    <w:rPr>
                      <w:rFonts w:hint="default" w:eastAsia="宋体" w:cs="Arial"/>
                      <w:sz w:val="20"/>
                      <w:szCs w:val="20"/>
                      <w:lang w:val="en-US" w:eastAsia="zh-CN"/>
                    </w:rPr>
                    <w:t>F</w:t>
                  </w:r>
                  <w:r>
                    <w:rPr>
                      <w:rFonts w:hint="eastAsia" w:eastAsia="宋体" w:cs="Arial"/>
                      <w:sz w:val="20"/>
                      <w:szCs w:val="20"/>
                      <w:lang w:val="en-US" w:eastAsia="zh-CN"/>
                    </w:rPr>
                    <w:t xml:space="preserve">inal </w:t>
                  </w:r>
                  <w:r>
                    <w:rPr>
                      <w:rFonts w:hint="default" w:eastAsia="宋体" w:cs="Arial"/>
                      <w:sz w:val="20"/>
                      <w:szCs w:val="20"/>
                      <w:lang w:val="en-US" w:eastAsia="zh-CN"/>
                    </w:rPr>
                    <w:t>T</w:t>
                  </w:r>
                  <w:r>
                    <w:rPr>
                      <w:rFonts w:hint="eastAsia" w:eastAsia="宋体" w:cs="Arial"/>
                      <w:sz w:val="20"/>
                      <w:szCs w:val="20"/>
                      <w:lang w:val="en-US" w:eastAsia="zh-CN"/>
                    </w:rPr>
                    <w:t xml:space="preserve">hesis </w:t>
                  </w:r>
                  <w:r>
                    <w:rPr>
                      <w:rFonts w:hint="default" w:eastAsia="宋体" w:cs="Arial"/>
                      <w:sz w:val="20"/>
                      <w:szCs w:val="20"/>
                      <w:lang w:val="en-US" w:eastAsia="zh-CN"/>
                    </w:rPr>
                    <w:t>W</w:t>
                  </w:r>
                  <w:r>
                    <w:rPr>
                      <w:rFonts w:hint="eastAsia" w:eastAsia="宋体" w:cs="Arial"/>
                      <w:sz w:val="20"/>
                      <w:szCs w:val="20"/>
                      <w:lang w:val="en-US" w:eastAsia="zh-CN"/>
                    </w:rPr>
                    <w:t>riting</w:t>
                  </w:r>
                </w:p>
              </w:tc>
              <w:tc>
                <w:tcPr>
                  <w:tcW w:w="1213" w:type="pct"/>
                </w:tcPr>
                <w:p w14:paraId="6E8D6B32">
                  <w:pPr>
                    <w:rPr>
                      <w:rFonts w:hint="default" w:eastAsia="宋体" w:cs="Arial"/>
                      <w:sz w:val="22"/>
                      <w:szCs w:val="22"/>
                      <w:lang w:val="en-US" w:eastAsia="zh-CN"/>
                    </w:rPr>
                  </w:pPr>
                  <w:r>
                    <w:rPr>
                      <w:rFonts w:hint="eastAsia" w:eastAsia="宋体" w:cs="Arial"/>
                      <w:sz w:val="20"/>
                      <w:szCs w:val="20"/>
                      <w:lang w:val="en-US" w:eastAsia="zh-CN"/>
                    </w:rPr>
                    <w:t>07/2027-02/2028</w:t>
                  </w:r>
                </w:p>
              </w:tc>
              <w:tc>
                <w:tcPr>
                  <w:tcW w:w="2711" w:type="pct"/>
                </w:tcPr>
                <w:p w14:paraId="3C6D7D51">
                  <w:pPr>
                    <w:rPr>
                      <w:rFonts w:cs="Arial"/>
                      <w:sz w:val="20"/>
                      <w:szCs w:val="20"/>
                      <w:lang w:val="cy-GB"/>
                    </w:rPr>
                  </w:pPr>
                  <w:r>
                    <w:rPr>
                      <w:rFonts w:hint="default" w:cs="Arial"/>
                      <w:sz w:val="20"/>
                      <w:szCs w:val="20"/>
                      <w:lang w:val="en-US"/>
                    </w:rPr>
                    <w:t>A</w:t>
                  </w:r>
                  <w:r>
                    <w:rPr>
                      <w:rFonts w:cs="Arial"/>
                      <w:sz w:val="20"/>
                      <w:szCs w:val="20"/>
                      <w:lang w:val="cy-GB"/>
                    </w:rPr>
                    <w:t>bstract and Introduction</w:t>
                  </w:r>
                </w:p>
                <w:p w14:paraId="4F6D6537">
                  <w:pPr>
                    <w:rPr>
                      <w:rFonts w:cs="Arial"/>
                      <w:sz w:val="20"/>
                      <w:szCs w:val="20"/>
                      <w:lang w:val="cy-GB"/>
                    </w:rPr>
                  </w:pPr>
                  <w:r>
                    <w:rPr>
                      <w:rFonts w:cs="Arial"/>
                      <w:sz w:val="20"/>
                      <w:szCs w:val="20"/>
                      <w:lang w:val="cy-GB"/>
                    </w:rPr>
                    <w:t>Literature Review</w:t>
                  </w:r>
                </w:p>
                <w:p w14:paraId="32D0D230">
                  <w:pPr>
                    <w:rPr>
                      <w:rFonts w:cs="Arial"/>
                      <w:sz w:val="20"/>
                      <w:szCs w:val="20"/>
                      <w:lang w:val="cy-GB"/>
                    </w:rPr>
                  </w:pPr>
                  <w:r>
                    <w:rPr>
                      <w:rFonts w:cs="Arial"/>
                      <w:sz w:val="20"/>
                      <w:szCs w:val="20"/>
                      <w:lang w:val="cy-GB"/>
                    </w:rPr>
                    <w:t xml:space="preserve">Methodology </w:t>
                  </w:r>
                  <w:r>
                    <w:rPr>
                      <w:rFonts w:hint="eastAsia" w:cs="Arial"/>
                      <w:sz w:val="20"/>
                      <w:szCs w:val="20"/>
                      <w:lang w:val="cy-GB"/>
                    </w:rPr>
                    <w:t>and</w:t>
                  </w:r>
                  <w:r>
                    <w:rPr>
                      <w:rFonts w:cs="Arial"/>
                      <w:sz w:val="20"/>
                      <w:szCs w:val="20"/>
                      <w:lang w:val="cy-GB"/>
                    </w:rPr>
                    <w:t xml:space="preserve"> Methods</w:t>
                  </w:r>
                </w:p>
                <w:p w14:paraId="101C41CC">
                  <w:pPr>
                    <w:rPr>
                      <w:rFonts w:cs="Arial"/>
                      <w:sz w:val="20"/>
                      <w:szCs w:val="20"/>
                      <w:lang w:val="cy-GB"/>
                    </w:rPr>
                  </w:pPr>
                  <w:r>
                    <w:rPr>
                      <w:rFonts w:cs="Arial"/>
                      <w:sz w:val="20"/>
                      <w:szCs w:val="20"/>
                      <w:lang w:val="cy-GB"/>
                    </w:rPr>
                    <w:t xml:space="preserve">Research Findings </w:t>
                  </w:r>
                </w:p>
                <w:p w14:paraId="2714F817">
                  <w:pPr>
                    <w:rPr>
                      <w:rFonts w:cs="Arial"/>
                      <w:sz w:val="20"/>
                      <w:szCs w:val="20"/>
                      <w:lang w:val="cy-GB"/>
                    </w:rPr>
                  </w:pPr>
                  <w:r>
                    <w:rPr>
                      <w:rFonts w:hint="eastAsia" w:cs="Arial"/>
                      <w:sz w:val="20"/>
                      <w:szCs w:val="20"/>
                      <w:lang w:val="cy-GB"/>
                    </w:rPr>
                    <w:t>Con</w:t>
                  </w:r>
                  <w:r>
                    <w:rPr>
                      <w:rFonts w:cs="Arial"/>
                      <w:sz w:val="20"/>
                      <w:szCs w:val="20"/>
                      <w:lang w:val="cy-GB"/>
                    </w:rPr>
                    <w:t xml:space="preserve">clusion </w:t>
                  </w:r>
                </w:p>
                <w:p w14:paraId="6A7E610C">
                  <w:pPr>
                    <w:rPr>
                      <w:rFonts w:cs="Arial"/>
                      <w:sz w:val="20"/>
                      <w:szCs w:val="20"/>
                      <w:lang w:val="cy-GB"/>
                    </w:rPr>
                  </w:pPr>
                  <w:r>
                    <w:rPr>
                      <w:rFonts w:cs="Arial"/>
                      <w:sz w:val="20"/>
                      <w:szCs w:val="20"/>
                      <w:lang w:val="cy-GB"/>
                    </w:rPr>
                    <w:t xml:space="preserve">Appendix </w:t>
                  </w:r>
                </w:p>
                <w:p w14:paraId="066A5269">
                  <w:pPr>
                    <w:rPr>
                      <w:rFonts w:hint="default" w:eastAsia="宋体" w:cs="Arial"/>
                      <w:sz w:val="22"/>
                      <w:szCs w:val="22"/>
                      <w:lang w:val="en-US" w:eastAsia="zh-CN"/>
                    </w:rPr>
                  </w:pPr>
                  <w:r>
                    <w:rPr>
                      <w:rFonts w:cs="Arial"/>
                      <w:sz w:val="20"/>
                      <w:szCs w:val="20"/>
                      <w:lang w:val="cy-GB"/>
                    </w:rPr>
                    <w:t>Bibliography</w:t>
                  </w:r>
                </w:p>
              </w:tc>
            </w:tr>
          </w:tbl>
          <w:p w14:paraId="62E10401">
            <w:pPr>
              <w:rPr>
                <w:rFonts w:cs="Arial"/>
                <w:sz w:val="22"/>
                <w:szCs w:val="22"/>
              </w:rPr>
            </w:pPr>
          </w:p>
        </w:tc>
      </w:tr>
      <w:tr w14:paraId="2E92A44F">
        <w:trPr>
          <w:trHeight w:val="397" w:hRule="atLeast"/>
        </w:trPr>
        <w:tc>
          <w:tcPr>
            <w:tcW w:w="9781" w:type="dxa"/>
            <w:shd w:val="clear" w:color="auto" w:fill="F1F1F1" w:themeFill="background1" w:themeFillShade="F2"/>
            <w:vAlign w:val="center"/>
          </w:tcPr>
          <w:p w14:paraId="1F44D456">
            <w:pPr>
              <w:rPr>
                <w:rFonts w:cs="Arial"/>
                <w:sz w:val="22"/>
                <w:szCs w:val="22"/>
              </w:rPr>
            </w:pPr>
            <w:r>
              <w:rPr>
                <w:rFonts w:cs="Arial"/>
                <w:sz w:val="22"/>
                <w:szCs w:val="22"/>
              </w:rPr>
              <w:t>Proposed methodology (approx. 500 words):</w:t>
            </w:r>
          </w:p>
        </w:tc>
      </w:tr>
      <w:tr w14:paraId="61D1B7FC">
        <w:trPr>
          <w:trHeight w:val="3601" w:hRule="atLeast"/>
        </w:trPr>
        <w:tc>
          <w:tcPr>
            <w:tcW w:w="9781" w:type="dxa"/>
            <w:vAlign w:val="center"/>
          </w:tcPr>
          <w:p w14:paraId="48075070">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bCs w:val="0"/>
                <w:i w:val="0"/>
                <w:iCs w:val="0"/>
                <w:color w:val="auto"/>
              </w:rPr>
            </w:pPr>
            <w:r>
              <w:rPr>
                <w:rFonts w:ascii="Arial" w:hAnsi="Arial" w:eastAsia="Arial" w:cs="Arial"/>
                <w:b w:val="0"/>
                <w:bCs w:val="0"/>
                <w:i w:val="0"/>
                <w:iCs w:val="0"/>
                <w:caps w:val="0"/>
                <w:color w:val="auto"/>
                <w:spacing w:val="0"/>
                <w:sz w:val="22"/>
                <w:szCs w:val="22"/>
                <w:shd w:val="clear" w:fill="FFFFFF"/>
                <w:vertAlign w:val="baseline"/>
                <w:lang w:val="en-US"/>
              </w:rPr>
              <w:t>In this section you will need to explain how you will achieve your aims and</w:t>
            </w:r>
            <w:r>
              <w:rPr>
                <w:rFonts w:hint="default" w:ascii="Arial" w:hAnsi="Arial" w:eastAsia="Arial" w:cs="Arial"/>
                <w:b w:val="0"/>
                <w:bCs w:val="0"/>
                <w:i w:val="0"/>
                <w:iCs w:val="0"/>
                <w:caps w:val="0"/>
                <w:color w:val="auto"/>
                <w:spacing w:val="0"/>
                <w:sz w:val="22"/>
                <w:szCs w:val="22"/>
                <w:shd w:val="clear" w:fill="FFFFFF"/>
                <w:vertAlign w:val="baseline"/>
                <w:lang w:val="en-US"/>
              </w:rPr>
              <w:t> objectives:</w:t>
            </w:r>
            <w:r>
              <w:rPr>
                <w:rFonts w:hint="default" w:ascii="Arial" w:hAnsi="Arial" w:eastAsia="Arial" w:cs="Arial"/>
                <w:b w:val="0"/>
                <w:bCs w:val="0"/>
                <w:i w:val="0"/>
                <w:iCs w:val="0"/>
                <w:caps w:val="0"/>
                <w:color w:val="auto"/>
                <w:spacing w:val="0"/>
                <w:sz w:val="22"/>
                <w:szCs w:val="22"/>
                <w:shd w:val="clear" w:fill="FFFFFF"/>
                <w:vertAlign w:val="baseline"/>
              </w:rPr>
              <w:t> </w:t>
            </w:r>
          </w:p>
          <w:p w14:paraId="42C3A63D">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bCs w:val="0"/>
                <w:i w:val="0"/>
                <w:iCs w:val="0"/>
                <w:color w:val="auto"/>
              </w:rPr>
            </w:pPr>
            <w:r>
              <w:rPr>
                <w:rFonts w:hint="default" w:ascii="Arial" w:hAnsi="Arial" w:eastAsia="Arial" w:cs="Arial"/>
                <w:b w:val="0"/>
                <w:bCs w:val="0"/>
                <w:i w:val="0"/>
                <w:iCs w:val="0"/>
                <w:caps w:val="0"/>
                <w:color w:val="auto"/>
                <w:spacing w:val="0"/>
                <w:sz w:val="22"/>
                <w:szCs w:val="22"/>
                <w:shd w:val="clear" w:fill="FFFFFF"/>
                <w:vertAlign w:val="baseline"/>
              </w:rPr>
              <w:t> </w:t>
            </w:r>
          </w:p>
          <w:p w14:paraId="055D7EC5">
            <w:pPr>
              <w:pStyle w:val="37"/>
              <w:numPr>
                <w:ilvl w:val="0"/>
                <w:numId w:val="2"/>
              </w:numPr>
              <w:autoSpaceDE w:val="0"/>
              <w:autoSpaceDN w:val="0"/>
              <w:adjustRightInd w:val="0"/>
              <w:contextualSpacing/>
              <w:rPr>
                <w:rFonts w:cs="Arial"/>
                <w:sz w:val="22"/>
                <w:szCs w:val="22"/>
              </w:rPr>
            </w:pPr>
            <w:r>
              <w:rPr>
                <w:rFonts w:hint="default" w:cs="Arial"/>
                <w:sz w:val="22"/>
                <w:szCs w:val="22"/>
                <w:lang w:val="en-US"/>
              </w:rPr>
              <w:t>Explain your disciplinary orientation/ approach</w:t>
            </w:r>
            <w:r>
              <w:rPr>
                <w:rFonts w:hint="default" w:cs="Arial"/>
                <w:sz w:val="22"/>
                <w:szCs w:val="22"/>
              </w:rPr>
              <w:t> </w:t>
            </w:r>
          </w:p>
          <w:p w14:paraId="239FF9E7">
            <w:pPr>
              <w:pStyle w:val="37"/>
              <w:numPr>
                <w:ilvl w:val="0"/>
                <w:numId w:val="2"/>
              </w:numPr>
              <w:autoSpaceDE w:val="0"/>
              <w:autoSpaceDN w:val="0"/>
              <w:adjustRightInd w:val="0"/>
              <w:contextualSpacing/>
              <w:rPr>
                <w:rFonts w:hint="eastAsia" w:cs="Arial"/>
                <w:sz w:val="22"/>
                <w:szCs w:val="22"/>
                <w:lang w:val="en-US" w:eastAsia="zh-CN"/>
              </w:rPr>
            </w:pPr>
            <w:r>
              <w:rPr>
                <w:rFonts w:hint="default" w:cs="Arial"/>
                <w:sz w:val="22"/>
                <w:szCs w:val="22"/>
                <w:lang w:val="en-US"/>
              </w:rPr>
              <w:t>Describe the methods you will use to carry out your research: (eg library-based research, on-line research, fieldwork (interviews/ participant-observation), analysis of visual data, combinations of these)</w:t>
            </w:r>
            <w:r>
              <w:rPr>
                <w:rFonts w:hint="default" w:cs="Arial"/>
                <w:sz w:val="22"/>
                <w:szCs w:val="22"/>
              </w:rPr>
              <w:t> </w:t>
            </w:r>
          </w:p>
          <w:p w14:paraId="173E02BE">
            <w:pPr>
              <w:pStyle w:val="12"/>
              <w:keepNext w:val="0"/>
              <w:keepLines w:val="0"/>
              <w:widowControl/>
              <w:suppressLineNumbers w:val="0"/>
              <w:spacing w:before="0" w:beforeAutospacing="0" w:after="0" w:afterAutospacing="0"/>
              <w:ind w:left="0" w:right="0" w:firstLine="400" w:firstLineChars="200"/>
              <w:jc w:val="left"/>
              <w:rPr>
                <w:rFonts w:hint="default" w:ascii="Arial Regular" w:hAnsi="Arial Regular" w:eastAsia="PingFang SC Regular" w:cs="Arial Regular"/>
                <w:strike w:val="0"/>
                <w:dstrike w:val="0"/>
                <w:color w:val="000000"/>
                <w:kern w:val="0"/>
                <w:sz w:val="20"/>
                <w:szCs w:val="20"/>
                <w:u w:val="none"/>
                <w:lang w:val="en-US" w:eastAsia="zh-CN" w:bidi="ar"/>
              </w:rPr>
            </w:pPr>
          </w:p>
          <w:p w14:paraId="61F1FBC1">
            <w:pPr>
              <w:pStyle w:val="12"/>
              <w:keepNext w:val="0"/>
              <w:keepLines w:val="0"/>
              <w:widowControl/>
              <w:suppressLineNumbers w:val="0"/>
              <w:spacing w:before="0" w:beforeAutospacing="0" w:after="0" w:afterAutospacing="0"/>
              <w:ind w:right="0"/>
              <w:jc w:val="left"/>
              <w:rPr>
                <w:rFonts w:hint="default" w:ascii="Arial Regular" w:hAnsi="Arial Regular" w:eastAsia="PingFang SC Regular" w:cs="Arial Regular"/>
                <w:strike w:val="0"/>
                <w:dstrike w:val="0"/>
                <w:color w:val="000000"/>
                <w:kern w:val="0"/>
                <w:sz w:val="20"/>
                <w:szCs w:val="20"/>
                <w:u w:val="none"/>
                <w:lang w:val="en-US" w:eastAsia="zh-CN" w:bidi="ar"/>
              </w:rPr>
            </w:pPr>
            <w:r>
              <w:rPr>
                <w:rFonts w:hint="default" w:ascii="Arial Regular" w:hAnsi="Arial Regular" w:eastAsia="PingFang SC Regular" w:cs="Arial Regular"/>
                <w:strike w:val="0"/>
                <w:dstrike w:val="0"/>
                <w:color w:val="000000"/>
                <w:kern w:val="0"/>
                <w:sz w:val="20"/>
                <w:szCs w:val="20"/>
                <w:u w:val="none"/>
                <w:lang w:val="en-US" w:eastAsia="zh-CN" w:bidi="ar"/>
              </w:rPr>
              <w:t>This study adopts a transdisciplinary, practice-based approach centred on the lived experiences of Chinese international students in the UK. It explores how participatory design and prototyping actions (co-design + prototype experiences) can provide safe spaces and actionable pathways for emotional expression. Methodologically, the research employs a post-phenomenological perspective on technological mediation to understand how ‘AI presence’ alters emotional experiences and dialogue quality within human-technology-world relationships(Ihde, 1990; Verbeek, 2005; Gur and Maaravi, 2025). It elucidates and analyses which design elements, mechanisms, and cues—in what contexts and sequences—facilitate heightened feelings of presence, understanding, and more empathetic dialogue, distilling these findings into reusable design principles and prototypes.</w:t>
            </w:r>
          </w:p>
          <w:p w14:paraId="4B9F6513">
            <w:pPr>
              <w:pStyle w:val="12"/>
              <w:keepNext w:val="0"/>
              <w:keepLines w:val="0"/>
              <w:widowControl/>
              <w:suppressLineNumbers w:val="0"/>
              <w:spacing w:before="0" w:beforeAutospacing="0" w:after="0" w:afterAutospacing="0"/>
              <w:ind w:left="0" w:right="0" w:firstLine="400" w:firstLineChars="200"/>
              <w:jc w:val="left"/>
              <w:rPr>
                <w:rFonts w:hint="default" w:ascii="Arial Regular" w:hAnsi="Arial Regular" w:eastAsia="PingFang SC Regular" w:cs="Arial Regular"/>
                <w:strike w:val="0"/>
                <w:dstrike w:val="0"/>
                <w:color w:val="000000"/>
                <w:kern w:val="0"/>
                <w:sz w:val="20"/>
                <w:szCs w:val="20"/>
                <w:u w:val="none"/>
                <w:lang w:val="en-US" w:eastAsia="zh-CN" w:bidi="ar"/>
              </w:rPr>
            </w:pPr>
          </w:p>
          <w:p w14:paraId="0C6CA0D8">
            <w:pPr>
              <w:pStyle w:val="12"/>
              <w:keepNext w:val="0"/>
              <w:keepLines w:val="0"/>
              <w:widowControl/>
              <w:suppressLineNumbers w:val="0"/>
              <w:spacing w:before="0" w:beforeAutospacing="0" w:after="0" w:afterAutospacing="0"/>
              <w:ind w:right="0"/>
              <w:jc w:val="left"/>
              <w:rPr>
                <w:rFonts w:hint="default" w:ascii="Arial Regular" w:hAnsi="Arial Regular" w:eastAsia="PingFang SC Regular" w:cs="Arial Regular"/>
                <w:strike w:val="0"/>
                <w:dstrike w:val="0"/>
                <w:color w:val="000000"/>
                <w:kern w:val="0"/>
                <w:sz w:val="20"/>
                <w:szCs w:val="20"/>
                <w:u w:val="none"/>
                <w:lang w:val="en-US" w:eastAsia="zh-CN" w:bidi="ar"/>
              </w:rPr>
            </w:pPr>
            <w:r>
              <w:rPr>
                <w:rFonts w:hint="default" w:ascii="Arial Regular" w:hAnsi="Arial Regular" w:eastAsia="PingFang SC Regular" w:cs="Arial Regular"/>
                <w:strike w:val="0"/>
                <w:dstrike w:val="0"/>
                <w:color w:val="000000"/>
                <w:kern w:val="0"/>
                <w:sz w:val="20"/>
                <w:szCs w:val="20"/>
                <w:u w:val="none"/>
                <w:lang w:val="en-US" w:eastAsia="zh-CN" w:bidi="ar"/>
              </w:rPr>
              <w:t>Methodologically, this research employs a mixed-methods approach. It begins with literature and online research to systematically review cross-cultural adaptation pressures among Chinese students in the UK, social presence, affective design, conversational agency, and culturally sensitive interaction strategies. This informed the operationalisation of variables (relational memory, visual personification, linguistic empathy structures, etc.), defining mechanism indicators (sense of presence, feeling understood) and outcome indicators (negative emotions, immediate stress), thereby establishing the measurement framework for subsequent experiments and pilots.</w:t>
            </w:r>
          </w:p>
          <w:p w14:paraId="58A6F742">
            <w:pPr>
              <w:pStyle w:val="12"/>
              <w:keepNext w:val="0"/>
              <w:keepLines w:val="0"/>
              <w:widowControl/>
              <w:suppressLineNumbers w:val="0"/>
              <w:spacing w:before="0" w:beforeAutospacing="0" w:after="0" w:afterAutospacing="0"/>
              <w:ind w:left="0" w:right="0" w:firstLine="400" w:firstLineChars="200"/>
              <w:jc w:val="left"/>
              <w:rPr>
                <w:rFonts w:hint="default" w:ascii="Arial Regular" w:hAnsi="Arial Regular" w:eastAsia="PingFang SC Regular" w:cs="Arial Regular"/>
                <w:strike w:val="0"/>
                <w:dstrike w:val="0"/>
                <w:color w:val="000000"/>
                <w:kern w:val="0"/>
                <w:sz w:val="20"/>
                <w:szCs w:val="20"/>
                <w:u w:val="none"/>
                <w:lang w:val="en-US" w:eastAsia="zh-CN" w:bidi="ar"/>
              </w:rPr>
            </w:pPr>
          </w:p>
          <w:p w14:paraId="47684CDD">
            <w:pPr>
              <w:pStyle w:val="12"/>
              <w:keepNext w:val="0"/>
              <w:keepLines w:val="0"/>
              <w:widowControl/>
              <w:suppressLineNumbers w:val="0"/>
              <w:spacing w:before="0" w:beforeAutospacing="0" w:after="0" w:afterAutospacing="0"/>
              <w:ind w:right="0"/>
              <w:jc w:val="left"/>
              <w:rPr>
                <w:rFonts w:hint="default" w:ascii="Arial Regular" w:hAnsi="Arial Regular" w:eastAsia="PingFang SC Regular" w:cs="Arial Regular"/>
                <w:strike w:val="0"/>
                <w:dstrike w:val="0"/>
                <w:color w:val="000000"/>
                <w:kern w:val="0"/>
                <w:sz w:val="20"/>
                <w:szCs w:val="20"/>
                <w:u w:val="none"/>
                <w:lang w:val="en-US" w:eastAsia="zh-CN" w:bidi="ar"/>
              </w:rPr>
            </w:pPr>
            <w:r>
              <w:rPr>
                <w:rFonts w:hint="default" w:ascii="Arial Regular" w:hAnsi="Arial Regular" w:eastAsia="PingFang SC Regular" w:cs="Arial Regular"/>
                <w:strike w:val="0"/>
                <w:dstrike w:val="0"/>
                <w:color w:val="000000"/>
                <w:kern w:val="0"/>
                <w:sz w:val="20"/>
                <w:szCs w:val="20"/>
                <w:u w:val="none"/>
                <w:lang w:val="en-US" w:eastAsia="zh-CN" w:bidi="ar"/>
              </w:rPr>
              <w:t>Subsequently, the fieldwork and participatory phase commenced, focusing on qualitative research through participatory workshops and dialogue laboratories. Participatory workshops targeted Chinese students in the UK for ≤12 months, co-creating contextual and presence cue structures alongside dialogue atomic sentence banks around specific scenarios like classroom participation and socialising with strangers. This also gathered failed communication patterns and improvement strategies. Building upon this, dialogue laboratories were conducted: participants engaged in brief conversations with existing large language models, followed by semi-structured interviews and participant observation. This process will generate extensive visual and procedural materials (storyboards, interface drafts, dialogue storyboards, sample emotion diaries, etc.), providing visual evidence for subsequent analysis.</w:t>
            </w:r>
          </w:p>
          <w:p w14:paraId="36E85BA9">
            <w:pPr>
              <w:pStyle w:val="12"/>
              <w:keepNext w:val="0"/>
              <w:keepLines w:val="0"/>
              <w:widowControl/>
              <w:suppressLineNumbers w:val="0"/>
              <w:spacing w:before="0" w:beforeAutospacing="0" w:after="0" w:afterAutospacing="0"/>
              <w:ind w:left="0" w:right="0" w:firstLine="400" w:firstLineChars="200"/>
              <w:jc w:val="left"/>
              <w:rPr>
                <w:rFonts w:hint="default" w:ascii="Arial Regular" w:hAnsi="Arial Regular" w:eastAsia="PingFang SC Regular" w:cs="Arial Regular"/>
                <w:strike w:val="0"/>
                <w:dstrike w:val="0"/>
                <w:color w:val="000000"/>
                <w:kern w:val="0"/>
                <w:sz w:val="20"/>
                <w:szCs w:val="20"/>
                <w:u w:val="none"/>
                <w:lang w:val="en-US" w:eastAsia="zh-CN" w:bidi="ar"/>
              </w:rPr>
            </w:pPr>
          </w:p>
          <w:p w14:paraId="7ACE3E8C">
            <w:pPr>
              <w:pStyle w:val="12"/>
              <w:keepNext w:val="0"/>
              <w:keepLines w:val="0"/>
              <w:widowControl/>
              <w:suppressLineNumbers w:val="0"/>
              <w:spacing w:before="0" w:beforeAutospacing="0" w:after="0" w:afterAutospacing="0"/>
              <w:ind w:right="0"/>
              <w:jc w:val="left"/>
              <w:rPr>
                <w:rFonts w:hint="default" w:ascii="Arial Regular" w:hAnsi="Arial Regular" w:eastAsia="PingFang SC Regular" w:cs="Arial Regular"/>
                <w:strike w:val="0"/>
                <w:dstrike w:val="0"/>
                <w:color w:val="000000"/>
                <w:kern w:val="0"/>
                <w:sz w:val="20"/>
                <w:szCs w:val="20"/>
                <w:u w:val="none"/>
                <w:lang w:val="en-US" w:eastAsia="zh-CN" w:bidi="ar"/>
              </w:rPr>
            </w:pPr>
            <w:r>
              <w:rPr>
                <w:rFonts w:hint="default" w:ascii="Arial Regular" w:hAnsi="Arial Regular" w:eastAsia="PingFang SC Regular" w:cs="Arial Regular"/>
                <w:strike w:val="0"/>
                <w:dstrike w:val="0"/>
                <w:color w:val="000000"/>
                <w:kern w:val="0"/>
                <w:sz w:val="20"/>
                <w:szCs w:val="20"/>
                <w:u w:val="none"/>
                <w:lang w:val="en-US" w:eastAsia="zh-CN" w:bidi="ar"/>
              </w:rPr>
              <w:t>The mechanism validation phase employs a Wizard-of-Oz (WoZ) intra-group experiment. Researchers will “play the AI” behind the scenes using pre-scripted dialogue to maximise control over cues and sequencing (Simpson et al., 2022), manipulating specific scenarios while collecting immediate feedback on presence, comprehension, and emotional stress at each dialogue turn's conclusion. Repeated measures and linear mixed-effects models will analyse “condition × scenario” interactions to identify “minimum viable combinations” and boundary conditions.</w:t>
            </w:r>
          </w:p>
          <w:p w14:paraId="3BC7F912">
            <w:pPr>
              <w:pStyle w:val="12"/>
              <w:keepNext w:val="0"/>
              <w:keepLines w:val="0"/>
              <w:widowControl/>
              <w:suppressLineNumbers w:val="0"/>
              <w:spacing w:before="0" w:beforeAutospacing="0" w:after="0" w:afterAutospacing="0"/>
              <w:ind w:left="0" w:right="0" w:firstLine="400" w:firstLineChars="200"/>
              <w:jc w:val="left"/>
              <w:rPr>
                <w:rFonts w:hint="default" w:ascii="Arial Regular" w:hAnsi="Arial Regular" w:eastAsia="PingFang SC Regular" w:cs="Arial Regular"/>
                <w:strike w:val="0"/>
                <w:dstrike w:val="0"/>
                <w:color w:val="000000"/>
                <w:kern w:val="0"/>
                <w:sz w:val="20"/>
                <w:szCs w:val="20"/>
                <w:u w:val="none"/>
                <w:lang w:val="en-US" w:eastAsia="zh-CN" w:bidi="ar"/>
              </w:rPr>
            </w:pPr>
          </w:p>
          <w:p w14:paraId="492D0C2C">
            <w:pPr>
              <w:pStyle w:val="12"/>
              <w:keepNext w:val="0"/>
              <w:keepLines w:val="0"/>
              <w:widowControl/>
              <w:suppressLineNumbers w:val="0"/>
              <w:spacing w:before="0" w:beforeAutospacing="0" w:after="0" w:afterAutospacing="0"/>
              <w:ind w:right="0"/>
              <w:jc w:val="left"/>
              <w:rPr>
                <w:rFonts w:hint="default" w:ascii="PingFang SC Regular" w:hAnsi="PingFang SC Regular" w:eastAsia="PingFang SC Regular" w:cs="PingFang SC Regular"/>
                <w:strike w:val="0"/>
                <w:dstrike w:val="0"/>
                <w:color w:val="000000"/>
                <w:kern w:val="0"/>
                <w:sz w:val="18"/>
                <w:szCs w:val="18"/>
                <w:u w:val="none"/>
                <w:lang w:val="en-US" w:eastAsia="zh-CN" w:bidi="ar"/>
              </w:rPr>
            </w:pPr>
            <w:r>
              <w:rPr>
                <w:rFonts w:hint="default" w:ascii="Arial Regular" w:hAnsi="Arial Regular" w:eastAsia="PingFang SC Regular" w:cs="Arial Regular"/>
                <w:strike w:val="0"/>
                <w:dstrike w:val="0"/>
                <w:color w:val="000000"/>
                <w:kern w:val="0"/>
                <w:sz w:val="20"/>
                <w:szCs w:val="20"/>
                <w:u w:val="none"/>
                <w:lang w:val="en-US" w:eastAsia="zh-CN" w:bidi="ar"/>
              </w:rPr>
              <w:t>To assess real-world feasibility, a small-scale pilot experiment further validated the selected ‘minimal viable combination’. Using a prototype app's interaction flow and connection pathways, trends and usability were recorded via scales, logs (dialogue rounds, meditation completion rates, etc.), and TAM acceptance metrics. Short interviews at the end of the period examined explanatory curves and compliance changes. The entire research cycle will integrate visual data analysis (explanatory analy</w:t>
            </w:r>
            <w:bookmarkStart w:id="0" w:name="_GoBack"/>
            <w:bookmarkEnd w:id="0"/>
            <w:r>
              <w:rPr>
                <w:rFonts w:hint="default" w:ascii="Arial Regular" w:hAnsi="Arial Regular" w:eastAsia="PingFang SC Regular" w:cs="Arial Regular"/>
                <w:strike w:val="0"/>
                <w:dstrike w:val="0"/>
                <w:color w:val="000000"/>
                <w:kern w:val="0"/>
                <w:sz w:val="20"/>
                <w:szCs w:val="20"/>
                <w:u w:val="none"/>
                <w:lang w:val="en-US" w:eastAsia="zh-CN" w:bidi="ar"/>
              </w:rPr>
              <w:t>sis of interfaces, storyboards, journeys, and emotional storyboards) with reflective thematic analysis (qualitative text and imagery). This synthesis of quantitative trends and qualitative interpretations will establish the ‘presence-empathy dialogue’ design principles, clarifying ‘why it works, for whom it works, and in what contexts it works’.</w:t>
            </w:r>
          </w:p>
        </w:tc>
      </w:tr>
      <w:tr w14:paraId="2B343844">
        <w:trPr>
          <w:trHeight w:val="397" w:hRule="atLeast"/>
        </w:trPr>
        <w:tc>
          <w:tcPr>
            <w:tcW w:w="9781" w:type="dxa"/>
            <w:shd w:val="clear" w:color="auto" w:fill="F1F1F1" w:themeFill="background1" w:themeFillShade="F2"/>
            <w:vAlign w:val="center"/>
          </w:tcPr>
          <w:p w14:paraId="458C1CA8">
            <w:pPr>
              <w:rPr>
                <w:rFonts w:hint="default" w:eastAsia="宋体" w:cs="Arial"/>
                <w:sz w:val="22"/>
                <w:szCs w:val="22"/>
                <w:lang w:val="en-US" w:eastAsia="zh-CN"/>
              </w:rPr>
            </w:pPr>
            <w:r>
              <w:rPr>
                <w:rFonts w:cs="Arial"/>
                <w:sz w:val="22"/>
                <w:szCs w:val="22"/>
              </w:rPr>
              <w:t>Introductory bibliography:</w:t>
            </w:r>
            <w:r>
              <w:rPr>
                <w:rFonts w:hint="eastAsia" w:eastAsia="宋体" w:cs="Arial"/>
                <w:sz w:val="22"/>
                <w:szCs w:val="22"/>
                <w:lang w:eastAsia="zh-CN"/>
              </w:rPr>
              <w:t>（</w:t>
            </w:r>
            <w:r>
              <w:rPr>
                <w:rFonts w:hint="eastAsia" w:eastAsia="宋体" w:cs="Arial"/>
                <w:sz w:val="22"/>
                <w:szCs w:val="22"/>
                <w:lang w:val="en-US" w:eastAsia="zh-CN"/>
              </w:rPr>
              <w:t>40-50）</w:t>
            </w:r>
          </w:p>
        </w:tc>
      </w:tr>
      <w:tr w14:paraId="0CF23B26">
        <w:trPr>
          <w:trHeight w:val="397" w:hRule="atLeast"/>
        </w:trPr>
        <w:tc>
          <w:tcPr>
            <w:tcW w:w="9781" w:type="dxa"/>
            <w:vAlign w:val="center"/>
          </w:tcPr>
          <w:p w14:paraId="45144BD7">
            <w:pPr>
              <w:pStyle w:val="12"/>
              <w:keepNext w:val="0"/>
              <w:keepLines w:val="0"/>
              <w:widowControl/>
              <w:numPr>
                <w:ilvl w:val="0"/>
                <w:numId w:val="3"/>
              </w:numPr>
              <w:suppressLineNumbers w:val="0"/>
              <w:spacing w:before="0" w:beforeAutospacing="0" w:after="160" w:afterAutospacing="0"/>
              <w:ind w:left="0" w:right="0"/>
              <w:jc w:val="left"/>
              <w:rPr>
                <w:rFonts w:hint="default" w:ascii="Arial Regular" w:hAnsi="Arial Regular" w:eastAsia="pingfang sc" w:cs="Arial Regular"/>
                <w:i/>
                <w:iCs/>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Al-Oraini, B.S. (2025) ‘Chatbot dynamics: trust, social presence and customer satisfaction in AI-driven services’, </w:t>
            </w:r>
            <w:r>
              <w:rPr>
                <w:rFonts w:hint="default" w:ascii="Arial Regular" w:hAnsi="Arial Regular" w:eastAsia="pingfang sc" w:cs="Arial Regular"/>
                <w:i/>
                <w:iCs/>
                <w:color w:val="000000"/>
                <w:kern w:val="0"/>
                <w:sz w:val="20"/>
                <w:szCs w:val="20"/>
                <w:lang w:val="en-US" w:eastAsia="zh-CN" w:bidi="ar"/>
              </w:rPr>
              <w:t>Journal of Innovative Digital Transformation.</w:t>
            </w:r>
          </w:p>
          <w:p w14:paraId="2995171E">
            <w:pPr>
              <w:pStyle w:val="12"/>
              <w:keepNext w:val="0"/>
              <w:keepLines w:val="0"/>
              <w:widowControl/>
              <w:numPr>
                <w:ilvl w:val="0"/>
                <w:numId w:val="3"/>
              </w:numPr>
              <w:suppressLineNumbers w:val="0"/>
              <w:spacing w:before="0" w:beforeAutospacing="0" w:after="160" w:afterAutospacing="0"/>
              <w:ind w:left="0" w:leftChars="0" w:right="0" w:firstLine="0" w:firstLineChars="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Bandi, A., Adapa, P.V.S.R. and Kuchi, Y.E.V.P.K. (2023) ‘The power of generative AI: a review of requirements, models, input–output formats, evaluation metrics, and challenges’, </w:t>
            </w:r>
            <w:r>
              <w:rPr>
                <w:rFonts w:hint="default" w:ascii="Arial Regular" w:hAnsi="Arial Regular" w:eastAsia="pingfang sc" w:cs="Arial Regular"/>
                <w:i/>
                <w:iCs/>
                <w:color w:val="000000"/>
                <w:kern w:val="0"/>
                <w:sz w:val="20"/>
                <w:szCs w:val="20"/>
                <w:lang w:val="en-US" w:eastAsia="zh-CN" w:bidi="ar"/>
              </w:rPr>
              <w:t>Future Internet</w:t>
            </w:r>
            <w:r>
              <w:rPr>
                <w:rFonts w:hint="default" w:ascii="Arial Regular" w:hAnsi="Arial Regular" w:eastAsia="pingfang sc" w:cs="Arial Regular"/>
                <w:color w:val="000000"/>
                <w:kern w:val="0"/>
                <w:sz w:val="20"/>
                <w:szCs w:val="20"/>
                <w:lang w:val="en-US" w:eastAsia="zh-CN" w:bidi="ar"/>
              </w:rPr>
              <w:t xml:space="preserve">, 15, 260. </w:t>
            </w:r>
          </w:p>
          <w:p w14:paraId="021DF234">
            <w:pPr>
              <w:pStyle w:val="12"/>
              <w:keepNext w:val="0"/>
              <w:keepLines w:val="0"/>
              <w:widowControl/>
              <w:numPr>
                <w:ilvl w:val="0"/>
                <w:numId w:val="3"/>
              </w:numPr>
              <w:suppressLineNumbers w:val="0"/>
              <w:spacing w:before="0" w:beforeAutospacing="0" w:after="160" w:afterAutospacing="0"/>
              <w:ind w:left="0" w:leftChars="0" w:right="0" w:firstLine="0" w:firstLineChars="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Bernsen, N.O., Dybkjær, H. and Dybkjær, L. (1994) ‘Wizard of oz prototyping: How and when’, </w:t>
            </w:r>
            <w:r>
              <w:rPr>
                <w:rFonts w:hint="default" w:ascii="Arial Regular" w:hAnsi="Arial Regular" w:eastAsia="pingfang sc" w:cs="Arial Regular"/>
                <w:i/>
                <w:iCs/>
                <w:color w:val="000000"/>
                <w:kern w:val="0"/>
                <w:sz w:val="20"/>
                <w:szCs w:val="20"/>
                <w:lang w:val="en-US" w:eastAsia="zh-CN" w:bidi="ar"/>
              </w:rPr>
              <w:t>Proc. CCI Working Papers Cognitive Sci./HCI,</w:t>
            </w:r>
            <w:r>
              <w:rPr>
                <w:rFonts w:hint="default" w:ascii="Arial Regular" w:hAnsi="Arial Regular" w:eastAsia="pingfang sc" w:cs="Arial Regular"/>
                <w:color w:val="000000"/>
                <w:kern w:val="0"/>
                <w:sz w:val="20"/>
                <w:szCs w:val="20"/>
                <w:lang w:val="en-US" w:eastAsia="zh-CN" w:bidi="ar"/>
              </w:rPr>
              <w:t xml:space="preserve"> Roskilde, Denmark, p. 67.</w:t>
            </w:r>
          </w:p>
          <w:p w14:paraId="52D907AF">
            <w:pPr>
              <w:pStyle w:val="12"/>
              <w:keepNext w:val="0"/>
              <w:keepLines w:val="0"/>
              <w:widowControl/>
              <w:numPr>
                <w:ilvl w:val="0"/>
                <w:numId w:val="3"/>
              </w:numPr>
              <w:suppressLineNumbers w:val="0"/>
              <w:spacing w:before="0" w:beforeAutospacing="0" w:after="160" w:afterAutospacing="0"/>
              <w:ind w:left="0" w:leftChars="0" w:right="0" w:firstLine="0" w:firstLineChars="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Betriu Yáñez, V. (2023) </w:t>
            </w:r>
            <w:r>
              <w:rPr>
                <w:rFonts w:hint="default" w:ascii="Arial Regular" w:hAnsi="Arial Regular" w:eastAsia="pingfang sc" w:cs="Arial Regular"/>
                <w:i/>
                <w:iCs/>
                <w:color w:val="000000"/>
                <w:kern w:val="0"/>
                <w:sz w:val="20"/>
                <w:szCs w:val="20"/>
                <w:lang w:val="en-US" w:eastAsia="zh-CN" w:bidi="ar"/>
              </w:rPr>
              <w:t>ChatGPT through postphenomenology and deconstruction: on the possibility of a Derridean philosophy of technology</w:t>
            </w:r>
            <w:r>
              <w:rPr>
                <w:rFonts w:hint="default" w:ascii="Arial Regular" w:hAnsi="Arial Regular" w:eastAsia="pingfang sc" w:cs="Arial Regular"/>
                <w:color w:val="000000"/>
                <w:kern w:val="0"/>
                <w:sz w:val="20"/>
                <w:szCs w:val="20"/>
                <w:lang w:val="en-US" w:eastAsia="zh-CN" w:bidi="ar"/>
              </w:rPr>
              <w:t xml:space="preserve"> (Publication No. 97405) [Master’s thesis], University of Twente.</w:t>
            </w:r>
          </w:p>
          <w:p w14:paraId="7D6F4128">
            <w:pPr>
              <w:pStyle w:val="12"/>
              <w:keepNext w:val="0"/>
              <w:keepLines w:val="0"/>
              <w:widowControl/>
              <w:numPr>
                <w:ilvl w:val="0"/>
                <w:numId w:val="3"/>
              </w:numPr>
              <w:suppressLineNumbers w:val="0"/>
              <w:spacing w:before="0" w:beforeAutospacing="0" w:after="160" w:afterAutospacing="0"/>
              <w:ind w:left="0" w:leftChars="0" w:right="0" w:firstLine="0" w:firstLineChars="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Biggs, M.A. and Büchler, D. (2007) ‘Rigor and practice-based research’, </w:t>
            </w:r>
            <w:r>
              <w:rPr>
                <w:rFonts w:hint="default" w:ascii="Arial Regular" w:hAnsi="Arial Regular" w:eastAsia="pingfang sc" w:cs="Arial Regular"/>
                <w:i/>
                <w:iCs/>
                <w:color w:val="000000"/>
                <w:kern w:val="0"/>
                <w:sz w:val="20"/>
                <w:szCs w:val="20"/>
                <w:lang w:val="en-US" w:eastAsia="zh-CN" w:bidi="ar"/>
              </w:rPr>
              <w:t>Design Issues</w:t>
            </w:r>
            <w:r>
              <w:rPr>
                <w:rFonts w:hint="default" w:ascii="Arial Regular" w:hAnsi="Arial Regular" w:eastAsia="pingfang sc" w:cs="Arial Regular"/>
                <w:color w:val="000000"/>
                <w:kern w:val="0"/>
                <w:sz w:val="20"/>
                <w:szCs w:val="20"/>
                <w:lang w:val="en-US" w:eastAsia="zh-CN" w:bidi="ar"/>
              </w:rPr>
              <w:t>, 23(3), pp. 62–69.</w:t>
            </w:r>
          </w:p>
          <w:p w14:paraId="31E0A494">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6. Blijenburg, I. and IJsselsteijn, W.A. (2022) ‘Co-designing a chatbot that helps international students deal with acculturative stress’.</w:t>
            </w:r>
          </w:p>
          <w:p w14:paraId="720D0866">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7. Brockbank, R.B. and Feldon, D.F. (2024) ‘Cognitive reappraisal: the bridge between cognitive load and emotion’, </w:t>
            </w:r>
            <w:r>
              <w:rPr>
                <w:rFonts w:hint="default" w:ascii="Arial Regular" w:hAnsi="Arial Regular" w:eastAsia="pingfang sc" w:cs="Arial Regular"/>
                <w:i/>
                <w:iCs/>
                <w:color w:val="000000"/>
                <w:kern w:val="0"/>
                <w:sz w:val="20"/>
                <w:szCs w:val="20"/>
                <w:lang w:val="en-US" w:eastAsia="zh-CN" w:bidi="ar"/>
              </w:rPr>
              <w:t>Education Sciences</w:t>
            </w:r>
            <w:r>
              <w:rPr>
                <w:rFonts w:hint="default" w:ascii="Arial Regular" w:hAnsi="Arial Regular" w:eastAsia="pingfang sc" w:cs="Arial Regular"/>
                <w:color w:val="000000"/>
                <w:kern w:val="0"/>
                <w:sz w:val="20"/>
                <w:szCs w:val="20"/>
                <w:lang w:val="en-US" w:eastAsia="zh-CN" w:bidi="ar"/>
              </w:rPr>
              <w:t xml:space="preserve">, 14, 870. </w:t>
            </w:r>
          </w:p>
          <w:p w14:paraId="56717684">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8. Brincker, M. (2024) ‘Smart worlds and broken habits: A contextual analysis of the technological relations of post-phenomenology’, in </w:t>
            </w:r>
            <w:r>
              <w:rPr>
                <w:rFonts w:hint="default" w:ascii="Arial Regular" w:hAnsi="Arial Regular" w:eastAsia="pingfang sc" w:cs="Arial Regular"/>
                <w:i/>
                <w:iCs/>
                <w:color w:val="000000"/>
                <w:kern w:val="0"/>
                <w:sz w:val="20"/>
                <w:szCs w:val="20"/>
                <w:lang w:val="en-US" w:eastAsia="zh-CN" w:bidi="ar"/>
              </w:rPr>
              <w:t>Phenomenology of Broken Habits</w:t>
            </w:r>
            <w:r>
              <w:rPr>
                <w:rFonts w:hint="default" w:ascii="Arial Regular" w:hAnsi="Arial Regular" w:eastAsia="pingfang sc" w:cs="Arial Regular"/>
                <w:color w:val="000000"/>
                <w:kern w:val="0"/>
                <w:sz w:val="20"/>
                <w:szCs w:val="20"/>
                <w:lang w:val="en-US" w:eastAsia="zh-CN" w:bidi="ar"/>
              </w:rPr>
              <w:t>. London: Routledge, pp. 133–159.</w:t>
            </w:r>
          </w:p>
          <w:p w14:paraId="5B3A845F">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9. De Nieva, J.O., Joaquin, J.A., Tan, C.B., Marc Te, R.K. and Ong, E. (2020, October) ‘Investigating students’ use of a mental health chatbot to alleviate academic stress’, in </w:t>
            </w:r>
            <w:r>
              <w:rPr>
                <w:rFonts w:hint="default" w:ascii="Arial Regular" w:hAnsi="Arial Regular" w:eastAsia="pingfang sc" w:cs="Arial Regular"/>
                <w:i/>
                <w:iCs/>
                <w:color w:val="000000"/>
                <w:kern w:val="0"/>
                <w:sz w:val="20"/>
                <w:szCs w:val="20"/>
                <w:lang w:val="en-US" w:eastAsia="zh-CN" w:bidi="ar"/>
              </w:rPr>
              <w:t>6th International ACM In-Cooperation HCI and UX Conference,</w:t>
            </w:r>
            <w:r>
              <w:rPr>
                <w:rFonts w:hint="default" w:ascii="Arial Regular" w:hAnsi="Arial Regular" w:eastAsia="pingfang sc" w:cs="Arial Regular"/>
                <w:color w:val="000000"/>
                <w:kern w:val="0"/>
                <w:sz w:val="20"/>
                <w:szCs w:val="20"/>
                <w:lang w:val="en-US" w:eastAsia="zh-CN" w:bidi="ar"/>
              </w:rPr>
              <w:t xml:space="preserve"> pp. 1–10.</w:t>
            </w:r>
          </w:p>
          <w:p w14:paraId="39964B8A">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10. Derakhshan, A., Teo, T. and Khazaie, S. (2025) ‘Investigating the usefulness of artificial intelligence-driven robots in developing empathy for English for medical purposes communication: the role-play of Asian and African students’, </w:t>
            </w:r>
            <w:r>
              <w:rPr>
                <w:rFonts w:hint="default" w:ascii="Arial Regular" w:hAnsi="Arial Regular" w:eastAsia="pingfang sc" w:cs="Arial Regular"/>
                <w:i/>
                <w:iCs/>
                <w:color w:val="000000"/>
                <w:kern w:val="0"/>
                <w:sz w:val="20"/>
                <w:szCs w:val="20"/>
                <w:lang w:val="en-US" w:eastAsia="zh-CN" w:bidi="ar"/>
              </w:rPr>
              <w:t>Computers in Human Behavior</w:t>
            </w:r>
            <w:r>
              <w:rPr>
                <w:rFonts w:hint="default" w:ascii="Arial Regular" w:hAnsi="Arial Regular" w:eastAsia="pingfang sc" w:cs="Arial Regular"/>
                <w:color w:val="000000"/>
                <w:kern w:val="0"/>
                <w:sz w:val="20"/>
                <w:szCs w:val="20"/>
                <w:lang w:val="en-US" w:eastAsia="zh-CN" w:bidi="ar"/>
              </w:rPr>
              <w:t xml:space="preserve">, 162, 108416. </w:t>
            </w:r>
          </w:p>
          <w:p w14:paraId="5A1687F5">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11. Ebadi, S. and Amini, A. (2024) ‘Examining the roles of social presence and human-likeness on Iranian EFL learners’ motivation using artificial intelligence technology: A case of CSIEC chatbot’,</w:t>
            </w:r>
            <w:r>
              <w:rPr>
                <w:rFonts w:hint="default" w:ascii="Arial Regular" w:hAnsi="Arial Regular" w:eastAsia="pingfang sc" w:cs="Arial Regular"/>
                <w:i/>
                <w:iCs/>
                <w:color w:val="000000"/>
                <w:kern w:val="0"/>
                <w:sz w:val="20"/>
                <w:szCs w:val="20"/>
                <w:lang w:val="en-US" w:eastAsia="zh-CN" w:bidi="ar"/>
              </w:rPr>
              <w:t xml:space="preserve"> Interactive Learning Environments</w:t>
            </w:r>
            <w:r>
              <w:rPr>
                <w:rFonts w:hint="default" w:ascii="Arial Regular" w:hAnsi="Arial Regular" w:eastAsia="pingfang sc" w:cs="Arial Regular"/>
                <w:color w:val="000000"/>
                <w:kern w:val="0"/>
                <w:sz w:val="20"/>
                <w:szCs w:val="20"/>
                <w:lang w:val="en-US" w:eastAsia="zh-CN" w:bidi="ar"/>
              </w:rPr>
              <w:t>, 32(2), pp. 655–673.</w:t>
            </w:r>
          </w:p>
          <w:p w14:paraId="575AC4C6">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12. Ferro, F., Possati, L. and Taddio, L. (2022) ‘Post-phenomenology and the ethics of Artificial Intelligence: introduction’, </w:t>
            </w:r>
            <w:r>
              <w:rPr>
                <w:rFonts w:hint="default" w:ascii="Arial Regular" w:hAnsi="Arial Regular" w:eastAsia="pingfang sc" w:cs="Arial Regular"/>
                <w:i/>
                <w:iCs/>
                <w:color w:val="000000"/>
                <w:kern w:val="0"/>
                <w:sz w:val="20"/>
                <w:szCs w:val="20"/>
                <w:lang w:val="en-US" w:eastAsia="zh-CN" w:bidi="ar"/>
              </w:rPr>
              <w:t>Scenari: rivista semestrale di filosofia contemporanea</w:t>
            </w:r>
            <w:r>
              <w:rPr>
                <w:rFonts w:hint="default" w:ascii="Arial Regular" w:hAnsi="Arial Regular" w:eastAsia="pingfang sc" w:cs="Arial Regular"/>
                <w:color w:val="000000"/>
                <w:kern w:val="0"/>
                <w:sz w:val="20"/>
                <w:szCs w:val="20"/>
                <w:lang w:val="en-US" w:eastAsia="zh-CN" w:bidi="ar"/>
              </w:rPr>
              <w:t>, 17(2), pp. 155–157.</w:t>
            </w:r>
          </w:p>
          <w:p w14:paraId="737938C7">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13. Gao, Z. and Huang, J. (2022) ‘Human-computer interaction emotional design and innovative cultural and creative product design’, </w:t>
            </w:r>
            <w:r>
              <w:rPr>
                <w:rFonts w:hint="default" w:ascii="Arial Regular" w:hAnsi="Arial Regular" w:eastAsia="pingfang sc" w:cs="Arial Regular"/>
                <w:i/>
                <w:iCs/>
                <w:color w:val="000000"/>
                <w:kern w:val="0"/>
                <w:sz w:val="20"/>
                <w:szCs w:val="20"/>
                <w:lang w:val="en-US" w:eastAsia="zh-CN" w:bidi="ar"/>
              </w:rPr>
              <w:t>Frontiers in Psychology,</w:t>
            </w:r>
            <w:r>
              <w:rPr>
                <w:rFonts w:hint="default" w:ascii="Arial Regular" w:hAnsi="Arial Regular" w:eastAsia="pingfang sc" w:cs="Arial Regular"/>
                <w:color w:val="000000"/>
                <w:kern w:val="0"/>
                <w:sz w:val="20"/>
                <w:szCs w:val="20"/>
                <w:lang w:val="en-US" w:eastAsia="zh-CN" w:bidi="ar"/>
              </w:rPr>
              <w:t xml:space="preserve"> 13, 982303.</w:t>
            </w:r>
          </w:p>
          <w:p w14:paraId="21A368DD">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14. Gherardi, S. (2009) ‘Knowing and learning in practice-based studies: an introduction’, </w:t>
            </w:r>
            <w:r>
              <w:rPr>
                <w:rFonts w:hint="default" w:ascii="Arial Regular" w:hAnsi="Arial Regular" w:eastAsia="pingfang sc" w:cs="Arial Regular"/>
                <w:i/>
                <w:iCs/>
                <w:color w:val="000000"/>
                <w:kern w:val="0"/>
                <w:sz w:val="20"/>
                <w:szCs w:val="20"/>
                <w:lang w:val="en-US" w:eastAsia="zh-CN" w:bidi="ar"/>
              </w:rPr>
              <w:t>The Learning Organization</w:t>
            </w:r>
            <w:r>
              <w:rPr>
                <w:rFonts w:hint="default" w:ascii="Arial Regular" w:hAnsi="Arial Regular" w:eastAsia="pingfang sc" w:cs="Arial Regular"/>
                <w:color w:val="000000"/>
                <w:kern w:val="0"/>
                <w:sz w:val="20"/>
                <w:szCs w:val="20"/>
                <w:lang w:val="en-US" w:eastAsia="zh-CN" w:bidi="ar"/>
              </w:rPr>
              <w:t>, 16(5), pp. 352–359.</w:t>
            </w:r>
          </w:p>
          <w:p w14:paraId="27014A4C">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15. Gur, T. and Maaravi, Y. (2025) ‘The algorithm of friendship: literature review and integrative model of relationships between humans and artificial intelligence (AI)’, </w:t>
            </w:r>
            <w:r>
              <w:rPr>
                <w:rFonts w:hint="default" w:ascii="Arial Regular" w:hAnsi="Arial Regular" w:eastAsia="pingfang sc" w:cs="Arial Regular"/>
                <w:i/>
                <w:iCs/>
                <w:color w:val="000000"/>
                <w:kern w:val="0"/>
                <w:sz w:val="20"/>
                <w:szCs w:val="20"/>
                <w:lang w:val="en-US" w:eastAsia="zh-CN" w:bidi="ar"/>
              </w:rPr>
              <w:t>Behaviour &amp; Information Technology</w:t>
            </w:r>
            <w:r>
              <w:rPr>
                <w:rFonts w:hint="default" w:ascii="Arial Regular" w:hAnsi="Arial Regular" w:eastAsia="pingfang sc" w:cs="Arial Regular"/>
                <w:color w:val="000000"/>
                <w:kern w:val="0"/>
                <w:sz w:val="20"/>
                <w:szCs w:val="20"/>
                <w:lang w:val="en-US" w:eastAsia="zh-CN" w:bidi="ar"/>
              </w:rPr>
              <w:t>, 44(14), pp. 3446–3466.</w:t>
            </w:r>
          </w:p>
          <w:p w14:paraId="2FC93D7D">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16. Hew, K.F., Huang, W., Du, J. and Jia, C. (2023) ‘Using chatbots to support student goal setting and social presence in fully online activities: Learner engagement and perceptions’, </w:t>
            </w:r>
            <w:r>
              <w:rPr>
                <w:rFonts w:hint="default" w:ascii="Arial Regular" w:hAnsi="Arial Regular" w:eastAsia="pingfang sc" w:cs="Arial Regular"/>
                <w:i/>
                <w:iCs/>
                <w:color w:val="000000"/>
                <w:kern w:val="0"/>
                <w:sz w:val="20"/>
                <w:szCs w:val="20"/>
                <w:lang w:val="en-US" w:eastAsia="zh-CN" w:bidi="ar"/>
              </w:rPr>
              <w:t>Journal of Computing in Higher Education</w:t>
            </w:r>
            <w:r>
              <w:rPr>
                <w:rFonts w:hint="default" w:ascii="Arial Regular" w:hAnsi="Arial Regular" w:eastAsia="pingfang sc" w:cs="Arial Regular"/>
                <w:color w:val="000000"/>
                <w:kern w:val="0"/>
                <w:sz w:val="20"/>
                <w:szCs w:val="20"/>
                <w:lang w:val="en-US" w:eastAsia="zh-CN" w:bidi="ar"/>
              </w:rPr>
              <w:t>, 35(1), pp. 40–68.</w:t>
            </w:r>
          </w:p>
          <w:p w14:paraId="77016B09">
            <w:pPr>
              <w:pStyle w:val="12"/>
              <w:keepNext w:val="0"/>
              <w:keepLines w:val="0"/>
              <w:widowControl/>
              <w:suppressLineNumbers w:val="0"/>
              <w:spacing w:before="0" w:beforeAutospacing="0" w:after="160" w:afterAutospacing="0"/>
              <w:ind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17. Hina, M. and Joelsson, T. (2025) </w:t>
            </w:r>
            <w:r>
              <w:rPr>
                <w:rFonts w:hint="default" w:ascii="Arial Regular" w:hAnsi="Arial Regular" w:eastAsia="pingfang sc" w:cs="Arial Regular"/>
                <w:i/>
                <w:iCs/>
                <w:color w:val="000000"/>
                <w:kern w:val="0"/>
                <w:sz w:val="20"/>
                <w:szCs w:val="20"/>
                <w:lang w:val="en-US" w:eastAsia="zh-CN" w:bidi="ar"/>
              </w:rPr>
              <w:t>Emotional design: Creating user interfaces that evoke emotions.</w:t>
            </w:r>
          </w:p>
          <w:p w14:paraId="15961349">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18. Hongladarom, S. and van der Vaeren, A. (2024) ‘ChatGPT, Postphenomenology, and the Human-Technology-Reality Relations’, </w:t>
            </w:r>
            <w:r>
              <w:rPr>
                <w:rFonts w:hint="default" w:ascii="Arial Regular" w:hAnsi="Arial Regular" w:eastAsia="pingfang sc" w:cs="Arial Regular"/>
                <w:i/>
                <w:iCs/>
                <w:color w:val="000000"/>
                <w:kern w:val="0"/>
                <w:sz w:val="20"/>
                <w:szCs w:val="20"/>
                <w:lang w:val="en-US" w:eastAsia="zh-CN" w:bidi="ar"/>
              </w:rPr>
              <w:t>Journal of Human-Technology Relations</w:t>
            </w:r>
            <w:r>
              <w:rPr>
                <w:rFonts w:hint="default" w:ascii="Arial Regular" w:hAnsi="Arial Regular" w:eastAsia="pingfang sc" w:cs="Arial Regular"/>
                <w:color w:val="000000"/>
                <w:kern w:val="0"/>
                <w:sz w:val="20"/>
                <w:szCs w:val="20"/>
                <w:lang w:val="en-US" w:eastAsia="zh-CN" w:bidi="ar"/>
              </w:rPr>
              <w:t>, 2.</w:t>
            </w:r>
          </w:p>
          <w:p w14:paraId="48B9084E">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19. Hou, G. and Wang, X. (2025) ‘Emotional valence and arousal: The impact of AI-generated image stimuli on design creativity’, </w:t>
            </w:r>
            <w:r>
              <w:rPr>
                <w:rFonts w:hint="default" w:ascii="Arial Regular" w:hAnsi="Arial Regular" w:eastAsia="pingfang sc" w:cs="Arial Regular"/>
                <w:i/>
                <w:iCs/>
                <w:color w:val="000000"/>
                <w:kern w:val="0"/>
                <w:sz w:val="20"/>
                <w:szCs w:val="20"/>
                <w:lang w:val="en-US" w:eastAsia="zh-CN" w:bidi="ar"/>
              </w:rPr>
              <w:t>International Journal of Technology and Design Education,</w:t>
            </w:r>
            <w:r>
              <w:rPr>
                <w:rFonts w:hint="default" w:ascii="Arial Regular" w:hAnsi="Arial Regular" w:eastAsia="pingfang sc" w:cs="Arial Regular"/>
                <w:color w:val="000000"/>
                <w:kern w:val="0"/>
                <w:sz w:val="20"/>
                <w:szCs w:val="20"/>
                <w:lang w:val="en-US" w:eastAsia="zh-CN" w:bidi="ar"/>
              </w:rPr>
              <w:t xml:space="preserve"> 35(3), pp. 1103–1122.</w:t>
            </w:r>
          </w:p>
          <w:p w14:paraId="0BC9281F">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20. Huang, C. and Liao, X. (2024, September) ‘The Personalized Learning Path of Affective Computing in Enhancing Emotional Identification with Chinese Culture among International Students Studying in China’, in </w:t>
            </w:r>
            <w:r>
              <w:rPr>
                <w:rFonts w:hint="default" w:ascii="Arial Regular" w:hAnsi="Arial Regular" w:eastAsia="pingfang sc" w:cs="Arial Regular"/>
                <w:i/>
                <w:iCs/>
                <w:color w:val="000000"/>
                <w:kern w:val="0"/>
                <w:sz w:val="20"/>
                <w:szCs w:val="20"/>
                <w:lang w:val="en-US" w:eastAsia="zh-CN" w:bidi="ar"/>
              </w:rPr>
              <w:t>2024 4th International Conference on Educational Technology (ICET).</w:t>
            </w:r>
            <w:r>
              <w:rPr>
                <w:rFonts w:hint="default" w:ascii="Arial Regular" w:hAnsi="Arial Regular" w:eastAsia="pingfang sc" w:cs="Arial Regular"/>
                <w:color w:val="000000"/>
                <w:kern w:val="0"/>
                <w:sz w:val="20"/>
                <w:szCs w:val="20"/>
                <w:lang w:val="en-US" w:eastAsia="zh-CN" w:bidi="ar"/>
              </w:rPr>
              <w:t xml:space="preserve"> IEEE, pp. 249–252.</w:t>
            </w:r>
          </w:p>
          <w:p w14:paraId="579440F1">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21. Kim, W.B. and Hur, H.J. (2024) ‘What makes people feel empathy for AI chatbots? Assessing the role of competence and warmth’, </w:t>
            </w:r>
            <w:r>
              <w:rPr>
                <w:rFonts w:hint="default" w:ascii="Arial Regular" w:hAnsi="Arial Regular" w:eastAsia="pingfang sc" w:cs="Arial Regular"/>
                <w:i/>
                <w:iCs/>
                <w:color w:val="000000"/>
                <w:kern w:val="0"/>
                <w:sz w:val="20"/>
                <w:szCs w:val="20"/>
                <w:lang w:val="en-US" w:eastAsia="zh-CN" w:bidi="ar"/>
              </w:rPr>
              <w:t>International Journal of Human–Computer Interaction</w:t>
            </w:r>
            <w:r>
              <w:rPr>
                <w:rFonts w:hint="default" w:ascii="Arial Regular" w:hAnsi="Arial Regular" w:eastAsia="pingfang sc" w:cs="Arial Regular"/>
                <w:color w:val="000000"/>
                <w:kern w:val="0"/>
                <w:sz w:val="20"/>
                <w:szCs w:val="20"/>
                <w:lang w:val="en-US" w:eastAsia="zh-CN" w:bidi="ar"/>
              </w:rPr>
              <w:t>, 40(17), pp. 4674–4687.</w:t>
            </w:r>
          </w:p>
          <w:p w14:paraId="6B3707F6">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22. Lee, J., Lee, D. and Lee, J.G. (2024) ‘Influence of rapport and social presence with an AI psychotherapy chatbot on users’ self-disclosure’,</w:t>
            </w:r>
            <w:r>
              <w:rPr>
                <w:rFonts w:hint="default" w:ascii="Arial Regular" w:hAnsi="Arial Regular" w:eastAsia="pingfang sc" w:cs="Arial Regular"/>
                <w:i/>
                <w:iCs/>
                <w:color w:val="000000"/>
                <w:kern w:val="0"/>
                <w:sz w:val="20"/>
                <w:szCs w:val="20"/>
                <w:lang w:val="en-US" w:eastAsia="zh-CN" w:bidi="ar"/>
              </w:rPr>
              <w:t xml:space="preserve"> International Journal of Human–Computer Interaction</w:t>
            </w:r>
            <w:r>
              <w:rPr>
                <w:rFonts w:hint="default" w:ascii="Arial Regular" w:hAnsi="Arial Regular" w:eastAsia="pingfang sc" w:cs="Arial Regular"/>
                <w:color w:val="000000"/>
                <w:kern w:val="0"/>
                <w:sz w:val="20"/>
                <w:szCs w:val="20"/>
                <w:lang w:val="en-US" w:eastAsia="zh-CN" w:bidi="ar"/>
              </w:rPr>
              <w:t>, 40(7), pp. 1620–1631.</w:t>
            </w:r>
          </w:p>
          <w:p w14:paraId="21B84E5D">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23. Liu, Z., Li, H., Chen, A., Zhang, R. and Lee, Y.C. (2024) ‘Understanding public perceptions of AI conversational agents: A cross-cultural analysis’, in Proceedings of the </w:t>
            </w:r>
            <w:r>
              <w:rPr>
                <w:rFonts w:hint="default" w:ascii="Arial Regular" w:hAnsi="Arial Regular" w:eastAsia="pingfang sc" w:cs="Arial Regular"/>
                <w:i/>
                <w:iCs/>
                <w:color w:val="000000"/>
                <w:kern w:val="0"/>
                <w:sz w:val="20"/>
                <w:szCs w:val="20"/>
                <w:lang w:val="en-US" w:eastAsia="zh-CN" w:bidi="ar"/>
              </w:rPr>
              <w:t>2024 CHI Conference on Human Factors in Computing Systems,</w:t>
            </w:r>
            <w:r>
              <w:rPr>
                <w:rFonts w:hint="default" w:ascii="Arial Regular" w:hAnsi="Arial Regular" w:eastAsia="pingfang sc" w:cs="Arial Regular"/>
                <w:color w:val="000000"/>
                <w:kern w:val="0"/>
                <w:sz w:val="20"/>
                <w:szCs w:val="20"/>
                <w:lang w:val="en-US" w:eastAsia="zh-CN" w:bidi="ar"/>
              </w:rPr>
              <w:t xml:space="preserve"> pp. 1–17.</w:t>
            </w:r>
          </w:p>
          <w:p w14:paraId="44533E6E">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24. Ma, H., You, Q., Jin, Z., Liu, X. and Chen, Z. (2025) ‘Exploring the role of generative AI in international students’ sociocultural adaptation: a cognitive-affective model’, </w:t>
            </w:r>
            <w:r>
              <w:rPr>
                <w:rFonts w:hint="default" w:ascii="Arial Regular" w:hAnsi="Arial Regular" w:eastAsia="pingfang sc" w:cs="Arial Regular"/>
                <w:i/>
                <w:iCs/>
                <w:color w:val="000000"/>
                <w:kern w:val="0"/>
                <w:sz w:val="20"/>
                <w:szCs w:val="20"/>
                <w:lang w:val="en-US" w:eastAsia="zh-CN" w:bidi="ar"/>
              </w:rPr>
              <w:t>Frontiers in Artificial Intelligence</w:t>
            </w:r>
            <w:r>
              <w:rPr>
                <w:rFonts w:hint="default" w:ascii="Arial Regular" w:hAnsi="Arial Regular" w:eastAsia="pingfang sc" w:cs="Arial Regular"/>
                <w:color w:val="000000"/>
                <w:kern w:val="0"/>
                <w:sz w:val="20"/>
                <w:szCs w:val="20"/>
                <w:lang w:val="en-US" w:eastAsia="zh-CN" w:bidi="ar"/>
              </w:rPr>
              <w:t>, 8, 1615113.</w:t>
            </w:r>
          </w:p>
          <w:p w14:paraId="5030D0DA">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25. Malfacini, K. (2025) ‘The impacts of companion AI on human relationships: risks, benefits, and design considerations’, </w:t>
            </w:r>
            <w:r>
              <w:rPr>
                <w:rFonts w:hint="default" w:ascii="Arial Regular" w:hAnsi="Arial Regular" w:eastAsia="pingfang sc" w:cs="Arial Regular"/>
                <w:i/>
                <w:iCs/>
                <w:color w:val="000000"/>
                <w:kern w:val="0"/>
                <w:sz w:val="20"/>
                <w:szCs w:val="20"/>
                <w:lang w:val="en-US" w:eastAsia="zh-CN" w:bidi="ar"/>
              </w:rPr>
              <w:t>AI &amp; Society</w:t>
            </w:r>
            <w:r>
              <w:rPr>
                <w:rFonts w:hint="default" w:ascii="Arial Regular" w:hAnsi="Arial Regular" w:eastAsia="pingfang sc" w:cs="Arial Regular"/>
                <w:color w:val="000000"/>
                <w:kern w:val="0"/>
                <w:sz w:val="20"/>
                <w:szCs w:val="20"/>
                <w:lang w:val="en-US" w:eastAsia="zh-CN" w:bidi="ar"/>
              </w:rPr>
              <w:t>, pp. 1–14.</w:t>
            </w:r>
          </w:p>
          <w:p w14:paraId="5EB6ADA5">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26. Merrill, K., Kim, J. and Collins, C. (2022) ‘AI companions for lonely individuals and the role of social presence’, </w:t>
            </w:r>
            <w:r>
              <w:rPr>
                <w:rFonts w:hint="default" w:ascii="Arial Regular" w:hAnsi="Arial Regular" w:eastAsia="pingfang sc" w:cs="Arial Regular"/>
                <w:i/>
                <w:iCs/>
                <w:color w:val="000000"/>
                <w:kern w:val="0"/>
                <w:sz w:val="20"/>
                <w:szCs w:val="20"/>
                <w:lang w:val="en-US" w:eastAsia="zh-CN" w:bidi="ar"/>
              </w:rPr>
              <w:t>Communication Research Reports</w:t>
            </w:r>
            <w:r>
              <w:rPr>
                <w:rFonts w:hint="default" w:ascii="Arial Regular" w:hAnsi="Arial Regular" w:eastAsia="pingfang sc" w:cs="Arial Regular"/>
                <w:color w:val="000000"/>
                <w:kern w:val="0"/>
                <w:sz w:val="20"/>
                <w:szCs w:val="20"/>
                <w:lang w:val="en-US" w:eastAsia="zh-CN" w:bidi="ar"/>
              </w:rPr>
              <w:t>, 39(2), pp. 93–103.</w:t>
            </w:r>
          </w:p>
          <w:p w14:paraId="75674B67">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27. Oh, C.S., Bailenson, J.N. and Welch, G.F. (2018) ‘A systematic review of social presence: Definition, antecedents, and implications’, </w:t>
            </w:r>
            <w:r>
              <w:rPr>
                <w:rFonts w:hint="default" w:ascii="Arial Regular" w:hAnsi="Arial Regular" w:eastAsia="pingfang sc" w:cs="Arial Regular"/>
                <w:i/>
                <w:iCs/>
                <w:color w:val="000000"/>
                <w:kern w:val="0"/>
                <w:sz w:val="20"/>
                <w:szCs w:val="20"/>
                <w:lang w:val="en-US" w:eastAsia="zh-CN" w:bidi="ar"/>
              </w:rPr>
              <w:t>Frontiers in Robotics and AI</w:t>
            </w:r>
            <w:r>
              <w:rPr>
                <w:rFonts w:hint="default" w:ascii="Arial Regular" w:hAnsi="Arial Regular" w:eastAsia="pingfang sc" w:cs="Arial Regular"/>
                <w:color w:val="000000"/>
                <w:kern w:val="0"/>
                <w:sz w:val="20"/>
                <w:szCs w:val="20"/>
                <w:lang w:val="en-US" w:eastAsia="zh-CN" w:bidi="ar"/>
              </w:rPr>
              <w:t>, 5, 114.</w:t>
            </w:r>
          </w:p>
          <w:p w14:paraId="6B8216A6">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28. Russell, S. (2020) </w:t>
            </w:r>
            <w:r>
              <w:rPr>
                <w:rFonts w:hint="default" w:ascii="Arial Regular" w:hAnsi="Arial Regular" w:eastAsia="pingfang sc" w:cs="Arial Regular"/>
                <w:i/>
                <w:iCs/>
                <w:color w:val="000000"/>
                <w:kern w:val="0"/>
                <w:sz w:val="20"/>
                <w:szCs w:val="20"/>
                <w:lang w:val="en-US" w:eastAsia="zh-CN" w:bidi="ar"/>
              </w:rPr>
              <w:t>Artificial Intelligence: A Modern Approach</w:t>
            </w:r>
            <w:r>
              <w:rPr>
                <w:rFonts w:hint="default" w:ascii="Arial Regular" w:hAnsi="Arial Regular" w:eastAsia="pingfang sc" w:cs="Arial Regular"/>
                <w:color w:val="000000"/>
                <w:kern w:val="0"/>
                <w:sz w:val="20"/>
                <w:szCs w:val="20"/>
                <w:lang w:val="en-US" w:eastAsia="zh-CN" w:bidi="ar"/>
              </w:rPr>
              <w:t>. Upper Saddle River, NJ: Pearson Education, Inc.</w:t>
            </w:r>
          </w:p>
          <w:p w14:paraId="3A332174">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29. Salvetti, F., Bertagni, B. and Contardo, I. (2025) ‘AI Conversational Agents for Corporate Language Learning: Enhancing Engagement and Retention’, </w:t>
            </w:r>
            <w:r>
              <w:rPr>
                <w:rFonts w:hint="default" w:ascii="Arial Regular" w:hAnsi="Arial Regular" w:eastAsia="pingfang sc" w:cs="Arial Regular"/>
                <w:i/>
                <w:iCs/>
                <w:color w:val="000000"/>
                <w:kern w:val="0"/>
                <w:sz w:val="20"/>
                <w:szCs w:val="20"/>
                <w:lang w:val="en-US" w:eastAsia="zh-CN" w:bidi="ar"/>
              </w:rPr>
              <w:t>International Journal of Advanced Corporate Learning</w:t>
            </w:r>
            <w:r>
              <w:rPr>
                <w:rFonts w:hint="default" w:ascii="Arial Regular" w:hAnsi="Arial Regular" w:eastAsia="pingfang sc" w:cs="Arial Regular"/>
                <w:color w:val="000000"/>
                <w:kern w:val="0"/>
                <w:sz w:val="20"/>
                <w:szCs w:val="20"/>
                <w:lang w:val="en-US" w:eastAsia="zh-CN" w:bidi="ar"/>
              </w:rPr>
              <w:t>, 18(3), pp. 60–69.</w:t>
            </w:r>
          </w:p>
          <w:p w14:paraId="6BBF8DCD">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30. Simpson, J., et al. (2022) ‘A Wizard or a Fool? Initial Assessment of a Wizard of Oz Agent Supporting Collaborative Virtual Environments’, in </w:t>
            </w:r>
            <w:r>
              <w:rPr>
                <w:rFonts w:hint="default" w:ascii="Arial Regular" w:hAnsi="Arial Regular" w:eastAsia="pingfang sc" w:cs="Arial Regular"/>
                <w:i/>
                <w:iCs/>
                <w:color w:val="000000"/>
                <w:kern w:val="0"/>
                <w:sz w:val="20"/>
                <w:szCs w:val="20"/>
                <w:lang w:val="en-US" w:eastAsia="zh-CN" w:bidi="ar"/>
              </w:rPr>
              <w:t>International Conference on Human-Agent Interaction.</w:t>
            </w:r>
            <w:r>
              <w:rPr>
                <w:rFonts w:hint="default" w:ascii="Arial Regular" w:hAnsi="Arial Regular" w:eastAsia="pingfang sc" w:cs="Arial Regular"/>
                <w:color w:val="000000"/>
                <w:kern w:val="0"/>
                <w:sz w:val="20"/>
                <w:szCs w:val="20"/>
                <w:lang w:val="en-US" w:eastAsia="zh-CN" w:bidi="ar"/>
              </w:rPr>
              <w:t xml:space="preserve"> New York, NY, USA: ACM, pp. 299–301.</w:t>
            </w:r>
          </w:p>
          <w:p w14:paraId="297FE658">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31. Truong, T.T.H. and Chen, J.S. (2025) ‘When empathy is enhanced by human–AI interaction: an investigation of anthropomorphism and responsiveness on customer experience with AI chatbots’, </w:t>
            </w:r>
            <w:r>
              <w:rPr>
                <w:rFonts w:hint="default" w:ascii="Arial Regular" w:hAnsi="Arial Regular" w:eastAsia="pingfang sc" w:cs="Arial Regular"/>
                <w:i/>
                <w:iCs/>
                <w:color w:val="000000"/>
                <w:kern w:val="0"/>
                <w:sz w:val="20"/>
                <w:szCs w:val="20"/>
                <w:lang w:val="en-US" w:eastAsia="zh-CN" w:bidi="ar"/>
              </w:rPr>
              <w:t>Asia Pacific Journal of Marketing and Logistics.</w:t>
            </w:r>
          </w:p>
          <w:p w14:paraId="0CC1405A">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32. Vear, C., Candy, L. and Edmonds, E.A. (eds) (2022) </w:t>
            </w:r>
            <w:r>
              <w:rPr>
                <w:rFonts w:hint="default" w:ascii="Arial Regular" w:hAnsi="Arial Regular" w:eastAsia="pingfang sc" w:cs="Arial Regular"/>
                <w:i/>
                <w:iCs/>
                <w:color w:val="000000"/>
                <w:kern w:val="0"/>
                <w:sz w:val="20"/>
                <w:szCs w:val="20"/>
                <w:lang w:val="en-US" w:eastAsia="zh-CN" w:bidi="ar"/>
              </w:rPr>
              <w:t xml:space="preserve">The Routledge International Handbook of Practice-Based Research. </w:t>
            </w:r>
            <w:r>
              <w:rPr>
                <w:rFonts w:hint="default" w:ascii="Arial Regular" w:hAnsi="Arial Regular" w:eastAsia="pingfang sc" w:cs="Arial Regular"/>
                <w:color w:val="000000"/>
                <w:kern w:val="0"/>
                <w:sz w:val="20"/>
                <w:szCs w:val="20"/>
                <w:lang w:val="en-US" w:eastAsia="zh-CN" w:bidi="ar"/>
              </w:rPr>
              <w:t>London: Routledge.</w:t>
            </w:r>
          </w:p>
          <w:p w14:paraId="76F286DE">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33. Wadden, J.J. (2023) ‘The postphenomenological impact of conversational artificial intelligence on autonomy and psychological integrity’, </w:t>
            </w:r>
            <w:r>
              <w:rPr>
                <w:rFonts w:hint="default" w:ascii="Arial Regular" w:hAnsi="Arial Regular" w:eastAsia="pingfang sc" w:cs="Arial Regular"/>
                <w:i/>
                <w:iCs/>
                <w:color w:val="000000"/>
                <w:kern w:val="0"/>
                <w:sz w:val="20"/>
                <w:szCs w:val="20"/>
                <w:lang w:val="en-US" w:eastAsia="zh-CN" w:bidi="ar"/>
              </w:rPr>
              <w:t>The American Journal of Bioethics,</w:t>
            </w:r>
            <w:r>
              <w:rPr>
                <w:rFonts w:hint="default" w:ascii="Arial Regular" w:hAnsi="Arial Regular" w:eastAsia="pingfang sc" w:cs="Arial Regular"/>
                <w:color w:val="000000"/>
                <w:kern w:val="0"/>
                <w:sz w:val="20"/>
                <w:szCs w:val="20"/>
                <w:lang w:val="en-US" w:eastAsia="zh-CN" w:bidi="ar"/>
              </w:rPr>
              <w:t xml:space="preserve"> 23(5), pp. 37–40.</w:t>
            </w:r>
          </w:p>
          <w:p w14:paraId="6397902A">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34. Wei, M., Heppner, P.P., Mallen, M.J., Ku, T.Y., Liao, K.Y.H. and Wu, T.F. (2007) ‘Acculturative stress, perfectionism, years in the United States, and depression among Chinese international students’, </w:t>
            </w:r>
            <w:r>
              <w:rPr>
                <w:rFonts w:hint="default" w:ascii="Arial Regular" w:hAnsi="Arial Regular" w:eastAsia="pingfang sc" w:cs="Arial Regular"/>
                <w:i/>
                <w:iCs/>
                <w:color w:val="000000"/>
                <w:kern w:val="0"/>
                <w:sz w:val="20"/>
                <w:szCs w:val="20"/>
                <w:lang w:val="en-US" w:eastAsia="zh-CN" w:bidi="ar"/>
              </w:rPr>
              <w:t>Journal of Counseling Psychology,</w:t>
            </w:r>
            <w:r>
              <w:rPr>
                <w:rFonts w:hint="default" w:ascii="Arial Regular" w:hAnsi="Arial Regular" w:eastAsia="pingfang sc" w:cs="Arial Regular"/>
                <w:color w:val="000000"/>
                <w:kern w:val="0"/>
                <w:sz w:val="20"/>
                <w:szCs w:val="20"/>
                <w:lang w:val="en-US" w:eastAsia="zh-CN" w:bidi="ar"/>
              </w:rPr>
              <w:t xml:space="preserve"> 54(4), p. 385.</w:t>
            </w:r>
          </w:p>
          <w:p w14:paraId="7BD69511">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35. Weiss, A., Bernhaupt, R., Schwaiger, D., Altmaninger, M., Buchner, R. and Tscheligi, M. (2009, December) ‘User experience evaluation with a wizard of oz approach: Technical and methodological considerations’, in </w:t>
            </w:r>
            <w:r>
              <w:rPr>
                <w:rFonts w:hint="default" w:ascii="Arial Regular" w:hAnsi="Arial Regular" w:eastAsia="pingfang sc" w:cs="Arial Regular"/>
                <w:i/>
                <w:iCs/>
                <w:color w:val="000000"/>
                <w:kern w:val="0"/>
                <w:sz w:val="20"/>
                <w:szCs w:val="20"/>
                <w:lang w:val="en-US" w:eastAsia="zh-CN" w:bidi="ar"/>
              </w:rPr>
              <w:t>2009 9th IEEE-RAS International Conference on Humanoid Robots</w:t>
            </w:r>
            <w:r>
              <w:rPr>
                <w:rFonts w:hint="default" w:ascii="Arial Regular" w:hAnsi="Arial Regular" w:eastAsia="pingfang sc" w:cs="Arial Regular"/>
                <w:color w:val="000000"/>
                <w:kern w:val="0"/>
                <w:sz w:val="20"/>
                <w:szCs w:val="20"/>
                <w:lang w:val="en-US" w:eastAsia="zh-CN" w:bidi="ar"/>
              </w:rPr>
              <w:t>, pp. 303–308. IEEE.</w:t>
            </w:r>
          </w:p>
          <w:p w14:paraId="317B3D12">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36. Xi, Z., Chen, W., Guo, X., He, W., Ding, Y., Hong, B., Zhang, M., Wang, J., Jin, S., Zhou, E. and Zheng, R. (2025) ‘The rise and potential of large language model based agents: A survey’, </w:t>
            </w:r>
            <w:r>
              <w:rPr>
                <w:rFonts w:hint="default" w:ascii="Arial Regular" w:hAnsi="Arial Regular" w:eastAsia="pingfang sc" w:cs="Arial Regular"/>
                <w:i/>
                <w:iCs/>
                <w:color w:val="000000"/>
                <w:kern w:val="0"/>
                <w:sz w:val="20"/>
                <w:szCs w:val="20"/>
                <w:lang w:val="en-US" w:eastAsia="zh-CN" w:bidi="ar"/>
              </w:rPr>
              <w:t>arXiv preprint</w:t>
            </w:r>
            <w:r>
              <w:rPr>
                <w:rFonts w:hint="default" w:ascii="Arial Regular" w:hAnsi="Arial Regular" w:eastAsia="pingfang sc" w:cs="Arial Regular"/>
                <w:color w:val="000000"/>
                <w:kern w:val="0"/>
                <w:sz w:val="20"/>
                <w:szCs w:val="20"/>
                <w:lang w:val="en-US" w:eastAsia="zh-CN" w:bidi="ar"/>
              </w:rPr>
              <w:t xml:space="preserve"> arXiv:2309.07864.</w:t>
            </w:r>
          </w:p>
          <w:p w14:paraId="3C49136B">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37. Xing, Y., Vadrevu, S. and Shin, J.Y. (2024, November) ‘Design Opportunities for International Students’ Mental Health Management: An Interview Study with University Counselors’, in </w:t>
            </w:r>
            <w:r>
              <w:rPr>
                <w:rFonts w:hint="default" w:ascii="Arial Regular" w:hAnsi="Arial Regular" w:eastAsia="pingfang sc" w:cs="Arial Regular"/>
                <w:i/>
                <w:iCs/>
                <w:color w:val="000000"/>
                <w:kern w:val="0"/>
                <w:sz w:val="20"/>
                <w:szCs w:val="20"/>
                <w:lang w:val="en-US" w:eastAsia="zh-CN" w:bidi="ar"/>
              </w:rPr>
              <w:t>Companion Publication of the 2024 Conference on Computer-Supported Cooperative Work and Social Computing</w:t>
            </w:r>
            <w:r>
              <w:rPr>
                <w:rFonts w:hint="default" w:ascii="Arial Regular" w:hAnsi="Arial Regular" w:eastAsia="pingfang sc" w:cs="Arial Regular"/>
                <w:color w:val="000000"/>
                <w:kern w:val="0"/>
                <w:sz w:val="20"/>
                <w:szCs w:val="20"/>
                <w:lang w:val="en-US" w:eastAsia="zh-CN" w:bidi="ar"/>
              </w:rPr>
              <w:t>, pp. 330–335.</w:t>
            </w:r>
          </w:p>
          <w:p w14:paraId="482A733E">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 xml:space="preserve">38. Xiong, W., Quinney, B., King, D.L., Ali, K., Radunz, M., Zhao, Y., Kyrios, M. and Fassnacht, D.B. (2025) ‘The acculturation challenge: A longitudinal investigation of acculturative stress and mental health of Chinese international students in Australia’, </w:t>
            </w:r>
            <w:r>
              <w:rPr>
                <w:rFonts w:hint="default" w:ascii="Arial Regular" w:hAnsi="Arial Regular" w:eastAsia="pingfang sc" w:cs="Arial Regular"/>
                <w:i/>
                <w:iCs/>
                <w:color w:val="000000"/>
                <w:kern w:val="0"/>
                <w:sz w:val="20"/>
                <w:szCs w:val="20"/>
                <w:lang w:val="en-US" w:eastAsia="zh-CN" w:bidi="ar"/>
              </w:rPr>
              <w:t>Journal of Affective Disorders</w:t>
            </w:r>
            <w:r>
              <w:rPr>
                <w:rFonts w:hint="default" w:ascii="Arial Regular" w:hAnsi="Arial Regular" w:eastAsia="pingfang sc" w:cs="Arial Regular"/>
                <w:color w:val="000000"/>
                <w:kern w:val="0"/>
                <w:sz w:val="20"/>
                <w:szCs w:val="20"/>
                <w:lang w:val="en-US" w:eastAsia="zh-CN" w:bidi="ar"/>
              </w:rPr>
              <w:t>, 374, pp. 477–485.</w:t>
            </w:r>
          </w:p>
          <w:p w14:paraId="5A4A1866">
            <w:pPr>
              <w:pStyle w:val="12"/>
              <w:keepNext w:val="0"/>
              <w:keepLines w:val="0"/>
              <w:widowControl/>
              <w:suppressLineNumbers w:val="0"/>
              <w:spacing w:before="0" w:beforeAutospacing="0" w:after="160" w:afterAutospacing="0"/>
              <w:ind w:left="0" w:right="0"/>
              <w:jc w:val="left"/>
              <w:rPr>
                <w:rFonts w:hint="default" w:ascii="Arial Regular" w:hAnsi="Arial Regular" w:eastAsia="pingfang sc" w:cs="Arial Regular"/>
                <w:color w:val="000000"/>
                <w:kern w:val="0"/>
                <w:sz w:val="20"/>
                <w:szCs w:val="20"/>
                <w:lang w:val="en-US" w:eastAsia="zh-CN" w:bidi="ar"/>
              </w:rPr>
            </w:pPr>
            <w:r>
              <w:rPr>
                <w:rFonts w:hint="default" w:ascii="Arial Regular" w:hAnsi="Arial Regular" w:eastAsia="pingfang sc" w:cs="Arial Regular"/>
                <w:color w:val="000000"/>
                <w:kern w:val="0"/>
                <w:sz w:val="20"/>
                <w:szCs w:val="20"/>
                <w:lang w:val="en-US" w:eastAsia="zh-CN" w:bidi="ar"/>
              </w:rPr>
              <w:t>39. Ye, J. (2006) ‘An examination of acculturative stress, interpersonal social support, and use of online ethnic social groups among Chinese international students’, The Howard Journal of Communications, 17(1), pp. 1–20.</w:t>
            </w:r>
          </w:p>
          <w:p w14:paraId="6BC43ECC">
            <w:pPr>
              <w:pStyle w:val="12"/>
              <w:keepNext w:val="0"/>
              <w:keepLines w:val="0"/>
              <w:widowControl/>
              <w:suppressLineNumbers w:val="0"/>
              <w:spacing w:before="0" w:beforeAutospacing="0" w:after="160" w:afterAutospacing="0"/>
              <w:ind w:left="0" w:right="0"/>
              <w:jc w:val="left"/>
              <w:rPr>
                <w:rFonts w:hint="default" w:ascii="Times New Roman Regular" w:hAnsi="Times New Roman Regular" w:eastAsia="pingfang sc" w:cs="Times New Roman Regular"/>
                <w:color w:val="000000"/>
                <w:kern w:val="0"/>
                <w:sz w:val="18"/>
                <w:szCs w:val="18"/>
                <w:lang w:val="en-US" w:eastAsia="zh-CN" w:bidi="ar"/>
              </w:rPr>
            </w:pPr>
            <w:r>
              <w:rPr>
                <w:rFonts w:hint="default" w:ascii="Arial Regular" w:hAnsi="Arial Regular" w:eastAsia="pingfang sc" w:cs="Arial Regular"/>
                <w:color w:val="000000"/>
                <w:kern w:val="0"/>
                <w:sz w:val="20"/>
                <w:szCs w:val="20"/>
                <w:lang w:val="en-US" w:eastAsia="zh-CN" w:bidi="ar"/>
              </w:rPr>
              <w:t>40. Yu, B., Chen, X., Li, S., Liu, Y., Jacques-Tiura, A.J. and Yan, H. (2014) ‘Acculturative stress and influential factors among international students in China: A structural dynamic perspective’,</w:t>
            </w:r>
            <w:r>
              <w:rPr>
                <w:rFonts w:hint="default" w:ascii="Arial Regular" w:hAnsi="Arial Regular" w:eastAsia="pingfang sc" w:cs="Arial Regular"/>
                <w:i/>
                <w:iCs/>
                <w:color w:val="000000"/>
                <w:kern w:val="0"/>
                <w:sz w:val="20"/>
                <w:szCs w:val="20"/>
                <w:lang w:val="en-US" w:eastAsia="zh-CN" w:bidi="ar"/>
              </w:rPr>
              <w:t xml:space="preserve"> PLoS ONE</w:t>
            </w:r>
            <w:r>
              <w:rPr>
                <w:rFonts w:hint="default" w:ascii="Arial Regular" w:hAnsi="Arial Regular" w:eastAsia="pingfang sc" w:cs="Arial Regular"/>
                <w:color w:val="000000"/>
                <w:kern w:val="0"/>
                <w:sz w:val="20"/>
                <w:szCs w:val="20"/>
                <w:lang w:val="en-US" w:eastAsia="zh-CN" w:bidi="ar"/>
              </w:rPr>
              <w:t>, 9(4), e96322.</w:t>
            </w:r>
          </w:p>
        </w:tc>
      </w:tr>
      <w:tr w14:paraId="2F728C1E">
        <w:trPr>
          <w:trHeight w:val="397" w:hRule="atLeast"/>
        </w:trPr>
        <w:tc>
          <w:tcPr>
            <w:tcW w:w="9781" w:type="dxa"/>
            <w:shd w:val="clear" w:color="auto" w:fill="F1F1F1" w:themeFill="background1" w:themeFillShade="F2"/>
            <w:vAlign w:val="center"/>
          </w:tcPr>
          <w:p w14:paraId="43D3CD2A">
            <w:pPr>
              <w:rPr>
                <w:rFonts w:cs="Arial"/>
                <w:sz w:val="22"/>
                <w:szCs w:val="22"/>
              </w:rPr>
            </w:pPr>
            <w:r>
              <w:rPr>
                <w:rFonts w:cs="Arial"/>
                <w:sz w:val="22"/>
                <w:szCs w:val="22"/>
              </w:rPr>
              <w:t>Facilities and resources available for the investigation: please indicate if you expect to need any special resources</w:t>
            </w:r>
          </w:p>
        </w:tc>
      </w:tr>
      <w:tr w14:paraId="37B7ACC9">
        <w:trPr>
          <w:trHeight w:val="397" w:hRule="atLeast"/>
        </w:trPr>
        <w:tc>
          <w:tcPr>
            <w:tcW w:w="9781" w:type="dxa"/>
            <w:vAlign w:val="center"/>
          </w:tcPr>
          <w:p w14:paraId="2929C822">
            <w:pPr>
              <w:rPr>
                <w:rFonts w:cs="Arial"/>
                <w:sz w:val="22"/>
                <w:szCs w:val="22"/>
              </w:rPr>
            </w:pPr>
            <w:r>
              <w:rPr>
                <w:rFonts w:hint="default" w:cs="Arial"/>
                <w:sz w:val="22"/>
                <w:szCs w:val="22"/>
                <w:lang w:val="en-US"/>
              </w:rPr>
              <w:t>I</w:t>
            </w:r>
            <w:r>
              <w:rPr>
                <w:rFonts w:cs="Arial"/>
                <w:sz w:val="22"/>
                <w:szCs w:val="22"/>
              </w:rPr>
              <w:t>n this section you should indicate:</w:t>
            </w:r>
          </w:p>
          <w:p w14:paraId="42EF9A1E">
            <w:pPr>
              <w:rPr>
                <w:rFonts w:cs="Arial"/>
                <w:sz w:val="22"/>
                <w:szCs w:val="22"/>
              </w:rPr>
            </w:pPr>
          </w:p>
          <w:p w14:paraId="7CF83B99">
            <w:pPr>
              <w:pStyle w:val="37"/>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5A136074">
            <w:pPr>
              <w:pStyle w:val="37"/>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3468365B">
            <w:pPr>
              <w:pStyle w:val="37"/>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492945BE">
            <w:pPr>
              <w:pStyle w:val="37"/>
              <w:numPr>
                <w:ilvl w:val="0"/>
                <w:numId w:val="4"/>
              </w:numPr>
              <w:autoSpaceDE w:val="0"/>
              <w:autoSpaceDN w:val="0"/>
              <w:adjustRightInd w:val="0"/>
              <w:contextualSpacing/>
              <w:rPr>
                <w:rFonts w:eastAsia="Times New Roman" w:cs="Arial"/>
                <w:sz w:val="22"/>
                <w:szCs w:val="22"/>
              </w:rPr>
            </w:pPr>
            <w:r>
              <w:rPr>
                <w:rFonts w:eastAsia="Times New Roman" w:cs="Arial"/>
                <w:sz w:val="22"/>
                <w:szCs w:val="22"/>
              </w:rPr>
              <w:t>Whether you will be carrying out fieldwork or interviews and whether you have followed the correct protocols, secured permission and ethical clearance.·</w:t>
            </w:r>
          </w:p>
          <w:p w14:paraId="310827CB">
            <w:pPr>
              <w:pStyle w:val="12"/>
              <w:keepNext w:val="0"/>
              <w:keepLines w:val="0"/>
              <w:widowControl/>
              <w:suppressLineNumbers w:val="0"/>
              <w:rPr>
                <w:rFonts w:hint="default" w:ascii="Arial Regular" w:hAnsi="Arial Regular" w:cs="Arial Regular"/>
                <w:sz w:val="20"/>
                <w:szCs w:val="20"/>
              </w:rPr>
            </w:pPr>
            <w:r>
              <w:rPr>
                <w:rFonts w:hint="eastAsia" w:ascii="Arial Regular" w:hAnsi="Arial Regular" w:eastAsia="宋体" w:cs="Arial Regular"/>
                <w:sz w:val="20"/>
                <w:szCs w:val="20"/>
                <w:lang w:val="en-US" w:eastAsia="zh-CN"/>
              </w:rPr>
              <w:t>1.</w:t>
            </w:r>
            <w:r>
              <w:rPr>
                <w:rFonts w:hint="default" w:ascii="Arial Regular" w:hAnsi="Arial Regular" w:cs="Arial Regular"/>
                <w:sz w:val="20"/>
                <w:szCs w:val="20"/>
              </w:rPr>
              <w:t>Venues, Software and Digital Resources</w:t>
            </w:r>
          </w:p>
          <w:p w14:paraId="7137BF63">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Books and Archiving. Utilise the British Library and UWTSD Library to retrieve literature on HCI/interaction design, post-phenomenology, cross-cultural adaptation stress, and social presence.</w:t>
            </w:r>
          </w:p>
          <w:p w14:paraId="713DD4A6">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Academic Databases and Websites. ACM DL, IEEE Xplore, Scopus/Web of Science, and Google Scholar; CNKI for accessing Chinese academic research to achieve triangulation between Chinese and English academic perspectives; and HESA data to understand the scale of Chinese students in the UK and recruitment feasibility.</w:t>
            </w:r>
          </w:p>
          <w:p w14:paraId="560183F1">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Research and Prototyping: Figma for experience prototyping; NVivo for qualitative analysis; coding and framework matrices for interviews/diaries/workshops using WoZ transcription. Quantitative analysis via SPSS.</w:t>
            </w:r>
          </w:p>
          <w:p w14:paraId="4BF1F495">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Recruitment Channels: University International Student Office, faculty mailing lists, Chinese Students and Scholars Association (CSSA), campus posters, and WeChat groups (used solely for information dissemination, not direct data collection on third-party platforms).</w:t>
            </w:r>
          </w:p>
          <w:p w14:paraId="6DC3A60E">
            <w:pPr>
              <w:pStyle w:val="12"/>
              <w:keepNext w:val="0"/>
              <w:keepLines w:val="0"/>
              <w:widowControl/>
              <w:suppressLineNumbers w:val="0"/>
              <w:rPr>
                <w:rFonts w:hint="default" w:ascii="Arial Regular" w:hAnsi="Arial Regular" w:cs="Arial Regular"/>
                <w:sz w:val="20"/>
                <w:szCs w:val="20"/>
              </w:rPr>
            </w:pPr>
            <w:r>
              <w:rPr>
                <w:rFonts w:hint="eastAsia" w:ascii="Arial Regular" w:hAnsi="Arial Regular" w:eastAsia="宋体" w:cs="Arial Regular"/>
                <w:sz w:val="20"/>
                <w:szCs w:val="20"/>
                <w:lang w:val="en-US" w:eastAsia="zh-CN"/>
              </w:rPr>
              <w:t>2.</w:t>
            </w:r>
            <w:r>
              <w:rPr>
                <w:rFonts w:hint="default" w:ascii="Arial Regular" w:hAnsi="Arial Regular" w:cs="Arial Regular"/>
                <w:sz w:val="20"/>
                <w:szCs w:val="20"/>
              </w:rPr>
              <w:t>Institutional Approval and Governance (adhering to UWTSD guidelines)</w:t>
            </w:r>
          </w:p>
          <w:p w14:paraId="74BF7B28">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This project will submit a comprehensive ethics application to UWTSD (including subject information sheet, consent form, risk/safety and compensation, and post-study disclosure); complete a Data Protection Impact Assessment (DPIA), clarifying purpose limitation, data minimisation, encryption and access permissions, and retention and destruction schedules; and register consent and data workflows within the Data Management Plan.</w:t>
            </w:r>
          </w:p>
          <w:p w14:paraId="5336029A">
            <w:pPr>
              <w:pStyle w:val="12"/>
              <w:keepNext w:val="0"/>
              <w:keepLines w:val="0"/>
              <w:widowControl/>
              <w:suppressLineNumbers w:val="0"/>
              <w:rPr>
                <w:rFonts w:hint="default" w:ascii="Arial Regular" w:hAnsi="Arial Regular" w:cs="Arial Regular"/>
                <w:sz w:val="20"/>
                <w:szCs w:val="20"/>
              </w:rPr>
            </w:pPr>
            <w:r>
              <w:rPr>
                <w:rFonts w:hint="eastAsia" w:ascii="Arial Regular" w:hAnsi="Arial Regular" w:eastAsia="宋体" w:cs="Arial Regular"/>
                <w:sz w:val="20"/>
                <w:szCs w:val="20"/>
                <w:lang w:val="en-US" w:eastAsia="zh-CN"/>
              </w:rPr>
              <w:t>3.</w:t>
            </w:r>
            <w:r>
              <w:rPr>
                <w:rFonts w:hint="default" w:ascii="Arial Regular" w:hAnsi="Arial Regular" w:cs="Arial Regular"/>
                <w:sz w:val="20"/>
                <w:szCs w:val="20"/>
              </w:rPr>
              <w:t>International and Cross-Border Compliance</w:t>
            </w:r>
          </w:p>
          <w:p w14:paraId="11703223">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This study primarily recruits Chinese international students residing in the UK. Should activities occur within China (e.g., remote co-creation/pre-arrival student interviews), local ethics review requirements will be verified and processed accordingly. Agreements with partners will stipulate adherence to research integrity standards equivalent to those in the UK, with deviations addressed (UWTSD, 2022).</w:t>
            </w:r>
          </w:p>
          <w:p w14:paraId="53D0E7AD">
            <w:pPr>
              <w:pStyle w:val="12"/>
              <w:keepNext w:val="0"/>
              <w:keepLines w:val="0"/>
              <w:widowControl/>
              <w:suppressLineNumbers w:val="0"/>
              <w:rPr>
                <w:rFonts w:hint="default" w:ascii="Arial Regular" w:hAnsi="Arial Regular" w:cs="Arial Regular"/>
                <w:sz w:val="20"/>
                <w:szCs w:val="20"/>
              </w:rPr>
            </w:pPr>
            <w:r>
              <w:rPr>
                <w:rFonts w:hint="eastAsia" w:ascii="Arial Regular" w:hAnsi="Arial Regular" w:eastAsia="宋体" w:cs="Arial Regular"/>
                <w:sz w:val="20"/>
                <w:szCs w:val="20"/>
                <w:lang w:val="en-US" w:eastAsia="zh-CN"/>
              </w:rPr>
              <w:t>4.</w:t>
            </w:r>
            <w:r>
              <w:rPr>
                <w:rFonts w:hint="default" w:ascii="Arial Regular" w:hAnsi="Arial Regular" w:cs="Arial Regular"/>
                <w:sz w:val="20"/>
                <w:szCs w:val="20"/>
              </w:rPr>
              <w:t>On-site, Permits and Participant Care</w:t>
            </w:r>
          </w:p>
          <w:p w14:paraId="2AD79B31">
            <w:pPr>
              <w:pStyle w:val="12"/>
              <w:keepNext w:val="0"/>
              <w:keepLines w:val="0"/>
              <w:widowControl/>
              <w:suppressLineNumbers w:val="0"/>
              <w:rPr>
                <w:rFonts w:hint="default" w:ascii="Arial Regular" w:hAnsi="Arial Regular" w:cs="Arial Regular"/>
                <w:sz w:val="20"/>
                <w:szCs w:val="20"/>
              </w:rPr>
            </w:pPr>
            <w:r>
              <w:rPr>
                <w:rFonts w:hint="default" w:ascii="Arial Regular" w:hAnsi="Arial Regular" w:cs="Arial Regular"/>
                <w:sz w:val="20"/>
                <w:szCs w:val="20"/>
              </w:rPr>
              <w:t>On-campus venues. Interviews, workshops and WoZ sessions will be conducted in pre-booked UWTSD classrooms/usability labs; venue risk assessments and internal permits will be completed in advance. Prototype piloting. On-campus technical support will be provided where necessary to minimise burden and dependency.</w:t>
            </w:r>
          </w:p>
          <w:p w14:paraId="72CD8188">
            <w:pPr>
              <w:pStyle w:val="12"/>
              <w:keepNext w:val="0"/>
              <w:keepLines w:val="0"/>
              <w:widowControl/>
              <w:suppressLineNumbers w:val="0"/>
              <w:rPr>
                <w:rFonts w:hint="default" w:ascii="Arial Regular" w:hAnsi="Arial Regular" w:cs="Arial Regular"/>
                <w:sz w:val="20"/>
                <w:szCs w:val="20"/>
              </w:rPr>
            </w:pPr>
            <w:r>
              <w:rPr>
                <w:rFonts w:hint="eastAsia" w:ascii="Arial Regular" w:hAnsi="Arial Regular" w:eastAsia="宋体" w:cs="Arial Regular"/>
                <w:sz w:val="20"/>
                <w:szCs w:val="20"/>
                <w:lang w:val="en-US" w:eastAsia="zh-CN"/>
              </w:rPr>
              <w:t>5.</w:t>
            </w:r>
            <w:r>
              <w:rPr>
                <w:rFonts w:hint="default" w:ascii="Arial Regular" w:hAnsi="Arial Regular" w:cs="Arial Regular"/>
                <w:sz w:val="20"/>
                <w:szCs w:val="20"/>
              </w:rPr>
              <w:t>Care and Consent.</w:t>
            </w:r>
          </w:p>
          <w:p w14:paraId="465E25FD">
            <w:pPr>
              <w:pStyle w:val="12"/>
              <w:keepNext w:val="0"/>
              <w:keepLines w:val="0"/>
              <w:widowControl/>
              <w:suppressLineNumbers w:val="0"/>
              <w:rPr>
                <w:rFonts w:hint="default" w:ascii="Times New Roman Regular" w:hAnsi="Times New Roman Regular" w:cs="Times New Roman Regular"/>
                <w:sz w:val="22"/>
                <w:szCs w:val="22"/>
              </w:rPr>
            </w:pPr>
            <w:r>
              <w:rPr>
                <w:rFonts w:hint="default" w:ascii="Arial Regular" w:hAnsi="Arial Regular" w:cs="Arial Regular"/>
                <w:sz w:val="20"/>
                <w:szCs w:val="20"/>
              </w:rPr>
              <w:t>In accordance with ‘Care and Respect for All Research Participants’ (UWTSD, 2022), provide plain-language information sheets, obtain written informed consent, and allow participants to withdraw at any time without liability. Participants may opt out of audio/video recording and use pseudonyms; sensitive discussions are conducted in private spaces with integrity and confidentiality. Personal data is stored in encrypted form with role-based access controls; identifying information is kept separate from research data. De-identification is performed prior to analysis and presentation. Security and confidentiality of processing are ensured in accordance with UWTSD requirements.</w:t>
            </w:r>
          </w:p>
        </w:tc>
      </w:tr>
    </w:tbl>
    <w:p w14:paraId="1C6C6C9E">
      <w:pPr>
        <w:rPr>
          <w:rFonts w:cs="Arial"/>
          <w:sz w:val="22"/>
          <w:szCs w:val="22"/>
        </w:rPr>
      </w:pPr>
    </w:p>
    <w:p w14:paraId="068FBBD3">
      <w:pPr>
        <w:rPr>
          <w:rFonts w:cs="Arial"/>
          <w:sz w:val="22"/>
          <w:szCs w:val="22"/>
        </w:rPr>
      </w:pPr>
    </w:p>
    <w:p w14:paraId="532539A2">
      <w:pPr>
        <w:rPr>
          <w:rFonts w:cs="Arial"/>
          <w:sz w:val="22"/>
          <w:szCs w:val="22"/>
        </w:rPr>
      </w:pPr>
    </w:p>
    <w:p w14:paraId="5620ED97">
      <w:pPr>
        <w:rPr>
          <w:rFonts w:cs="Arial"/>
          <w:b/>
          <w:sz w:val="22"/>
          <w:szCs w:val="22"/>
        </w:rPr>
      </w:pPr>
      <w:r>
        <w:rPr>
          <w:rFonts w:cs="Arial"/>
          <w:b/>
          <w:sz w:val="22"/>
          <w:szCs w:val="22"/>
        </w:rPr>
        <w:t>Intellectual Property IP</w:t>
      </w:r>
    </w:p>
    <w:p w14:paraId="4847AFB8">
      <w:pPr>
        <w:rPr>
          <w:rFonts w:cs="Arial"/>
          <w:b/>
          <w:sz w:val="22"/>
          <w:szCs w:val="22"/>
        </w:rPr>
      </w:pPr>
      <w:r>
        <w:rPr>
          <w:sz w:val="22"/>
        </w:rPr>
        <w:t>It is anticipated that Intellectual Property (IP) will be produced as a result of this research.</w:t>
      </w: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34BEA0BE">
        <w:trPr>
          <w:trHeight w:val="427" w:hRule="atLeast"/>
        </w:trPr>
        <w:tc>
          <w:tcPr>
            <w:tcW w:w="9781" w:type="dxa"/>
            <w:gridSpan w:val="3"/>
            <w:tcBorders>
              <w:top w:val="nil"/>
              <w:left w:val="nil"/>
              <w:bottom w:val="nil"/>
              <w:right w:val="nil"/>
            </w:tcBorders>
            <w:shd w:val="clear" w:color="auto" w:fill="auto"/>
          </w:tcPr>
          <w:p w14:paraId="012CF4F9">
            <w:pPr>
              <w:jc w:val="right"/>
              <w:rPr>
                <w:rFonts w:cs="Arial"/>
                <w:b/>
              </w:rPr>
            </w:pPr>
            <w:r>
              <w:rPr>
                <w:rFonts w:cs="Arial"/>
                <w:b/>
              </w:rPr>
              <w:t xml:space="preserve">Tick </w:t>
            </w:r>
            <w:r>
              <w:rPr>
                <w:rFonts w:ascii="Agency FB" w:hAnsi="Agency FB" w:cs="Arial"/>
                <w:b/>
              </w:rPr>
              <w:t>√</w:t>
            </w:r>
          </w:p>
        </w:tc>
      </w:tr>
      <w:tr w14:paraId="65D44C9C">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102959EA">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1D6B3087">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343163F4">
            <w:pPr>
              <w:rPr>
                <w:rFonts w:cs="Arial"/>
                <w:sz w:val="22"/>
                <w:szCs w:val="22"/>
              </w:rPr>
            </w:pPr>
            <w:r>
              <w:rPr>
                <w:rFonts w:cs="Arial"/>
                <w:sz w:val="22"/>
                <w:szCs w:val="22"/>
              </w:rPr>
              <w:t>NO</w:t>
            </w:r>
          </w:p>
        </w:tc>
      </w:tr>
      <w:tr w14:paraId="2BF949CC">
        <w:trPr>
          <w:trHeight w:val="427" w:hRule="atLeast"/>
        </w:trPr>
        <w:tc>
          <w:tcPr>
            <w:tcW w:w="6946" w:type="dxa"/>
            <w:tcBorders>
              <w:top w:val="single" w:color="auto" w:sz="4" w:space="0"/>
            </w:tcBorders>
            <w:shd w:val="clear" w:color="auto" w:fill="F1F1F1" w:themeFill="background1" w:themeFillShade="F2"/>
          </w:tcPr>
          <w:p w14:paraId="1C8BF160">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14:paraId="3FB7B2F0">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14:paraId="05586A79">
                <w:pPr>
                  <w:jc w:val="center"/>
                  <w:rPr>
                    <w:rFonts w:cs="Arial"/>
                    <w:sz w:val="22"/>
                    <w:szCs w:val="22"/>
                  </w:rPr>
                </w:pPr>
                <w:r>
                  <w:rPr>
                    <w:rFonts w:ascii="MS Gothic" w:hAnsi="MS Gothic" w:eastAsia="MS Gothic" w:cs="Arial"/>
                    <w:sz w:val="22"/>
                    <w:szCs w:val="22"/>
                    <w:lang w:val="en-GB" w:eastAsia="en-GB" w:bidi="ar-SA"/>
                  </w:rPr>
                  <w:t>☒</w:t>
                </w:r>
              </w:p>
            </w:tc>
          </w:sdtContent>
        </w:sdt>
      </w:tr>
      <w:tr w14:paraId="08BAAA83">
        <w:trPr>
          <w:trHeight w:val="572" w:hRule="atLeast"/>
        </w:trPr>
        <w:tc>
          <w:tcPr>
            <w:tcW w:w="6946" w:type="dxa"/>
            <w:shd w:val="clear" w:color="auto" w:fill="F1F1F1" w:themeFill="background1" w:themeFillShade="F2"/>
          </w:tcPr>
          <w:p w14:paraId="1590E689">
            <w:pPr>
              <w:rPr>
                <w:sz w:val="22"/>
              </w:rPr>
            </w:pPr>
            <w:r>
              <w:rPr>
                <w:sz w:val="22"/>
              </w:rPr>
              <w:t xml:space="preserve">Is the research dependent upon background IP owned by: </w:t>
            </w:r>
          </w:p>
          <w:p w14:paraId="72E8DDEC">
            <w:pPr>
              <w:rPr>
                <w:rFonts w:cs="Arial"/>
                <w:sz w:val="22"/>
                <w:szCs w:val="22"/>
              </w:rPr>
            </w:pPr>
            <w:r>
              <w:rPr>
                <w:sz w:val="22"/>
              </w:rPr>
              <w:t>If so, please provide details below</w:t>
            </w:r>
          </w:p>
        </w:tc>
        <w:tc>
          <w:tcPr>
            <w:tcW w:w="1418" w:type="dxa"/>
            <w:shd w:val="clear" w:color="auto" w:fill="auto"/>
          </w:tcPr>
          <w:p w14:paraId="6A96A3DD">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30193C2A">
                <w:pPr>
                  <w:jc w:val="center"/>
                  <w:rPr>
                    <w:rFonts w:cs="Arial"/>
                    <w:sz w:val="22"/>
                    <w:szCs w:val="22"/>
                  </w:rPr>
                </w:pPr>
                <w:r>
                  <w:rPr>
                    <w:rFonts w:ascii="MS Gothic" w:hAnsi="MS Gothic" w:eastAsia="MS Gothic" w:cs="Arial"/>
                    <w:sz w:val="22"/>
                    <w:szCs w:val="22"/>
                    <w:lang w:val="en-GB" w:eastAsia="en-GB" w:bidi="ar-SA"/>
                  </w:rPr>
                  <w:t>☒</w:t>
                </w:r>
              </w:p>
            </w:sdtContent>
          </w:sdt>
        </w:tc>
        <w:tc>
          <w:tcPr>
            <w:tcW w:w="1417" w:type="dxa"/>
            <w:shd w:val="clear" w:color="auto" w:fill="auto"/>
          </w:tcPr>
          <w:p w14:paraId="5325D9CB">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6E2125F9">
                <w:pPr>
                  <w:jc w:val="center"/>
                  <w:rPr>
                    <w:rFonts w:cs="Arial"/>
                    <w:sz w:val="22"/>
                    <w:szCs w:val="22"/>
                  </w:rPr>
                </w:pPr>
                <w:r>
                  <w:rPr>
                    <w:rFonts w:ascii="MS Gothic" w:hAnsi="MS Gothic" w:eastAsia="MS Gothic" w:cs="Arial"/>
                    <w:sz w:val="22"/>
                    <w:szCs w:val="22"/>
                    <w:lang w:val="en-GB" w:eastAsia="en-GB" w:bidi="ar-SA"/>
                  </w:rPr>
                  <w:t>☐</w:t>
                </w:r>
              </w:p>
            </w:sdtContent>
          </w:sdt>
        </w:tc>
      </w:tr>
      <w:tr w14:paraId="3EE8985F">
        <w:trPr>
          <w:trHeight w:val="572" w:hRule="atLeast"/>
        </w:trPr>
        <w:tc>
          <w:tcPr>
            <w:tcW w:w="9781" w:type="dxa"/>
            <w:gridSpan w:val="3"/>
            <w:shd w:val="clear" w:color="auto" w:fill="auto"/>
          </w:tcPr>
          <w:p w14:paraId="7C2C0A06">
            <w:pPr>
              <w:rPr>
                <w:i/>
                <w:sz w:val="18"/>
                <w:szCs w:val="18"/>
              </w:rPr>
            </w:pPr>
            <w:r>
              <w:rPr>
                <w:i/>
                <w:sz w:val="18"/>
                <w:szCs w:val="18"/>
              </w:rPr>
              <w:t>Text box will expand</w:t>
            </w:r>
          </w:p>
          <w:p w14:paraId="40898F5A">
            <w:pPr>
              <w:rPr>
                <w:sz w:val="18"/>
                <w:szCs w:val="18"/>
              </w:rPr>
            </w:pPr>
          </w:p>
          <w:p w14:paraId="784D3D3E">
            <w:pPr>
              <w:rPr>
                <w:sz w:val="18"/>
                <w:szCs w:val="18"/>
              </w:rPr>
            </w:pPr>
          </w:p>
          <w:p w14:paraId="463373A7">
            <w:pPr>
              <w:rPr>
                <w:sz w:val="18"/>
                <w:szCs w:val="18"/>
              </w:rPr>
            </w:pPr>
          </w:p>
        </w:tc>
      </w:tr>
      <w:tr w14:paraId="7E997E07">
        <w:trPr>
          <w:trHeight w:val="427" w:hRule="atLeast"/>
        </w:trPr>
        <w:tc>
          <w:tcPr>
            <w:tcW w:w="9781" w:type="dxa"/>
            <w:gridSpan w:val="3"/>
            <w:tcBorders>
              <w:top w:val="nil"/>
              <w:left w:val="nil"/>
              <w:bottom w:val="nil"/>
              <w:right w:val="nil"/>
            </w:tcBorders>
            <w:shd w:val="clear" w:color="auto" w:fill="auto"/>
          </w:tcPr>
          <w:p w14:paraId="7C2A5205">
            <w:pPr>
              <w:jc w:val="right"/>
              <w:rPr>
                <w:rFonts w:cs="Arial"/>
                <w:b/>
              </w:rPr>
            </w:pPr>
            <w:r>
              <w:rPr>
                <w:rFonts w:cs="Arial"/>
                <w:b/>
              </w:rPr>
              <w:t xml:space="preserve">Tick </w:t>
            </w:r>
            <w:r>
              <w:rPr>
                <w:rFonts w:ascii="Agency FB" w:hAnsi="Agency FB" w:cs="Arial"/>
                <w:b/>
              </w:rPr>
              <w:t>√</w:t>
            </w:r>
          </w:p>
        </w:tc>
      </w:tr>
      <w:tr w14:paraId="4A621ED5">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184C841">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3E034D3D">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1FB6FF05">
            <w:pPr>
              <w:rPr>
                <w:rFonts w:cs="Arial"/>
                <w:sz w:val="22"/>
                <w:szCs w:val="22"/>
              </w:rPr>
            </w:pPr>
            <w:r>
              <w:rPr>
                <w:rFonts w:cs="Arial"/>
                <w:sz w:val="22"/>
                <w:szCs w:val="22"/>
              </w:rPr>
              <w:t>NO</w:t>
            </w:r>
          </w:p>
        </w:tc>
      </w:tr>
      <w:tr w14:paraId="320D77C6">
        <w:trPr>
          <w:trHeight w:val="399" w:hRule="atLeast"/>
        </w:trPr>
        <w:tc>
          <w:tcPr>
            <w:tcW w:w="6946" w:type="dxa"/>
            <w:shd w:val="clear" w:color="auto" w:fill="F1F1F1" w:themeFill="background1" w:themeFillShade="F2"/>
          </w:tcPr>
          <w:p w14:paraId="3145BE2D">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shd w:val="clear" w:color="auto" w:fill="auto"/>
              </w:tcPr>
              <w:p w14:paraId="474EFA2E">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844147679"/>
            <w14:checkbox>
              <w14:checked w14:val="0"/>
              <w14:checkedState w14:val="2612" w14:font="MS Gothic"/>
              <w14:uncheckedState w14:val="2610" w14:font="MS Gothic"/>
            </w14:checkbox>
          </w:sdtPr>
          <w:sdtEndPr>
            <w:rPr>
              <w:rFonts w:cs="Arial"/>
              <w:sz w:val="22"/>
              <w:szCs w:val="22"/>
            </w:rPr>
          </w:sdtEndPr>
          <w:sdtContent>
            <w:tc>
              <w:tcPr>
                <w:tcW w:w="1417" w:type="dxa"/>
                <w:shd w:val="clear" w:color="auto" w:fill="auto"/>
              </w:tcPr>
              <w:p w14:paraId="3BE096FF">
                <w:pPr>
                  <w:jc w:val="center"/>
                  <w:rPr>
                    <w:rFonts w:cs="Arial"/>
                    <w:sz w:val="22"/>
                    <w:szCs w:val="22"/>
                  </w:rPr>
                </w:pPr>
                <w:r>
                  <w:rPr>
                    <w:rFonts w:ascii="MS Gothic" w:hAnsi="MS Gothic" w:eastAsia="MS Gothic" w:cs="Arial"/>
                    <w:sz w:val="22"/>
                    <w:szCs w:val="22"/>
                  </w:rPr>
                  <w:t>☐</w:t>
                </w:r>
              </w:p>
            </w:tc>
          </w:sdtContent>
        </w:sdt>
      </w:tr>
      <w:tr w14:paraId="486D434C">
        <w:trPr>
          <w:trHeight w:val="536" w:hRule="atLeast"/>
        </w:trPr>
        <w:tc>
          <w:tcPr>
            <w:tcW w:w="6946" w:type="dxa"/>
            <w:shd w:val="clear" w:color="auto" w:fill="F1F1F1" w:themeFill="background1" w:themeFillShade="F2"/>
          </w:tcPr>
          <w:p w14:paraId="49B8B72D">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20"/>
              </w:rPr>
              <w:t>https://www.uwtsd.ac.uk/iiced/protecting-innovation-and-creativity---intellectual-property/</w:t>
            </w:r>
            <w:r>
              <w:rPr>
                <w:rStyle w:val="20"/>
              </w:rPr>
              <w:fldChar w:fldCharType="end"/>
            </w:r>
          </w:p>
          <w:p w14:paraId="4E5827CB">
            <w:pPr>
              <w:rPr>
                <w:rFonts w:ascii="Calibri" w:hAnsi="Calibri"/>
              </w:rPr>
            </w:pPr>
          </w:p>
        </w:tc>
        <w:tc>
          <w:tcPr>
            <w:tcW w:w="1418" w:type="dxa"/>
            <w:shd w:val="clear" w:color="auto" w:fill="auto"/>
          </w:tcPr>
          <w:p w14:paraId="26FB668C">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c>
          <w:tcPr>
            <w:tcW w:w="1417" w:type="dxa"/>
            <w:shd w:val="clear" w:color="auto" w:fill="auto"/>
          </w:tcPr>
          <w:p w14:paraId="1599CD7F">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22BBA35C">
      <w:pPr>
        <w:rPr>
          <w:rFonts w:cs="Arial"/>
          <w:sz w:val="22"/>
          <w:szCs w:val="22"/>
        </w:rPr>
      </w:pPr>
    </w:p>
    <w:tbl>
      <w:tblPr>
        <w:tblStyle w:val="15"/>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14:paraId="535FDB52">
        <w:tc>
          <w:tcPr>
            <w:tcW w:w="9747" w:type="dxa"/>
          </w:tcPr>
          <w:p w14:paraId="1376D7B7">
            <w:pPr>
              <w:rPr>
                <w:rFonts w:cs="Arial"/>
                <w:sz w:val="22"/>
                <w:szCs w:val="22"/>
              </w:rPr>
            </w:pPr>
          </w:p>
          <w:p w14:paraId="513E5268">
            <w:pPr>
              <w:rPr>
                <w:rFonts w:cs="Arial"/>
                <w:b/>
                <w:sz w:val="22"/>
                <w:szCs w:val="22"/>
              </w:rPr>
            </w:pPr>
            <w:r>
              <w:rPr>
                <w:rFonts w:cs="Arial"/>
                <w:b/>
                <w:sz w:val="22"/>
                <w:szCs w:val="22"/>
              </w:rPr>
              <w:t>Student Signature</w:t>
            </w:r>
          </w:p>
          <w:p w14:paraId="5EEC5232">
            <w:pPr>
              <w:rPr>
                <w:rFonts w:cs="Arial"/>
                <w:sz w:val="22"/>
                <w:szCs w:val="22"/>
              </w:rPr>
            </w:pP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90"/>
              <w:gridCol w:w="5688"/>
              <w:gridCol w:w="1843"/>
            </w:tblGrid>
            <w:tr w14:paraId="35E70B70">
              <w:tc>
                <w:tcPr>
                  <w:tcW w:w="2094" w:type="dxa"/>
                  <w:shd w:val="clear" w:color="auto" w:fill="F1F1F1" w:themeFill="background1" w:themeFillShade="F2"/>
                </w:tcPr>
                <w:p w14:paraId="2B1A3004">
                  <w:pPr>
                    <w:rPr>
                      <w:rFonts w:cs="Arial"/>
                      <w:sz w:val="22"/>
                      <w:szCs w:val="22"/>
                    </w:rPr>
                  </w:pPr>
                </w:p>
                <w:p w14:paraId="26B0D9DA">
                  <w:pPr>
                    <w:rPr>
                      <w:rFonts w:cs="Arial"/>
                      <w:sz w:val="22"/>
                      <w:szCs w:val="22"/>
                    </w:rPr>
                  </w:pPr>
                  <w:r>
                    <w:rPr>
                      <w:rFonts w:cs="Arial"/>
                      <w:sz w:val="22"/>
                      <w:szCs w:val="22"/>
                    </w:rPr>
                    <w:t>Signature or Print Name:</w:t>
                  </w:r>
                </w:p>
                <w:p w14:paraId="69A25636">
                  <w:pPr>
                    <w:rPr>
                      <w:rFonts w:cs="Arial"/>
                      <w:sz w:val="22"/>
                      <w:szCs w:val="22"/>
                    </w:rPr>
                  </w:pPr>
                </w:p>
              </w:tc>
              <w:tc>
                <w:tcPr>
                  <w:tcW w:w="6265" w:type="dxa"/>
                </w:tcPr>
                <w:p w14:paraId="301B8F4B">
                  <w:pPr>
                    <w:rPr>
                      <w:rFonts w:hint="default" w:cs="Arial"/>
                      <w:sz w:val="22"/>
                      <w:szCs w:val="22"/>
                      <w:lang w:val="en-US"/>
                    </w:rPr>
                  </w:pPr>
                </w:p>
                <w:p w14:paraId="13D2438A">
                  <w:pPr>
                    <w:rPr>
                      <w:rFonts w:hint="default" w:eastAsia="宋体" w:cs="Arial"/>
                      <w:sz w:val="22"/>
                      <w:szCs w:val="22"/>
                      <w:lang w:val="en-US" w:eastAsia="zh-CN"/>
                    </w:rPr>
                  </w:pPr>
                  <w:r>
                    <w:rPr>
                      <w:rFonts w:hint="default" w:cs="Arial"/>
                      <w:sz w:val="22"/>
                      <w:szCs w:val="22"/>
                      <w:lang w:val="en-US"/>
                    </w:rPr>
                    <w:t>M</w:t>
                  </w:r>
                  <w:r>
                    <w:rPr>
                      <w:rFonts w:hint="eastAsia" w:eastAsia="宋体" w:cs="Arial"/>
                      <w:sz w:val="22"/>
                      <w:szCs w:val="22"/>
                      <w:lang w:val="en-US" w:eastAsia="zh-CN"/>
                    </w:rPr>
                    <w:t xml:space="preserve">ingmei </w:t>
                  </w:r>
                  <w:r>
                    <w:rPr>
                      <w:rFonts w:hint="default" w:eastAsia="宋体" w:cs="Arial"/>
                      <w:sz w:val="22"/>
                      <w:szCs w:val="22"/>
                      <w:lang w:val="en-US" w:eastAsia="zh-CN"/>
                    </w:rPr>
                    <w:t>X</w:t>
                  </w:r>
                  <w:r>
                    <w:rPr>
                      <w:rFonts w:hint="eastAsia" w:eastAsia="宋体" w:cs="Arial"/>
                      <w:sz w:val="22"/>
                      <w:szCs w:val="22"/>
                      <w:lang w:val="en-US" w:eastAsia="zh-CN"/>
                    </w:rPr>
                    <w:t>ue</w:t>
                  </w:r>
                </w:p>
              </w:tc>
              <w:tc>
                <w:tcPr>
                  <w:tcW w:w="1417" w:type="dxa"/>
                </w:tcPr>
                <w:p w14:paraId="0475CA85">
                  <w:pPr>
                    <w:rPr>
                      <w:rFonts w:hint="eastAsia" w:eastAsia="宋体" w:cs="Arial"/>
                      <w:sz w:val="22"/>
                      <w:szCs w:val="22"/>
                      <w:lang w:eastAsia="zh-CN"/>
                    </w:rPr>
                  </w:pPr>
                  <w:r>
                    <w:rPr>
                      <w:rFonts w:cs="Arial"/>
                      <w:sz w:val="22"/>
                      <w:szCs w:val="22"/>
                    </w:rPr>
                    <w:t>Date:</w:t>
                  </w:r>
                  <w:r>
                    <w:rPr>
                      <w:rFonts w:hint="eastAsia" w:eastAsia="宋体" w:cs="Arial"/>
                      <w:sz w:val="22"/>
                      <w:szCs w:val="22"/>
                      <w:lang w:val="en-US" w:eastAsia="zh-CN"/>
                    </w:rPr>
                    <w:t>05</w:t>
                  </w:r>
                  <w:r>
                    <w:rPr>
                      <w:rFonts w:cs="Arial"/>
                      <w:sz w:val="22"/>
                      <w:szCs w:val="22"/>
                      <w:lang w:val="en-US"/>
                    </w:rPr>
                    <w:t>/0</w:t>
                  </w:r>
                  <w:r>
                    <w:rPr>
                      <w:rFonts w:hint="eastAsia" w:eastAsia="宋体" w:cs="Arial"/>
                      <w:sz w:val="22"/>
                      <w:szCs w:val="22"/>
                      <w:lang w:val="en-US" w:eastAsia="zh-CN"/>
                    </w:rPr>
                    <w:t>9</w:t>
                  </w:r>
                  <w:r>
                    <w:rPr>
                      <w:rFonts w:cs="Arial"/>
                      <w:sz w:val="22"/>
                      <w:szCs w:val="22"/>
                      <w:lang w:val="en-US"/>
                    </w:rPr>
                    <w:t>/202</w:t>
                  </w:r>
                  <w:r>
                    <w:rPr>
                      <w:rFonts w:hint="eastAsia" w:eastAsia="宋体" w:cs="Arial"/>
                      <w:sz w:val="22"/>
                      <w:szCs w:val="22"/>
                      <w:lang w:val="en-US" w:eastAsia="zh-CN"/>
                    </w:rPr>
                    <w:t>5</w:t>
                  </w:r>
                </w:p>
              </w:tc>
            </w:tr>
          </w:tbl>
          <w:p w14:paraId="7BAE8739">
            <w:pPr>
              <w:rPr>
                <w:rFonts w:cs="Arial"/>
                <w:sz w:val="22"/>
                <w:szCs w:val="22"/>
              </w:rPr>
            </w:pPr>
          </w:p>
          <w:p w14:paraId="7186971B">
            <w:pPr>
              <w:rPr>
                <w:rFonts w:cs="Arial"/>
                <w:sz w:val="22"/>
                <w:szCs w:val="22"/>
              </w:rPr>
            </w:pPr>
          </w:p>
        </w:tc>
      </w:tr>
    </w:tbl>
    <w:p w14:paraId="1F6DC404">
      <w:pPr>
        <w:rPr>
          <w:rFonts w:cs="Arial"/>
          <w:sz w:val="22"/>
          <w:szCs w:val="22"/>
        </w:rPr>
      </w:pPr>
    </w:p>
    <w:p w14:paraId="51057E28">
      <w:pPr>
        <w:rPr>
          <w:rFonts w:cs="Arial"/>
          <w:sz w:val="22"/>
          <w:szCs w:val="22"/>
        </w:rPr>
      </w:pPr>
      <w:r>
        <w:rPr>
          <w:rFonts w:cs="Arial"/>
          <w:sz w:val="22"/>
          <w:szCs w:val="22"/>
        </w:rPr>
        <w:br w:type="page"/>
      </w:r>
    </w:p>
    <w:p w14:paraId="5AC5A0EB">
      <w:pPr>
        <w:rPr>
          <w:rFonts w:cs="Arial"/>
          <w:sz w:val="22"/>
          <w:szCs w:val="22"/>
        </w:rPr>
      </w:pPr>
    </w:p>
    <w:p w14:paraId="6ABB2FC9">
      <w:pPr>
        <w:rPr>
          <w:rFonts w:cs="Arial"/>
          <w:sz w:val="22"/>
          <w:szCs w:val="22"/>
        </w:rPr>
      </w:pPr>
    </w:p>
    <w:p w14:paraId="2A2518BF">
      <w:pPr>
        <w:ind w:left="-142"/>
        <w:rPr>
          <w:rFonts w:cs="Arial"/>
          <w:sz w:val="22"/>
          <w:szCs w:val="22"/>
        </w:rPr>
      </w:pPr>
      <w:r>
        <w:rPr>
          <w:rFonts w:cs="Arial"/>
          <w:b/>
          <w:bCs/>
          <w:sz w:val="22"/>
          <w:szCs w:val="22"/>
        </w:rPr>
        <w:t>Supervisory Team</w:t>
      </w:r>
    </w:p>
    <w:p w14:paraId="6C333259">
      <w:pPr>
        <w:rPr>
          <w:rFonts w:cs="Arial"/>
          <w:sz w:val="22"/>
          <w:szCs w:val="22"/>
        </w:rPr>
      </w:pPr>
    </w:p>
    <w:p w14:paraId="031F6DCE">
      <w:pPr>
        <w:ind w:left="180"/>
        <w:rPr>
          <w:rFonts w:cs="Arial"/>
          <w:b/>
          <w:sz w:val="22"/>
          <w:szCs w:val="22"/>
        </w:rPr>
      </w:pPr>
    </w:p>
    <w:tbl>
      <w:tblPr>
        <w:tblStyle w:val="15"/>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14:paraId="6DEC14A5">
        <w:tc>
          <w:tcPr>
            <w:tcW w:w="9747" w:type="dxa"/>
            <w:shd w:val="clear" w:color="auto" w:fill="F1F1F1" w:themeFill="background1" w:themeFillShade="F2"/>
          </w:tcPr>
          <w:p w14:paraId="67C439D8">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2A58274E">
        <w:tc>
          <w:tcPr>
            <w:tcW w:w="9747" w:type="dxa"/>
          </w:tcPr>
          <w:p w14:paraId="14E0F47B">
            <w:pPr>
              <w:rPr>
                <w:rFonts w:cs="Arial"/>
                <w:b/>
                <w:sz w:val="22"/>
                <w:szCs w:val="22"/>
              </w:rPr>
            </w:pPr>
          </w:p>
          <w:p w14:paraId="150FD3CD">
            <w:pPr>
              <w:rPr>
                <w:rFonts w:cs="Arial"/>
                <w:b/>
                <w:sz w:val="22"/>
                <w:szCs w:val="22"/>
              </w:rPr>
            </w:pPr>
            <w:r>
              <w:rPr>
                <w:rFonts w:cs="Arial"/>
                <w:b/>
                <w:sz w:val="22"/>
                <w:szCs w:val="22"/>
              </w:rPr>
              <w:t xml:space="preserve">              Supported:  </w:t>
            </w:r>
            <w:sdt>
              <w:sdtPr>
                <w:rPr>
                  <w:rFonts w:cs="Arial"/>
                  <w:b/>
                  <w:sz w:val="22"/>
                  <w:szCs w:val="22"/>
                </w:rPr>
                <w:id w:val="374281938"/>
                <w14:checkbox>
                  <w14:checked w14:val="1"/>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lang w:val="en-GB" w:eastAsia="en-GB" w:bidi="ar-SA"/>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1B3D0D08">
            <w:pPr>
              <w:rPr>
                <w:rFonts w:cs="Arial"/>
                <w:b/>
                <w:sz w:val="22"/>
                <w:szCs w:val="22"/>
              </w:rPr>
            </w:pPr>
          </w:p>
          <w:p w14:paraId="1029B02B">
            <w:pPr>
              <w:rPr>
                <w:rFonts w:cs="Arial"/>
                <w:b/>
                <w:sz w:val="22"/>
                <w:szCs w:val="22"/>
              </w:rPr>
            </w:pPr>
          </w:p>
        </w:tc>
      </w:tr>
    </w:tbl>
    <w:p w14:paraId="12E8B255">
      <w:pPr>
        <w:rPr>
          <w:rFonts w:cs="Arial"/>
          <w:sz w:val="22"/>
          <w:szCs w:val="22"/>
        </w:rPr>
      </w:pPr>
    </w:p>
    <w:p w14:paraId="040E15F0">
      <w:pPr>
        <w:rPr>
          <w:rFonts w:cs="Arial"/>
          <w:b/>
          <w:sz w:val="22"/>
          <w:szCs w:val="22"/>
        </w:rPr>
      </w:pPr>
      <w:r>
        <w:rPr>
          <w:rFonts w:cs="Arial"/>
          <w:b/>
          <w:sz w:val="22"/>
          <w:szCs w:val="22"/>
        </w:rPr>
        <w:t>Authorisation</w:t>
      </w:r>
    </w:p>
    <w:p w14:paraId="2B6C4E5D">
      <w:pPr>
        <w:rPr>
          <w:rFonts w:cs="Arial"/>
          <w:sz w:val="22"/>
          <w:szCs w:val="22"/>
        </w:rPr>
      </w:pPr>
    </w:p>
    <w:tbl>
      <w:tblPr>
        <w:tblStyle w:val="15"/>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14:paraId="790100F3">
        <w:tc>
          <w:tcPr>
            <w:tcW w:w="2552" w:type="dxa"/>
            <w:shd w:val="clear" w:color="auto" w:fill="F1F1F1" w:themeFill="background1" w:themeFillShade="F2"/>
          </w:tcPr>
          <w:p w14:paraId="750705C5">
            <w:pPr>
              <w:rPr>
                <w:rFonts w:cs="Arial"/>
                <w:sz w:val="22"/>
                <w:szCs w:val="22"/>
              </w:rPr>
            </w:pPr>
            <w:r>
              <w:rPr>
                <w:rFonts w:cs="Arial"/>
                <w:sz w:val="22"/>
                <w:szCs w:val="22"/>
              </w:rPr>
              <w:t>Director of Studies</w:t>
            </w:r>
          </w:p>
        </w:tc>
        <w:tc>
          <w:tcPr>
            <w:tcW w:w="5387" w:type="dxa"/>
          </w:tcPr>
          <w:p w14:paraId="29755B6A">
            <w:pPr>
              <w:rPr>
                <w:rFonts w:cs="Arial"/>
                <w:sz w:val="22"/>
                <w:szCs w:val="22"/>
              </w:rPr>
            </w:pPr>
            <w:r>
              <w:rPr>
                <w:rFonts w:cs="Arial"/>
                <w:sz w:val="22"/>
                <w:szCs w:val="22"/>
              </w:rPr>
              <w:t>Signature or Print Name:</w:t>
            </w:r>
          </w:p>
          <w:p w14:paraId="1640CD4C">
            <w:pPr>
              <w:rPr>
                <w:rFonts w:hint="default" w:eastAsia="宋体" w:cs="Arial"/>
                <w:sz w:val="22"/>
                <w:szCs w:val="22"/>
                <w:lang w:val="en-US" w:eastAsia="zh-CN"/>
              </w:rPr>
            </w:pPr>
            <w:r>
              <w:rPr>
                <w:rFonts w:hint="default" w:cs="Arial"/>
                <w:sz w:val="22"/>
                <w:szCs w:val="22"/>
                <w:lang w:val="en-US"/>
              </w:rPr>
              <w:t>M</w:t>
            </w:r>
            <w:r>
              <w:rPr>
                <w:rFonts w:hint="eastAsia" w:eastAsia="宋体" w:cs="Arial"/>
                <w:sz w:val="22"/>
                <w:szCs w:val="22"/>
                <w:lang w:val="en-US" w:eastAsia="zh-CN"/>
              </w:rPr>
              <w:t xml:space="preserve">ingmei </w:t>
            </w:r>
            <w:r>
              <w:rPr>
                <w:rFonts w:hint="default" w:eastAsia="宋体" w:cs="Arial"/>
                <w:sz w:val="22"/>
                <w:szCs w:val="22"/>
                <w:lang w:val="en-US" w:eastAsia="zh-CN"/>
              </w:rPr>
              <w:t>X</w:t>
            </w:r>
            <w:r>
              <w:rPr>
                <w:rFonts w:hint="eastAsia" w:eastAsia="宋体" w:cs="Arial"/>
                <w:sz w:val="22"/>
                <w:szCs w:val="22"/>
                <w:lang w:val="en-US" w:eastAsia="zh-CN"/>
              </w:rPr>
              <w:t>ue</w:t>
            </w:r>
          </w:p>
          <w:p w14:paraId="4F10A3A4">
            <w:pPr>
              <w:rPr>
                <w:rFonts w:cs="Arial"/>
                <w:sz w:val="22"/>
                <w:szCs w:val="22"/>
              </w:rPr>
            </w:pPr>
          </w:p>
          <w:p w14:paraId="4C62ABE9">
            <w:pPr>
              <w:rPr>
                <w:rFonts w:cs="Arial"/>
                <w:sz w:val="22"/>
                <w:szCs w:val="22"/>
              </w:rPr>
            </w:pPr>
          </w:p>
        </w:tc>
        <w:tc>
          <w:tcPr>
            <w:tcW w:w="1842" w:type="dxa"/>
          </w:tcPr>
          <w:p w14:paraId="1AF1339E">
            <w:pPr>
              <w:rPr>
                <w:rFonts w:cs="Arial"/>
                <w:sz w:val="22"/>
                <w:szCs w:val="22"/>
              </w:rPr>
            </w:pPr>
            <w:r>
              <w:rPr>
                <w:rFonts w:cs="Arial"/>
                <w:sz w:val="22"/>
                <w:szCs w:val="22"/>
              </w:rPr>
              <w:t>Date:</w:t>
            </w:r>
          </w:p>
          <w:p w14:paraId="0069E19D">
            <w:pPr>
              <w:rPr>
                <w:rFonts w:cs="Arial"/>
                <w:sz w:val="22"/>
                <w:szCs w:val="22"/>
              </w:rPr>
            </w:pPr>
            <w:r>
              <w:rPr>
                <w:rFonts w:hint="eastAsia" w:eastAsia="宋体" w:cs="Arial"/>
                <w:sz w:val="22"/>
                <w:szCs w:val="22"/>
                <w:lang w:val="en-US" w:eastAsia="zh-CN"/>
              </w:rPr>
              <w:t>05</w:t>
            </w:r>
            <w:r>
              <w:rPr>
                <w:rFonts w:cs="Arial"/>
                <w:sz w:val="22"/>
                <w:szCs w:val="22"/>
                <w:lang w:val="en-US"/>
              </w:rPr>
              <w:t>/0</w:t>
            </w:r>
            <w:r>
              <w:rPr>
                <w:rFonts w:hint="eastAsia" w:eastAsia="宋体" w:cs="Arial"/>
                <w:sz w:val="22"/>
                <w:szCs w:val="22"/>
                <w:lang w:val="en-US" w:eastAsia="zh-CN"/>
              </w:rPr>
              <w:t>9</w:t>
            </w:r>
            <w:r>
              <w:rPr>
                <w:rFonts w:cs="Arial"/>
                <w:sz w:val="22"/>
                <w:szCs w:val="22"/>
                <w:lang w:val="en-US"/>
              </w:rPr>
              <w:t>/202</w:t>
            </w:r>
            <w:r>
              <w:rPr>
                <w:rFonts w:hint="eastAsia" w:eastAsia="宋体" w:cs="Arial"/>
                <w:sz w:val="22"/>
                <w:szCs w:val="22"/>
                <w:lang w:val="en-US" w:eastAsia="zh-CN"/>
              </w:rPr>
              <w:t>5</w:t>
            </w:r>
          </w:p>
        </w:tc>
      </w:tr>
      <w:tr w14:paraId="0F512DFF">
        <w:tc>
          <w:tcPr>
            <w:tcW w:w="2552" w:type="dxa"/>
            <w:shd w:val="clear" w:color="auto" w:fill="F1F1F1" w:themeFill="background1" w:themeFillShade="F2"/>
          </w:tcPr>
          <w:p w14:paraId="368E5DF8">
            <w:pPr>
              <w:rPr>
                <w:rFonts w:cs="Arial"/>
                <w:sz w:val="22"/>
                <w:szCs w:val="22"/>
              </w:rPr>
            </w:pPr>
            <w:r>
              <w:rPr>
                <w:rFonts w:cs="Arial"/>
                <w:sz w:val="22"/>
                <w:szCs w:val="22"/>
              </w:rPr>
              <w:t>Institute Manager of Research Degrees</w:t>
            </w:r>
          </w:p>
          <w:p w14:paraId="0EB7C658">
            <w:pPr>
              <w:rPr>
                <w:rFonts w:cs="Arial"/>
                <w:sz w:val="22"/>
                <w:szCs w:val="22"/>
              </w:rPr>
            </w:pPr>
          </w:p>
        </w:tc>
        <w:tc>
          <w:tcPr>
            <w:tcW w:w="5387" w:type="dxa"/>
          </w:tcPr>
          <w:p w14:paraId="3F8D8126">
            <w:pPr>
              <w:rPr>
                <w:rFonts w:cs="Arial"/>
                <w:sz w:val="22"/>
                <w:szCs w:val="22"/>
              </w:rPr>
            </w:pPr>
            <w:r>
              <w:rPr>
                <w:rFonts w:cs="Arial"/>
                <w:sz w:val="22"/>
                <w:szCs w:val="22"/>
              </w:rPr>
              <w:t>Signature or Print Name:</w:t>
            </w:r>
          </w:p>
          <w:p w14:paraId="32A0626D">
            <w:pPr>
              <w:rPr>
                <w:rFonts w:hint="default" w:eastAsia="宋体" w:cs="Arial"/>
                <w:sz w:val="22"/>
                <w:szCs w:val="22"/>
                <w:lang w:val="en-US" w:eastAsia="zh-CN"/>
              </w:rPr>
            </w:pPr>
            <w:r>
              <w:rPr>
                <w:rFonts w:hint="default" w:cs="Arial"/>
                <w:sz w:val="22"/>
                <w:szCs w:val="22"/>
                <w:lang w:val="en-US"/>
              </w:rPr>
              <w:t>M</w:t>
            </w:r>
            <w:r>
              <w:rPr>
                <w:rFonts w:hint="eastAsia" w:eastAsia="宋体" w:cs="Arial"/>
                <w:sz w:val="22"/>
                <w:szCs w:val="22"/>
                <w:lang w:val="en-US" w:eastAsia="zh-CN"/>
              </w:rPr>
              <w:t xml:space="preserve">ingmei </w:t>
            </w:r>
            <w:r>
              <w:rPr>
                <w:rFonts w:hint="default" w:eastAsia="宋体" w:cs="Arial"/>
                <w:sz w:val="22"/>
                <w:szCs w:val="22"/>
                <w:lang w:val="en-US" w:eastAsia="zh-CN"/>
              </w:rPr>
              <w:t>X</w:t>
            </w:r>
            <w:r>
              <w:rPr>
                <w:rFonts w:hint="eastAsia" w:eastAsia="宋体" w:cs="Arial"/>
                <w:sz w:val="22"/>
                <w:szCs w:val="22"/>
                <w:lang w:val="en-US" w:eastAsia="zh-CN"/>
              </w:rPr>
              <w:t>ue</w:t>
            </w:r>
          </w:p>
          <w:p w14:paraId="4DECBE59">
            <w:pPr>
              <w:rPr>
                <w:rFonts w:cs="Arial"/>
                <w:sz w:val="22"/>
                <w:szCs w:val="22"/>
              </w:rPr>
            </w:pPr>
          </w:p>
        </w:tc>
        <w:tc>
          <w:tcPr>
            <w:tcW w:w="1842" w:type="dxa"/>
          </w:tcPr>
          <w:p w14:paraId="0E4F3281">
            <w:pPr>
              <w:rPr>
                <w:rFonts w:cs="Arial"/>
                <w:sz w:val="22"/>
                <w:szCs w:val="22"/>
              </w:rPr>
            </w:pPr>
            <w:r>
              <w:rPr>
                <w:rFonts w:cs="Arial"/>
                <w:sz w:val="22"/>
                <w:szCs w:val="22"/>
              </w:rPr>
              <w:t>Date:</w:t>
            </w:r>
          </w:p>
          <w:p w14:paraId="7B46E521">
            <w:pPr>
              <w:rPr>
                <w:rFonts w:cs="Arial"/>
                <w:sz w:val="22"/>
                <w:szCs w:val="22"/>
              </w:rPr>
            </w:pPr>
            <w:r>
              <w:rPr>
                <w:rFonts w:hint="eastAsia" w:eastAsia="宋体" w:cs="Arial"/>
                <w:sz w:val="22"/>
                <w:szCs w:val="22"/>
                <w:lang w:val="en-US" w:eastAsia="zh-CN"/>
              </w:rPr>
              <w:t>05</w:t>
            </w:r>
            <w:r>
              <w:rPr>
                <w:rFonts w:cs="Arial"/>
                <w:sz w:val="22"/>
                <w:szCs w:val="22"/>
                <w:lang w:val="en-US"/>
              </w:rPr>
              <w:t>/0</w:t>
            </w:r>
            <w:r>
              <w:rPr>
                <w:rFonts w:hint="eastAsia" w:eastAsia="宋体" w:cs="Arial"/>
                <w:sz w:val="22"/>
                <w:szCs w:val="22"/>
                <w:lang w:val="en-US" w:eastAsia="zh-CN"/>
              </w:rPr>
              <w:t>9</w:t>
            </w:r>
            <w:r>
              <w:rPr>
                <w:rFonts w:cs="Arial"/>
                <w:sz w:val="22"/>
                <w:szCs w:val="22"/>
                <w:lang w:val="en-US"/>
              </w:rPr>
              <w:t>/202</w:t>
            </w:r>
            <w:r>
              <w:rPr>
                <w:rFonts w:hint="eastAsia" w:eastAsia="宋体" w:cs="Arial"/>
                <w:sz w:val="22"/>
                <w:szCs w:val="22"/>
                <w:lang w:val="en-US" w:eastAsia="zh-CN"/>
              </w:rPr>
              <w:t>5</w:t>
            </w:r>
          </w:p>
        </w:tc>
      </w:tr>
    </w:tbl>
    <w:p w14:paraId="385E4CC7">
      <w:pPr>
        <w:rPr>
          <w:rFonts w:cs="Arial"/>
          <w:sz w:val="22"/>
          <w:szCs w:val="22"/>
        </w:rPr>
      </w:pPr>
    </w:p>
    <w:sectPr>
      <w:headerReference r:id="rId3" w:type="default"/>
      <w:footerReference r:id="rId4" w:type="default"/>
      <w:pgSz w:w="11906" w:h="16838"/>
      <w:pgMar w:top="1440"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CC"/>
    <w:family w:val="roman"/>
    <w:pitch w:val="default"/>
    <w:sig w:usb0="E0002AEF" w:usb1="C0007841" w:usb2="00000009" w:usb3="00000000" w:csb0="400001FF" w:csb1="FFFF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604030504040204"/>
    <w:charset w:val="00"/>
    <w:family w:val="auto"/>
    <w:pitch w:val="default"/>
    <w:sig w:usb0="E1002AFF" w:usb1="C000605B" w:usb2="00000029" w:usb3="00000000" w:csb0="200101FF" w:csb1="20280000"/>
  </w:font>
  <w:font w:name="pingfang sc">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 tc">
    <w:panose1 w:val="020B0400000000000000"/>
    <w:charset w:val="88"/>
    <w:family w:val="auto"/>
    <w:pitch w:val="default"/>
    <w:sig w:usb0="A00002FF" w:usb1="7ACFFDFB" w:usb2="00000017" w:usb3="00000000" w:csb0="00100001" w:csb1="0000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704020202020204"/>
    <w:charset w:val="00"/>
    <w:family w:val="auto"/>
    <w:pitch w:val="default"/>
    <w:sig w:usb0="E0002AFF" w:usb1="C0007843" w:usb2="00000009" w:usb3="00000000" w:csb0="400001FF" w:csb1="FFFF0000"/>
  </w:font>
  <w:font w:name="Times New Roman Regular">
    <w:panose1 w:val="02020803070505020304"/>
    <w:charset w:val="00"/>
    <w:family w:val="auto"/>
    <w:pitch w:val="default"/>
    <w:sig w:usb0="E0002AEF" w:usb1="C0007841" w:usb2="00000009" w:usb3="00000000" w:csb0="400001FF" w:csb1="FFFF0000"/>
  </w:font>
  <w:font w:name="Arial Regular">
    <w:panose1 w:val="020B0704020202020204"/>
    <w:charset w:val="00"/>
    <w:family w:val="auto"/>
    <w:pitch w:val="default"/>
    <w:sig w:usb0="E0002AFF" w:usb1="C0007843" w:usb2="00000009" w:usb3="00000000" w:csb0="400001FF" w:csb1="FFFF0000"/>
  </w:font>
  <w:font w:name="PingFang SC Semibold">
    <w:panose1 w:val="020B0400000000000000"/>
    <w:charset w:val="86"/>
    <w:family w:val="auto"/>
    <w:pitch w:val="default"/>
    <w:sig w:usb0="A00002FF" w:usb1="7ACFFDFB" w:usb2="00000017" w:usb3="00000000" w:csb0="00040001" w:csb1="00000000"/>
  </w:font>
  <w:font w:name="微软雅黑">
    <w:altName w:val="汉仪旗黑"/>
    <w:panose1 w:val="020B0503020204020204"/>
    <w:charset w:val="86"/>
    <w:family w:val="swiss"/>
    <w:pitch w:val="default"/>
    <w:sig w:usb0="00000000" w:usb1="00000000" w:usb2="00000016" w:usb3="00000000" w:csb0="0004001F" w:csb1="00000000"/>
  </w:font>
  <w:font w:name="PingFang SC Regular">
    <w:panose1 w:val="020B0400000000000000"/>
    <w:charset w:val="86"/>
    <w:family w:val="auto"/>
    <w:pitch w:val="default"/>
    <w:sig w:usb0="A00002FF" w:usb1="7ACFFDFB" w:usb2="00000017" w:usb3="00000000" w:csb0="00040001" w:csb1="00000000"/>
  </w:font>
  <w:font w:name="Agency FB">
    <w:altName w:val="Helvetica Neue"/>
    <w:panose1 w:val="020B0503020202020204"/>
    <w:charset w:val="4D"/>
    <w:family w:val="swiss"/>
    <w:pitch w:val="default"/>
    <w:sig w:usb0="00000000" w:usb1="00000000" w:usb2="00000000" w:usb3="00000000" w:csb0="00000001" w:csb1="00000000"/>
  </w:font>
  <w:font w:name="汉仪书宋二KW">
    <w:panose1 w:val="00020600040101010101"/>
    <w:charset w:val="86"/>
    <w:family w:val="auto"/>
    <w:pitch w:val="default"/>
    <w:sig w:usb0="A00002BF" w:usb1="18EF7CFA" w:usb2="00000016" w:usb3="00000000" w:csb0="00040000" w:csb1="00000000"/>
  </w:font>
  <w:font w:name="★超刚黑">
    <w:panose1 w:val="00000900000000000000"/>
    <w:charset w:val="88"/>
    <w:family w:val="auto"/>
    <w:pitch w:val="default"/>
    <w:sig w:usb0="A00002FF" w:usb1="3ACFFD7A" w:usb2="00000016" w:usb3="00000000" w:csb0="00100005" w:csb1="00000000"/>
  </w:font>
  <w:font w:name="Hiragino Sans">
    <w:panose1 w:val="020B0800000000000000"/>
    <w:charset w:val="80"/>
    <w:family w:val="auto"/>
    <w:pitch w:val="default"/>
    <w:sig w:usb0="800002CF" w:usb1="6AC7FCFC" w:usb2="00000012" w:usb3="00000000" w:csb0="0002000D" w:csb1="00000000"/>
  </w:font>
  <w:font w:name="字体管家幻影伯爵">
    <w:panose1 w:val="02010600060101010101"/>
    <w:charset w:val="86"/>
    <w:family w:val="auto"/>
    <w:pitch w:val="default"/>
    <w:sig w:usb0="910002FF" w:usb1="2BDFFCFB" w:usb2="00000036" w:usb3="00000000" w:csb0="203F01FF" w:csb1="D7FF0000"/>
  </w:font>
  <w:font w:name="Kingsoft Sign">
    <w:panose1 w:val="05050102010706020507"/>
    <w:charset w:val="00"/>
    <w:family w:val="auto"/>
    <w:pitch w:val="default"/>
    <w:sig w:usb0="00000000" w:usb1="10000000" w:usb2="00000000" w:usb3="00000000" w:csb0="00000001" w:csb1="00000000"/>
  </w:font>
  <w:font w:name="汉仪旗黑">
    <w:panose1 w:val="00020600040101010101"/>
    <w:charset w:val="86"/>
    <w:family w:val="auto"/>
    <w:pitch w:val="default"/>
    <w:sig w:usb0="A00002BF" w:usb1="1ACF7CFA" w:usb2="00000016" w:usb3="00000000" w:csb0="0004009F" w:csb1="DFD7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 w:name="Symbol">
    <w:altName w:val="Kingsoft Sign"/>
    <w:panose1 w:val="00000000000000000000"/>
    <w:charset w:val="00"/>
    <w:family w:val="auto"/>
    <w:pitch w:val="default"/>
    <w:sig w:usb0="00000000" w:usb1="00000000" w:usb2="00000000" w:usb3="00000000" w:csb0="00000000" w:csb1="00000000"/>
  </w:font>
  <w:font w:name="Arial">
    <w:panose1 w:val="020B07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1110303"/>
    </w:sdtPr>
    <w:sdtContent>
      <w:p w14:paraId="352D1556">
        <w:pPr>
          <w:pStyle w:val="9"/>
          <w:jc w:val="center"/>
        </w:pPr>
        <w:r>
          <w:fldChar w:fldCharType="begin"/>
        </w:r>
        <w:r>
          <w:instrText xml:space="preserve"> PAGE   \* MERGEFORMAT </w:instrText>
        </w:r>
        <w:r>
          <w:fldChar w:fldCharType="separate"/>
        </w:r>
        <w:r>
          <w:t>1</w:t>
        </w:r>
        <w:r>
          <w:fldChar w:fldCharType="end"/>
        </w:r>
      </w:p>
    </w:sdtContent>
  </w:sdt>
  <w:p w14:paraId="1D984B47">
    <w:pPr>
      <w:pStyle w:val="9"/>
      <w:tabs>
        <w:tab w:val="center" w:pos="4536"/>
        <w:tab w:val="left" w:pos="7371"/>
        <w:tab w:val="clear" w:pos="4320"/>
      </w:tabs>
      <w:ind w:right="-755"/>
    </w:pPr>
    <w:r>
      <w:t>November 2020                                                                                                  PG1 Full Research Proposal</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BF5B29">
    <w:pPr>
      <w:pStyle w:val="10"/>
    </w:pPr>
    <w: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pPr>
      <w:pStyle w:val="10"/>
      <w:jc w:val="right"/>
    </w:pPr>
    <w:r>
      <w:tab/>
    </w:r>
    <w:r>
      <w:tab/>
    </w:r>
    <w:r>
      <w:tab/>
    </w:r>
    <w:r>
      <w:tab/>
    </w:r>
    <w:r>
      <w:t>Appendix PG1</w:t>
    </w:r>
  </w:p>
  <w:p w14:paraId="43B41778">
    <w:pPr>
      <w:pStyle w:val="10"/>
    </w:pPr>
  </w:p>
  <w:p w14:paraId="6EF539CC">
    <w:pPr>
      <w:pStyle w:val="10"/>
    </w:pPr>
  </w:p>
  <w:p w14:paraId="50B733D4">
    <w:pPr>
      <w:pStyle w:val="10"/>
    </w:pPr>
  </w:p>
  <w:p w14:paraId="1F4C3B70">
    <w:pPr>
      <w:pStyle w:val="10"/>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C829B8"/>
    <w:multiLevelType w:val="singleLevel"/>
    <w:tmpl w:val="CFC829B8"/>
    <w:lvl w:ilvl="0" w:tentative="0">
      <w:start w:val="1"/>
      <w:numFmt w:val="decimal"/>
      <w:suff w:val="space"/>
      <w:lvlText w:val="%1."/>
      <w:lvlJc w:val="left"/>
    </w:lvl>
  </w:abstractNum>
  <w:abstractNum w:abstractNumId="1">
    <w:nsid w:val="128B0ABE"/>
    <w:multiLevelType w:val="multilevel"/>
    <w:tmpl w:val="128B0A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5F017F"/>
    <w:multiLevelType w:val="multilevel"/>
    <w:tmpl w:val="375F01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1731D98"/>
    <w:multiLevelType w:val="multilevel"/>
    <w:tmpl w:val="71731D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embedSystemFonts/>
  <w:bordersDoNotSurroundHeader w:val="0"/>
  <w:bordersDoNotSurroundFooter w:val="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0000"/>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65E7EF1"/>
    <w:rsid w:val="10A18646"/>
    <w:rsid w:val="1BF7A282"/>
    <w:rsid w:val="1D5F9119"/>
    <w:rsid w:val="1F9B918A"/>
    <w:rsid w:val="2E7BC365"/>
    <w:rsid w:val="2EB7F809"/>
    <w:rsid w:val="2EDBBD51"/>
    <w:rsid w:val="2F7EC6E6"/>
    <w:rsid w:val="2FBF6325"/>
    <w:rsid w:val="327A11EA"/>
    <w:rsid w:val="3777FFAB"/>
    <w:rsid w:val="37EC946B"/>
    <w:rsid w:val="37FF4D46"/>
    <w:rsid w:val="3A13BD2A"/>
    <w:rsid w:val="3AB7BF29"/>
    <w:rsid w:val="3AFF2909"/>
    <w:rsid w:val="3BFFCBC5"/>
    <w:rsid w:val="3DDE95E6"/>
    <w:rsid w:val="3E9B7928"/>
    <w:rsid w:val="3EFF27D1"/>
    <w:rsid w:val="3EFF734E"/>
    <w:rsid w:val="3F9F56D3"/>
    <w:rsid w:val="3FBF2F73"/>
    <w:rsid w:val="3FFF0FD4"/>
    <w:rsid w:val="4FCF3B63"/>
    <w:rsid w:val="56F16752"/>
    <w:rsid w:val="5EEDD047"/>
    <w:rsid w:val="5F0AD257"/>
    <w:rsid w:val="5F3F497A"/>
    <w:rsid w:val="5FEDEB04"/>
    <w:rsid w:val="5FF782EA"/>
    <w:rsid w:val="5FFD65E4"/>
    <w:rsid w:val="6249D3FD"/>
    <w:rsid w:val="636F824F"/>
    <w:rsid w:val="6A3D8899"/>
    <w:rsid w:val="6BF570DB"/>
    <w:rsid w:val="6BFA5D93"/>
    <w:rsid w:val="6BFF6899"/>
    <w:rsid w:val="6BFFE9FF"/>
    <w:rsid w:val="6DFFEA9B"/>
    <w:rsid w:val="6EBE371D"/>
    <w:rsid w:val="6FF74B2B"/>
    <w:rsid w:val="776FFC80"/>
    <w:rsid w:val="77E8A75E"/>
    <w:rsid w:val="7930396C"/>
    <w:rsid w:val="7B73708E"/>
    <w:rsid w:val="7BDFB832"/>
    <w:rsid w:val="7BFE8D20"/>
    <w:rsid w:val="7C89EFCD"/>
    <w:rsid w:val="7D9D1205"/>
    <w:rsid w:val="7DD9FD6A"/>
    <w:rsid w:val="7DEF078F"/>
    <w:rsid w:val="7DEFE869"/>
    <w:rsid w:val="7DFFA7A9"/>
    <w:rsid w:val="7E7D2D88"/>
    <w:rsid w:val="7ECD0DDD"/>
    <w:rsid w:val="7EE54E9D"/>
    <w:rsid w:val="7EF3CBBE"/>
    <w:rsid w:val="7F211F44"/>
    <w:rsid w:val="7F3F9F87"/>
    <w:rsid w:val="7F566BC1"/>
    <w:rsid w:val="7F5B9699"/>
    <w:rsid w:val="7F9DC839"/>
    <w:rsid w:val="7FBFF10F"/>
    <w:rsid w:val="7FDCBA5E"/>
    <w:rsid w:val="7FEC2158"/>
    <w:rsid w:val="7FFAED7F"/>
    <w:rsid w:val="7FFB316E"/>
    <w:rsid w:val="7FFF6983"/>
    <w:rsid w:val="7FFFBB7A"/>
    <w:rsid w:val="7FFFD9BE"/>
    <w:rsid w:val="91B2E237"/>
    <w:rsid w:val="93533B71"/>
    <w:rsid w:val="9DFD732D"/>
    <w:rsid w:val="AEB31E8C"/>
    <w:rsid w:val="B77ADE78"/>
    <w:rsid w:val="BB71B17D"/>
    <w:rsid w:val="BCF71089"/>
    <w:rsid w:val="BF1F3508"/>
    <w:rsid w:val="BFBE680A"/>
    <w:rsid w:val="BFF138DB"/>
    <w:rsid w:val="C9FE2857"/>
    <w:rsid w:val="CBDE8C48"/>
    <w:rsid w:val="CFDE861C"/>
    <w:rsid w:val="CFF79736"/>
    <w:rsid w:val="D5773451"/>
    <w:rsid w:val="DB3DFE93"/>
    <w:rsid w:val="DBAB1BDF"/>
    <w:rsid w:val="DBF7FB10"/>
    <w:rsid w:val="DBFB8B6D"/>
    <w:rsid w:val="DDBD87ED"/>
    <w:rsid w:val="DDF5528D"/>
    <w:rsid w:val="DF52F6AC"/>
    <w:rsid w:val="E52E4DE4"/>
    <w:rsid w:val="EEEFDF75"/>
    <w:rsid w:val="EF6F7BAC"/>
    <w:rsid w:val="EFB73863"/>
    <w:rsid w:val="EFB7F32B"/>
    <w:rsid w:val="EFD63C63"/>
    <w:rsid w:val="EFDFAC29"/>
    <w:rsid w:val="F7F7F19E"/>
    <w:rsid w:val="FAE7153F"/>
    <w:rsid w:val="FB7D0DFF"/>
    <w:rsid w:val="FBB7F19E"/>
    <w:rsid w:val="FBFAD327"/>
    <w:rsid w:val="FD5B76DE"/>
    <w:rsid w:val="FD859F51"/>
    <w:rsid w:val="FDBF3B5A"/>
    <w:rsid w:val="FDE96FDF"/>
    <w:rsid w:val="FE5F36A5"/>
    <w:rsid w:val="FE6FA7B3"/>
    <w:rsid w:val="FEB4E91D"/>
    <w:rsid w:val="FECDC44D"/>
    <w:rsid w:val="FEF8A2F6"/>
    <w:rsid w:val="FF7EC05C"/>
    <w:rsid w:val="FFDC2299"/>
    <w:rsid w:val="FFE3C299"/>
    <w:rsid w:val="FFE9B397"/>
    <w:rsid w:val="FFF63AD2"/>
    <w:rsid w:val="FFF7DCEE"/>
    <w:rsid w:val="FFFF538E"/>
    <w:rsid w:val="FFFFF3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0" w:name="footnote text"/>
    <w:lsdException w:uiPriority="99" w:semiHidden="0" w:name="annotation text"/>
    <w:lsdException w:unhideWhenUsed="0" w:uiPriority="0"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nhideWhenUsed="0" w:uiPriority="0" w:name="footnote reference"/>
    <w:lsdException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paragraph" w:styleId="4">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25"/>
    <w:unhideWhenUsed/>
    <w:uiPriority w:val="99"/>
    <w:rPr>
      <w:lang w:val="zh-CN" w:eastAsia="zh-CN"/>
    </w:rPr>
  </w:style>
  <w:style w:type="paragraph" w:styleId="6">
    <w:name w:val="Body Text"/>
    <w:basedOn w:val="1"/>
    <w:uiPriority w:val="0"/>
    <w:pPr>
      <w:jc w:val="both"/>
    </w:pPr>
    <w:rPr>
      <w:b/>
    </w:rPr>
  </w:style>
  <w:style w:type="paragraph" w:styleId="7">
    <w:name w:val="Block Text"/>
    <w:basedOn w:val="1"/>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8">
    <w:name w:val="Balloon Text"/>
    <w:basedOn w:val="1"/>
    <w:semiHidden/>
    <w:uiPriority w:val="0"/>
    <w:rPr>
      <w:rFonts w:ascii="Tahoma" w:hAnsi="Tahoma" w:cs="Tahoma"/>
      <w:sz w:val="16"/>
      <w:szCs w:val="16"/>
    </w:rPr>
  </w:style>
  <w:style w:type="paragraph" w:styleId="9">
    <w:name w:val="footer"/>
    <w:basedOn w:val="1"/>
    <w:link w:val="27"/>
    <w:uiPriority w:val="99"/>
    <w:pPr>
      <w:tabs>
        <w:tab w:val="center" w:pos="4320"/>
        <w:tab w:val="right" w:pos="8640"/>
      </w:tabs>
    </w:pPr>
  </w:style>
  <w:style w:type="paragraph" w:styleId="10">
    <w:name w:val="header"/>
    <w:basedOn w:val="1"/>
    <w:uiPriority w:val="0"/>
    <w:pPr>
      <w:tabs>
        <w:tab w:val="center" w:pos="4320"/>
        <w:tab w:val="right" w:pos="8640"/>
      </w:tabs>
    </w:pPr>
  </w:style>
  <w:style w:type="paragraph" w:styleId="11">
    <w:name w:val="footnote text"/>
    <w:basedOn w:val="1"/>
    <w:semiHidden/>
    <w:uiPriority w:val="0"/>
  </w:style>
  <w:style w:type="paragraph" w:styleId="12">
    <w:name w:val="Normal (Web)"/>
    <w:basedOn w:val="1"/>
    <w:unhideWhenUsed/>
    <w:uiPriority w:val="99"/>
    <w:pPr>
      <w:spacing w:before="100" w:beforeAutospacing="1" w:after="100" w:afterAutospacing="1"/>
    </w:pPr>
    <w:rPr>
      <w:rFonts w:ascii="Times New Roman" w:hAnsi="Times New Roman"/>
      <w:sz w:val="24"/>
      <w:szCs w:val="24"/>
    </w:rPr>
  </w:style>
  <w:style w:type="paragraph" w:styleId="13">
    <w:name w:val="annotation subject"/>
    <w:basedOn w:val="5"/>
    <w:next w:val="5"/>
    <w:link w:val="26"/>
    <w:unhideWhenUsed/>
    <w:uiPriority w:val="99"/>
    <w:rPr>
      <w:b/>
      <w:bCs/>
    </w:rPr>
  </w:style>
  <w:style w:type="table" w:styleId="15">
    <w:name w:val="Table Grid"/>
    <w:basedOn w:val="14"/>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Strong"/>
    <w:qFormat/>
    <w:uiPriority w:val="22"/>
    <w:rPr>
      <w:b/>
      <w:bCs/>
    </w:rPr>
  </w:style>
  <w:style w:type="character" w:styleId="18">
    <w:name w:val="FollowedHyperlink"/>
    <w:uiPriority w:val="0"/>
    <w:rPr>
      <w:color w:val="800080"/>
      <w:u w:val="single"/>
    </w:rPr>
  </w:style>
  <w:style w:type="character" w:styleId="19">
    <w:name w:val="Emphasis"/>
    <w:basedOn w:val="16"/>
    <w:qFormat/>
    <w:uiPriority w:val="20"/>
    <w:rPr>
      <w:i/>
    </w:rPr>
  </w:style>
  <w:style w:type="character" w:styleId="20">
    <w:name w:val="Hyperlink"/>
    <w:uiPriority w:val="0"/>
    <w:rPr>
      <w:color w:val="0000FF"/>
      <w:u w:val="single"/>
    </w:rPr>
  </w:style>
  <w:style w:type="character" w:styleId="21">
    <w:name w:val="annotation reference"/>
    <w:unhideWhenUsed/>
    <w:uiPriority w:val="99"/>
    <w:rPr>
      <w:sz w:val="16"/>
      <w:szCs w:val="16"/>
    </w:rPr>
  </w:style>
  <w:style w:type="character" w:styleId="22">
    <w:name w:val="footnote reference"/>
    <w:semiHidden/>
    <w:uiPriority w:val="0"/>
    <w:rPr>
      <w:vertAlign w:val="superscript"/>
    </w:rPr>
  </w:style>
  <w:style w:type="paragraph" w:customStyle="1" w:styleId="23">
    <w:name w:val="Heading Erasmod"/>
    <w:basedOn w:val="3"/>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4">
    <w:name w:val="Medium List 2 - Accent 21"/>
    <w:hidden/>
    <w:semiHidden/>
    <w:uiPriority w:val="99"/>
    <w:rPr>
      <w:rFonts w:ascii="Arial" w:hAnsi="Arial" w:eastAsia="Times New Roman" w:cs="Times New Roman"/>
      <w:lang w:val="en-GB" w:eastAsia="en-GB" w:bidi="ar-SA"/>
    </w:rPr>
  </w:style>
  <w:style w:type="character" w:customStyle="1" w:styleId="25">
    <w:name w:val="Comment Text Char"/>
    <w:link w:val="5"/>
    <w:semiHidden/>
    <w:uiPriority w:val="99"/>
    <w:rPr>
      <w:rFonts w:ascii="Arial" w:hAnsi="Arial"/>
    </w:rPr>
  </w:style>
  <w:style w:type="character" w:customStyle="1" w:styleId="26">
    <w:name w:val="Comment Subject Char"/>
    <w:link w:val="13"/>
    <w:semiHidden/>
    <w:uiPriority w:val="99"/>
    <w:rPr>
      <w:rFonts w:ascii="Arial" w:hAnsi="Arial"/>
      <w:b/>
      <w:bCs/>
    </w:rPr>
  </w:style>
  <w:style w:type="character" w:customStyle="1" w:styleId="27">
    <w:name w:val="Footer Char"/>
    <w:link w:val="9"/>
    <w:uiPriority w:val="99"/>
    <w:rPr>
      <w:rFonts w:ascii="Arial" w:hAnsi="Arial"/>
    </w:rPr>
  </w:style>
  <w:style w:type="paragraph" w:customStyle="1" w:styleId="28">
    <w:name w:val="List Paragraph1"/>
    <w:basedOn w:val="1"/>
    <w:qFormat/>
    <w:uiPriority w:val="99"/>
    <w:pPr>
      <w:ind w:left="720"/>
    </w:pPr>
  </w:style>
  <w:style w:type="paragraph" w:customStyle="1" w:styleId="29">
    <w:name w:val="Revision1"/>
    <w:hidden/>
    <w:semiHidden/>
    <w:uiPriority w:val="99"/>
    <w:rPr>
      <w:rFonts w:ascii="Arial" w:hAnsi="Arial" w:eastAsia="Times New Roman" w:cs="Times New Roman"/>
      <w:lang w:val="en-GB" w:eastAsia="en-GB" w:bidi="ar-SA"/>
    </w:rPr>
  </w:style>
  <w:style w:type="paragraph" w:customStyle="1" w:styleId="30">
    <w:name w:val="No Spacing1"/>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31">
    <w:name w:val="Unresolved Mention1"/>
    <w:basedOn w:val="16"/>
    <w:unhideWhenUsed/>
    <w:uiPriority w:val="99"/>
    <w:rPr>
      <w:color w:val="605E5C"/>
      <w:shd w:val="clear" w:color="auto" w:fill="E1DFDD"/>
    </w:rPr>
  </w:style>
  <w:style w:type="paragraph" w:customStyle="1" w:styleId="32">
    <w:name w:val="p1"/>
    <w:basedOn w:val="1"/>
    <w:uiPriority w:val="0"/>
    <w:pPr>
      <w:spacing w:before="0" w:beforeAutospacing="0" w:after="0" w:afterAutospacing="0"/>
      <w:ind w:left="0" w:right="0"/>
      <w:jc w:val="left"/>
    </w:pPr>
    <w:rPr>
      <w:rFonts w:ascii="pingfang sc" w:hAnsi="pingfang sc" w:eastAsia="pingfang sc" w:cs="pingfang sc"/>
      <w:color w:val="000000"/>
      <w:kern w:val="0"/>
      <w:sz w:val="24"/>
      <w:szCs w:val="24"/>
      <w:lang w:val="en-US" w:eastAsia="zh-CN" w:bidi="ar"/>
    </w:rPr>
  </w:style>
  <w:style w:type="character" w:customStyle="1" w:styleId="33">
    <w:name w:val="s1"/>
    <w:basedOn w:val="16"/>
    <w:uiPriority w:val="0"/>
    <w:rPr>
      <w:rFonts w:ascii="Helvetica Neue" w:hAnsi="Helvetica Neue" w:eastAsia="Helvetica Neue" w:cs="Helvetica Neue"/>
      <w:sz w:val="22"/>
      <w:szCs w:val="22"/>
    </w:rPr>
  </w:style>
  <w:style w:type="paragraph" w:customStyle="1" w:styleId="34">
    <w:name w:val="p2"/>
    <w:basedOn w:val="1"/>
    <w:uiPriority w:val="0"/>
    <w:pPr>
      <w:spacing w:before="0" w:beforeAutospacing="0" w:after="0" w:afterAutospacing="0"/>
      <w:ind w:left="0" w:right="0"/>
      <w:jc w:val="left"/>
    </w:pPr>
    <w:rPr>
      <w:rFonts w:hint="default" w:ascii="Helvetica Neue" w:hAnsi="Helvetica Neue" w:eastAsia="Helvetica Neue" w:cs="Helvetica Neue"/>
      <w:color w:val="000000"/>
      <w:kern w:val="0"/>
      <w:sz w:val="22"/>
      <w:szCs w:val="22"/>
      <w:lang w:val="en-US" w:eastAsia="zh-CN" w:bidi="ar"/>
    </w:rPr>
  </w:style>
  <w:style w:type="character" w:customStyle="1" w:styleId="35">
    <w:name w:val="s2"/>
    <w:basedOn w:val="16"/>
    <w:uiPriority w:val="0"/>
    <w:rPr>
      <w:rFonts w:ascii="pingfang sc" w:hAnsi="pingfang sc" w:eastAsia="pingfang sc" w:cs="pingfang sc"/>
      <w:sz w:val="22"/>
      <w:szCs w:val="22"/>
    </w:rPr>
  </w:style>
  <w:style w:type="character" w:customStyle="1" w:styleId="36">
    <w:name w:val="s3"/>
    <w:basedOn w:val="16"/>
    <w:uiPriority w:val="0"/>
    <w:rPr>
      <w:rFonts w:ascii="pingfang tc" w:hAnsi="pingfang tc" w:eastAsia="pingfang tc" w:cs="pingfang tc"/>
      <w:sz w:val="22"/>
      <w:szCs w:val="22"/>
    </w:rPr>
  </w:style>
  <w:style w:type="paragraph" w:styleId="37">
    <w:name w:val="List Paragraph"/>
    <w:basedOn w:val="1"/>
    <w:qFormat/>
    <w:uiPriority w:val="99"/>
    <w:pPr>
      <w:ind w:left="72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UWTSD</Company>
  <Pages>10</Pages>
  <TotalTime>66</TotalTime>
  <ScaleCrop>false</ScaleCrop>
  <LinksUpToDate>false</LinksUpToDate>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2020-11-25T11:17:00Z</dcterms:created>
  <dc:creator>Academic Office</dc:creator>
  <cp:lastModifiedBy>薛mm</cp:lastModifiedBy>
  <cp:lastPrinted>2016-11-03T11:01:00Z</cp:lastPrinted>
  <dcterms:modified xsi:type="dcterms:W3CDTF">2025-09-05T10:07:55Z</dcterms:modified>
  <dc:title>PG1</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2052-6.14.0.8924</vt:lpwstr>
  </property>
  <property fmtid="{D5CDD505-2E9C-101B-9397-08002B2CF9AE}" pid="7" name="MediaServiceImageTags">
    <vt:lpwstr/>
  </property>
  <property fmtid="{D5CDD505-2E9C-101B-9397-08002B2CF9AE}" pid="8" name="ICV">
    <vt:lpwstr>D7CE1A53BE01535EFB45BA68D394B767_43</vt:lpwstr>
  </property>
</Properties>
</file>