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746885" w14:textId="690A7FAD" w:rsidR="00E809EE" w:rsidRDefault="00E809EE" w:rsidP="00E809EE">
      <w:pPr>
        <w:jc w:val="center"/>
        <w:rPr>
          <w:u w:val="single"/>
        </w:rPr>
      </w:pPr>
      <w:r w:rsidRPr="00E809EE">
        <w:rPr>
          <w:u w:val="single"/>
        </w:rPr>
        <w:t>Literature review for Dissertation (2500 words)</w:t>
      </w:r>
    </w:p>
    <w:p w14:paraId="341905A5" w14:textId="77777777" w:rsidR="00E809EE" w:rsidRDefault="00E809EE" w:rsidP="00E809EE">
      <w:pPr>
        <w:jc w:val="center"/>
        <w:rPr>
          <w:u w:val="single"/>
        </w:rPr>
      </w:pPr>
    </w:p>
    <w:p w14:paraId="23026BFB" w14:textId="77777777" w:rsidR="00E809EE" w:rsidRDefault="00E809EE" w:rsidP="00E809EE">
      <w:pPr>
        <w:jc w:val="center"/>
        <w:rPr>
          <w:u w:val="single"/>
        </w:rPr>
      </w:pPr>
    </w:p>
    <w:p w14:paraId="38D1B4E1" w14:textId="6D881C21" w:rsidR="0022154C" w:rsidRDefault="00E809EE" w:rsidP="00E809EE">
      <w:r w:rsidRPr="00E809EE">
        <w:t>The traditional methods of emotionally intelligent practices used with in the twentieth century are often contextualised as aiming to provide employees with social, practical, and personal intelligence practices (Salovey, Mayer, and Caruso, 2004). These practices were typically focused on teamwork, communication, and people skills. The outcome of this research provides specific tests applied in this previous day of age, which resulted in the Mayer-Salovey-Caruso emotional intelligence test (MSCEIT) to measure intelligence approaches used with businesspeople (leaders) as well as educators. The test itself was introduced in 2002; however, it was developed in 1997 from the ability model of emotional intelligence. It was used to assess business professionals' ability to identify emotional cues, use emotions to solve problems, decipher emotional complexities, and control their own and other people's emotions amongst employees (Maul, 2012). This was considered a breakthrough as it aids in determining leadership, decision-making, and people skills strengths and areas for improvement that are still used in training in this modern century. The model consists of four additional specialist skills: (1) the capacity for precise perception, evaluation, and expression of emotion (3) the capacity to comprehend emotion and emotional knowledge ("perceiving emotions"); (2) the capacity to access and/or produce feelings when they support thought ("using emotions," also known as "emotional facilitation of thought"); (4) the capacity to control emotions in order to encourage emotional and intellectual development ("managing emotions")</w:t>
      </w:r>
      <w:r w:rsidR="00D52F06">
        <w:t>,</w:t>
      </w:r>
      <w:r w:rsidRPr="00E809EE">
        <w:t xml:space="preserve"> (Maul, 2012). </w:t>
      </w:r>
    </w:p>
    <w:p w14:paraId="1F549DFC" w14:textId="77777777" w:rsidR="0022154C" w:rsidRDefault="0022154C" w:rsidP="00E809EE"/>
    <w:p w14:paraId="6E0A4016" w14:textId="509A3A01" w:rsidR="00E809EE" w:rsidRPr="00E809EE" w:rsidRDefault="00E809EE" w:rsidP="00E809EE">
      <w:r w:rsidRPr="00E809EE">
        <w:t xml:space="preserve">The test itself was thought to strengthen decision making skills through emotional intelligence with in, in this instance, business leaders and their employees. Employers that used this model and scored highly were thought to be better at managing stress amongst employees, by using emotional perception and conflict resolution in the workplace (Druskat, Mount, and Sala, 2013). The approach has been used in businesses such as Johnson and Johnson’s consumer and personal care group by generally balancing emotional skills with organisational goals, such as being employed by a business to assess managers' capacity to recognise and control their emotions in high-stress scenarios, including project deadlines or corporate deadlines, (Druskat, Mount, and Sala, 2013). In addition to this method, other businesses also incorporated methods to support empowerment through employees; for example, British Petroleum (BP) promoted employee empowerment through programs like "Project 1990" and established flatter structures of management and fewer managerial tiers in the 1990s. This change was made to speed up decision making and encourage more direct </w:t>
      </w:r>
      <w:r w:rsidRPr="00E809EE">
        <w:lastRenderedPageBreak/>
        <w:t>interaction from staff members at all levels. Although these conceptual theories were previously adapted, it can be criticised that these methods of emotional intelligence are not at the same level of depth that modern ones are. </w:t>
      </w:r>
    </w:p>
    <w:p w14:paraId="001BE031" w14:textId="77777777" w:rsidR="00E809EE" w:rsidRDefault="00E809EE" w:rsidP="00E809EE"/>
    <w:p w14:paraId="08AA03B0" w14:textId="4BF8C10F" w:rsidR="00E809EE" w:rsidRDefault="00E809EE" w:rsidP="00E809EE">
      <w:r w:rsidRPr="00E809EE">
        <w:t xml:space="preserve">Compared to earlier methods, contemporary ethical leadership techniques have made considerable progress, placing an emphasis on sustainability, openness, and inclusivity. Laasch (2021) explains in Principles of Management that modern leadership incorporates ethics, responsibility, and sustainability at its foundation, bringing business procedures into line with social ideals, </w:t>
      </w:r>
      <w:r w:rsidR="009732E6">
        <w:t>c</w:t>
      </w:r>
      <w:r w:rsidRPr="00E809EE">
        <w:t xml:space="preserve">hoosing profit maximisation and immediate advantages, sometimes at the expense of ethical issues, was the main focus of twentieth century leadership styles, which were frequently distinguished by an upward structure of hierarchy. Leaders were more inclined to take a transactional approach, giving performance and employee compliance importance over moral conduct or long-term social consequences. The move toward transformational leadership, which promotes empowerment, moral decision making, and building trust within teams, is one notable advancement in contemporary leadership approaches. Today's leaders must be emotionally intelligent, actively listen to their staff, and make choices that will benefit the company and society overall (Muff, Delacoste, and Dyllick, 2022). </w:t>
      </w:r>
    </w:p>
    <w:p w14:paraId="5221E9B5" w14:textId="77777777" w:rsidR="00E809EE" w:rsidRDefault="00E809EE" w:rsidP="00E809EE"/>
    <w:p w14:paraId="7DB8CB6C" w14:textId="0A9B0E8C" w:rsidR="00E809EE" w:rsidRPr="00E809EE" w:rsidRDefault="00E809EE" w:rsidP="00E809EE">
      <w:r w:rsidRPr="00E809EE">
        <w:t>This contrasts with earlier models that frequently valued efficiency and financial performance over the welfare of employees. Furthermore, the concepts of sustainability and corporate social responsibility (CSR) are integrated into contemporary ethical leadership. Businesses are being held increasingly responsible for their social contributions, environmental effects, and moral business practices. For instance, CEOs are now expected to actively promote good change rather than merely comply with rules and regulations by promoting diversity, ensuring fair labour standards, and prioritising sustainability (Laasch, 2021). On the other hand, previous methods frequently prioritised profits over wider societal concerns. Despite advancements, there are still issues with how ethics and sustainability are integrated into leadership. In complicated global settings, making ethical decisions frequently involves balancing competing interests, and some leaders may still find it difficult to match their financial goals with their wider societal obligations. Modern procedures, however, represent a significant advancement that promotes social trust and long-term business wellbeing (employees).</w:t>
      </w:r>
    </w:p>
    <w:p w14:paraId="589A6E46" w14:textId="77777777" w:rsidR="00E809EE" w:rsidRDefault="00E809EE" w:rsidP="00E809EE"/>
    <w:p w14:paraId="457A70EC" w14:textId="77777777" w:rsidR="00E809EE" w:rsidRDefault="00E809EE" w:rsidP="00E809EE"/>
    <w:p w14:paraId="2E179B58" w14:textId="7F4F0CCD" w:rsidR="0022154C" w:rsidRDefault="00E809EE" w:rsidP="00E809EE">
      <w:r w:rsidRPr="00E809EE">
        <w:lastRenderedPageBreak/>
        <w:t xml:space="preserve">To enhance group and organisational performance, organisations must focus on the root causes of conflicts and address those issues. Disagreements or differing objectives that might have negative effects on those concerned are referred to as confrontations. Two familiar challenges that employees raise with their management involving leadership are mental health and wellbeing concerns as well as conflict resolution amongst other employees, (Winardi, Prentice, and weaven, 2022). Furthermore, research suggests that conflict resolution in relation to group functioning can be severely harmed by ongoing relationship conflicts, particularly when those conflicts are negative, trivial, and hostile (Winardi, Prentice and weaven, 2022). For instance, if members of the group disagree on projects, they will resent other participants and link this task related disagreement to personality problems, which is why it is of importance to manage this common issue effectively. </w:t>
      </w:r>
    </w:p>
    <w:p w14:paraId="134AF63F" w14:textId="77777777" w:rsidR="0022154C" w:rsidRDefault="0022154C" w:rsidP="00E809EE"/>
    <w:p w14:paraId="0146791A" w14:textId="5AAF5489" w:rsidR="00E809EE" w:rsidRPr="00E809EE" w:rsidRDefault="00E809EE" w:rsidP="00E809EE">
      <w:r w:rsidRPr="00E809EE">
        <w:t>Furthermore, Winardi, Price, and Prentice (2022) suggest that to resolve issues such as this, it is vital to promote active communication, as it promotes an open discussion in which all participants are free to voice their opinions without interference. This method helps people focus on topics rather than individuals and helps to clear up misunderstandings. In addition to this, it is important to consider all pathways of conflict resolution that emerge amongst workplaces, which is why facilitating mediation with an unbiased third party to identify similar attitudes and differences and come to a compromise as well as encouraging workplace members to train in emotional intelligence courses will allow them to empathise with others and manage emotions effectively (Liddle, 2023). Mental health is also a significant challenge; however, the offer of crisis support, mental health resources, and private counselling service initiatives assists staff members in successfully resolving personal and professional issues. Availability of Resources for Mental Health where employees can readily seek assistance if therapists are available on-site or virtually, if mental health apps (like Headspace or Calm) have funding, or if mental health hotlines are available, as well as candid dialogue with regular check ins, (World Health Organisation, 2022). </w:t>
      </w:r>
    </w:p>
    <w:p w14:paraId="04757F6C" w14:textId="77777777" w:rsidR="00E809EE" w:rsidRDefault="00E809EE" w:rsidP="00E809EE"/>
    <w:p w14:paraId="2564370A" w14:textId="59789C4A" w:rsidR="00E809EE" w:rsidRPr="00E809EE" w:rsidRDefault="00E809EE" w:rsidP="00E809EE">
      <w:r w:rsidRPr="00E809EE">
        <w:t xml:space="preserve">The issues of mental health and conflict resolution have been approached by management in different but complementary ways. Interpersonal dynamics, encouraging cooperation through active communication, and mediation are the main focuses of conflict resolution techniques. To reduce long term group dysfunction, these strategies emphasise candid conversations that assist teams in concentrating on work rather than personal complaints (Winardi, Prentice, and Weaven, 2022). By addressing the underlying causes of conflicts, tools such as emotional intelligence training help employees negotiate interpersonal issues with empathy. On the other hand, mental health interventions use systemic assistance to address individual well-being. Both </w:t>
      </w:r>
      <w:r w:rsidRPr="00E809EE">
        <w:lastRenderedPageBreak/>
        <w:t>personal and professional difficulties are addressed by programs like mental health apps, counsellor access, and employee assistance programs. These Regular check ins and flexible work schedules help employees become more resilient to stress and burnout (World Health Organisation, 2022). Although one strategy focuses on group harmony and the other on individual stability, both strategies seek to create a positive work environment.</w:t>
      </w:r>
    </w:p>
    <w:p w14:paraId="3B41A907" w14:textId="77777777" w:rsidR="00E809EE" w:rsidRDefault="00E809EE" w:rsidP="00E809EE"/>
    <w:p w14:paraId="7786A7B0" w14:textId="77777777" w:rsidR="00E809EE" w:rsidRDefault="00E809EE" w:rsidP="00E809EE">
      <w:r w:rsidRPr="00E809EE">
        <w:t xml:space="preserve">Numerous studies have examined how well emotional intelligence management techniques may develop good leadership, with professionals highlighting how they can encourage employee engagement, teamwork, and organisational success. In the Handbook of Research on Employee Voice, Wilkinson et al. (2020) draw attention to the crucial relationship between emotional intelligence and leadership, arguing that EI practices improve leader's capacity to identify, understand, and control emotions both their own and those of others thereby building a healthy work environment. Strong emotional intelligence in leadership enables leaders to function as sympathetic facilitators by addressing fundamental issues like employee discontent and disengagement. Employee voice is a critical component of organisational performance, and leaders with high emotional intelligence are adept at hearing their concerns, resolving disputes, and building trust. According to Wilkinson et al. (2020), companies with EI-trained executives are more likely to maintain inclusive workplaces where staff members are respected and feel heard. </w:t>
      </w:r>
    </w:p>
    <w:p w14:paraId="2C0031B0" w14:textId="77777777" w:rsidR="00E809EE" w:rsidRDefault="00E809EE" w:rsidP="00E809EE"/>
    <w:p w14:paraId="73B13F67" w14:textId="4B516046" w:rsidR="00E809EE" w:rsidRPr="00E809EE" w:rsidRDefault="00E809EE" w:rsidP="00E809EE">
      <w:r w:rsidRPr="00E809EE">
        <w:t>Consequently, this enhances dedication and output. However, Rivers et al. (2020) suggests how well emotional intelligence methods are implemented and how it also affects how effective they are. For example, context sensitive, evidence-based leadership development in emotional intelligence should be tailored to the needs of individual organisations. Even though instruments like the Mayer-Salovey-Caruso Emotional Intelligence Test and the MSCEIT have been used, their use needs to go beyond measurement to promote significant behavioural changes. According to Wilkinson et al. (2020), if superficial EI techniques are not combined with more comprehensive frameworks for leadership development, they might not yield long term advantages. The format of the emotional intelligence test is particularly effective at helping leaders become more self-aware. According to Rivers et al. (2020), leaders can react to workplace issues more intelligently if they have a better grasp of how they feel and control their emotions. For instance, leaders might modify their management and communication approaches to create a more peaceful workplace by identifying stressors or interpersonal issues. This increased self-awareness acts as a stimulant for behavioural shifts, pushing leaders to take more inclusive, constructive, and sympathetic stances.</w:t>
      </w:r>
    </w:p>
    <w:p w14:paraId="16CF9E14" w14:textId="77777777" w:rsidR="00E809EE" w:rsidRDefault="00E809EE" w:rsidP="00E809EE"/>
    <w:p w14:paraId="0DCF511D" w14:textId="31415568" w:rsidR="00E809EE" w:rsidRPr="00E809EE" w:rsidRDefault="00E809EE" w:rsidP="00E809EE">
      <w:r w:rsidRPr="00E809EE">
        <w:t>Additionally, the MSCEIT and emotional intelligence test encourage the growth of people skills that are necessary for successful leadership. It improves leaders’ capacity to settle disputes and inspire groups by teaching them how to effectively read emotional cues and control interpersonal dynamics. According to Rivers et al. (2020), these enhancements are consistent with transformative leadership. Although these benefits are effective, emotional intelligence-based leadership practices can have faults. The issues addressed by Wilkinson et al. (2020) show that the hazards of relying too much on emotional intelligence tests or the possibility that leaders might misuse them to manipulate others may be a concern. However, these approaches support combining emotional intelligence with moral leadership values and ongoing professional growth to combat these problems. </w:t>
      </w:r>
    </w:p>
    <w:p w14:paraId="65677FE7" w14:textId="77777777" w:rsidR="00E809EE" w:rsidRPr="00E809EE" w:rsidRDefault="00E809EE" w:rsidP="00E809EE"/>
    <w:p w14:paraId="20B34E88" w14:textId="3C832E83" w:rsidR="00E809EE" w:rsidRDefault="009732E6" w:rsidP="00E809EE">
      <w:r>
        <w:t>Contemporary solutions</w:t>
      </w:r>
      <w:r w:rsidR="00E809EE" w:rsidRPr="00E809EE">
        <w:t xml:space="preserve"> in large UK companies could be enhanced by two strategies: personalised employee support and digital platforms for employee feedback. Each strategy has its own advantages and disadvantages, but they both centre on improving communication, attending to individual needs, and creating a positive work atmosphere. Evaluation platforms and other AI-powered digital technologies are being used increasingly to examine conflicts and keep a focus on staff satisfaction. Since these solutions offer immediate feedback, businesses can respond quickly to problems. Digital feedback systems can assess employee mood on a broad scale and spot trends or early indicators of discontent or disengagement, (Budhwar et al., 2022). By doing this, they enable managers to resolve issues before they become more serious disputes that could have a negative effect on morale and productivity. By doing so the benefits are of many, such as immediate conflict detection tools enable prompt reactions to potential problems by giving instant insights into the emotional and mental states of employees (Budhwar et al., 2022). </w:t>
      </w:r>
    </w:p>
    <w:p w14:paraId="1ED9AE28" w14:textId="77777777" w:rsidR="00E809EE" w:rsidRDefault="00E809EE" w:rsidP="00E809EE"/>
    <w:p w14:paraId="4EA2ADDD" w14:textId="26032C7D" w:rsidR="00E809EE" w:rsidRPr="00E809EE" w:rsidRDefault="00E809EE" w:rsidP="00E809EE">
      <w:r w:rsidRPr="00E809EE">
        <w:t xml:space="preserve">Additionally, anonymity and openness compared to more conventional face to face contacts, allow employees to feel more at ease voicing their issues via digital channels, which can result in more truthful and honest responses. Data driven decisions also Use real-time data, and managers can develop solutions and make evidence-based decisions to oversee problems more successfully. Alternatively, privacy issues where the constant use of tracking employees’ opinions raises concerns about data ethics and privacy. Constant surveillance may make employees uneasy, which could reduce management's legitimacy, as well as the issue of lack of nuance, because although AI systems are capable of identifying patterns, they might not be able to pick up on the emotional nuances of human interaction, which could lead to misunderstandings about </w:t>
      </w:r>
      <w:r w:rsidRPr="00E809EE">
        <w:lastRenderedPageBreak/>
        <w:t>conflicts or the failure to recognize personal dynamics that call for personal involvement as it is more personal (Budhwar et al., 2022).</w:t>
      </w:r>
    </w:p>
    <w:p w14:paraId="51F4D52B" w14:textId="77777777" w:rsidR="00E809EE" w:rsidRPr="00E809EE" w:rsidRDefault="00E809EE" w:rsidP="00E809EE"/>
    <w:p w14:paraId="38A2C350" w14:textId="76D9125A" w:rsidR="00E809EE" w:rsidRPr="00E809EE" w:rsidRDefault="00E809EE" w:rsidP="00E809EE">
      <w:r w:rsidRPr="00E809EE">
        <w:t xml:space="preserve">On the other hand, Meske and Junglas (2021), calls attention to the fact that employees are increasingly looking for an individual approach that tackles their unique problems, particularly in remote or hybrid work. Businesses could use this approach to show their dedication to the welfare of their employees by offering tailored support, which promotes trust and sustained engagement. The benefit of using this approach is of many, Enhanced Staff engagement </w:t>
      </w:r>
      <w:r w:rsidR="009732E6">
        <w:t>w</w:t>
      </w:r>
      <w:r w:rsidRPr="00E809EE">
        <w:t>hen workers receive individualised help that meets their specific requirements, they may feel appreciated and supported, which can result in increased job satisfaction. Additionally, talent preservation is a benefit as well Since workers are more inclined to stick with companies that support their professional and personal growth, providing individualised support can help draw in and keep hardworking employees (Meske and Junglas (2021). Nevertheless, downfalls of these modern approaches is that It can be expensive and time-consuming to provide individualised help, especially for bigger businesses that must serve a varied personnel, as well as if certain employees receive more attention than others, individual support may unintentionally give the impression that someone is being treated unfairly or with partiality if it is not handled appropriately. </w:t>
      </w:r>
    </w:p>
    <w:p w14:paraId="3A1A33CE" w14:textId="77777777" w:rsidR="00E809EE" w:rsidRDefault="00E809EE" w:rsidP="00E809EE"/>
    <w:p w14:paraId="27E1AA36" w14:textId="77777777" w:rsidR="00E809EE" w:rsidRDefault="00E809EE" w:rsidP="00E809EE"/>
    <w:p w14:paraId="4B564206" w14:textId="77777777" w:rsidR="00E809EE" w:rsidRDefault="00E809EE" w:rsidP="00E809EE"/>
    <w:p w14:paraId="0E929163" w14:textId="77777777" w:rsidR="00E809EE" w:rsidRDefault="00E809EE" w:rsidP="00E809EE"/>
    <w:p w14:paraId="5F4AA215" w14:textId="77777777" w:rsidR="00E809EE" w:rsidRDefault="00E809EE" w:rsidP="00E809EE"/>
    <w:p w14:paraId="1D796E8A" w14:textId="77777777" w:rsidR="00E809EE" w:rsidRDefault="00E809EE" w:rsidP="00E809EE"/>
    <w:p w14:paraId="47548C0D" w14:textId="77777777" w:rsidR="00E809EE" w:rsidRDefault="00E809EE" w:rsidP="00E809EE"/>
    <w:p w14:paraId="0209F3AE" w14:textId="77777777" w:rsidR="00E809EE" w:rsidRDefault="00E809EE" w:rsidP="00E809EE"/>
    <w:p w14:paraId="77343D7D" w14:textId="77777777" w:rsidR="00E809EE" w:rsidRDefault="00E809EE" w:rsidP="00E809EE"/>
    <w:p w14:paraId="5909BAE1" w14:textId="77777777" w:rsidR="00E809EE" w:rsidRDefault="00E809EE" w:rsidP="00E809EE"/>
    <w:p w14:paraId="43F2BAA2" w14:textId="77777777" w:rsidR="00E809EE" w:rsidRDefault="00E809EE" w:rsidP="00E809EE"/>
    <w:p w14:paraId="4CABE916" w14:textId="77777777" w:rsidR="00E809EE" w:rsidRDefault="00E809EE" w:rsidP="00E809EE"/>
    <w:p w14:paraId="49EEC5E8" w14:textId="77777777" w:rsidR="00E809EE" w:rsidRDefault="00E809EE" w:rsidP="00E809EE"/>
    <w:p w14:paraId="59E9DEE2" w14:textId="77777777" w:rsidR="00E809EE" w:rsidRDefault="00E809EE" w:rsidP="00E809EE"/>
    <w:p w14:paraId="50179E5B" w14:textId="77777777" w:rsidR="00E809EE" w:rsidRDefault="00E809EE" w:rsidP="00E809EE"/>
    <w:p w14:paraId="28EF9B74" w14:textId="77777777" w:rsidR="00E809EE" w:rsidRDefault="00E809EE" w:rsidP="00E809EE"/>
    <w:p w14:paraId="2C63374B" w14:textId="082D772E" w:rsidR="00E809EE" w:rsidRDefault="00E809EE" w:rsidP="00E809EE">
      <w:pPr>
        <w:rPr>
          <w:u w:val="single"/>
        </w:rPr>
      </w:pPr>
      <w:r w:rsidRPr="00E809EE">
        <w:rPr>
          <w:u w:val="single"/>
        </w:rPr>
        <w:t>References</w:t>
      </w:r>
    </w:p>
    <w:p w14:paraId="215AD293" w14:textId="77777777" w:rsidR="00E809EE" w:rsidRDefault="00E809EE" w:rsidP="00E809EE">
      <w:pPr>
        <w:rPr>
          <w:u w:val="single"/>
        </w:rPr>
      </w:pPr>
    </w:p>
    <w:p w14:paraId="51D224B4" w14:textId="77777777" w:rsidR="00E809EE" w:rsidRPr="00E809EE" w:rsidRDefault="00E809EE" w:rsidP="00E809EE">
      <w:r w:rsidRPr="00E809EE">
        <w:t xml:space="preserve">Salovey, P., Mayer, J. and Caruso, D., 2004. </w:t>
      </w:r>
      <w:r w:rsidRPr="00E809EE">
        <w:rPr>
          <w:i/>
          <w:iCs/>
        </w:rPr>
        <w:t>Emotional intelligence: Theory, findings, and implications. Psychological inquiry,</w:t>
      </w:r>
      <w:r w:rsidRPr="00E809EE">
        <w:t xml:space="preserve"> </w:t>
      </w:r>
      <w:r w:rsidRPr="00E809EE">
        <w:rPr>
          <w:i/>
          <w:iCs/>
        </w:rPr>
        <w:t>15</w:t>
      </w:r>
      <w:r w:rsidRPr="00E809EE">
        <w:t>(3), pp.197-215. </w:t>
      </w:r>
    </w:p>
    <w:p w14:paraId="05D6EC1B" w14:textId="77777777" w:rsidR="00E809EE" w:rsidRPr="00E809EE" w:rsidRDefault="00E809EE" w:rsidP="00E809EE"/>
    <w:p w14:paraId="212C6BB4" w14:textId="77777777" w:rsidR="00E809EE" w:rsidRPr="00E809EE" w:rsidRDefault="00E809EE" w:rsidP="00E809EE">
      <w:r w:rsidRPr="00E809EE">
        <w:t xml:space="preserve">Maul, A., 2012. </w:t>
      </w:r>
      <w:r w:rsidRPr="00E809EE">
        <w:rPr>
          <w:i/>
          <w:iCs/>
        </w:rPr>
        <w:t>The validity of the Mayer–Salovey–Caruso Emotional Intelligence Test (MSCEIT) as a measure of emotional intelligence</w:t>
      </w:r>
      <w:r w:rsidRPr="00E809EE">
        <w:t xml:space="preserve">. </w:t>
      </w:r>
      <w:r w:rsidRPr="00E809EE">
        <w:rPr>
          <w:i/>
          <w:iCs/>
        </w:rPr>
        <w:t>Emotion Review</w:t>
      </w:r>
      <w:r w:rsidRPr="00E809EE">
        <w:t xml:space="preserve">, </w:t>
      </w:r>
      <w:r w:rsidRPr="00E809EE">
        <w:rPr>
          <w:i/>
          <w:iCs/>
        </w:rPr>
        <w:t>4</w:t>
      </w:r>
      <w:r w:rsidRPr="00E809EE">
        <w:t>(4), pp.394-402.</w:t>
      </w:r>
    </w:p>
    <w:p w14:paraId="402C8C17" w14:textId="77777777" w:rsidR="00E809EE" w:rsidRPr="00E809EE" w:rsidRDefault="00E809EE" w:rsidP="00E809EE"/>
    <w:p w14:paraId="080734F0" w14:textId="77777777" w:rsidR="00E809EE" w:rsidRPr="00E809EE" w:rsidRDefault="00E809EE" w:rsidP="00E809EE">
      <w:r w:rsidRPr="00E809EE">
        <w:t xml:space="preserve">Druskat, V.U., Mount, G. and Sala, F., 2013. </w:t>
      </w:r>
      <w:r w:rsidRPr="00E809EE">
        <w:rPr>
          <w:i/>
          <w:iCs/>
        </w:rPr>
        <w:t>Linking emotional intelligence and performance at work: Current research evidence with individuals and groups</w:t>
      </w:r>
      <w:r w:rsidRPr="00E809EE">
        <w:t>. Psychology Press.</w:t>
      </w:r>
    </w:p>
    <w:p w14:paraId="178681DA" w14:textId="77777777" w:rsidR="00E809EE" w:rsidRPr="00E809EE" w:rsidRDefault="00E809EE" w:rsidP="00E809EE"/>
    <w:p w14:paraId="1E30578C" w14:textId="77777777" w:rsidR="00E809EE" w:rsidRPr="00E809EE" w:rsidRDefault="00E809EE" w:rsidP="00E809EE">
      <w:r w:rsidRPr="00E809EE">
        <w:t xml:space="preserve">Cross, J., Earl, M.J. and Sampler, J.L., 1997. </w:t>
      </w:r>
      <w:r w:rsidRPr="00E809EE">
        <w:rPr>
          <w:i/>
          <w:iCs/>
        </w:rPr>
        <w:t>Transformation of the IT function at British Petroleum</w:t>
      </w:r>
      <w:r w:rsidRPr="00E809EE">
        <w:t xml:space="preserve">. </w:t>
      </w:r>
      <w:r w:rsidRPr="00E809EE">
        <w:rPr>
          <w:i/>
          <w:iCs/>
        </w:rPr>
        <w:t>Mis Quarterly</w:t>
      </w:r>
      <w:r w:rsidRPr="00E809EE">
        <w:t>, pp.401-423.</w:t>
      </w:r>
    </w:p>
    <w:p w14:paraId="3F9B570C" w14:textId="77777777" w:rsidR="00E809EE" w:rsidRPr="00E809EE" w:rsidRDefault="00E809EE" w:rsidP="00E809EE"/>
    <w:p w14:paraId="4567423F" w14:textId="6D8DF11A" w:rsidR="00E809EE" w:rsidRPr="00E809EE" w:rsidRDefault="00E809EE" w:rsidP="00E809EE">
      <w:r w:rsidRPr="00E809EE">
        <w:t xml:space="preserve"> Laasch, O. (2021) </w:t>
      </w:r>
      <w:r w:rsidRPr="00E809EE">
        <w:rPr>
          <w:i/>
          <w:iCs/>
        </w:rPr>
        <w:t>Principles of management</w:t>
      </w:r>
      <w:r w:rsidRPr="00E809EE">
        <w:rPr>
          <w:rFonts w:ascii="Arial" w:hAnsi="Arial" w:cs="Arial"/>
          <w:i/>
          <w:iCs/>
        </w:rPr>
        <w:t>:</w:t>
      </w:r>
      <w:r w:rsidRPr="00E809EE">
        <w:rPr>
          <w:i/>
          <w:iCs/>
        </w:rPr>
        <w:t xml:space="preserve"> practicing ethics, responsibility, sustainability</w:t>
      </w:r>
      <w:r w:rsidRPr="00E809EE">
        <w:t>. Second edition. London: SAGE.</w:t>
      </w:r>
    </w:p>
    <w:p w14:paraId="25655164" w14:textId="77777777" w:rsidR="00E809EE" w:rsidRPr="00E809EE" w:rsidRDefault="00E809EE" w:rsidP="00E809EE"/>
    <w:p w14:paraId="3AF02F63" w14:textId="77777777" w:rsidR="00E809EE" w:rsidRPr="00E809EE" w:rsidRDefault="00E809EE" w:rsidP="00E809EE">
      <w:r w:rsidRPr="00E809EE">
        <w:t>Muff, K., Delacoste, C. and Dyllick, T. (2022)</w:t>
      </w:r>
      <w:r w:rsidRPr="00E809EE">
        <w:rPr>
          <w:i/>
          <w:iCs/>
        </w:rPr>
        <w:t xml:space="preserve"> ‘Responsible Leadership Competencies in leaders around the world: Assessing stakeholder engagement, ethics and values, systems thinking and innovation competencies in leaders around the world’</w:t>
      </w:r>
      <w:r w:rsidRPr="00E809EE">
        <w:t xml:space="preserve">, </w:t>
      </w:r>
      <w:r w:rsidRPr="00E809EE">
        <w:rPr>
          <w:i/>
          <w:iCs/>
        </w:rPr>
        <w:t>Corporate social-responsibility and environmental management</w:t>
      </w:r>
      <w:r w:rsidRPr="00E809EE">
        <w:t>, 29(1), pp. 273–292. Available at: https://doi.org/10.1002/csr.2216.</w:t>
      </w:r>
    </w:p>
    <w:p w14:paraId="0C44E072" w14:textId="77777777" w:rsidR="00E809EE" w:rsidRPr="00E809EE" w:rsidRDefault="00E809EE" w:rsidP="00E809EE"/>
    <w:p w14:paraId="58834966" w14:textId="77777777" w:rsidR="00E809EE" w:rsidRPr="00E809EE" w:rsidRDefault="00E809EE" w:rsidP="00E809EE">
      <w:r w:rsidRPr="00E809EE">
        <w:t> Winardi, M.A., Prentice, C. and Weaven, S., 2022.</w:t>
      </w:r>
      <w:r w:rsidRPr="00E809EE">
        <w:rPr>
          <w:i/>
          <w:iCs/>
        </w:rPr>
        <w:t xml:space="preserve"> Systematic literature review on emotional intelligence and conflict management. Journal of global scholars of marketing science,</w:t>
      </w:r>
      <w:r w:rsidRPr="00E809EE">
        <w:t xml:space="preserve"> </w:t>
      </w:r>
      <w:r w:rsidRPr="00E809EE">
        <w:rPr>
          <w:i/>
          <w:iCs/>
        </w:rPr>
        <w:t>32</w:t>
      </w:r>
      <w:r w:rsidRPr="00E809EE">
        <w:t>(3), pp.372-397.</w:t>
      </w:r>
    </w:p>
    <w:p w14:paraId="3FA3A74B" w14:textId="77777777" w:rsidR="00E809EE" w:rsidRPr="00E809EE" w:rsidRDefault="00E809EE" w:rsidP="00E809EE"/>
    <w:p w14:paraId="0455CEE7" w14:textId="77777777" w:rsidR="00E809EE" w:rsidRPr="00E809EE" w:rsidRDefault="00E809EE" w:rsidP="00E809EE">
      <w:r w:rsidRPr="00E809EE">
        <w:t xml:space="preserve">Liddle, D., 2023. </w:t>
      </w:r>
      <w:r w:rsidRPr="00E809EE">
        <w:rPr>
          <w:i/>
          <w:iCs/>
        </w:rPr>
        <w:t>Managing conflict: A practical guide to resolution in the workplace</w:t>
      </w:r>
      <w:r w:rsidRPr="00E809EE">
        <w:t>. Kogan Page Publishers.</w:t>
      </w:r>
    </w:p>
    <w:p w14:paraId="6AEF218C" w14:textId="77777777" w:rsidR="00E809EE" w:rsidRPr="00E809EE" w:rsidRDefault="00E809EE" w:rsidP="00E809EE"/>
    <w:p w14:paraId="72E6E973" w14:textId="77777777" w:rsidR="00E809EE" w:rsidRPr="00E809EE" w:rsidRDefault="00E809EE" w:rsidP="00E809EE">
      <w:r w:rsidRPr="00E809EE">
        <w:t xml:space="preserve">World Health Organization, 2022. </w:t>
      </w:r>
      <w:r w:rsidRPr="00E809EE">
        <w:rPr>
          <w:i/>
          <w:iCs/>
        </w:rPr>
        <w:t>WHO guidelines on mental health at work</w:t>
      </w:r>
      <w:r w:rsidRPr="00E809EE">
        <w:t>. World Health Organization.</w:t>
      </w:r>
    </w:p>
    <w:p w14:paraId="1F96C8B5" w14:textId="77777777" w:rsidR="00E809EE" w:rsidRPr="00E809EE" w:rsidRDefault="00E809EE" w:rsidP="00E809EE"/>
    <w:p w14:paraId="769E78D4" w14:textId="77777777" w:rsidR="00E809EE" w:rsidRPr="00E809EE" w:rsidRDefault="00E809EE" w:rsidP="00E809EE">
      <w:r w:rsidRPr="00E809EE">
        <w:t xml:space="preserve">Wilkinson, A., Donaghey, J., Dundon, T. and Freeman, R.B. eds., 2020. </w:t>
      </w:r>
      <w:r w:rsidRPr="00E809EE">
        <w:rPr>
          <w:i/>
          <w:iCs/>
        </w:rPr>
        <w:t>Handbook of research on employee voice</w:t>
      </w:r>
      <w:r w:rsidRPr="00E809EE">
        <w:t>. Edward Elgar Publishing. </w:t>
      </w:r>
    </w:p>
    <w:p w14:paraId="388E5C3F" w14:textId="77777777" w:rsidR="00E809EE" w:rsidRPr="00E809EE" w:rsidRDefault="00E809EE" w:rsidP="00E809EE"/>
    <w:p w14:paraId="4875A0D9" w14:textId="0B0A2303" w:rsidR="00E809EE" w:rsidRPr="00E809EE" w:rsidRDefault="00E809EE" w:rsidP="00E809EE">
      <w:r w:rsidRPr="00E809EE">
        <w:t xml:space="preserve">Rivers, S.E., Handley-Miner, I.J., Mayer, J.D., and Caruso, D.R., 2020. 29. Emotional Intelligence. </w:t>
      </w:r>
      <w:r w:rsidRPr="00E809EE">
        <w:rPr>
          <w:i/>
          <w:iCs/>
        </w:rPr>
        <w:t>by RJ Stenberg. 2nd Edition. Cambridge: Cambridge University Press, XXII</w:t>
      </w:r>
      <w:r w:rsidRPr="00E809EE">
        <w:t xml:space="preserve">, </w:t>
      </w:r>
      <w:r w:rsidRPr="00E809EE">
        <w:rPr>
          <w:i/>
          <w:iCs/>
        </w:rPr>
        <w:t>1250</w:t>
      </w:r>
      <w:r w:rsidRPr="00E809EE">
        <w:t>, pp.709-735.</w:t>
      </w:r>
    </w:p>
    <w:p w14:paraId="63A87501" w14:textId="77777777" w:rsidR="00E809EE" w:rsidRPr="00E809EE" w:rsidRDefault="00E809EE" w:rsidP="00E809EE"/>
    <w:p w14:paraId="509D8ED7" w14:textId="04575710" w:rsidR="00E809EE" w:rsidRPr="00E809EE" w:rsidRDefault="00E809EE" w:rsidP="00E809EE">
      <w:r w:rsidRPr="00E809EE">
        <w:t xml:space="preserve">Budhwar, P., Malik, A., De Silva, M.T. and Thevisuthan, P., 2022. Artificial intelligence–challenges and opportunities for international HRM: a review and research agenda. </w:t>
      </w:r>
      <w:r w:rsidRPr="00E809EE">
        <w:rPr>
          <w:i/>
          <w:iCs/>
        </w:rPr>
        <w:t>The International Journal of human resource management</w:t>
      </w:r>
      <w:r w:rsidRPr="00E809EE">
        <w:t xml:space="preserve">, </w:t>
      </w:r>
      <w:r w:rsidRPr="00E809EE">
        <w:rPr>
          <w:i/>
          <w:iCs/>
        </w:rPr>
        <w:t>33</w:t>
      </w:r>
      <w:r w:rsidRPr="00E809EE">
        <w:t>(6), pp.1065-1097.</w:t>
      </w:r>
    </w:p>
    <w:p w14:paraId="477DA206" w14:textId="77777777" w:rsidR="00E809EE" w:rsidRPr="00E809EE" w:rsidRDefault="00E809EE" w:rsidP="00E809EE"/>
    <w:p w14:paraId="39BDAACE" w14:textId="77777777" w:rsidR="00E809EE" w:rsidRPr="00E809EE" w:rsidRDefault="00E809EE" w:rsidP="00E809EE">
      <w:r w:rsidRPr="00E809EE">
        <w:t xml:space="preserve">Meske, C. and Junglas, I., 2021. Investigating the elicitation of employees’ support towards digital workplace transformation. </w:t>
      </w:r>
      <w:r w:rsidRPr="00E809EE">
        <w:rPr>
          <w:i/>
          <w:iCs/>
        </w:rPr>
        <w:t>Behaviour &amp; Information Technology</w:t>
      </w:r>
      <w:r w:rsidRPr="00E809EE">
        <w:t xml:space="preserve">, </w:t>
      </w:r>
      <w:r w:rsidRPr="00E809EE">
        <w:rPr>
          <w:i/>
          <w:iCs/>
        </w:rPr>
        <w:t>40</w:t>
      </w:r>
      <w:r w:rsidRPr="00E809EE">
        <w:t>(11), pp.1120-1136.</w:t>
      </w:r>
    </w:p>
    <w:p w14:paraId="0E90E7F1" w14:textId="77777777" w:rsidR="00E809EE" w:rsidRPr="00E809EE" w:rsidRDefault="00E809EE" w:rsidP="00E809EE"/>
    <w:sectPr w:rsidR="00E809EE" w:rsidRPr="00E80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9EE"/>
    <w:rsid w:val="0022154C"/>
    <w:rsid w:val="003054D8"/>
    <w:rsid w:val="009732E6"/>
    <w:rsid w:val="00D52F06"/>
    <w:rsid w:val="00E80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E862"/>
  <w15:chartTrackingRefBased/>
  <w15:docId w15:val="{4D0EC9C2-D128-4BC7-96E0-1FD245153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9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9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9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9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9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9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9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9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9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9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9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9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9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9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9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9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9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9EE"/>
    <w:rPr>
      <w:rFonts w:eastAsiaTheme="majorEastAsia" w:cstheme="majorBidi"/>
      <w:color w:val="272727" w:themeColor="text1" w:themeTint="D8"/>
    </w:rPr>
  </w:style>
  <w:style w:type="paragraph" w:styleId="Title">
    <w:name w:val="Title"/>
    <w:basedOn w:val="Normal"/>
    <w:next w:val="Normal"/>
    <w:link w:val="TitleChar"/>
    <w:uiPriority w:val="10"/>
    <w:qFormat/>
    <w:rsid w:val="00E80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9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9EE"/>
    <w:pPr>
      <w:spacing w:before="160"/>
      <w:jc w:val="center"/>
    </w:pPr>
    <w:rPr>
      <w:i/>
      <w:iCs/>
      <w:color w:val="404040" w:themeColor="text1" w:themeTint="BF"/>
    </w:rPr>
  </w:style>
  <w:style w:type="character" w:customStyle="1" w:styleId="QuoteChar">
    <w:name w:val="Quote Char"/>
    <w:basedOn w:val="DefaultParagraphFont"/>
    <w:link w:val="Quote"/>
    <w:uiPriority w:val="29"/>
    <w:rsid w:val="00E809EE"/>
    <w:rPr>
      <w:i/>
      <w:iCs/>
      <w:color w:val="404040" w:themeColor="text1" w:themeTint="BF"/>
    </w:rPr>
  </w:style>
  <w:style w:type="paragraph" w:styleId="ListParagraph">
    <w:name w:val="List Paragraph"/>
    <w:basedOn w:val="Normal"/>
    <w:uiPriority w:val="34"/>
    <w:qFormat/>
    <w:rsid w:val="00E809EE"/>
    <w:pPr>
      <w:ind w:left="720"/>
      <w:contextualSpacing/>
    </w:pPr>
  </w:style>
  <w:style w:type="character" w:styleId="IntenseEmphasis">
    <w:name w:val="Intense Emphasis"/>
    <w:basedOn w:val="DefaultParagraphFont"/>
    <w:uiPriority w:val="21"/>
    <w:qFormat/>
    <w:rsid w:val="00E809EE"/>
    <w:rPr>
      <w:i/>
      <w:iCs/>
      <w:color w:val="0F4761" w:themeColor="accent1" w:themeShade="BF"/>
    </w:rPr>
  </w:style>
  <w:style w:type="paragraph" w:styleId="IntenseQuote">
    <w:name w:val="Intense Quote"/>
    <w:basedOn w:val="Normal"/>
    <w:next w:val="Normal"/>
    <w:link w:val="IntenseQuoteChar"/>
    <w:uiPriority w:val="30"/>
    <w:qFormat/>
    <w:rsid w:val="00E809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9EE"/>
    <w:rPr>
      <w:i/>
      <w:iCs/>
      <w:color w:val="0F4761" w:themeColor="accent1" w:themeShade="BF"/>
    </w:rPr>
  </w:style>
  <w:style w:type="character" w:styleId="IntenseReference">
    <w:name w:val="Intense Reference"/>
    <w:basedOn w:val="DefaultParagraphFont"/>
    <w:uiPriority w:val="32"/>
    <w:qFormat/>
    <w:rsid w:val="00E809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419809">
      <w:bodyDiv w:val="1"/>
      <w:marLeft w:val="0"/>
      <w:marRight w:val="0"/>
      <w:marTop w:val="0"/>
      <w:marBottom w:val="0"/>
      <w:divBdr>
        <w:top w:val="none" w:sz="0" w:space="0" w:color="auto"/>
        <w:left w:val="none" w:sz="0" w:space="0" w:color="auto"/>
        <w:bottom w:val="none" w:sz="0" w:space="0" w:color="auto"/>
        <w:right w:val="none" w:sz="0" w:space="0" w:color="auto"/>
      </w:divBdr>
    </w:div>
    <w:div w:id="122892652">
      <w:bodyDiv w:val="1"/>
      <w:marLeft w:val="0"/>
      <w:marRight w:val="0"/>
      <w:marTop w:val="0"/>
      <w:marBottom w:val="0"/>
      <w:divBdr>
        <w:top w:val="none" w:sz="0" w:space="0" w:color="auto"/>
        <w:left w:val="none" w:sz="0" w:space="0" w:color="auto"/>
        <w:bottom w:val="none" w:sz="0" w:space="0" w:color="auto"/>
        <w:right w:val="none" w:sz="0" w:space="0" w:color="auto"/>
      </w:divBdr>
    </w:div>
    <w:div w:id="205144750">
      <w:bodyDiv w:val="1"/>
      <w:marLeft w:val="0"/>
      <w:marRight w:val="0"/>
      <w:marTop w:val="0"/>
      <w:marBottom w:val="0"/>
      <w:divBdr>
        <w:top w:val="none" w:sz="0" w:space="0" w:color="auto"/>
        <w:left w:val="none" w:sz="0" w:space="0" w:color="auto"/>
        <w:bottom w:val="none" w:sz="0" w:space="0" w:color="auto"/>
        <w:right w:val="none" w:sz="0" w:space="0" w:color="auto"/>
      </w:divBdr>
    </w:div>
    <w:div w:id="287518645">
      <w:bodyDiv w:val="1"/>
      <w:marLeft w:val="0"/>
      <w:marRight w:val="0"/>
      <w:marTop w:val="0"/>
      <w:marBottom w:val="0"/>
      <w:divBdr>
        <w:top w:val="none" w:sz="0" w:space="0" w:color="auto"/>
        <w:left w:val="none" w:sz="0" w:space="0" w:color="auto"/>
        <w:bottom w:val="none" w:sz="0" w:space="0" w:color="auto"/>
        <w:right w:val="none" w:sz="0" w:space="0" w:color="auto"/>
      </w:divBdr>
    </w:div>
    <w:div w:id="469397218">
      <w:bodyDiv w:val="1"/>
      <w:marLeft w:val="0"/>
      <w:marRight w:val="0"/>
      <w:marTop w:val="0"/>
      <w:marBottom w:val="0"/>
      <w:divBdr>
        <w:top w:val="none" w:sz="0" w:space="0" w:color="auto"/>
        <w:left w:val="none" w:sz="0" w:space="0" w:color="auto"/>
        <w:bottom w:val="none" w:sz="0" w:space="0" w:color="auto"/>
        <w:right w:val="none" w:sz="0" w:space="0" w:color="auto"/>
      </w:divBdr>
    </w:div>
    <w:div w:id="649752743">
      <w:bodyDiv w:val="1"/>
      <w:marLeft w:val="0"/>
      <w:marRight w:val="0"/>
      <w:marTop w:val="0"/>
      <w:marBottom w:val="0"/>
      <w:divBdr>
        <w:top w:val="none" w:sz="0" w:space="0" w:color="auto"/>
        <w:left w:val="none" w:sz="0" w:space="0" w:color="auto"/>
        <w:bottom w:val="none" w:sz="0" w:space="0" w:color="auto"/>
        <w:right w:val="none" w:sz="0" w:space="0" w:color="auto"/>
      </w:divBdr>
    </w:div>
    <w:div w:id="1099375527">
      <w:bodyDiv w:val="1"/>
      <w:marLeft w:val="0"/>
      <w:marRight w:val="0"/>
      <w:marTop w:val="0"/>
      <w:marBottom w:val="0"/>
      <w:divBdr>
        <w:top w:val="none" w:sz="0" w:space="0" w:color="auto"/>
        <w:left w:val="none" w:sz="0" w:space="0" w:color="auto"/>
        <w:bottom w:val="none" w:sz="0" w:space="0" w:color="auto"/>
        <w:right w:val="none" w:sz="0" w:space="0" w:color="auto"/>
      </w:divBdr>
    </w:div>
    <w:div w:id="1242637253">
      <w:bodyDiv w:val="1"/>
      <w:marLeft w:val="0"/>
      <w:marRight w:val="0"/>
      <w:marTop w:val="0"/>
      <w:marBottom w:val="0"/>
      <w:divBdr>
        <w:top w:val="none" w:sz="0" w:space="0" w:color="auto"/>
        <w:left w:val="none" w:sz="0" w:space="0" w:color="auto"/>
        <w:bottom w:val="none" w:sz="0" w:space="0" w:color="auto"/>
        <w:right w:val="none" w:sz="0" w:space="0" w:color="auto"/>
      </w:divBdr>
    </w:div>
    <w:div w:id="1304699446">
      <w:bodyDiv w:val="1"/>
      <w:marLeft w:val="0"/>
      <w:marRight w:val="0"/>
      <w:marTop w:val="0"/>
      <w:marBottom w:val="0"/>
      <w:divBdr>
        <w:top w:val="none" w:sz="0" w:space="0" w:color="auto"/>
        <w:left w:val="none" w:sz="0" w:space="0" w:color="auto"/>
        <w:bottom w:val="none" w:sz="0" w:space="0" w:color="auto"/>
        <w:right w:val="none" w:sz="0" w:space="0" w:color="auto"/>
      </w:divBdr>
    </w:div>
    <w:div w:id="1374963244">
      <w:bodyDiv w:val="1"/>
      <w:marLeft w:val="0"/>
      <w:marRight w:val="0"/>
      <w:marTop w:val="0"/>
      <w:marBottom w:val="0"/>
      <w:divBdr>
        <w:top w:val="none" w:sz="0" w:space="0" w:color="auto"/>
        <w:left w:val="none" w:sz="0" w:space="0" w:color="auto"/>
        <w:bottom w:val="none" w:sz="0" w:space="0" w:color="auto"/>
        <w:right w:val="none" w:sz="0" w:space="0" w:color="auto"/>
      </w:divBdr>
    </w:div>
    <w:div w:id="1421948835">
      <w:bodyDiv w:val="1"/>
      <w:marLeft w:val="0"/>
      <w:marRight w:val="0"/>
      <w:marTop w:val="0"/>
      <w:marBottom w:val="0"/>
      <w:divBdr>
        <w:top w:val="none" w:sz="0" w:space="0" w:color="auto"/>
        <w:left w:val="none" w:sz="0" w:space="0" w:color="auto"/>
        <w:bottom w:val="none" w:sz="0" w:space="0" w:color="auto"/>
        <w:right w:val="none" w:sz="0" w:space="0" w:color="auto"/>
      </w:divBdr>
    </w:div>
    <w:div w:id="1527518600">
      <w:bodyDiv w:val="1"/>
      <w:marLeft w:val="0"/>
      <w:marRight w:val="0"/>
      <w:marTop w:val="0"/>
      <w:marBottom w:val="0"/>
      <w:divBdr>
        <w:top w:val="none" w:sz="0" w:space="0" w:color="auto"/>
        <w:left w:val="none" w:sz="0" w:space="0" w:color="auto"/>
        <w:bottom w:val="none" w:sz="0" w:space="0" w:color="auto"/>
        <w:right w:val="none" w:sz="0" w:space="0" w:color="auto"/>
      </w:divBdr>
    </w:div>
    <w:div w:id="1580291466">
      <w:bodyDiv w:val="1"/>
      <w:marLeft w:val="0"/>
      <w:marRight w:val="0"/>
      <w:marTop w:val="0"/>
      <w:marBottom w:val="0"/>
      <w:divBdr>
        <w:top w:val="none" w:sz="0" w:space="0" w:color="auto"/>
        <w:left w:val="none" w:sz="0" w:space="0" w:color="auto"/>
        <w:bottom w:val="none" w:sz="0" w:space="0" w:color="auto"/>
        <w:right w:val="none" w:sz="0" w:space="0" w:color="auto"/>
      </w:divBdr>
    </w:div>
    <w:div w:id="1685284035">
      <w:bodyDiv w:val="1"/>
      <w:marLeft w:val="0"/>
      <w:marRight w:val="0"/>
      <w:marTop w:val="0"/>
      <w:marBottom w:val="0"/>
      <w:divBdr>
        <w:top w:val="none" w:sz="0" w:space="0" w:color="auto"/>
        <w:left w:val="none" w:sz="0" w:space="0" w:color="auto"/>
        <w:bottom w:val="none" w:sz="0" w:space="0" w:color="auto"/>
        <w:right w:val="none" w:sz="0" w:space="0" w:color="auto"/>
      </w:divBdr>
    </w:div>
    <w:div w:id="1703438339">
      <w:bodyDiv w:val="1"/>
      <w:marLeft w:val="0"/>
      <w:marRight w:val="0"/>
      <w:marTop w:val="0"/>
      <w:marBottom w:val="0"/>
      <w:divBdr>
        <w:top w:val="none" w:sz="0" w:space="0" w:color="auto"/>
        <w:left w:val="none" w:sz="0" w:space="0" w:color="auto"/>
        <w:bottom w:val="none" w:sz="0" w:space="0" w:color="auto"/>
        <w:right w:val="none" w:sz="0" w:space="0" w:color="auto"/>
      </w:divBdr>
    </w:div>
    <w:div w:id="174571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3</cp:revision>
  <dcterms:created xsi:type="dcterms:W3CDTF">2024-11-29T16:22:00Z</dcterms:created>
  <dcterms:modified xsi:type="dcterms:W3CDTF">2024-11-29T16:43:00Z</dcterms:modified>
</cp:coreProperties>
</file>