
<file path=[Content_Types].xml><?xml version="1.0" encoding="utf-8"?>
<Types xmlns="http://schemas.openxmlformats.org/package/2006/content-types">
  <Default Extension="rels" ContentType="application/vnd.openxmlformats-package.relationships+xml"/>
  <Default Extension="png" ContentType="image/png"/>
  <Default Extension="jpeg" ContentType="image/jpeg"/>
  <Default Extension="xml" ContentType="application/xml"/>
  <Override PartName="/docProps/app.xml" ContentType="application/vnd.openxmlformats-officedocument.extended-properties+xml"/>
  <Override PartName="/docProps/core.xml" ContentType="application/vnd.openxmlformats-package.core-properties+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colors7.xml" ContentType="application/vnd.ms-office.chartcolorstyle+xml"/>
  <Override PartName="/word/charts/style7.xml" ContentType="application/vnd.ms-office.chartstyle+xml"/>
  <Override PartName="/word/charts/chart7.xml" ContentType="application/vnd.openxmlformats-officedocument.drawingml.chart+xml"/>
  <Override PartName="/word/charts/style6.xml" ContentType="application/vnd.ms-office.chartstyle+xml"/>
  <Override PartName="/word/charts/chart6.xml" ContentType="application/vnd.openxmlformats-officedocument.drawingml.chart+xml"/>
  <Override PartName="/word/theme/theme1.xml" ContentType="application/vnd.openxmlformats-officedocument.theme+xml"/>
  <Override PartName="/customXml/itemProps1.xml" ContentType="application/vnd.openxmlformats-officedocument.customXmlProperties+xml"/>
  <Override PartName="/word/charts/colors5.xml" ContentType="application/vnd.ms-office.chartcolorstyle+xml"/>
  <Override PartName="/word/charts/colors6.xml" ContentType="application/vnd.ms-office.chartcolorstyle+xml"/>
  <Override PartName="/word/charts/colors3.xml" ContentType="application/vnd.ms-office.chartcolorstyle+xml"/>
  <Override PartName="/word/charts/style5.xml" ContentType="application/vnd.ms-office.chartstyle+xml"/>
  <Override PartName="/word/fontTable.xml" ContentType="application/vnd.openxmlformats-officedocument.wordprocessingml.fontTable+xml"/>
  <Override PartName="/word/charts/chart4.xml" ContentType="application/vnd.openxmlformats-officedocument.drawingml.chart+xml"/>
  <Override PartName="/word/charts/chart3.xml" ContentType="application/vnd.openxmlformats-officedocument.drawingml.chart+xml"/>
  <Override PartName="/word/charts/colors2.xml" ContentType="application/vnd.ms-office.chartcolorstyle+xml"/>
  <Override PartName="/word/footer1.xml" ContentType="application/vnd.openxmlformats-officedocument.wordprocessingml.footer+xml"/>
  <Override PartName="/word/charts/chart5.xml" ContentType="application/vnd.openxmlformats-officedocument.drawingml.chart+xml"/>
  <Override PartName="/word/charts/style2.xml" ContentType="application/vnd.ms-office.chartstyle+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settings.xml" ContentType="application/vnd.openxmlformats-officedocument.wordprocessingml.settings+xml"/>
  <Override PartName="/word/charts/style3.xml" ContentType="application/vnd.ms-office.chartstyle+xml"/>
  <Override PartName="/word/endnotes.xml" ContentType="application/vnd.openxmlformats-officedocument.wordprocessingml.endnotes+xml"/>
  <Override PartName="/word/footnotes.xml" ContentType="application/vnd.openxmlformats-officedocument.wordprocessingml.footnotes+xml"/>
  <Override PartName="/word/webSettings.xml" ContentType="application/vnd.openxmlformats-officedocument.wordprocessingml.webSettings+xml"/>
  <Override PartName="/word/styles.xml" ContentType="application/vnd.openxmlformats-officedocument.wordprocessingml.styles+xml"/>
  <Override PartName="/word/charts/style4.xml" ContentType="application/vnd.ms-office.chartstyle+xml"/>
  <Override PartName="/word/charts/chart2.xml" ContentType="application/vnd.openxmlformats-officedocument.drawingml.chart+xml"/>
  <Override PartName="/word/charts/colors4.xml" ContentType="application/vnd.ms-office.chartcolorsty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p w14:paraId="00000005">
      <w:pPr>
        <w:jc w:val="center"/>
        <w:rPr>
          <w:lang w:val="en-IN"/>
        </w:rPr>
      </w:pPr>
      <w:r>
        <w:rPr>
          <w:lang w:val="en-IN"/>
        </w:rPr>
        <w:drawing xmlns:mc="http://schemas.openxmlformats.org/markup-compatibility/2006">
          <wp:inline>
            <wp:extent cx="3246755" cy="1605280"/>
            <wp:effectExtent l="0" t="0" r="0" b="0"/>
            <wp:docPr id="1866639466" name="Picture 186663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Grp="0" noSelect="0" noChangeAspect="1" noMove="0"/>
                    </pic:cNvPicPr>
                  </pic:nvPicPr>
                  <pic:blipFill>
                    <a:blip r:embed="rId26"/>
                    <a:srcRect/>
                    <a:stretch>
                      <a:fillRect/>
                    </a:stretch>
                  </pic:blipFill>
                  <pic:spPr>
                    <a:xfrm>
                      <a:off x="0" y="0"/>
                      <a:ext cx="3246755" cy="1605280"/>
                    </a:xfrm>
                    <a:prstGeom prst="rect">
                      <a:avLst/>
                    </a:prstGeom>
                  </pic:spPr>
                </pic:pic>
              </a:graphicData>
            </a:graphic>
          </wp:inline>
        </w:drawing>
      </w:r>
    </w:p>
    <w:p w14:paraId="00000006">
      <w:pPr>
        <w:jc w:val="center"/>
        <w:rPr>
          <w:lang w:val="en-IN"/>
        </w:rPr>
      </w:pPr>
    </w:p>
    <w:p w14:paraId="00000007">
      <w:pPr>
        <w:jc w:val="center"/>
        <w:rPr>
          <w:b/>
          <w:bCs/>
          <w:lang w:val="en-IN"/>
        </w:rPr>
      </w:pPr>
      <w:r>
        <w:rPr>
          <w:b/>
          <w:bCs/>
          <w:lang w:val="en-IN"/>
        </w:rPr>
        <w:t>Master of Business Administration (MBA)</w:t>
      </w:r>
    </w:p>
    <w:p w14:paraId="00000008">
      <w:pPr>
        <w:jc w:val="center"/>
        <w:rPr>
          <w:b/>
          <w:bCs/>
          <w:sz w:val="26"/>
          <w:szCs w:val="24"/>
          <w:lang w:val="en-IN"/>
        </w:rPr>
      </w:pPr>
      <w:r>
        <w:rPr>
          <w:b/>
          <w:bCs/>
          <w:lang w:val="en-IN"/>
        </w:rPr>
        <w:t xml:space="preserve">Module Title: </w:t>
      </w:r>
      <w:r>
        <w:rPr>
          <w:lang w:val="en-IN"/>
        </w:rPr>
        <w:t>Financial Management</w:t>
      </w:r>
    </w:p>
    <w:p w14:paraId="00000009">
      <w:pPr>
        <w:jc w:val="center"/>
        <w:rPr>
          <w:b/>
          <w:bCs/>
          <w:lang w:val="en-IN"/>
        </w:rPr>
      </w:pPr>
      <w:r>
        <w:rPr>
          <w:b/>
          <w:bCs/>
          <w:lang w:val="en-IN"/>
        </w:rPr>
        <w:t xml:space="preserve">Module Code: </w:t>
      </w:r>
      <w:r>
        <w:rPr>
          <w:lang w:val="en-IN"/>
        </w:rPr>
        <w:t>LCMB7002</w:t>
      </w:r>
    </w:p>
    <w:p w14:paraId="0000000A">
      <w:pPr>
        <w:jc w:val="center"/>
        <w:rPr>
          <w:lang w:val="en-IN"/>
        </w:rPr>
      </w:pPr>
    </w:p>
    <w:p w14:paraId="0000000B">
      <w:pPr>
        <w:jc w:val="center"/>
        <w:rPr>
          <w:b/>
          <w:bCs/>
          <w:lang w:val="en-IN"/>
        </w:rPr>
      </w:pPr>
      <w:r>
        <w:rPr>
          <w:b/>
          <w:bCs/>
          <w:lang w:val="en-IN"/>
        </w:rPr>
        <w:t>Assessment Title:</w:t>
      </w:r>
    </w:p>
    <w:p w14:paraId="0000000C">
      <w:pPr>
        <w:jc w:val="center"/>
        <w:rPr>
          <w:lang w:val="en-IN"/>
        </w:rPr>
      </w:pPr>
      <w:r>
        <w:rPr>
          <w:lang w:val="en-IN"/>
        </w:rPr>
        <w:t>Strategic CFO Challenge: Financial Performance and Management Analysis</w:t>
      </w:r>
    </w:p>
    <w:p w14:paraId="0000000D">
      <w:pPr>
        <w:jc w:val="center"/>
        <w:rPr>
          <w:b/>
          <w:bCs/>
          <w:lang w:val="en-IN"/>
        </w:rPr>
      </w:pPr>
      <w:r>
        <w:rPr>
          <w:b/>
          <w:bCs/>
          <w:lang w:val="en-IN"/>
        </w:rPr>
        <w:t>Company Selected:</w:t>
      </w:r>
    </w:p>
    <w:p w14:paraId="0000000E">
      <w:pPr>
        <w:jc w:val="center"/>
        <w:rPr>
          <w:lang w:val="en-IN"/>
        </w:rPr>
      </w:pPr>
      <w:r>
        <w:rPr>
          <w:lang w:val="en-IN"/>
        </w:rPr>
        <w:t>Tesla Inc.</w:t>
      </w:r>
    </w:p>
    <w:p w14:paraId="0000000F">
      <w:pPr>
        <w:jc w:val="center"/>
        <w:rPr>
          <w:lang w:val="en-IN"/>
        </w:rPr>
      </w:pPr>
    </w:p>
    <w:p w14:paraId="00000010">
      <w:pPr>
        <w:jc w:val="center"/>
        <w:rPr>
          <w:b w:val="off"/>
          <w:bCs w:val="off"/>
          <w:lang w:val="en-IN"/>
        </w:rPr>
      </w:pPr>
      <w:r>
        <w:rPr>
          <w:b/>
          <w:bCs/>
          <w:lang w:val="en-IN"/>
        </w:rPr>
        <w:t>Student Name</w:t>
      </w:r>
      <w:r>
        <w:rPr>
          <w:b w:val="off"/>
          <w:bCs w:val="off"/>
          <w:lang w:val="en-IN"/>
        </w:rPr>
        <w:t>: Raj Rameshchandra Patel</w:t>
      </w:r>
    </w:p>
    <w:p w14:paraId="00000011">
      <w:pPr>
        <w:jc w:val="center"/>
        <w:rPr>
          <w:b/>
          <w:bCs/>
          <w:lang w:val="en-IN"/>
        </w:rPr>
      </w:pPr>
      <w:r>
        <w:rPr>
          <w:b/>
          <w:bCs/>
          <w:lang w:val="en-IN"/>
        </w:rPr>
        <w:t xml:space="preserve">Student ID: </w:t>
      </w:r>
      <w:r>
        <w:rPr>
          <w:b w:val="off"/>
          <w:bCs w:val="off"/>
          <w:lang w:val="en-IN"/>
        </w:rPr>
        <w:t>2518465</w:t>
      </w:r>
    </w:p>
    <w:p w14:paraId="00000012">
      <w:pPr>
        <w:jc w:val="center"/>
        <w:rPr>
          <w:lang w:val="en-IN"/>
        </w:rPr>
      </w:pPr>
    </w:p>
    <w:p w14:paraId="00000013">
      <w:pPr>
        <w:jc w:val="center"/>
        <w:rPr>
          <w:b w:val="off"/>
          <w:bCs w:val="off"/>
          <w:lang w:val="en-IN"/>
        </w:rPr>
      </w:pPr>
      <w:r>
        <w:rPr>
          <w:b/>
          <w:bCs/>
          <w:lang w:val="en-IN"/>
        </w:rPr>
        <w:t>Lecturer Name:</w:t>
      </w:r>
      <w:r>
        <w:rPr>
          <w:b w:val="off"/>
          <w:bCs w:val="off"/>
          <w:lang w:val="en-IN"/>
        </w:rPr>
        <w:t>Isaiah Oino</w:t>
      </w:r>
    </w:p>
    <w:p w14:paraId="00000014">
      <w:pPr>
        <w:jc w:val="center"/>
        <w:rPr>
          <w:b/>
          <w:bCs/>
          <w:lang w:val="en-IN"/>
        </w:rPr>
      </w:pPr>
    </w:p>
    <w:p w14:paraId="00000015">
      <w:pPr>
        <w:jc w:val="center"/>
        <w:rPr>
          <w:lang w:val="en-IN"/>
        </w:rPr>
      </w:pPr>
      <w:r>
        <w:rPr>
          <w:b/>
          <w:bCs/>
          <w:lang w:val="en-IN"/>
        </w:rPr>
        <w:t xml:space="preserve">Word Count : </w:t>
      </w:r>
      <w:r>
        <w:rPr>
          <w:lang w:val="en-IN"/>
        </w:rPr>
        <w:t>5</w:t>
      </w:r>
      <w:r>
        <w:rPr>
          <w:lang w:val="en-IN"/>
        </w:rPr>
        <w:t>338</w:t>
      </w:r>
      <w:r>
        <w:rPr>
          <w:lang w:val="en-IN"/>
        </w:rPr>
        <w:t xml:space="preserve"> Words</w:t>
      </w:r>
    </w:p>
    <w:p w14:paraId="00000016">
      <w:pPr>
        <w:spacing w:before="0" w:beforeAutospacing="0" w:after="160" w:afterAutospacing="0" w:line="259" w:lineRule="auto"/>
        <w:jc w:val="left"/>
        <w:rPr>
          <w:rFonts w:eastAsiaTheme="majorEastAsia"/>
          <w:b/>
          <w:bCs/>
          <w:color w:val="000000" w:themeColor="text1"/>
          <w:szCs w:val="48"/>
          <w:lang w:val="en-IN" w:eastAsia="en-IN"/>
        </w:rPr>
      </w:pPr>
      <w:r>
        <w:rPr>
          <w:lang w:val="en-IN"/>
        </w:rPr>
        <w:br w:type="page"/>
      </w:r>
    </w:p>
    <w:p w14:paraId="00000017">
      <w:pPr>
        <w:pStyle w:val="TOCHeading"/>
        <w:jc w:val="center"/>
        <w:rPr>
          <w:rFonts w:ascii="Arial" w:cs="Arial" w:hAnsi="Arial"/>
          <w:b/>
          <w:bCs/>
          <w:color w:val="auto"/>
        </w:rPr>
      </w:pPr>
      <w:r>
        <w:rPr>
          <w:rFonts w:ascii="Arial" w:cs="Arial" w:hAnsi="Arial"/>
          <w:b/>
          <w:bCs/>
          <w:color w:val="auto"/>
        </w:rPr>
        <w:t>Table of Contents</w:t>
      </w:r>
    </w:p>
    <w:p w14:paraId="00000018">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 TOC \o "1-3" \h \z \u </w:instrText>
      </w:r>
      <w:r>
        <w:rPr>
          <w:rStyle w:val="Hyperlink"/>
          <w:lang w:val="en-IN"/>
        </w:rPr>
        <w:fldChar w:fldCharType="separate"/>
      </w:r>
      <w:r>
        <w:rPr>
          <w:rStyle w:val="Hyperlink"/>
          <w:lang w:val="en-IN"/>
        </w:rPr>
        <w:fldChar w:fldCharType="begin"/>
      </w:r>
      <w:r>
        <w:rPr>
          <w:rStyle w:val="Hyperlink"/>
          <w:lang w:val="en-IN"/>
        </w:rPr>
        <w:instrText xml:space="preserve">HYPERLINK \l "_Toc227907161" </w:instrText>
      </w:r>
      <w:r>
        <w:rPr>
          <w:rStyle w:val="Hyperlink"/>
          <w:lang w:val="en-IN"/>
        </w:rPr>
        <w:fldChar w:fldCharType="separate"/>
      </w:r>
      <w:r>
        <w:rPr>
          <w:rStyle w:val="Hyperlink"/>
          <w:lang w:val="en-IN"/>
        </w:rPr>
        <w:t>1. Introduction</w:t>
      </w:r>
      <w:r>
        <w:tab/>
      </w:r>
      <w:r>
        <w:fldChar w:fldCharType="begin"/>
      </w:r>
      <w:r>
        <w:instrText xml:space="preserve"> PAGEREF _Toc227907161 \h </w:instrText>
      </w:r>
      <w:r>
        <w:fldChar w:fldCharType="separate"/>
      </w:r>
      <w:r>
        <w:t>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9">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"_Toc227907162" </w:instrText>
      </w:r>
      <w:r>
        <w:rPr>
          <w:rStyle w:val="Hyperlink"/>
          <w:lang w:val="en-IN"/>
        </w:rPr>
        <w:fldChar w:fldCharType="separate"/>
      </w:r>
      <w:r>
        <w:rPr>
          <w:rStyle w:val="Hyperlink"/>
          <w:lang w:val="en-IN"/>
        </w:rPr>
        <w:t>2. Financial Health Check</w:t>
      </w:r>
      <w:r>
        <w:tab/>
      </w:r>
      <w:r>
        <w:fldChar w:fldCharType="begin"/>
      </w:r>
      <w:r>
        <w:instrText xml:space="preserve"> PAGEREF _Toc227907162 \h </w:instrText>
      </w:r>
      <w:r>
        <w:fldChar w:fldCharType="separate"/>
      </w:r>
      <w:r>
        <w:t>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A">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"_Toc227907163" </w:instrText>
      </w:r>
      <w:r>
        <w:rPr>
          <w:rStyle w:val="Hyperlink"/>
          <w:lang w:val="en-IN"/>
        </w:rPr>
        <w:fldChar w:fldCharType="separate"/>
      </w:r>
      <w:r>
        <w:rPr>
          <w:rStyle w:val="Hyperlink"/>
          <w:lang w:val="en-IN"/>
        </w:rPr>
        <w:t>2.1 Revenue and Profit Overview</w:t>
      </w:r>
      <w:r>
        <w:tab/>
      </w:r>
      <w:r>
        <w:fldChar w:fldCharType="begin"/>
      </w:r>
      <w:r>
        <w:instrText xml:space="preserve"> PAGEREF _Toc227907163 \h </w:instrText>
      </w:r>
      <w:r>
        <w:fldChar w:fldCharType="separate"/>
      </w:r>
      <w:r>
        <w:t>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B">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"_Toc227907164" </w:instrText>
      </w:r>
      <w:r>
        <w:rPr>
          <w:rStyle w:val="Hyperlink"/>
          <w:lang w:val="en-IN"/>
        </w:rPr>
        <w:fldChar w:fldCharType="separate"/>
      </w:r>
      <w:r>
        <w:rPr>
          <w:rStyle w:val="Hyperlink"/>
          <w:lang w:val="en-IN"/>
        </w:rPr>
        <w:t>2.2 Profitability Analysis</w:t>
      </w:r>
      <w:r>
        <w:tab/>
      </w:r>
      <w:r>
        <w:fldChar w:fldCharType="begin"/>
      </w:r>
      <w:r>
        <w:instrText xml:space="preserve"> PAGEREF _Toc227907164 \h </w:instrText>
      </w:r>
      <w:r>
        <w:fldChar w:fldCharType="separate"/>
      </w:r>
      <w:r>
        <w:t>6</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C">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"_Toc227907165" </w:instrText>
      </w:r>
      <w:r>
        <w:rPr>
          <w:rStyle w:val="Hyperlink"/>
          <w:lang w:val="en-IN"/>
        </w:rPr>
        <w:fldChar w:fldCharType="separate"/>
      </w:r>
      <w:r>
        <w:rPr>
          <w:rStyle w:val="Hyperlink"/>
          <w:lang w:val="en-IN"/>
        </w:rPr>
        <w:t>2.3 Liquidity Analysis</w:t>
      </w:r>
      <w:r>
        <w:tab/>
      </w:r>
      <w:r>
        <w:fldChar w:fldCharType="begin"/>
      </w:r>
      <w:r>
        <w:instrText xml:space="preserve"> PAGEREF _Toc227907165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D">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"_Toc227907166" </w:instrText>
      </w:r>
      <w:r>
        <w:rPr>
          <w:rStyle w:val="Hyperlink"/>
          <w:lang w:val="en-IN"/>
        </w:rPr>
        <w:fldChar w:fldCharType="separate"/>
      </w:r>
      <w:r>
        <w:rPr>
          <w:rStyle w:val="Hyperlink"/>
          <w:lang w:val="en-IN"/>
        </w:rPr>
        <w:t>2.4 Efficiency Analysis</w:t>
      </w:r>
      <w:r>
        <w:tab/>
      </w:r>
      <w:r>
        <w:fldChar w:fldCharType="begin"/>
      </w:r>
      <w:r>
        <w:instrText xml:space="preserve"> PAGEREF _Toc227907166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E">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"_Toc227907167" </w:instrText>
      </w:r>
      <w:r>
        <w:rPr>
          <w:rStyle w:val="Hyperlink"/>
          <w:lang w:val="en-IN"/>
        </w:rPr>
        <w:fldChar w:fldCharType="separate"/>
      </w:r>
      <w:r>
        <w:rPr>
          <w:rStyle w:val="Hyperlink"/>
          <w:lang w:val="en-IN"/>
        </w:rPr>
        <w:t>2.5 Gearing Analysis</w:t>
      </w:r>
      <w:r>
        <w:tab/>
      </w:r>
      <w:r>
        <w:fldChar w:fldCharType="begin"/>
      </w:r>
      <w:r>
        <w:instrText xml:space="preserve"> PAGEREF _Toc227907167 \h </w:instrText>
      </w:r>
      <w:r>
        <w:fldChar w:fldCharType="separate"/>
      </w:r>
      <w:r>
        <w:t>9</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F">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"_Toc227907168" </w:instrText>
      </w:r>
      <w:r>
        <w:rPr>
          <w:rStyle w:val="Hyperlink"/>
          <w:lang w:val="en-IN"/>
        </w:rPr>
        <w:fldChar w:fldCharType="separate"/>
      </w:r>
      <w:r>
        <w:rPr>
          <w:rStyle w:val="Hyperlink"/>
          <w:lang w:val="en-IN"/>
        </w:rPr>
        <w:t>2.6 Cash Flow Analysis</w:t>
      </w:r>
      <w:r>
        <w:tab/>
      </w:r>
      <w:r>
        <w:fldChar w:fldCharType="begin"/>
      </w:r>
      <w:r>
        <w:instrText xml:space="preserve"> PAGEREF _Toc227907168 \h </w:instrText>
      </w:r>
      <w:r>
        <w:fldChar w:fldCharType="separate"/>
      </w:r>
      <w:r>
        <w:t>10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0">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"_Toc227907169" </w:instrText>
      </w:r>
      <w:r>
        <w:rPr>
          <w:rStyle w:val="Hyperlink"/>
          <w:lang w:val="en-IN"/>
        </w:rPr>
        <w:fldChar w:fldCharType="separate"/>
      </w:r>
      <w:r>
        <w:rPr>
          <w:rStyle w:val="Hyperlink"/>
          <w:lang w:val="en-IN"/>
        </w:rPr>
        <w:t>2.7 Summary of Financial Health</w:t>
      </w:r>
      <w:r>
        <w:tab/>
      </w:r>
      <w:r>
        <w:fldChar w:fldCharType="begin"/>
      </w:r>
      <w:r>
        <w:instrText xml:space="preserve"> PAGEREF _Toc227907169 \h </w:instrText>
      </w:r>
      <w:r>
        <w:fldChar w:fldCharType="separate"/>
      </w:r>
      <w:r>
        <w:t>10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1">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"_Toc227907170" </w:instrText>
      </w:r>
      <w:r>
        <w:rPr>
          <w:rStyle w:val="Hyperlink"/>
          <w:lang w:val="en-IN"/>
        </w:rPr>
        <w:fldChar w:fldCharType="separate"/>
      </w:r>
      <w:r>
        <w:rPr>
          <w:rStyle w:val="Hyperlink"/>
          <w:lang w:val="en-IN"/>
        </w:rPr>
        <w:t>3. Working Capital Management</w:t>
      </w:r>
      <w:r>
        <w:tab/>
      </w:r>
      <w:r>
        <w:fldChar w:fldCharType="begin"/>
      </w:r>
      <w:r>
        <w:instrText xml:space="preserve"> PAGEREF _Toc227907170 \h </w:instrText>
      </w:r>
      <w:r>
        <w:fldChar w:fldCharType="separate"/>
      </w:r>
      <w:r>
        <w:t>11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2">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"_Toc227907171" </w:instrText>
      </w:r>
      <w:r>
        <w:rPr>
          <w:rStyle w:val="Hyperlink"/>
          <w:lang w:val="en-IN"/>
        </w:rPr>
        <w:fldChar w:fldCharType="separate"/>
      </w:r>
      <w:r>
        <w:rPr>
          <w:rStyle w:val="Hyperlink"/>
          <w:lang w:val="en-IN"/>
        </w:rPr>
        <w:t>3.1 Cash Conversion Cycle (CCC) Analysis</w:t>
      </w:r>
      <w:r>
        <w:tab/>
      </w:r>
      <w:r>
        <w:fldChar w:fldCharType="begin"/>
      </w:r>
      <w:r>
        <w:instrText xml:space="preserve"> PAGEREF _Toc227907171 \h </w:instrText>
      </w:r>
      <w:r>
        <w:fldChar w:fldCharType="separate"/>
      </w:r>
      <w:r>
        <w:t>11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3">
      <w:pPr>
        <w:pStyle w:val="Toc2"/>
        <w:tabs>
          <w:tab w:val="right" w:leader="dot" w:pos="9016"/>
        </w:tabs>
        <w:rPr>
          <w:rFonts w:ascii="Arial" w:cs="Arial" w:eastAsiaTheme="minorEastAsia" w:hAnsi="Arial"/>
          <w:szCs w:val="24"/>
          <w:lang w:val="en-IN" w:eastAsia="en-IN"/>
          <w14:ligatures w14:val="standardContextual"/>
        </w:rPr>
      </w:pPr>
      <w:r>
        <w:rPr>
          <w:rStyle w:val="Hyperlink"/>
          <w:lang w:val="en-IN"/>
        </w:rPr>
        <w:fldChar w:fldCharType="begin"/>
      </w:r>
      <w:r>
        <w:rPr>
          <w:rStyle w:val="Hyperlink"/>
          <w:lang w:val="en-IN"/>
        </w:rPr>
        <w:instrText xml:space="preserve">HYPERLINK \l "_Toc227907172" </w:instrText>
      </w:r>
      <w:r>
        <w:rPr>
          <w:rStyle w:val="Hyperlink"/>
          <w:lang w:val="en-IN"/>
        </w:rPr>
        <w:fldChar w:fldCharType="separate"/>
      </w:r>
      <w:r>
        <w:rPr>
          <w:rStyle w:val="Hyperlink"/>
          <w:lang w:val="en-IN"/>
        </w:rPr>
        <w:t>3.2 Working Capital Issues</w:t>
      </w:r>
      <w:r>
        <w:tab/>
      </w:r>
      <w:r>
        <w:fldChar w:fldCharType="begin"/>
      </w:r>
      <w:r>
        <w:instrText xml:space="preserve"> PAGEREF _Toc227907172 \h </w:instrText>
      </w:r>
      <w:r>
        <w:fldChar w:fldCharType="separate"/>
      </w:r>
      <w:r>
        <w:t>12</w:t>
      </w:r>
      <w:r>
        <w:rPr>
          <w:rFonts w:ascii="Arial" w:cs="Arial" w:eastAsiaTheme="minorEastAsia" w:hAnsi="Arial"/>
          <w:szCs w:val="24"/>
          <w:lang w:val="en-IN" w:eastAsia="en-IN"/>
          <w14:ligatures w14:val="standardContextual"/>
        </w:rPr>
        <w:fldChar w:fldCharType="end"/>
      </w:r>
      <w:r>
        <w:rPr>
          <w:rFonts w:ascii="Arial" w:cs="Arial" w:eastAsiaTheme="minorEastAsia" w:hAnsi="Arial"/>
          <w:szCs w:val="24"/>
          <w:lang w:val="en-IN" w:eastAsia="en-IN"/>
          <w14:ligatures w14:val="standardContextual"/>
        </w:rPr>
        <w:fldChar w:fldCharType="end"/>
      </w:r>
    </w:p>
    <w:p w14:paraId="00000024">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"_Toc227907173" </w:instrText>
      </w:r>
      <w:r>
        <w:rPr>
          <w:rStyle w:val="Hyperlink"/>
          <w:lang w:val="en-IN"/>
        </w:rPr>
        <w:fldChar w:fldCharType="separate"/>
      </w:r>
      <w:r>
        <w:rPr>
          <w:rStyle w:val="Hyperlink"/>
          <w:lang w:val="en-IN"/>
        </w:rPr>
        <w:t>3.3 Improvement Strategies</w:t>
      </w:r>
      <w:r>
        <w:tab/>
      </w:r>
      <w:r>
        <w:fldChar w:fldCharType="begin"/>
      </w:r>
      <w:r>
        <w:instrText xml:space="preserve"> PAGEREF _Toc227907173 \h </w:instrText>
      </w:r>
      <w:r>
        <w:fldChar w:fldCharType="separate"/>
      </w:r>
      <w:r>
        <w:t>13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5">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"_Toc227907174" </w:instrText>
      </w:r>
      <w:r>
        <w:rPr>
          <w:rStyle w:val="Hyperlink"/>
          <w:lang w:val="en-IN"/>
        </w:rPr>
        <w:fldChar w:fldCharType="separate"/>
      </w:r>
      <w:r>
        <w:rPr>
          <w:rStyle w:val="Hyperlink"/>
          <w:lang w:val="en-IN"/>
        </w:rPr>
        <w:t>3.4 Financing Working Capital</w:t>
      </w:r>
      <w:r>
        <w:tab/>
      </w:r>
      <w:r>
        <w:fldChar w:fldCharType="begin"/>
      </w:r>
      <w:r>
        <w:instrText xml:space="preserve"> PAGEREF _Toc227907174 \h </w:instrText>
      </w:r>
      <w:r>
        <w:fldChar w:fldCharType="separate"/>
      </w:r>
      <w:r>
        <w:t>13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6">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"_Toc227907175" </w:instrText>
      </w:r>
      <w:r>
        <w:rPr>
          <w:rStyle w:val="Hyperlink"/>
          <w:lang w:val="en-IN"/>
        </w:rPr>
        <w:fldChar w:fldCharType="separate"/>
      </w:r>
      <w:r>
        <w:rPr>
          <w:rStyle w:val="Hyperlink"/>
          <w:lang w:val="en-IN"/>
        </w:rPr>
        <w:t>4. Strategic Financial Restructuring</w:t>
      </w:r>
      <w:r>
        <w:tab/>
      </w:r>
      <w:r>
        <w:fldChar w:fldCharType="begin"/>
      </w:r>
      <w:r>
        <w:instrText xml:space="preserve"> PAGEREF _Toc227907175 \h </w:instrText>
      </w:r>
      <w:r>
        <w:fldChar w:fldCharType="separate"/>
      </w:r>
      <w:r>
        <w:t>14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7">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"_Toc227907176" </w:instrText>
      </w:r>
      <w:r>
        <w:rPr>
          <w:rStyle w:val="Hyperlink"/>
          <w:lang w:val="en-IN"/>
        </w:rPr>
        <w:fldChar w:fldCharType="separate"/>
      </w:r>
      <w:r>
        <w:rPr>
          <w:rStyle w:val="Hyperlink"/>
          <w:lang w:val="en-IN"/>
        </w:rPr>
        <w:t>4.1 Need for Financial Restructuring</w:t>
      </w:r>
      <w:r>
        <w:tab/>
      </w:r>
      <w:r>
        <w:fldChar w:fldCharType="begin"/>
      </w:r>
      <w:r>
        <w:instrText xml:space="preserve"> PAGEREF _Toc227907176 \h </w:instrText>
      </w:r>
      <w:r>
        <w:fldChar w:fldCharType="separate"/>
      </w:r>
      <w:r>
        <w:t>14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8">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"_Toc227907177" </w:instrText>
      </w:r>
      <w:r>
        <w:rPr>
          <w:rStyle w:val="Hyperlink"/>
          <w:lang w:val="en-IN"/>
        </w:rPr>
        <w:fldChar w:fldCharType="separate"/>
      </w:r>
      <w:r>
        <w:rPr>
          <w:rStyle w:val="Hyperlink"/>
          <w:lang w:val="en-IN"/>
        </w:rPr>
        <w:t>4.2 Financial Restructuring Strategies</w:t>
      </w:r>
      <w:r>
        <w:tab/>
      </w:r>
      <w:r>
        <w:fldChar w:fldCharType="begin"/>
      </w:r>
      <w:r>
        <w:instrText xml:space="preserve"> PAGEREF _Toc227907177 \h </w:instrText>
      </w:r>
      <w:r>
        <w:fldChar w:fldCharType="separate"/>
      </w:r>
      <w:r>
        <w:t>14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9">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"_Toc227907178" </w:instrText>
      </w:r>
      <w:r>
        <w:rPr>
          <w:rStyle w:val="Hyperlink"/>
          <w:lang w:val="en-IN"/>
        </w:rPr>
        <w:fldChar w:fldCharType="separate"/>
      </w:r>
      <w:r>
        <w:rPr>
          <w:rStyle w:val="Hyperlink"/>
          <w:lang w:val="en-IN"/>
        </w:rPr>
        <w:t>4.3 Impact of Financial Restructuring</w:t>
      </w:r>
      <w:r>
        <w:tab/>
      </w:r>
      <w:r>
        <w:fldChar w:fldCharType="begin"/>
      </w:r>
      <w:r>
        <w:instrText xml:space="preserve"> PAGEREF _Toc227907178 \h </w:instrText>
      </w:r>
      <w:r>
        <w:fldChar w:fldCharType="separate"/>
      </w:r>
      <w:r>
        <w:t>16</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A">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"_Toc227907179" </w:instrText>
      </w:r>
      <w:r>
        <w:rPr>
          <w:rStyle w:val="Hyperlink"/>
          <w:lang w:val="en-IN"/>
        </w:rPr>
        <w:fldChar w:fldCharType="separate"/>
      </w:r>
      <w:r>
        <w:rPr>
          <w:rStyle w:val="Hyperlink"/>
          <w:lang w:val="en-IN"/>
        </w:rPr>
        <w:t>4.4 International and Ethical Considerations</w:t>
      </w:r>
      <w:r>
        <w:tab/>
      </w:r>
      <w:r>
        <w:fldChar w:fldCharType="begin"/>
      </w:r>
      <w:r>
        <w:instrText xml:space="preserve"> PAGEREF _Toc227907179 \h </w:instrText>
      </w:r>
      <w:r>
        <w:fldChar w:fldCharType="separate"/>
      </w:r>
      <w:r>
        <w:t>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7</w:t>
      </w:r>
    </w:p>
    <w:p w14:paraId="0000002B">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"_Toc227907180" </w:instrText>
      </w:r>
      <w:r>
        <w:rPr>
          <w:rStyle w:val="Hyperlink"/>
          <w:lang w:val="en-IN"/>
        </w:rPr>
        <w:fldChar w:fldCharType="separate"/>
      </w:r>
      <w:r>
        <w:rPr>
          <w:rStyle w:val="Hyperlink"/>
          <w:lang w:val="en-IN"/>
        </w:rPr>
        <w:t>5. Investment Appraisal and Capital Budgeting</w:t>
      </w:r>
      <w:r>
        <w:tab/>
      </w:r>
      <w:r>
        <w:fldChar w:fldCharType="begin"/>
      </w:r>
      <w:r>
        <w:instrText xml:space="preserve"> PAGEREF _Toc227907180 \h </w:instrText>
      </w:r>
      <w:r>
        <w:fldChar w:fldCharType="separate"/>
      </w:r>
      <w:r>
        <w:t>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8</w:t>
      </w:r>
    </w:p>
    <w:p w14:paraId="0000002C">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"_Toc227907181" </w:instrText>
      </w:r>
      <w:r>
        <w:rPr>
          <w:rStyle w:val="Hyperlink"/>
          <w:lang w:val="en-IN"/>
        </w:rPr>
        <w:fldChar w:fldCharType="separate"/>
      </w:r>
      <w:r>
        <w:rPr>
          <w:rStyle w:val="Hyperlink"/>
          <w:lang w:val="en-IN"/>
        </w:rPr>
        <w:t>5.1 Introduction</w:t>
      </w:r>
      <w:r>
        <w:tab/>
      </w:r>
      <w:r>
        <w:fldChar w:fldCharType="begin"/>
      </w:r>
      <w:r>
        <w:instrText xml:space="preserve"> PAGEREF _Toc227907181 \h </w:instrText>
      </w:r>
      <w:r>
        <w:fldChar w:fldCharType="separate"/>
      </w:r>
      <w:r>
        <w:t>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8</w:t>
      </w:r>
    </w:p>
    <w:p w14:paraId="0000002D">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"_Toc227907182" </w:instrText>
      </w:r>
      <w:r>
        <w:rPr>
          <w:rStyle w:val="Hyperlink"/>
          <w:lang w:val="en-IN"/>
        </w:rPr>
        <w:fldChar w:fldCharType="separate"/>
      </w:r>
      <w:r>
        <w:rPr>
          <w:rStyle w:val="Hyperlink"/>
          <w:lang w:val="en-IN"/>
        </w:rPr>
        <w:t>5.2 Investment Appraisal Methods</w:t>
      </w:r>
      <w:r>
        <w:tab/>
      </w:r>
      <w:r>
        <w:fldChar w:fldCharType="begin"/>
      </w:r>
      <w:r>
        <w:instrText xml:space="preserve"> PAGEREF _Toc227907182 \h </w:instrText>
      </w:r>
      <w:r>
        <w:fldChar w:fldCharType="separate"/>
      </w:r>
      <w:r>
        <w:t>18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E">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"_Toc227907183" </w:instrText>
      </w:r>
      <w:r>
        <w:rPr>
          <w:rStyle w:val="Hyperlink"/>
          <w:lang w:val="en-IN"/>
        </w:rPr>
        <w:fldChar w:fldCharType="separate"/>
      </w:r>
      <w:r>
        <w:rPr>
          <w:rStyle w:val="Hyperlink"/>
          <w:lang w:val="en-IN"/>
        </w:rPr>
        <w:t>5.3 Results and Interpretation</w:t>
      </w:r>
      <w:r>
        <w:tab/>
      </w:r>
      <w:r>
        <w:fldChar w:fldCharType="begin"/>
      </w:r>
      <w:r>
        <w:instrText xml:space="preserve"> PAGEREF _Toc227907183 \h </w:instrText>
      </w:r>
      <w:r>
        <w:fldChar w:fldCharType="separate"/>
      </w:r>
      <w:r>
        <w:t>19</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F">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"_Toc227907184" </w:instrText>
      </w:r>
      <w:r>
        <w:rPr>
          <w:rStyle w:val="Hyperlink"/>
          <w:lang w:val="en-IN"/>
        </w:rPr>
        <w:fldChar w:fldCharType="separate"/>
      </w:r>
      <w:r>
        <w:rPr>
          <w:rStyle w:val="Hyperlink"/>
          <w:lang w:val="en-IN"/>
        </w:rPr>
        <w:t>5.4 Project Selection</w:t>
      </w:r>
      <w:r>
        <w:tab/>
      </w:r>
      <w:r>
        <w:fldChar w:fldCharType="begin"/>
      </w:r>
      <w:r>
        <w:instrText xml:space="preserve"> PAGEREF _Toc227907184 \h </w:instrText>
      </w:r>
      <w:r>
        <w:fldChar w:fldCharType="separate"/>
      </w:r>
      <w:r>
        <w:t>20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0">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"_Toc227907185" </w:instrText>
      </w:r>
      <w:r>
        <w:rPr>
          <w:rStyle w:val="Hyperlink"/>
          <w:lang w:val="en-IN"/>
        </w:rPr>
        <w:fldChar w:fldCharType="separate"/>
      </w:r>
      <w:r>
        <w:rPr>
          <w:rStyle w:val="Hyperlink"/>
          <w:lang w:val="en-IN"/>
        </w:rPr>
        <w:t>5.5 Capital Rationing Decision</w:t>
      </w:r>
      <w:r>
        <w:tab/>
      </w:r>
      <w:r>
        <w:fldChar w:fldCharType="begin"/>
      </w:r>
      <w:r>
        <w:instrText xml:space="preserve"> PAGEREF _Toc227907185 \h </w:instrText>
      </w:r>
      <w:r>
        <w:fldChar w:fldCharType="separate"/>
      </w:r>
      <w:r>
        <w:t>21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1">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"_Toc227907186" </w:instrText>
      </w:r>
      <w:r>
        <w:rPr>
          <w:rStyle w:val="Hyperlink"/>
          <w:lang w:val="en-IN"/>
        </w:rPr>
        <w:fldChar w:fldCharType="separate"/>
      </w:r>
      <w:r>
        <w:rPr>
          <w:rStyle w:val="Hyperlink"/>
          <w:lang w:val="en-IN"/>
        </w:rPr>
        <w:t>5.6 Risk Analysis</w:t>
      </w:r>
      <w:r>
        <w:tab/>
      </w:r>
      <w:r>
        <w:fldChar w:fldCharType="begin"/>
      </w:r>
      <w:r>
        <w:instrText xml:space="preserve"> PAGEREF _Toc227907186 \h </w:instrText>
      </w:r>
      <w:r>
        <w:fldChar w:fldCharType="separate"/>
      </w:r>
      <w:r>
        <w:t>21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2">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"_Toc227907187" </w:instrText>
      </w:r>
      <w:r>
        <w:rPr>
          <w:rStyle w:val="Hyperlink"/>
          <w:lang w:val="en-IN"/>
        </w:rPr>
        <w:fldChar w:fldCharType="separate"/>
      </w:r>
      <w:r>
        <w:rPr>
          <w:rStyle w:val="Hyperlink"/>
          <w:lang w:val="en-IN"/>
        </w:rPr>
        <w:t>6. Conclusion</w:t>
      </w:r>
      <w:r>
        <w:tab/>
      </w:r>
      <w:r>
        <w:fldChar w:fldCharType="begin"/>
      </w:r>
      <w:r>
        <w:instrText xml:space="preserve"> PAGEREF _Toc227907187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3</w:t>
      </w:r>
    </w:p>
    <w:p w14:paraId="00000033">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"_Toc227907188" </w:instrText>
      </w:r>
      <w:r>
        <w:rPr>
          <w:rStyle w:val="Hyperlink"/>
          <w:lang w:val="en-IN"/>
        </w:rPr>
        <w:fldChar w:fldCharType="separate"/>
      </w:r>
      <w:r>
        <w:rPr>
          <w:rStyle w:val="Hyperlink"/>
          <w:lang w:val="en-IN"/>
        </w:rPr>
        <w:t>7. References</w:t>
      </w:r>
      <w:r>
        <w:tab/>
      </w:r>
      <w:r>
        <w:fldChar w:fldCharType="begin"/>
      </w:r>
      <w:r>
        <w:instrText xml:space="preserve"> PAGEREF _Toc227907188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5</w:t>
      </w:r>
    </w:p>
    <w:p w14:paraId="00000034">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"_Toc227907189" </w:instrText>
      </w:r>
      <w:r>
        <w:rPr>
          <w:rStyle w:val="Hyperlink"/>
          <w:lang w:val="en-IN"/>
        </w:rPr>
        <w:fldChar w:fldCharType="separate"/>
      </w:r>
      <w:r>
        <w:rPr>
          <w:rStyle w:val="Hyperlink"/>
          <w:lang w:val="en-IN"/>
        </w:rPr>
        <w:t>8. Appendix</w:t>
      </w:r>
      <w:r>
        <w:tab/>
      </w:r>
      <w:r>
        <w:fldChar w:fldCharType="begin"/>
      </w:r>
      <w:r>
        <w:instrText xml:space="preserve"> PAGEREF _Toc227907189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8</w:t>
      </w:r>
    </w:p>
    <w:p w14:paraId="00000035">
      <w:pPr>
        <w:pStyle w:val="Toc2"/>
        <w:tabs>
          <w:tab w:val="right" w:leader="dot" w:pos="9016"/>
        </w:tabs>
        <w:rPr>
          <w:rFonts w:asciiTheme="minorHAnsi" w:eastAsiaTheme="minorEastAsia" w:hAnsiTheme="minorHAnsi"/>
          <w:szCs w:val="24"/>
          <w:lang w:val="en-IN" w:eastAsia="en-IN"/>
          <w14:ligatures w14:val="standardContextual"/>
        </w:rPr>
      </w:pPr>
      <w:r>
        <w:rPr>
          <w:rStyle w:val="Hyperlink"/>
          <w:rFonts w:cs="Arial"/>
          <w:lang w:val="en-IN"/>
        </w:rPr>
        <w:fldChar w:fldCharType="begin"/>
      </w:r>
      <w:r>
        <w:rPr>
          <w:rStyle w:val="Hyperlink"/>
          <w:rFonts w:cs="Arial"/>
          <w:lang w:val="en-IN"/>
        </w:rPr>
        <w:instrText xml:space="preserve">HYPERLINK \l "_Toc227907190" </w:instrText>
      </w:r>
      <w:r>
        <w:rPr>
          <w:rStyle w:val="Hyperlink"/>
          <w:rFonts w:cs="Arial"/>
          <w:lang w:val="en-IN"/>
        </w:rPr>
        <w:fldChar w:fldCharType="separate"/>
      </w:r>
      <w:r>
        <w:rPr>
          <w:rStyle w:val="Hyperlink"/>
          <w:rFonts w:cs="Arial"/>
          <w:lang w:val="en-IN"/>
        </w:rPr>
        <w:t>8.1 Financial Data</w:t>
      </w:r>
      <w:r>
        <w:tab/>
      </w:r>
      <w:r>
        <w:fldChar w:fldCharType="begin"/>
      </w:r>
      <w:r>
        <w:instrText xml:space="preserve"> PAGEREF _Toc227907190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8</w:t>
      </w:r>
    </w:p>
    <w:p w14:paraId="00000036">
      <w:pPr>
        <w:pStyle w:val="Toc2"/>
        <w:tabs>
          <w:tab w:val="right" w:leader="dot" w:pos="9016"/>
        </w:tabs>
        <w:rPr>
          <w:rFonts w:asciiTheme="minorHAnsi" w:eastAsiaTheme="minorEastAsia" w:hAnsiTheme="minorHAnsi"/>
          <w:szCs w:val="24"/>
          <w:lang w:val="en-IN" w:eastAsia="en-IN"/>
          <w14:ligatures w14:val="standardContextual"/>
        </w:rPr>
      </w:pPr>
      <w:r>
        <w:rPr>
          <w:rStyle w:val="Hyperlink"/>
          <w:rFonts w:cs="Arial"/>
          <w:lang w:val="en-IN"/>
        </w:rPr>
        <w:fldChar w:fldCharType="begin"/>
      </w:r>
      <w:r>
        <w:rPr>
          <w:rStyle w:val="Hyperlink"/>
          <w:rFonts w:cs="Arial"/>
          <w:lang w:val="en-IN"/>
        </w:rPr>
        <w:instrText xml:space="preserve">HYPERLINK \l "_Toc227907191" </w:instrText>
      </w:r>
      <w:r>
        <w:rPr>
          <w:rStyle w:val="Hyperlink"/>
          <w:rFonts w:cs="Arial"/>
          <w:lang w:val="en-IN"/>
        </w:rPr>
        <w:fldChar w:fldCharType="separate"/>
      </w:r>
      <w:r>
        <w:rPr>
          <w:rStyle w:val="Hyperlink"/>
          <w:rFonts w:cs="Arial"/>
          <w:lang w:val="en-IN"/>
        </w:rPr>
        <w:t>8.2 Ratios</w:t>
      </w:r>
      <w:r>
        <w:tab/>
      </w:r>
      <w:r>
        <w:fldChar w:fldCharType="begin"/>
      </w:r>
      <w:r>
        <w:instrText xml:space="preserve"> PAGEREF _Toc227907191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8</w:t>
      </w:r>
    </w:p>
    <w:p w14:paraId="00000037">
      <w:pPr>
        <w:pStyle w:val="Toc2"/>
        <w:tabs>
          <w:tab w:val="right" w:leader="dot" w:pos="9016"/>
        </w:tabs>
        <w:rPr>
          <w:rFonts w:asciiTheme="minorHAnsi" w:eastAsiaTheme="minorEastAsia" w:hAnsiTheme="minorHAnsi"/>
          <w:szCs w:val="24"/>
          <w:lang w:val="en-IN" w:eastAsia="en-IN"/>
          <w14:ligatures w14:val="standardContextual"/>
        </w:rPr>
      </w:pPr>
      <w:r>
        <w:rPr>
          <w:rStyle w:val="Hyperlink"/>
          <w:rFonts w:cs="Arial"/>
        </w:rPr>
        <w:fldChar w:fldCharType="begin"/>
      </w:r>
      <w:r>
        <w:rPr>
          <w:rStyle w:val="Hyperlink"/>
          <w:rFonts w:cs="Arial"/>
        </w:rPr>
        <w:instrText xml:space="preserve">HYPERLINK \l "_Toc227907192" </w:instrText>
      </w:r>
      <w:r>
        <w:rPr>
          <w:rStyle w:val="Hyperlink"/>
          <w:rFonts w:cs="Arial"/>
        </w:rPr>
        <w:fldChar w:fldCharType="separate"/>
      </w:r>
      <w:r>
        <w:rPr>
          <w:rStyle w:val="Hyperlink"/>
          <w:rFonts w:cs="Arial"/>
        </w:rPr>
        <w:t>8.3 Investment Appraisal</w:t>
      </w:r>
      <w:r>
        <w:tab/>
      </w:r>
      <w:r>
        <w:fldChar w:fldCharType="begin"/>
      </w:r>
      <w:r>
        <w:instrText xml:space="preserve"> PAGEREF _Toc227907192 \h </w:instrText>
      </w:r>
      <w:r>
        <w:fldChar w:fldCharType="separate"/>
      </w:r>
      <w:r>
        <w:t>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t>9</w:t>
      </w:r>
    </w:p>
    <w:p w14:paraId="00000038">
      <w:r>
        <w:fldChar w:fldCharType="end"/>
      </w:r>
    </w:p>
    <w:p w14:paraId="00000039">
      <w:pPr>
        <w:spacing w:before="0" w:beforeAutospacing="0" w:after="160" w:afterAutospacing="0" w:line="259" w:lineRule="auto"/>
        <w:jc w:val="left"/>
        <w:rPr>
          <w:lang w:val="en-IN"/>
        </w:rPr>
      </w:pPr>
    </w:p>
    <w:p w14:paraId="0000003A">
      <w:pPr>
        <w:spacing w:before="0" w:beforeAutospacing="0" w:after="160" w:afterAutospacing="0" w:line="259" w:lineRule="auto"/>
        <w:jc w:val="center"/>
        <w:rPr>
          <w:b/>
          <w:bCs/>
          <w:lang w:val="en-IN"/>
        </w:rPr>
      </w:pPr>
      <w:r>
        <w:rPr>
          <w:b/>
          <w:bCs/>
          <w:lang w:val="en-IN"/>
        </w:rPr>
        <w:t>Table of Figures</w:t>
      </w:r>
    </w:p>
    <w:p w14:paraId="0000003B">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 TOC \h \z \c "Figure" </w:instrText>
      </w:r>
      <w:r>
        <w:rPr>
          <w:rStyle w:val="Hyperlink"/>
        </w:rPr>
        <w:fldChar w:fldCharType="separate"/>
      </w:r>
      <w:r>
        <w:rPr>
          <w:rStyle w:val="Hyperlink"/>
        </w:rPr>
        <w:fldChar w:fldCharType="begin"/>
      </w:r>
      <w:r>
        <w:rPr>
          <w:rStyle w:val="Hyperlink"/>
        </w:rPr>
        <w:instrText xml:space="preserve">HYPERLINK \l "_Toc227907201" </w:instrText>
      </w:r>
      <w:r>
        <w:rPr>
          <w:rStyle w:val="Hyperlink"/>
        </w:rPr>
        <w:fldChar w:fldCharType="separate"/>
      </w:r>
      <w:r>
        <w:rPr>
          <w:rStyle w:val="Hyperlink"/>
        </w:rPr>
        <w:t>Figure 1: Tesla Revenue Trend (2021–2025)</w:t>
      </w:r>
      <w:r>
        <w:tab/>
      </w:r>
      <w:r>
        <w:fldChar w:fldCharType="begin"/>
      </w:r>
      <w:r>
        <w:instrText xml:space="preserve"> PAGEREF _Toc227907201 \h </w:instrText>
      </w:r>
      <w:r>
        <w:fldChar w:fldCharType="separate"/>
      </w:r>
      <w:r>
        <w:t>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C">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"_Toc227907202" </w:instrText>
      </w:r>
      <w:r>
        <w:rPr>
          <w:rStyle w:val="Hyperlink"/>
        </w:rPr>
        <w:fldChar w:fldCharType="separate"/>
      </w:r>
      <w:r>
        <w:rPr>
          <w:rStyle w:val="Hyperlink"/>
        </w:rPr>
        <w:t>Figure 2: Tesla Net Profit Trend (2021–2025)</w:t>
      </w:r>
      <w:r>
        <w:tab/>
      </w:r>
      <w:r>
        <w:fldChar w:fldCharType="begin"/>
      </w:r>
      <w:r>
        <w:instrText xml:space="preserve"> PAGEREF _Toc227907202 \h </w:instrText>
      </w:r>
      <w:r>
        <w:fldChar w:fldCharType="separate"/>
      </w:r>
      <w:r>
        <w:t>6</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D">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"_Toc227907203" </w:instrText>
      </w:r>
      <w:r>
        <w:rPr>
          <w:rStyle w:val="Hyperlink"/>
        </w:rPr>
        <w:fldChar w:fldCharType="separate"/>
      </w:r>
      <w:r>
        <w:rPr>
          <w:rStyle w:val="Hyperlink"/>
        </w:rPr>
        <w:t>Figure 3: Tesla Profitability Margins (2021–2025)</w:t>
      </w:r>
      <w:r>
        <w:tab/>
      </w:r>
      <w:r>
        <w:fldChar w:fldCharType="begin"/>
      </w:r>
      <w:r>
        <w:instrText xml:space="preserve"> PAGEREF _Toc227907203 \h </w:instrText>
      </w:r>
      <w:r>
        <w:fldChar w:fldCharType="separate"/>
      </w:r>
      <w:r>
        <w:t>7</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E">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"_Toc227907204" </w:instrText>
      </w:r>
      <w:r>
        <w:rPr>
          <w:rStyle w:val="Hyperlink"/>
        </w:rPr>
        <w:fldChar w:fldCharType="separate"/>
      </w:r>
      <w:r>
        <w:rPr>
          <w:rStyle w:val="Hyperlink"/>
        </w:rPr>
        <w:t>Figure 4: Tesla Liquidity Ratios (2021–2025)</w:t>
      </w:r>
      <w:r>
        <w:tab/>
      </w:r>
      <w:r>
        <w:fldChar w:fldCharType="begin"/>
      </w:r>
      <w:r>
        <w:instrText xml:space="preserve"> PAGEREF _Toc227907204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3F">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"_Toc227907205" </w:instrText>
      </w:r>
      <w:r>
        <w:rPr>
          <w:rStyle w:val="Hyperlink"/>
        </w:rPr>
        <w:fldChar w:fldCharType="separate"/>
      </w:r>
      <w:r>
        <w:rPr>
          <w:rStyle w:val="Hyperlink"/>
        </w:rPr>
        <w:t>Figure 5: Tesla Working Capital Efficiency (2021–2025)</w:t>
      </w:r>
      <w:r>
        <w:tab/>
      </w:r>
      <w:r>
        <w:fldChar w:fldCharType="begin"/>
      </w:r>
      <w:r>
        <w:instrText xml:space="preserve"> PAGEREF _Toc227907205 \h </w:instrText>
      </w:r>
      <w:r>
        <w:fldChar w:fldCharType="separate"/>
      </w:r>
      <w:r>
        <w:t>9</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40">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"_Toc227907206" </w:instrText>
      </w:r>
      <w:r>
        <w:rPr>
          <w:rStyle w:val="Hyperlink"/>
        </w:rPr>
        <w:fldChar w:fldCharType="separate"/>
      </w:r>
      <w:r>
        <w:rPr>
          <w:rStyle w:val="Hyperlink"/>
        </w:rPr>
        <w:t>Figure 6: Tesla Debt to Equity Ratio (2021–2025)</w:t>
      </w:r>
      <w:r>
        <w:tab/>
      </w:r>
      <w:r>
        <w:fldChar w:fldCharType="begin"/>
      </w:r>
      <w:r>
        <w:instrText xml:space="preserve"> PAGEREF _Toc227907206 \h </w:instrText>
      </w:r>
      <w:r>
        <w:fldChar w:fldCharType="separate"/>
      </w:r>
      <w:r>
        <w:t>10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41">
      <w:pPr>
        <w:pStyle w:val="Tableoffigures"/>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HYPERLINK \l "_Toc227907207" </w:instrText>
      </w:r>
      <w:r>
        <w:rPr>
          <w:rStyle w:val="Hyperlink"/>
        </w:rPr>
        <w:fldChar w:fldCharType="separate"/>
      </w:r>
      <w:r>
        <w:rPr>
          <w:rStyle w:val="Hyperlink"/>
        </w:rPr>
        <w:t>Figure 7: Tesla Cash Conversion Cycle (2021–2025)</w:t>
      </w:r>
      <w:r>
        <w:tab/>
      </w:r>
      <w:r>
        <w:fldChar w:fldCharType="begin"/>
      </w:r>
      <w:r>
        <w:instrText xml:space="preserve"> PAGEREF _Toc227907207 \h </w:instrText>
      </w:r>
      <w:r>
        <w:fldChar w:fldCharType="separate"/>
      </w:r>
      <w:r>
        <w:t>12</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42">
      <w:pPr>
        <w:spacing w:before="0" w:beforeAutospacing="0" w:after="160" w:afterAutospacing="0" w:line="259" w:lineRule="auto"/>
        <w:jc w:val="left"/>
        <w:rPr>
          <w:rFonts w:eastAsiaTheme="majorEastAsia"/>
          <w:b/>
          <w:bCs/>
          <w:color w:val="000000" w:themeColor="text1"/>
          <w:szCs w:val="48"/>
          <w:lang w:val="en-IN" w:eastAsia="en-IN"/>
        </w:rPr>
      </w:pPr>
      <w:r>
        <w:rPr>
          <w:lang w:val="en-IN"/>
        </w:rPr>
        <w:fldChar w:fldCharType="end"/>
      </w:r>
      <w:r>
        <w:rPr>
          <w:lang w:val="en-IN"/>
        </w:rPr>
        <w:br w:type="page"/>
      </w:r>
    </w:p>
    <w:p w14:paraId="00000043">
      <w:pPr>
        <w:pStyle w:val="Heading1"/>
        <w:rPr>
          <w:lang w:val="en-IN"/>
        </w:rPr>
      </w:pPr>
      <w:bookmarkStart w:id="0" w:name="_Toc227907161"/>
      <w:r>
        <w:rPr>
          <w:lang w:val="en-IN"/>
        </w:rPr>
        <w:t>1. Introduction</w:t>
      </w:r>
      <w:bookmarkEnd w:id="0"/>
    </w:p>
    <w:p w14:paraId="00000044">
      <w:pPr>
        <w:rPr>
          <w:lang w:val="en-IN"/>
        </w:rPr>
      </w:pPr>
      <w:r>
        <w:rPr>
          <w:lang w:val="en-IN"/>
        </w:rPr>
        <w:t xml:space="preserve">Tesla Inc. is widely recognised as one of the most advanced companies in the international electric vehicle (EV) market, becoming the catalyst of the shift to sustainable energy solutions (Tesla, 2026). The EV market </w:t>
      </w:r>
      <w:r>
        <w:rPr>
          <w:lang w:val="en-IN"/>
        </w:rPr>
        <w:t xml:space="preserve">has experienced rapid growth </w:t>
      </w:r>
      <w:r>
        <w:rPr>
          <w:lang w:val="en-IN"/>
        </w:rPr>
        <w:t>during the last ten years because of the growing environmental concerns, the government policies concerning carbon emission</w:t>
      </w:r>
      <w:r>
        <w:rPr>
          <w:lang w:val="en-IN"/>
        </w:rPr>
        <w:t>s</w:t>
      </w:r>
      <w:r>
        <w:rPr>
          <w:lang w:val="en-IN"/>
        </w:rPr>
        <w:t>, and technological progress in battery efficiency. Tesla has been leading this change because of its good brand identity, constant innovation and diversification into energy storage and renewable energy solutions.</w:t>
      </w:r>
    </w:p>
    <w:p w14:paraId="00000045">
      <w:pPr>
        <w:jc w:val="center"/>
        <w:rPr>
          <w:lang w:val="en-IN"/>
        </w:rPr>
      </w:pPr>
      <w:r>
        <w:rPr/>
        <w:drawing xmlns:mc="http://schemas.openxmlformats.org/markup-compatibility/2006">
          <wp:inline distT="0" distB="0" distL="0" distR="0">
            <wp:extent cx="2621280" cy="1744980"/>
            <wp:effectExtent l="0" t="0" r="0" b="0"/>
            <wp:docPr id="1866639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96248" name="Picture 2"/>
                    <pic:cNvPicPr>
                      <a:picLocks noChangeAspect="1" noChangeArrowheads="1"/>
                    </pic:cNvPicPr>
                  </pic:nvPicPr>
                  <pic:blipFill>
                    <a:blip r:embed="rId27"/>
                    <a:srcRect/>
                    <a:stretch>
                      <a:fillRect/>
                    </a:stretch>
                  </pic:blipFill>
                  <pic:spPr>
                    <a:xfrm>
                      <a:off x="0" y="0"/>
                      <a:ext cx="2621280" cy="1744980"/>
                    </a:xfrm>
                    <a:prstGeom prst="rect">
                      <a:avLst/>
                    </a:prstGeom>
                    <a:noFill/>
                    <a:ln>
                      <a:noFill/>
                    </a:ln>
                  </pic:spPr>
                </pic:pic>
              </a:graphicData>
            </a:graphic>
          </wp:inline>
        </w:drawing>
      </w:r>
    </w:p>
    <w:p w14:paraId="00000046">
      <w:pPr>
        <w:rPr>
          <w:lang w:val="en-IN"/>
        </w:rPr>
      </w:pPr>
      <w:r>
        <w:rPr>
          <w:lang w:val="en-IN"/>
        </w:rPr>
        <w:t xml:space="preserve">The world of EVs has proven to be very competitive, with the established automotive companies and </w:t>
      </w:r>
      <w:r>
        <w:rPr>
          <w:lang w:val="en-IN"/>
        </w:rPr>
        <w:t xml:space="preserve">new entrants </w:t>
      </w:r>
      <w:r>
        <w:rPr>
          <w:lang w:val="en-IN"/>
        </w:rPr>
        <w:t xml:space="preserve">investing heavily in electrification (Brem and Nylund, 2023). This has brought about pricing pressures, cost </w:t>
      </w:r>
      <w:r>
        <w:rPr>
          <w:lang w:val="en-IN"/>
        </w:rPr>
        <w:t>challenges</w:t>
      </w:r>
      <w:r>
        <w:rPr>
          <w:lang w:val="en-IN"/>
        </w:rPr>
        <w:t xml:space="preserve"> </w:t>
      </w:r>
      <w:r>
        <w:rPr>
          <w:lang w:val="en-IN"/>
        </w:rPr>
        <w:t xml:space="preserve">and operational efficiency. The challenges that Tesla has to deal with include the unstable profitability, increased production costs and the necessity to keep the liquidity and sustain the growth in the long-term. </w:t>
      </w:r>
      <w:r>
        <w:rPr>
          <w:lang w:val="en-IN"/>
        </w:rPr>
        <w:t>These factors make financial analysis critical for strategic decision-making.</w:t>
      </w:r>
    </w:p>
    <w:p w14:paraId="00000047">
      <w:pPr>
        <w:rPr>
          <w:lang w:val="en-IN"/>
        </w:rPr>
      </w:pPr>
      <w:r>
        <w:rPr>
          <w:lang w:val="en-IN"/>
        </w:rPr>
        <w:t>The Chief Financial Officer (CFO) plays a critical role in this regard as they need to review the financial performance of the company and guarantee sustainable growth. The CFO will analyse the financial statements, work on the working capital, optimise the capital structure and make informed investment decisions. The present report presupposes the position of a CFO who needs to perform an in-depth financial analysis of Tesla.</w:t>
      </w:r>
    </w:p>
    <w:p w14:paraId="00000048">
      <w:pPr>
        <w:rPr>
          <w:lang w:val="en-IN"/>
        </w:rPr>
      </w:pPr>
      <w:r>
        <w:rPr>
          <w:lang w:val="en-IN"/>
        </w:rPr>
        <w:t>This report aims to evaluate the financial performance of Tesla over the last five years by applying the ratio analysis, evaluat</w:t>
      </w:r>
      <w:r>
        <w:rPr>
          <w:lang w:val="en-IN"/>
        </w:rPr>
        <w:t>ing</w:t>
      </w:r>
      <w:r>
        <w:rPr>
          <w:lang w:val="en-IN"/>
        </w:rPr>
        <w:t xml:space="preserve"> its working capital management, and determin</w:t>
      </w:r>
      <w:r>
        <w:rPr>
          <w:lang w:val="en-IN"/>
        </w:rPr>
        <w:t>ing</w:t>
      </w:r>
      <w:r>
        <w:rPr>
          <w:lang w:val="en-IN"/>
        </w:rPr>
        <w:t xml:space="preserve"> key strengths and weaknesses. The report also suggests a strategic </w:t>
      </w:r>
      <w:r>
        <w:rPr>
          <w:lang w:val="en-IN"/>
        </w:rPr>
        <w:t xml:space="preserve">financial restructuring to improve performance and estimates the feasibility of investment projects with the help of capital budgeting methods. </w:t>
      </w:r>
      <w:r>
        <w:rPr>
          <w:lang w:val="en-IN"/>
        </w:rPr>
        <w:t xml:space="preserve"> The analysis aims to provide data-driven insights and practical recommendations </w:t>
      </w:r>
      <w:r>
        <w:rPr>
          <w:lang w:val="en-IN"/>
        </w:rPr>
        <w:t>to help Tesla achieve financial sustainability and competitiveness in the dynamic EV market.</w:t>
      </w:r>
    </w:p>
    <w:p w14:paraId="00000049">
      <w:pPr>
        <w:pStyle w:val="Heading1"/>
        <w:rPr>
          <w:lang w:val="en-IN"/>
        </w:rPr>
      </w:pPr>
      <w:bookmarkStart w:id="1" w:name="_Toc227907162"/>
      <w:r>
        <w:rPr>
          <w:lang w:val="en-IN"/>
        </w:rPr>
        <w:t>2. Financial Health Check</w:t>
      </w:r>
      <w:bookmarkEnd w:id="1"/>
    </w:p>
    <w:p w14:paraId="0000004A">
      <w:pPr>
        <w:pStyle w:val="Heading2"/>
        <w:rPr>
          <w:lang w:val="en-IN"/>
        </w:rPr>
      </w:pPr>
      <w:bookmarkStart w:id="2" w:name="_Toc227907163"/>
      <w:r>
        <w:rPr>
          <w:lang w:val="en-IN"/>
        </w:rPr>
        <w:t>2.1 Revenue and Profit Overview</w:t>
      </w:r>
      <w:bookmarkEnd w:id="2"/>
    </w:p>
    <w:p w14:paraId="0000004B">
      <w:pPr>
        <w:rPr>
          <w:lang w:val="en-IN"/>
        </w:rPr>
      </w:pPr>
      <w:r>
        <w:rPr>
          <w:lang w:val="en-IN"/>
        </w:rPr>
        <w:t xml:space="preserve">The financial performance of Tesla over the period 2021–2025 reflects a strong growth trajectory followed by signs of stabilisation and </w:t>
      </w:r>
      <w:r>
        <w:rPr>
          <w:lang w:val="en-IN"/>
        </w:rPr>
        <w:t xml:space="preserve">a </w:t>
      </w:r>
      <w:r>
        <w:rPr>
          <w:lang w:val="en-IN"/>
        </w:rPr>
        <w:t>slight decline. As illustrated in the revenue trend graph, Tesla’s total revenue increased significantly from $53,823 million in 2021 to $81,462 million in 2022, and further to $96,773 million in 2023</w:t>
      </w:r>
      <w:r>
        <w:rPr>
          <w:lang w:val="en-IN"/>
        </w:rPr>
        <w:t xml:space="preserve"> (</w:t>
      </w:r>
      <w:r>
        <w:rPr>
          <w:lang w:val="en-IN"/>
        </w:rPr>
        <w:t>Tesla, 202</w:t>
      </w:r>
      <w:r>
        <w:rPr>
          <w:lang w:val="en-IN"/>
        </w:rPr>
        <w:t>3)</w:t>
      </w:r>
      <w:r>
        <w:rPr>
          <w:lang w:val="en-IN"/>
        </w:rPr>
        <w:t>. This growth can be attributed to rising demand for electric vehicles, expansion into new markets, and increased production capacity. However, revenue growth slowed in 2024, reaching $97,690 million, and declined slightly to $94,827 million in 2025</w:t>
      </w:r>
      <w:r>
        <w:rPr>
          <w:lang w:val="en-IN"/>
        </w:rPr>
        <w:t xml:space="preserve"> (</w:t>
      </w:r>
      <w:r>
        <w:rPr>
          <w:lang w:val="en-IN"/>
        </w:rPr>
        <w:t>Tesla, 2025</w:t>
      </w:r>
      <w:r>
        <w:rPr>
          <w:lang w:val="en-IN"/>
        </w:rPr>
        <w:t>)</w:t>
      </w:r>
      <w:r>
        <w:rPr>
          <w:lang w:val="en-IN"/>
        </w:rPr>
        <w:t>. This indicates potential market saturation, increased competition, and pricing pressures within the EV industry.</w:t>
      </w:r>
    </w:p>
    <w:p w14:paraId="0000004C">
      <w:pPr>
        <w:keepNext w:val="on"/>
        <w:jc w:val="center"/>
        <w:rPr>
          <w:szCs w:val="24"/>
        </w:rPr>
      </w:pPr>
      <w:r>
        <w:rPr>
          <w:szCs w:val="24"/>
        </w:rPr>
        <w:drawing xmlns:mc="http://schemas.openxmlformats.org/markup-compatibility/2006">
          <wp:inline distT="0" distB="0" distL="0" distR="0">
            <wp:extent cx="4572000" cy="2781300"/>
            <wp:effectExtent l="0" t="0" r="9526" b="9526"/>
            <wp:docPr id="186663946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000004D">
      <w:pPr>
        <w:pStyle w:val="Caption"/>
        <w:jc w:val="center"/>
        <w:rPr>
          <w:color w:val="auto"/>
          <w:sz w:val="24"/>
          <w:szCs w:val="24"/>
        </w:rPr>
      </w:pPr>
      <w:bookmarkStart w:id="3" w:name="_Toc227907201"/>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1</w:t>
      </w:r>
      <w:r>
        <w:rPr>
          <w:color w:val="auto"/>
          <w:sz w:val="24"/>
          <w:szCs w:val="24"/>
        </w:rPr>
        <w:fldChar w:fldCharType="end"/>
      </w:r>
      <w:r>
        <w:rPr>
          <w:color w:val="auto"/>
          <w:sz w:val="24"/>
          <w:szCs w:val="24"/>
        </w:rPr>
        <w:t>: Tesla Revenue Trend (2021–2025)</w:t>
      </w:r>
      <w:bookmarkEnd w:id="3"/>
    </w:p>
    <w:p w14:paraId="0000004E">
      <w:pPr>
        <w:rPr>
          <w:lang w:val="en-IN"/>
        </w:rPr>
      </w:pPr>
      <w:r>
        <w:rPr>
          <w:lang w:val="en-IN"/>
        </w:rPr>
        <w:t>Similarly, Tesla’s net income trend demonstrates notable growth between 2021 and 2023, increasing from $5,519 million to $14,997 million</w:t>
      </w:r>
      <w:r>
        <w:rPr>
          <w:lang w:val="en-IN"/>
        </w:rPr>
        <w:t xml:space="preserve"> (</w:t>
      </w:r>
      <w:r>
        <w:rPr>
          <w:lang w:val="en-IN"/>
        </w:rPr>
        <w:t>Tesla, 202</w:t>
      </w:r>
      <w:r>
        <w:rPr>
          <w:lang w:val="en-IN"/>
        </w:rPr>
        <w:t>1)</w:t>
      </w:r>
      <w:r>
        <w:rPr>
          <w:lang w:val="en-IN"/>
        </w:rPr>
        <w:t xml:space="preserve">. This reflects improved operational efficiency and economies of scale. However, a decline is observed in 2024 and 2025, where net income decreased to $14,500 million and </w:t>
      </w:r>
      <w:r>
        <w:rPr>
          <w:lang w:val="en-IN"/>
        </w:rPr>
        <w:t>$13,800 million</w:t>
      </w:r>
      <w:r>
        <w:rPr>
          <w:lang w:val="en-IN"/>
        </w:rPr>
        <w:t>,</w:t>
      </w:r>
      <w:r>
        <w:rPr>
          <w:lang w:val="en-IN"/>
        </w:rPr>
        <w:t xml:space="preserve"> respectively. This reduction suggests rising costs, particularly in production and pricing strategies aimed at maintaining market share.</w:t>
      </w:r>
    </w:p>
    <w:p w14:paraId="0000004F">
      <w:pPr>
        <w:keepNext w:val="on"/>
        <w:jc w:val="center"/>
        <w:rPr>
          <w:szCs w:val="24"/>
        </w:rPr>
      </w:pPr>
      <w:r>
        <w:rPr>
          <w:szCs w:val="24"/>
        </w:rPr>
        <w:drawing xmlns:mc="http://schemas.openxmlformats.org/markup-compatibility/2006">
          <wp:inline distT="0" distB="0" distL="0" distR="0">
            <wp:extent cx="4572000" cy="2804160"/>
            <wp:effectExtent l="0" t="0" r="9526" b="9526"/>
            <wp:docPr id="186663946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0000050">
      <w:pPr>
        <w:pStyle w:val="Caption"/>
        <w:jc w:val="center"/>
        <w:rPr>
          <w:color w:val="auto"/>
          <w:sz w:val="24"/>
          <w:szCs w:val="24"/>
          <w:lang w:val="en-IN"/>
        </w:rPr>
      </w:pPr>
      <w:bookmarkStart w:id="4" w:name="_Toc227907202"/>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2</w:t>
      </w:r>
      <w:r>
        <w:rPr>
          <w:color w:val="auto"/>
          <w:sz w:val="24"/>
          <w:szCs w:val="24"/>
        </w:rPr>
        <w:fldChar w:fldCharType="end"/>
      </w:r>
      <w:r>
        <w:rPr>
          <w:color w:val="auto"/>
          <w:sz w:val="24"/>
          <w:szCs w:val="24"/>
        </w:rPr>
        <w:t>: Tesla Net Profit Trend (2021–2025)</w:t>
      </w:r>
      <w:bookmarkEnd w:id="4"/>
    </w:p>
    <w:p w14:paraId="00000051">
      <w:pPr>
        <w:rPr>
          <w:lang w:val="en-IN"/>
        </w:rPr>
      </w:pPr>
      <w:r>
        <w:rPr>
          <w:lang w:val="en-IN"/>
        </w:rPr>
        <w:t>Overall, while Tesla has demonstrated strong revenue and profit growth in earlier years, recent trends indicate a shift towards stabilisation, highlighting the need for improved cost management and strategic financial planning.</w:t>
      </w:r>
    </w:p>
    <w:p w14:paraId="00000052">
      <w:pPr>
        <w:pStyle w:val="Heading2"/>
        <w:rPr>
          <w:lang w:val="en-IN"/>
        </w:rPr>
      </w:pPr>
      <w:bookmarkStart w:id="5" w:name="_Toc227907164"/>
      <w:r>
        <w:rPr>
          <w:lang w:val="en-IN"/>
        </w:rPr>
        <w:t>2.2 Profitability Analysis</w:t>
      </w:r>
      <w:bookmarkEnd w:id="5"/>
    </w:p>
    <w:p w14:paraId="00000053">
      <w:pPr>
        <w:rPr>
          <w:lang w:val="en-IN"/>
        </w:rPr>
      </w:pPr>
      <w:r>
        <w:rPr>
          <w:lang w:val="en-IN"/>
        </w:rPr>
        <w:t>Tesla’s profitability ratios provide deeper insights into its operational efficiency and cost management. The gross profit margin remained relatively strong in 2021 and 2022 at 25.28% and 25.60%, respectively. However, a sharp decline is observed in 2023, where it dropped to 18.25%, followed by a slight decrease to 17.86% in 2024 and a marginal recovery to 18.03% in 2025</w:t>
      </w:r>
      <w:r>
        <w:rPr>
          <w:lang w:val="en-IN"/>
        </w:rPr>
        <w:t xml:space="preserve"> (</w:t>
      </w:r>
      <w:r>
        <w:rPr>
          <w:lang w:val="en-IN"/>
        </w:rPr>
        <w:t>Tesla, 2025</w:t>
      </w:r>
      <w:r>
        <w:rPr>
          <w:lang w:val="en-IN"/>
        </w:rPr>
        <w:t>)</w:t>
      </w:r>
      <w:r>
        <w:rPr>
          <w:lang w:val="en-IN"/>
        </w:rPr>
        <w:t>. This decline can be attributed to aggressive pricing strategies, increased production costs, and intensified competition in the EV market.</w:t>
      </w:r>
    </w:p>
    <w:p w14:paraId="00000054">
      <w:pPr>
        <w:keepNext w:val="on"/>
        <w:jc w:val="center"/>
        <w:rPr>
          <w:szCs w:val="24"/>
        </w:rPr>
      </w:pPr>
      <w:r>
        <w:rPr>
          <w:szCs w:val="24"/>
        </w:rPr>
        <w:drawing xmlns:mc="http://schemas.openxmlformats.org/markup-compatibility/2006">
          <wp:inline distT="0" distB="0" distL="0" distR="0">
            <wp:extent cx="4572000" cy="2743200"/>
            <wp:effectExtent l="0" t="0" r="9526" b="9526"/>
            <wp:docPr id="186663947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0000055">
      <w:pPr>
        <w:pStyle w:val="Caption"/>
        <w:jc w:val="center"/>
        <w:rPr>
          <w:color w:val="auto"/>
          <w:sz w:val="24"/>
          <w:szCs w:val="24"/>
          <w:lang w:val="en-IN"/>
        </w:rPr>
      </w:pPr>
      <w:bookmarkStart w:id="6" w:name="_Toc227907203"/>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t>: Tesla Profitability Margins (2021–2025)</w:t>
      </w:r>
      <w:bookmarkEnd w:id="6"/>
    </w:p>
    <w:p w14:paraId="00000056">
      <w:pPr>
        <w:rPr>
          <w:lang w:val="en-IN"/>
        </w:rPr>
      </w:pPr>
      <w:r>
        <w:rPr>
          <w:lang w:val="en-IN"/>
        </w:rPr>
        <w:t>The operating profit margin shows a similar trend. It increased from 12.12% in 2021 to 16.76% in 2022, indicating improved operational efficiency. However, it declined significantly to 9.19% in 2023 and further decreased to 8.70% in 2024 and 8.65% in 2025</w:t>
      </w:r>
      <w:r>
        <w:rPr>
          <w:lang w:val="en-IN"/>
        </w:rPr>
        <w:t xml:space="preserve"> (</w:t>
      </w:r>
      <w:r>
        <w:rPr>
          <w:lang w:val="en-IN"/>
        </w:rPr>
        <w:t>Tesla, 202</w:t>
      </w:r>
      <w:r>
        <w:rPr>
          <w:lang w:val="en-IN"/>
        </w:rPr>
        <w:t>4)</w:t>
      </w:r>
      <w:r>
        <w:rPr>
          <w:lang w:val="en-IN"/>
        </w:rPr>
        <w:t>. This suggests that Tesla’s operating expenses have increased, possibly due to expansion costs, research and development, and marketing efforts.</w:t>
      </w:r>
    </w:p>
    <w:p w14:paraId="00000057">
      <w:pPr>
        <w:rPr>
          <w:lang w:val="en-IN"/>
        </w:rPr>
      </w:pPr>
      <w:r>
        <w:rPr>
          <w:lang w:val="en-IN"/>
        </w:rPr>
        <w:t>Net profit margin, although more stable, also reflects a downward trend. It increased from 10.25% in 2021 to 15.41% in 2022 but declined to 15.50% in 2023, followed by further reductions to 14.84% in 2024 and 14.55% in 2025</w:t>
      </w:r>
      <w:r>
        <w:rPr>
          <w:lang w:val="en-IN"/>
        </w:rPr>
        <w:t xml:space="preserve"> (</w:t>
      </w:r>
      <w:r>
        <w:rPr>
          <w:lang w:val="en-IN"/>
        </w:rPr>
        <w:t>Tesla, 202</w:t>
      </w:r>
      <w:r>
        <w:rPr>
          <w:lang w:val="en-IN"/>
        </w:rPr>
        <w:t>2)</w:t>
      </w:r>
      <w:r>
        <w:rPr>
          <w:lang w:val="en-IN"/>
        </w:rPr>
        <w:t>. This indicates that while Tesla remains profitable, its overall efficiency in converting revenue into profit is declining.</w:t>
      </w:r>
    </w:p>
    <w:p w14:paraId="00000058">
      <w:pPr>
        <w:rPr>
          <w:lang w:val="en-IN"/>
        </w:rPr>
      </w:pPr>
      <w:r>
        <w:rPr>
          <w:lang w:val="en-IN"/>
        </w:rPr>
        <w:t>In summary, Tesla’s profitability has been under pressure in recent years due to cost increases and competitive pricing, highlighting the need for cost optimisation strategies.</w:t>
      </w:r>
    </w:p>
    <w:p w14:paraId="00000059">
      <w:pPr>
        <w:pStyle w:val="Heading2"/>
        <w:rPr>
          <w:lang w:val="en-IN"/>
        </w:rPr>
      </w:pPr>
      <w:bookmarkStart w:id="7" w:name="_Toc227907165"/>
      <w:r>
        <w:rPr>
          <w:lang w:val="en-IN"/>
        </w:rPr>
        <w:t>2.3 Liquidity Analysis</w:t>
      </w:r>
      <w:bookmarkEnd w:id="7"/>
    </w:p>
    <w:p w14:paraId="0000005A">
      <w:pPr>
        <w:keepNext w:val="on"/>
        <w:jc w:val="center"/>
        <w:rPr>
          <w:szCs w:val="24"/>
        </w:rPr>
      </w:pPr>
      <w:r>
        <w:rPr>
          <w:szCs w:val="24"/>
        </w:rPr>
        <w:drawing xmlns:mc="http://schemas.openxmlformats.org/markup-compatibility/2006">
          <wp:inline distT="0" distB="0" distL="0" distR="0">
            <wp:extent cx="4572000" cy="2743200"/>
            <wp:effectExtent l="0" t="0" r="9526" b="9526"/>
            <wp:docPr id="186663947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000005B">
      <w:pPr>
        <w:pStyle w:val="Caption"/>
        <w:jc w:val="center"/>
        <w:rPr>
          <w:color w:val="auto"/>
          <w:sz w:val="24"/>
          <w:szCs w:val="24"/>
        </w:rPr>
      </w:pPr>
      <w:bookmarkStart w:id="8" w:name="_Toc227907204"/>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t>: Tesla Liquidity Ratios (2021–2025)</w:t>
      </w:r>
      <w:bookmarkEnd w:id="8"/>
    </w:p>
    <w:p w14:paraId="0000005C">
      <w:pPr>
        <w:rPr>
          <w:lang w:val="en-IN"/>
        </w:rPr>
      </w:pPr>
      <w:r>
        <w:rPr>
          <w:lang w:val="en-IN"/>
        </w:rPr>
        <w:t>Liquidity ratios assess Tesla’s ability to meet its short-term obligations. The current ratio remained relatively stable throughout the period, starting at 1.55 in 2021, declining slightly to 1.42 in 2022, and then improving to 1.71 in 2023</w:t>
      </w:r>
      <w:r>
        <w:rPr>
          <w:lang w:val="en-IN"/>
        </w:rPr>
        <w:t xml:space="preserve"> (</w:t>
      </w:r>
      <w:r>
        <w:rPr>
          <w:lang w:val="en-IN"/>
        </w:rPr>
        <w:t>Tesla, 202</w:t>
      </w:r>
      <w:r>
        <w:rPr>
          <w:lang w:val="en-IN"/>
        </w:rPr>
        <w:t>3)</w:t>
      </w:r>
      <w:r>
        <w:rPr>
          <w:lang w:val="en-IN"/>
        </w:rPr>
        <w:t>. It remained stable at 1.68 in 2024 and increased slightly to 1.70 in 2025. This indicates that Tesla maintains sufficient current assets to cover its short-term liabilities.</w:t>
      </w:r>
    </w:p>
    <w:p w14:paraId="0000005D">
      <w:pPr>
        <w:rPr>
          <w:lang w:val="en-IN"/>
        </w:rPr>
      </w:pPr>
      <w:r>
        <w:rPr>
          <w:lang w:val="en-IN"/>
        </w:rPr>
        <w:t>The quick ratio, which excludes inventory, provides a stricter measure of liquidity. It declined from 1.26 in 2021 to 0.98 in 2022, indicating potential short-term liquidity pressure</w:t>
      </w:r>
      <w:r>
        <w:rPr>
          <w:lang w:val="en-IN"/>
        </w:rPr>
        <w:t xml:space="preserve"> (</w:t>
      </w:r>
      <w:r>
        <w:rPr>
          <w:lang w:val="en-IN"/>
        </w:rPr>
        <w:t>Tesla, 202</w:t>
      </w:r>
      <w:r>
        <w:rPr>
          <w:lang w:val="en-IN"/>
        </w:rPr>
        <w:t>2)</w:t>
      </w:r>
      <w:r>
        <w:rPr>
          <w:lang w:val="en-IN"/>
        </w:rPr>
        <w:t>. However, it improved to 1.24 in 2023 and remained relatively stable at 1.21 in 2024 and 1.23 in 2025. This suggests that Tesla has strengthened its liquid asset position over time.</w:t>
      </w:r>
    </w:p>
    <w:p w14:paraId="0000005E">
      <w:pPr>
        <w:rPr>
          <w:lang w:val="en-IN"/>
        </w:rPr>
      </w:pPr>
      <w:r>
        <w:rPr>
          <w:lang w:val="en-IN"/>
        </w:rPr>
        <w:t>Overall, Tesla demonstrates a stable liquidity position, although the dip in 2022 highlights temporary pressure. The company appears capable of meeting its short-term financial obligations effectively.</w:t>
      </w:r>
    </w:p>
    <w:p w14:paraId="0000005F">
      <w:pPr>
        <w:pStyle w:val="Heading2"/>
        <w:rPr>
          <w:lang w:val="en-IN"/>
        </w:rPr>
      </w:pPr>
      <w:bookmarkStart w:id="9" w:name="_Toc227907166"/>
      <w:r>
        <w:rPr>
          <w:lang w:val="en-IN"/>
        </w:rPr>
        <w:t>2.4 Efficiency Analysis</w:t>
      </w:r>
      <w:bookmarkEnd w:id="9"/>
    </w:p>
    <w:p w14:paraId="00000060">
      <w:pPr>
        <w:rPr>
          <w:lang w:val="en-IN"/>
        </w:rPr>
      </w:pPr>
      <w:r>
        <w:rPr>
          <w:lang w:val="en-IN"/>
        </w:rPr>
        <w:t>Efficiency ratios evaluate how effectively Tesla utilises its assets and manages working capital. Inventory days increased significantly from 52 days in 2021 to 77 days in 2022, indicating slower inventory turnover</w:t>
      </w:r>
      <w:r>
        <w:rPr>
          <w:lang w:val="en-IN"/>
        </w:rPr>
        <w:t xml:space="preserve"> (</w:t>
      </w:r>
      <w:r>
        <w:rPr>
          <w:lang w:val="en-IN"/>
        </w:rPr>
        <w:t>Tesla, 202</w:t>
      </w:r>
      <w:r>
        <w:rPr>
          <w:lang w:val="en-IN"/>
        </w:rPr>
        <w:t>2)</w:t>
      </w:r>
      <w:r>
        <w:rPr>
          <w:lang w:val="en-IN"/>
        </w:rPr>
        <w:t>. Although it improved to 63 days in 2023, it increased again to 66 days in 2024 and 71 days in 2025</w:t>
      </w:r>
      <w:r>
        <w:rPr>
          <w:lang w:val="en-IN"/>
        </w:rPr>
        <w:t xml:space="preserve"> (</w:t>
      </w:r>
      <w:r>
        <w:rPr>
          <w:lang w:val="en-IN"/>
        </w:rPr>
        <w:t>Tesla, 2025</w:t>
      </w:r>
      <w:r>
        <w:rPr>
          <w:lang w:val="en-IN"/>
        </w:rPr>
        <w:t>)</w:t>
      </w:r>
      <w:r>
        <w:rPr>
          <w:lang w:val="en-IN"/>
        </w:rPr>
        <w:t>. This suggests potential inefficiencies in inventory management.</w:t>
      </w:r>
    </w:p>
    <w:p w14:paraId="00000061">
      <w:pPr>
        <w:rPr>
          <w:lang w:val="en-IN"/>
        </w:rPr>
      </w:pPr>
      <w:r>
        <w:rPr>
          <w:lang w:val="en-IN"/>
        </w:rPr>
        <w:t>Receivable days remained relatively stable, increasing slightly from 13 days in 2021 to 17 days in 2025. This indicates that Tesla maintains effective credit control and collects payments efficiently.</w:t>
      </w:r>
      <w:r>
        <w:rPr>
          <w:lang w:val="en-IN"/>
        </w:rPr>
        <w:t xml:space="preserve"> </w:t>
      </w:r>
      <w:r>
        <w:rPr>
          <w:lang w:val="en-IN"/>
        </w:rPr>
        <w:t>Payable days decreased from 91 days in 2021 to 75 days in 2023, indicating faster payments to suppliers</w:t>
      </w:r>
      <w:r>
        <w:rPr>
          <w:lang w:val="en-IN"/>
        </w:rPr>
        <w:t xml:space="preserve"> (</w:t>
      </w:r>
      <w:r>
        <w:rPr>
          <w:lang w:val="en-IN"/>
        </w:rPr>
        <w:t>Tesla, 202</w:t>
      </w:r>
      <w:r>
        <w:rPr>
          <w:lang w:val="en-IN"/>
        </w:rPr>
        <w:t>3)</w:t>
      </w:r>
      <w:r>
        <w:rPr>
          <w:lang w:val="en-IN"/>
        </w:rPr>
        <w:t>. However, it increased again to 87 days in 2025, suggesting that Tesla is extending payment periods to manage cash flow.</w:t>
      </w:r>
    </w:p>
    <w:p w14:paraId="00000062">
      <w:pPr>
        <w:keepNext w:val="on"/>
        <w:jc w:val="center"/>
        <w:rPr>
          <w:szCs w:val="24"/>
        </w:rPr>
      </w:pPr>
      <w:r>
        <w:rPr>
          <w:szCs w:val="24"/>
        </w:rPr>
        <w:drawing xmlns:mc="http://schemas.openxmlformats.org/markup-compatibility/2006">
          <wp:inline distT="0" distB="0" distL="0" distR="0">
            <wp:extent cx="4572000" cy="2743200"/>
            <wp:effectExtent l="0" t="0" r="0" b="0"/>
            <wp:docPr id="186663947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0000063">
      <w:pPr>
        <w:pStyle w:val="Caption"/>
        <w:jc w:val="center"/>
        <w:rPr>
          <w:color w:val="auto"/>
          <w:sz w:val="24"/>
          <w:szCs w:val="24"/>
          <w:lang w:val="en-IN"/>
        </w:rPr>
      </w:pPr>
      <w:bookmarkStart w:id="10" w:name="_Toc227907205"/>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t>: Tesla Working Capital Efficiency (2021–2025)</w:t>
      </w:r>
      <w:bookmarkEnd w:id="10"/>
    </w:p>
    <w:p w14:paraId="00000064">
      <w:pPr>
        <w:rPr>
          <w:lang w:val="en-IN"/>
        </w:rPr>
      </w:pPr>
      <w:r>
        <w:rPr>
          <w:lang w:val="en-IN"/>
        </w:rPr>
        <w:t>Overall, while Tesla demonstrates strong receivables management, inventory management remains a concern, and changes in payable days indicate adjustments in supplier relationships.</w:t>
      </w:r>
    </w:p>
    <w:p w14:paraId="00000065">
      <w:pPr>
        <w:pStyle w:val="Heading2"/>
        <w:rPr>
          <w:lang w:val="en-IN"/>
        </w:rPr>
      </w:pPr>
      <w:r>
        <w:rPr>
          <w:lang w:val="en-IN"/>
        </w:rPr>
        <w:t xml:space="preserve"> </w:t>
      </w:r>
      <w:bookmarkStart w:id="11" w:name="_Toc227907167"/>
      <w:r>
        <w:rPr>
          <w:lang w:val="en-IN"/>
        </w:rPr>
        <w:t>2.5 Gearing Analysis</w:t>
      </w:r>
      <w:bookmarkEnd w:id="11"/>
    </w:p>
    <w:p w14:paraId="00000066">
      <w:pPr>
        <w:rPr>
          <w:lang w:val="en-IN"/>
        </w:rPr>
      </w:pPr>
      <w:r>
        <w:rPr>
          <w:lang w:val="en-IN"/>
        </w:rPr>
        <w:t>Tesla’s debt-to-equity ratio shows a declining trend, decreasing from 0.15 in 2021 to 0.07 in 2022 and further to 0.05 in 2023, remaining stable through 2025</w:t>
      </w:r>
      <w:r>
        <w:rPr>
          <w:lang w:val="en-IN"/>
        </w:rPr>
        <w:t xml:space="preserve"> (</w:t>
      </w:r>
      <w:r>
        <w:rPr>
          <w:lang w:val="en-IN"/>
        </w:rPr>
        <w:t>Tesla, 2025</w:t>
      </w:r>
      <w:r>
        <w:rPr>
          <w:lang w:val="en-IN"/>
        </w:rPr>
        <w:t>)</w:t>
      </w:r>
      <w:r>
        <w:rPr>
          <w:lang w:val="en-IN"/>
        </w:rPr>
        <w:t>. This indicates that Tesla relies less on debt financing and has a strong equity base.</w:t>
      </w:r>
      <w:r>
        <w:rPr>
          <w:lang w:val="en-IN"/>
        </w:rPr>
        <w:t xml:space="preserve"> </w:t>
      </w:r>
      <w:r>
        <w:rPr>
          <w:lang w:val="en-IN"/>
        </w:rPr>
        <w:t>A lower debt-to-equity ratio reduces financial risk and interest obligations, enhancing financial stability. However, it may also indicate underutilisation of debt as a financing tool, which could limit potential returns.</w:t>
      </w:r>
    </w:p>
    <w:p w14:paraId="00000067">
      <w:pPr>
        <w:keepNext w:val="on"/>
        <w:jc w:val="center"/>
        <w:rPr>
          <w:szCs w:val="24"/>
        </w:rPr>
      </w:pPr>
      <w:r>
        <w:rPr>
          <w:szCs w:val="24"/>
        </w:rPr>
        <w:drawing xmlns:mc="http://schemas.openxmlformats.org/markup-compatibility/2006">
          <wp:inline distT="0" distB="0" distL="0" distR="0">
            <wp:extent cx="4572000" cy="2743200"/>
            <wp:effectExtent l="0" t="0" r="9526" b="9526"/>
            <wp:docPr id="186663947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0000068">
      <w:pPr>
        <w:pStyle w:val="Caption"/>
        <w:jc w:val="center"/>
        <w:rPr>
          <w:color w:val="auto"/>
          <w:sz w:val="24"/>
          <w:szCs w:val="24"/>
        </w:rPr>
      </w:pPr>
      <w:bookmarkStart w:id="12" w:name="_Toc227907206"/>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t>: Tesla Debt to Equity Ratio (2021–2025)</w:t>
      </w:r>
      <w:bookmarkEnd w:id="12"/>
    </w:p>
    <w:p w14:paraId="00000069">
      <w:pPr>
        <w:pStyle w:val="Heading2"/>
        <w:rPr>
          <w:lang w:val="en-IN"/>
        </w:rPr>
      </w:pPr>
      <w:bookmarkStart w:id="13" w:name="_Toc227907168"/>
      <w:r>
        <w:rPr>
          <w:lang w:val="en-IN"/>
        </w:rPr>
        <w:t>2.6 Cash Flow Analysis</w:t>
      </w:r>
      <w:bookmarkEnd w:id="13"/>
    </w:p>
    <w:p w14:paraId="0000006A">
      <w:pPr>
        <w:rPr>
          <w:lang w:val="en-IN"/>
        </w:rPr>
      </w:pPr>
      <w:r>
        <w:rPr>
          <w:lang w:val="en-IN"/>
        </w:rPr>
        <w:t>Cash flow analysis highlights Tesla’s ability to generate cash from operations. The operating cash flow ratio declined from 0.58 in 2021 to 0.44 in 2025, indicating a gradual reduction in liquidity efficiency. This suggests that although Tesla generates strong cash flows, its ability to cover liabilities using operating cash is weakening.</w:t>
      </w:r>
      <w:r>
        <w:rPr>
          <w:lang w:val="en-IN"/>
        </w:rPr>
        <w:t xml:space="preserve"> </w:t>
      </w:r>
      <w:r>
        <w:rPr>
          <w:lang w:val="en-IN"/>
        </w:rPr>
        <w:t>Free cash flow fluctuated significantly, increasing from $5,015 million in 2021 to $7,566 million in 2022, but declining to $4,357 million in 2023</w:t>
      </w:r>
      <w:r>
        <w:rPr>
          <w:lang w:val="en-IN"/>
        </w:rPr>
        <w:t xml:space="preserve"> (</w:t>
      </w:r>
      <w:r>
        <w:rPr>
          <w:lang w:val="en-IN"/>
        </w:rPr>
        <w:t>Tesla, 202</w:t>
      </w:r>
      <w:r>
        <w:rPr>
          <w:lang w:val="en-IN"/>
        </w:rPr>
        <w:t>3)</w:t>
      </w:r>
      <w:r>
        <w:rPr>
          <w:lang w:val="en-IN"/>
        </w:rPr>
        <w:t>. It showed slight recovery in 2024 and 2025</w:t>
      </w:r>
      <w:r>
        <w:rPr>
          <w:lang w:val="en-IN"/>
        </w:rPr>
        <w:t xml:space="preserve"> (</w:t>
      </w:r>
      <w:r>
        <w:rPr>
          <w:lang w:val="en-IN"/>
        </w:rPr>
        <w:t>Tesla, 2025</w:t>
      </w:r>
      <w:r>
        <w:rPr>
          <w:lang w:val="en-IN"/>
        </w:rPr>
        <w:t>)</w:t>
      </w:r>
      <w:r>
        <w:rPr>
          <w:lang w:val="en-IN"/>
        </w:rPr>
        <w:t>. These fluctuations are largely due to increased capital expenditures as Tesla continues to invest in expansion and innovation.</w:t>
      </w:r>
    </w:p>
    <w:p w14:paraId="0000006B">
      <w:pPr>
        <w:pStyle w:val="Heading2"/>
        <w:rPr>
          <w:lang w:val="en-IN"/>
        </w:rPr>
      </w:pPr>
      <w:bookmarkStart w:id="14" w:name="_Toc227907169"/>
      <w:r>
        <w:rPr>
          <w:lang w:val="en-IN"/>
        </w:rPr>
        <w:t>2.7 Summary of Financial Health</w:t>
      </w:r>
      <w:bookmarkEnd w:id="14"/>
    </w:p>
    <w:p w14:paraId="0000006C">
      <w:pPr>
        <w:rPr>
          <w:lang w:val="en-IN"/>
        </w:rPr>
      </w:pPr>
      <w:r>
        <w:rPr>
          <w:lang w:val="en-IN"/>
        </w:rPr>
        <w:t>Tesla has good financial performance with high revenue growth and profitability. The trends of recent times</w:t>
      </w:r>
      <w:r>
        <w:rPr>
          <w:lang w:val="en-IN"/>
        </w:rPr>
        <w:t>,</w:t>
      </w:r>
      <w:r>
        <w:rPr>
          <w:lang w:val="en-IN"/>
        </w:rPr>
        <w:t xml:space="preserve"> however</w:t>
      </w:r>
      <w:r>
        <w:rPr>
          <w:lang w:val="en-IN"/>
        </w:rPr>
        <w:t>,</w:t>
      </w:r>
      <w:r>
        <w:rPr>
          <w:lang w:val="en-IN"/>
        </w:rPr>
        <w:t xml:space="preserve"> show a decline in margins, rising operational costs, and efficiency issues</w:t>
      </w:r>
      <w:r>
        <w:rPr>
          <w:lang w:val="en-IN"/>
        </w:rPr>
        <w:t>,</w:t>
      </w:r>
      <w:r>
        <w:rPr>
          <w:lang w:val="en-IN"/>
        </w:rPr>
        <w:t xml:space="preserve"> especially in inventory management. Liquidity is also maintained</w:t>
      </w:r>
      <w:r>
        <w:rPr>
          <w:lang w:val="en-IN"/>
        </w:rPr>
        <w:t>,</w:t>
      </w:r>
      <w:r>
        <w:rPr>
          <w:lang w:val="en-IN"/>
        </w:rPr>
        <w:t xml:space="preserve"> and low gearing minimi</w:t>
      </w:r>
      <w:r>
        <w:rPr>
          <w:lang w:val="en-IN"/>
        </w:rPr>
        <w:t>s</w:t>
      </w:r>
      <w:r>
        <w:rPr>
          <w:lang w:val="en-IN"/>
        </w:rPr>
        <w:t>es financial risk. Although the cash flow generation is high, variability indicates the effects of high investments. Tesla is in a good financial situation</w:t>
      </w:r>
      <w:r>
        <w:rPr>
          <w:lang w:val="en-IN"/>
        </w:rPr>
        <w:t>,</w:t>
      </w:r>
      <w:r>
        <w:rPr>
          <w:lang w:val="en-IN"/>
        </w:rPr>
        <w:t xml:space="preserve"> but needs to concentrate on the cost and efficiency of operations to ensure long-term growth.</w:t>
      </w:r>
    </w:p>
    <w:p w14:paraId="0000006D">
      <w:pPr>
        <w:pStyle w:val="Heading1"/>
        <w:rPr>
          <w:lang w:val="en-IN"/>
        </w:rPr>
      </w:pPr>
      <w:bookmarkStart w:id="15" w:name="_Toc227907170"/>
      <w:r>
        <w:rPr>
          <w:lang w:val="en-IN"/>
        </w:rPr>
        <w:t xml:space="preserve">3. </w:t>
      </w:r>
      <w:r>
        <w:rPr>
          <w:lang w:val="en-IN"/>
        </w:rPr>
        <w:t>Working Capital Managemen</w:t>
      </w:r>
      <w:r>
        <w:rPr>
          <w:lang w:val="en-IN"/>
        </w:rPr>
        <w:t>t</w:t>
      </w:r>
      <w:bookmarkEnd w:id="15"/>
    </w:p>
    <w:p w14:paraId="0000006E">
      <w:pPr>
        <w:pStyle w:val="Heading2"/>
        <w:rPr>
          <w:lang w:val="en-IN"/>
        </w:rPr>
      </w:pPr>
      <w:bookmarkStart w:id="16" w:name="_Toc227907171"/>
      <w:r>
        <w:rPr>
          <w:lang w:val="en-IN"/>
        </w:rPr>
        <w:t>3.1 Cash Conversion Cycle (CCC) Analysis</w:t>
      </w:r>
      <w:bookmarkEnd w:id="16"/>
    </w:p>
    <w:p w14:paraId="0000006F">
      <w:pPr>
        <w:rPr>
          <w:lang w:val="en-IN"/>
        </w:rPr>
      </w:pPr>
      <w:r>
        <w:rPr>
          <w:lang w:val="en-IN"/>
        </w:rPr>
        <w:t>The cash conversion cycle (CCC) is a critical measure of a company’s operational efficiency and liquidity management</w:t>
      </w:r>
      <w:r>
        <w:rPr>
          <w:lang w:val="en-IN"/>
        </w:rPr>
        <w:t xml:space="preserve"> (</w:t>
      </w:r>
      <w:r>
        <w:t>Stavropoulos</w:t>
      </w:r>
      <w:r>
        <w:t xml:space="preserve"> </w:t>
      </w:r>
      <w:r>
        <w:t xml:space="preserve">and </w:t>
      </w:r>
      <w:r>
        <w:t>Zounta</w:t>
      </w:r>
      <w:r>
        <w:t>, 2025</w:t>
      </w:r>
      <w:r>
        <w:rPr>
          <w:lang w:val="en-IN"/>
        </w:rPr>
        <w:t>)</w:t>
      </w:r>
      <w:r>
        <w:rPr>
          <w:lang w:val="en-IN"/>
        </w:rPr>
        <w:t>. It indicates the number of days a company takes to convert its investments in inventory and other resources into cash flows from sales. A lower or negative CCC is generally desirable as it reflects efficient working capital management.</w:t>
      </w:r>
    </w:p>
    <w:p w14:paraId="00000070">
      <w:pPr>
        <w:rPr>
          <w:lang w:val="en-IN"/>
        </w:rPr>
      </w:pPr>
      <w:r>
        <w:rPr>
          <w:lang w:val="en-IN"/>
        </w:rPr>
        <w:t xml:space="preserve">As illustrated in </w:t>
      </w:r>
      <w:r>
        <w:rPr>
          <w:szCs w:val="24"/>
        </w:rPr>
        <w:fldChar w:fldCharType="begin"/>
      </w:r>
      <w:r>
        <w:rPr>
          <w:szCs w:val="24"/>
        </w:rPr>
        <w:instrText xml:space="preserve"> REF _Ref227902971 \h </w:instrText>
      </w:r>
      <w:r>
        <w:rPr>
          <w:szCs w:val="24"/>
        </w:rPr>
        <w:fldChar w:fldCharType="separate"/>
      </w:r>
      <w:r>
        <w:rPr>
          <w:szCs w:val="24"/>
        </w:rPr>
        <w:t xml:space="preserve">Figure </w:t>
      </w:r>
      <w:r>
        <w:rPr>
          <w:szCs w:val="24"/>
        </w:rPr>
        <w:t>7</w:t>
      </w:r>
      <w:r>
        <w:rPr>
          <w:szCs w:val="24"/>
        </w:rPr>
        <w:t>: Tesla Cash Conversion Cycle (2021–2025)</w:t>
      </w:r>
      <w:r>
        <w:rPr>
          <w:lang w:val="en-IN"/>
        </w:rPr>
        <w:fldChar w:fldCharType="end"/>
      </w:r>
      <w:r>
        <w:rPr>
          <w:lang w:val="en-IN"/>
        </w:rPr>
        <w:t>,</w:t>
      </w:r>
      <w:r>
        <w:rPr>
          <w:lang w:val="en-IN"/>
        </w:rPr>
        <w:t xml:space="preserve"> </w:t>
      </w:r>
      <w:r>
        <w:rPr>
          <w:lang w:val="en-IN"/>
        </w:rPr>
        <w:t>Tesla’s CCC shows a significant shift over the five</w:t>
      </w:r>
      <w:r>
        <w:rPr>
          <w:lang w:val="en-IN"/>
        </w:rPr>
        <w:t xml:space="preserve"> years</w:t>
      </w:r>
      <w:r>
        <w:rPr>
          <w:lang w:val="en-IN"/>
        </w:rPr>
        <w:t>. In 2021, the CCC was highly negative at -26 days, indicating that Tesla was able to collect cash from customers much faster than it paid its suppliers. This reflects a strong liquidity position and efficient working capital management, as the company effectively used supplier credit to finance its operations.</w:t>
      </w:r>
    </w:p>
    <w:p w14:paraId="00000071">
      <w:pPr>
        <w:rPr>
          <w:lang w:val="en-IN"/>
        </w:rPr>
      </w:pPr>
      <w:r>
        <w:rPr>
          <w:lang w:val="en-IN"/>
        </w:rPr>
        <w:t>However, in 2022, the CCC improved to -2 days, showing a reduction in efficiency. While still slightly negative, the advantage of delayed payments to suppliers decreased. From 2023 onwards, the CCC turned positive, reaching 2 days in 2023, 3 days in 2024, and slightly declining to 1 day in 2025. This transition from a negative to a positive CCC suggests that Tesla now takes slightly longer to convert its investments into cash, indicating increased working capital requirements.</w:t>
      </w:r>
    </w:p>
    <w:p w14:paraId="00000072">
      <w:pPr>
        <w:rPr>
          <w:lang w:val="en-IN"/>
        </w:rPr>
      </w:pPr>
      <w:r>
        <w:rPr>
          <w:lang w:val="en-IN"/>
        </w:rPr>
        <w:t>The increase in CCC can be linked to rising inventory levels and changing supplier payment terms</w:t>
      </w:r>
      <w:r>
        <w:rPr>
          <w:lang w:val="en-IN"/>
        </w:rPr>
        <w:t xml:space="preserve"> (</w:t>
      </w:r>
      <w:r>
        <w:rPr>
          <w:lang w:val="en-IN"/>
        </w:rPr>
        <w:t>Tong, DeCroix</w:t>
      </w:r>
      <w:r>
        <w:rPr>
          <w:lang w:val="en-IN"/>
        </w:rPr>
        <w:t xml:space="preserve"> </w:t>
      </w:r>
      <w:r>
        <w:rPr>
          <w:lang w:val="en-IN"/>
        </w:rPr>
        <w:t>and Song, 2020</w:t>
      </w:r>
      <w:r>
        <w:rPr>
          <w:lang w:val="en-IN"/>
        </w:rPr>
        <w:t>)</w:t>
      </w:r>
      <w:r>
        <w:rPr>
          <w:lang w:val="en-IN"/>
        </w:rPr>
        <w:t>. Although the values remain relatively low, the trend highlights a gradual decline in efficiency. A positive CCC implies that Tesla needs to finance its operations for a short period before receiving cash inflows, which could impact liquidity if not managed effectively.</w:t>
      </w:r>
    </w:p>
    <w:p w14:paraId="00000073">
      <w:pPr>
        <w:keepNext w:val="on"/>
        <w:jc w:val="center"/>
        <w:rPr>
          <w:szCs w:val="24"/>
        </w:rPr>
      </w:pPr>
      <w:r>
        <w:rPr>
          <w:szCs w:val="24"/>
        </w:rPr>
        <w:drawing xmlns:mc="http://schemas.openxmlformats.org/markup-compatibility/2006">
          <wp:inline distT="0" distB="0" distL="0" distR="0">
            <wp:extent cx="4572000" cy="2743200"/>
            <wp:effectExtent l="0" t="0" r="0" b="0"/>
            <wp:docPr id="186663947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0000074">
      <w:pPr>
        <w:pStyle w:val="Caption"/>
        <w:jc w:val="center"/>
        <w:rPr>
          <w:color w:val="auto"/>
          <w:sz w:val="24"/>
          <w:szCs w:val="24"/>
        </w:rPr>
      </w:pPr>
      <w:bookmarkStart w:id="17" w:name="_Ref227902971"/>
      <w:bookmarkStart w:id="18" w:name="_Toc227907207"/>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t>: Tesla Cash Conversion Cycle (2021–2025)</w:t>
      </w:r>
      <w:bookmarkEnd w:id="17"/>
      <w:bookmarkEnd w:id="18"/>
    </w:p>
    <w:p w14:paraId="00000075">
      <w:pPr>
        <w:pStyle w:val="Heading2"/>
        <w:rPr>
          <w:lang w:val="en-IN"/>
        </w:rPr>
      </w:pPr>
      <w:bookmarkStart w:id="19" w:name="_Toc227907172"/>
      <w:r>
        <w:rPr>
          <w:lang w:val="en-IN"/>
        </w:rPr>
        <w:t>3.2 Working Capital Issues</w:t>
      </w:r>
      <w:bookmarkEnd w:id="19"/>
    </w:p>
    <w:p w14:paraId="00000076">
      <w:pPr>
        <w:rPr>
          <w:lang w:val="en-IN"/>
        </w:rPr>
      </w:pPr>
      <w:r>
        <w:rPr>
          <w:lang w:val="en-IN"/>
        </w:rPr>
        <w:t>Despite maintaining overall efficiency, Tesla faces several working capital challenges. One of the key issues is the increase in inventory days over the period. Inventory days rose from 52 days in 2021 to 77 days in 2022, indicating slower inventory turnover. Although there was some improvement in 2023, the figure increased again to 71 days by 2025</w:t>
      </w:r>
      <w:r>
        <w:rPr>
          <w:lang w:val="en-IN"/>
        </w:rPr>
        <w:t xml:space="preserve"> (</w:t>
      </w:r>
      <w:r>
        <w:rPr>
          <w:lang w:val="en-IN"/>
        </w:rPr>
        <w:t>Tesla, 202</w:t>
      </w:r>
      <w:r>
        <w:rPr>
          <w:lang w:val="en-IN"/>
        </w:rPr>
        <w:t>5</w:t>
      </w:r>
      <w:r>
        <w:rPr>
          <w:lang w:val="en-IN"/>
        </w:rPr>
        <w:t>)</w:t>
      </w:r>
      <w:r>
        <w:rPr>
          <w:lang w:val="en-IN"/>
        </w:rPr>
        <w:t>. This suggests that Tesla may be holding excess inventory, which ties up capital and increases storage costs.</w:t>
      </w:r>
    </w:p>
    <w:p w14:paraId="00000077">
      <w:pPr>
        <w:rPr>
          <w:lang w:val="en-IN"/>
        </w:rPr>
      </w:pPr>
      <w:r>
        <w:rPr>
          <w:lang w:val="en-IN"/>
        </w:rPr>
        <w:t>Another issue is the company’s reliance on trade payables. In earlier years, Tesla benefited from extended payment periods to suppliers, as reflected in high payable days. However, fluctuations in payable days indicate inconsistency in supplier relationships and payment strategies. A reduction in payable days, as seen in 2023, means Tesla is paying suppliers faster, which can strain cash flow.</w:t>
      </w:r>
      <w:r>
        <w:rPr>
          <w:lang w:val="en-IN"/>
        </w:rPr>
        <w:t xml:space="preserve"> </w:t>
      </w:r>
      <w:r>
        <w:rPr>
          <w:lang w:val="en-IN"/>
        </w:rPr>
        <w:t>Receivable days, on the other hand, have remained relatively stable, increasing only slightly from 13 days in 2021 to 17 days in 2025. This indicates effective credit management and timely collection of payments from customers.</w:t>
      </w:r>
    </w:p>
    <w:p w14:paraId="00000078">
      <w:pPr>
        <w:rPr>
          <w:lang w:val="en-IN"/>
        </w:rPr>
      </w:pPr>
      <w:r>
        <w:rPr>
          <w:lang w:val="en-IN"/>
        </w:rPr>
        <w:t>Overall, the main working capital concerns for Tesla include increasing inventory levels and fluctuating payable management, both of which contribute to the rising CCC and reduced efficiency.</w:t>
      </w:r>
    </w:p>
    <w:p w14:paraId="00000079">
      <w:pPr>
        <w:pStyle w:val="Heading2"/>
        <w:rPr>
          <w:lang w:val="en-IN"/>
        </w:rPr>
      </w:pPr>
      <w:bookmarkStart w:id="20" w:name="_Toc227907173"/>
      <w:r>
        <w:rPr>
          <w:lang w:val="en-IN"/>
        </w:rPr>
        <w:t>3.3 Improvement Strategies</w:t>
      </w:r>
      <w:bookmarkEnd w:id="20"/>
    </w:p>
    <w:p w14:paraId="0000007A">
      <w:pPr>
        <w:rPr>
          <w:lang w:val="en-IN"/>
        </w:rPr>
      </w:pPr>
      <w:r>
        <w:rPr>
          <w:lang w:val="en-IN"/>
        </w:rPr>
        <w:t>Tesla can implement a number of strategic steps in order to improve its efficiency in working capital. To begin with, there should be an enhancement of inventory management. The excess inventory can be minimi</w:t>
      </w:r>
      <w:r>
        <w:rPr>
          <w:lang w:val="en-IN"/>
        </w:rPr>
        <w:t>s</w:t>
      </w:r>
      <w:r>
        <w:rPr>
          <w:lang w:val="en-IN"/>
        </w:rPr>
        <w:t xml:space="preserve">ed by adopting modern methods of demand forecasting and just-in-time (JIT) inventory systems (Pal, 2023). This would reduce inventory holding expenses and increase the cash flow. Tesla has the opportunity to work on effective receivables management. Although the current performance is high, the introduction of automated systems </w:t>
      </w:r>
      <w:r>
        <w:rPr>
          <w:lang w:val="en-IN"/>
        </w:rPr>
        <w:t>for</w:t>
      </w:r>
      <w:r>
        <w:rPr>
          <w:lang w:val="en-IN"/>
        </w:rPr>
        <w:t xml:space="preserve"> bills and providing incentives to pay early can help to decrease receivable days and improve liquidity.</w:t>
      </w:r>
    </w:p>
    <w:p w14:paraId="0000007B">
      <w:pPr>
        <w:rPr>
          <w:lang w:val="en-IN"/>
        </w:rPr>
      </w:pPr>
      <w:r>
        <w:rPr>
          <w:lang w:val="en-IN"/>
        </w:rPr>
        <w:t xml:space="preserve">Management of </w:t>
      </w:r>
      <w:r>
        <w:rPr>
          <w:lang w:val="en-IN"/>
        </w:rPr>
        <w:t xml:space="preserve">the </w:t>
      </w:r>
      <w:r>
        <w:rPr>
          <w:lang w:val="en-IN"/>
        </w:rPr>
        <w:t>relationship with suppliers should be optimised. Tesla can negotiate better credit terms with suppliers to extend payable periods without damaging relationships. This would enable the company to keep the cash longer and to become better placed in terms of cash flow. Using technology and data analytics can enhance decision-making in terms of working capital. The quick response to the changes in demand and supply conditions that may occur can be made possible by the real-time monitoring of both inventory and receivables at Tesla (Zhu, 2025).</w:t>
      </w:r>
    </w:p>
    <w:p w14:paraId="0000007C">
      <w:pPr>
        <w:pStyle w:val="Heading2"/>
        <w:rPr>
          <w:lang w:val="en-IN"/>
        </w:rPr>
      </w:pPr>
      <w:bookmarkStart w:id="21" w:name="_Toc227907174"/>
      <w:r>
        <w:rPr>
          <w:lang w:val="en-IN"/>
        </w:rPr>
        <w:t>3.4 Financing Working Capital</w:t>
      </w:r>
      <w:bookmarkEnd w:id="21"/>
    </w:p>
    <w:p w14:paraId="0000007D">
      <w:pPr>
        <w:rPr>
          <w:lang w:val="en-IN"/>
        </w:rPr>
      </w:pPr>
      <w:r>
        <w:rPr>
          <w:lang w:val="en-IN"/>
        </w:rPr>
        <w:t xml:space="preserve">It is also important to have proper financing strategies to manage working capital efficiently (Akbar </w:t>
      </w:r>
      <w:r>
        <w:rPr>
          <w:i/>
          <w:iCs/>
          <w:lang w:val="en-IN"/>
        </w:rPr>
        <w:t>et al.,</w:t>
      </w:r>
      <w:r>
        <w:rPr>
          <w:lang w:val="en-IN"/>
        </w:rPr>
        <w:t xml:space="preserve"> 2022). A combination of long-term and short-term financing options can be used to finance Tesla operations. The short-term financing sources like trade credit, bank overdrafts and </w:t>
      </w:r>
      <w:r>
        <w:rPr>
          <w:lang w:val="en-IN"/>
        </w:rPr>
        <w:t>short-term</w:t>
      </w:r>
      <w:r>
        <w:rPr>
          <w:lang w:val="en-IN"/>
        </w:rPr>
        <w:t xml:space="preserve"> loans can offer flexibility in meeting day-to-day cash needs. </w:t>
      </w:r>
      <w:r>
        <w:rPr>
          <w:lang w:val="en-IN"/>
        </w:rPr>
        <w:t>It</w:t>
      </w:r>
      <w:r>
        <w:rPr>
          <w:lang w:val="en-IN"/>
        </w:rPr>
        <w:t xml:space="preserve"> can result in high financial risk due to overdependence on short-term funding. As such, Tesla ought to allocate its sources of funds by including long-term sources of funds like equity or long-term debt. This would bring about stability and lessen the strain on liquidity in the short term.</w:t>
      </w:r>
    </w:p>
    <w:p w14:paraId="0000007E">
      <w:pPr>
        <w:rPr>
          <w:lang w:val="en-IN"/>
        </w:rPr>
      </w:pPr>
      <w:r>
        <w:rPr>
          <w:lang w:val="en-IN"/>
        </w:rPr>
        <w:t>Since Tesla has a low debt-to-equity ratio, it can access further debt financing when necessary. This may prove advantageous in financing working capital requirements without the shareholders</w:t>
      </w:r>
      <w:r>
        <w:rPr>
          <w:lang w:val="en-IN"/>
        </w:rPr>
        <w:t>'</w:t>
      </w:r>
      <w:r>
        <w:rPr>
          <w:lang w:val="en-IN"/>
        </w:rPr>
        <w:t xml:space="preserve"> ownership being diluted.</w:t>
      </w:r>
    </w:p>
    <w:p w14:paraId="0000007F">
      <w:pPr>
        <w:rPr>
          <w:lang w:val="en-IN"/>
        </w:rPr>
      </w:pPr>
      <w:r>
        <w:rPr>
          <w:lang w:val="en-IN"/>
        </w:rPr>
        <w:t xml:space="preserve">It has been critically analysed that </w:t>
      </w:r>
      <w:r>
        <w:rPr>
          <w:lang w:val="en-IN"/>
        </w:rPr>
        <w:t xml:space="preserve">the working capital management of Tesla is fairly efficient, which is indicated by low CCC values. </w:t>
      </w:r>
      <w:r>
        <w:rPr>
          <w:lang w:val="en-IN"/>
        </w:rPr>
        <w:t>The</w:t>
      </w:r>
      <w:r>
        <w:rPr>
          <w:lang w:val="en-IN"/>
        </w:rPr>
        <w:t xml:space="preserve"> turn </w:t>
      </w:r>
      <w:r>
        <w:rPr>
          <w:lang w:val="en-IN"/>
        </w:rPr>
        <w:t>from</w:t>
      </w:r>
      <w:r>
        <w:rPr>
          <w:lang w:val="en-IN"/>
        </w:rPr>
        <w:t xml:space="preserve"> a negative CCC towards a positive CCC shows decreasing efficiency and dependence on internal financing. Receivables management is excellent, but increasing levels of inventory and changes </w:t>
      </w:r>
      <w:r>
        <w:rPr>
          <w:lang w:val="en-IN"/>
        </w:rPr>
        <w:t>in payable days are a problem. Tesla can improve its working capital efficiency and improve long-term financial stability by undertaking proper inventory management, supplier term optimi</w:t>
      </w:r>
      <w:r>
        <w:rPr>
          <w:lang w:val="en-IN"/>
        </w:rPr>
        <w:t>s</w:t>
      </w:r>
      <w:r>
        <w:rPr>
          <w:lang w:val="en-IN"/>
        </w:rPr>
        <w:t>ation, and balanced financing strategies.</w:t>
      </w:r>
    </w:p>
    <w:p w14:paraId="00000080">
      <w:pPr>
        <w:pStyle w:val="Heading1"/>
        <w:rPr>
          <w:lang w:val="en-IN"/>
        </w:rPr>
      </w:pPr>
      <w:bookmarkStart w:id="22" w:name="_Toc227907175"/>
      <w:r>
        <w:rPr>
          <w:lang w:val="en-IN"/>
        </w:rPr>
        <w:t>4. Strategic Financial Restructuring</w:t>
      </w:r>
      <w:bookmarkEnd w:id="22"/>
    </w:p>
    <w:p w14:paraId="00000081">
      <w:pPr>
        <w:pStyle w:val="Heading2"/>
        <w:rPr>
          <w:lang w:val="en-IN"/>
        </w:rPr>
      </w:pPr>
      <w:bookmarkStart w:id="23" w:name="_Toc227907176"/>
      <w:r>
        <w:rPr>
          <w:lang w:val="en-IN"/>
        </w:rPr>
        <w:t>4.1 Need for Financial Restructuring</w:t>
      </w:r>
      <w:bookmarkEnd w:id="23"/>
    </w:p>
    <w:p w14:paraId="00000082">
      <w:pPr>
        <w:rPr>
          <w:lang w:val="en-IN"/>
        </w:rPr>
      </w:pPr>
      <w:r>
        <w:rPr>
          <w:lang w:val="en-IN"/>
        </w:rPr>
        <w:t>The most recent financial results of Tesla suggest that the company is increasingly in need of strategic financial reorgani</w:t>
      </w:r>
      <w:r>
        <w:rPr>
          <w:lang w:val="en-IN"/>
        </w:rPr>
        <w:t>s</w:t>
      </w:r>
      <w:r>
        <w:rPr>
          <w:lang w:val="en-IN"/>
        </w:rPr>
        <w:t xml:space="preserve">ation to continue growing and gaining profitability in the long run (Li, 2025). Even though the company has achieved high growth </w:t>
      </w:r>
      <w:r>
        <w:rPr>
          <w:lang w:val="en-IN"/>
        </w:rPr>
        <w:t>in</w:t>
      </w:r>
      <w:r>
        <w:rPr>
          <w:lang w:val="en-IN"/>
        </w:rPr>
        <w:t xml:space="preserve"> revenues over the years, the profitability margins have recorded a commendable drop. </w:t>
      </w:r>
      <w:r>
        <w:rPr>
          <w:lang w:val="en-IN"/>
        </w:rPr>
        <w:t>Gross profit margin decreased significantly after 2022, while operating margins fell sharply from 16.76% in 2022 to below 9% in subsequent years</w:t>
      </w:r>
      <w:r>
        <w:rPr>
          <w:lang w:val="en-IN"/>
        </w:rPr>
        <w:t>. This trend is indicative of increasing cost pressures</w:t>
      </w:r>
      <w:r>
        <w:rPr>
          <w:lang w:val="en-IN"/>
        </w:rPr>
        <w:t>,</w:t>
      </w:r>
      <w:r>
        <w:rPr>
          <w:lang w:val="en-IN"/>
        </w:rPr>
        <w:t xml:space="preserve"> especially because of aggressive pricing </w:t>
      </w:r>
      <w:r>
        <w:rPr>
          <w:lang w:val="en-IN"/>
        </w:rPr>
        <w:t>strategies</w:t>
      </w:r>
      <w:r>
        <w:rPr>
          <w:lang w:val="en-IN"/>
        </w:rPr>
        <w:t>, rising costs of raw materials and growing operational costs.</w:t>
      </w:r>
    </w:p>
    <w:p w14:paraId="00000083">
      <w:pPr>
        <w:rPr>
          <w:lang w:val="en-IN"/>
        </w:rPr>
      </w:pPr>
      <w:r>
        <w:rPr>
          <w:lang w:val="en-IN"/>
        </w:rPr>
        <w:t>Tesla’s working capital efficiency has weakened over time, as evidenced by the shift in the cash conversion cycle (CCC) from -26 days in 2021 to positive values in later years</w:t>
      </w:r>
      <w:r>
        <w:rPr>
          <w:lang w:val="en-IN"/>
        </w:rPr>
        <w:t>. This means that the company is becoming more dependent on internal financing as they are taking more time to turn its investments into cash. Increasing inventory days also bring</w:t>
      </w:r>
      <w:r>
        <w:rPr>
          <w:lang w:val="en-IN"/>
        </w:rPr>
        <w:t>s</w:t>
      </w:r>
      <w:r>
        <w:rPr>
          <w:lang w:val="en-IN"/>
        </w:rPr>
        <w:t xml:space="preserve"> to the fore inefficiency in inventory management, which may result in increased holding costs and less liquidity. Though Tesla has a low debt-to-equity ratio</w:t>
      </w:r>
      <w:r>
        <w:rPr>
          <w:lang w:val="en-IN"/>
        </w:rPr>
        <w:t>,</w:t>
      </w:r>
      <w:r>
        <w:rPr>
          <w:lang w:val="en-IN"/>
        </w:rPr>
        <w:t xml:space="preserve"> which implies low financial risk, it also implies that it may not be fully using debt financing. The company might not be utili</w:t>
      </w:r>
      <w:r>
        <w:rPr>
          <w:lang w:val="en-IN"/>
        </w:rPr>
        <w:t>s</w:t>
      </w:r>
      <w:r>
        <w:rPr>
          <w:lang w:val="en-IN"/>
        </w:rPr>
        <w:t>ing the available financial resources fully to facilitate expansion and innovation.</w:t>
      </w:r>
    </w:p>
    <w:p w14:paraId="00000084">
      <w:pPr>
        <w:rPr>
          <w:lang w:val="en-IN"/>
        </w:rPr>
      </w:pPr>
      <w:r>
        <w:rPr>
          <w:lang w:val="en-IN"/>
        </w:rPr>
        <w:t>The deteriorating margins of operations, growing operational expenses, and alterations in working capital dynamics indicate the pressing necessity of restructuring (</w:t>
      </w:r>
      <w:r>
        <w:rPr>
          <w:lang w:val="en-IN"/>
        </w:rPr>
        <w:t>Survilė</w:t>
      </w:r>
      <w:r>
        <w:rPr>
          <w:lang w:val="en-IN"/>
        </w:rPr>
        <w:t>, 2025). By restructuring its finances strategically, Tesla will be better positioned to enhance efficiency, resource allocation, and stay competitive in the dynamic market within the electric vehicle industry.</w:t>
      </w:r>
    </w:p>
    <w:p w14:paraId="00000085">
      <w:pPr>
        <w:pStyle w:val="Heading2"/>
        <w:rPr>
          <w:lang w:val="en-IN"/>
        </w:rPr>
      </w:pPr>
      <w:bookmarkStart w:id="24" w:name="_Toc227907177"/>
      <w:r>
        <w:rPr>
          <w:lang w:val="en-IN"/>
        </w:rPr>
        <w:t>4.2 Financial Restructuring Strategies</w:t>
      </w:r>
      <w:bookmarkEnd w:id="24"/>
    </w:p>
    <w:p w14:paraId="00000086">
      <w:pPr>
        <w:rPr>
          <w:lang w:val="en-IN"/>
        </w:rPr>
      </w:pPr>
      <w:r>
        <w:rPr>
          <w:lang w:val="en-IN"/>
        </w:rPr>
        <w:t xml:space="preserve">To address the identified </w:t>
      </w:r>
      <w:r>
        <w:rPr>
          <w:lang w:val="en-IN"/>
        </w:rPr>
        <w:t xml:space="preserve">challenges, </w:t>
      </w:r>
      <w:r>
        <w:rPr>
          <w:lang w:val="en-IN"/>
        </w:rPr>
        <w:t xml:space="preserve"> Tesla</w:t>
      </w:r>
      <w:r>
        <w:rPr>
          <w:lang w:val="en-IN"/>
        </w:rPr>
        <w:t xml:space="preserve"> can implement a variety of strategic financial restructuring options that will help the company enhance its efficiency, profitability, and long-term sustainability</w:t>
      </w:r>
      <w:r>
        <w:rPr>
          <w:lang w:val="en-IN"/>
        </w:rPr>
        <w:t>.</w:t>
      </w:r>
    </w:p>
    <w:p w14:paraId="00000087">
      <w:pPr>
        <w:rPr>
          <w:b/>
          <w:bCs/>
          <w:lang w:val="en-IN"/>
        </w:rPr>
      </w:pPr>
      <w:r>
        <w:rPr>
          <w:b/>
          <w:bCs/>
          <w:lang w:val="en-IN"/>
        </w:rPr>
        <w:t>Cost Reduction Strategies</w:t>
      </w:r>
    </w:p>
    <w:p w14:paraId="00000088">
      <w:pPr>
        <w:rPr>
          <w:lang w:val="en-IN"/>
        </w:rPr>
      </w:pPr>
      <w:r>
        <w:rPr>
          <w:lang w:val="en-IN"/>
        </w:rPr>
        <w:t xml:space="preserve">Cost optimisation is one of the main approaches. Process enhancement, automation, and economies of scale enable Tesla to concentrate on lowering </w:t>
      </w:r>
      <w:r>
        <w:rPr>
          <w:lang w:val="en-IN"/>
        </w:rPr>
        <w:t>its</w:t>
      </w:r>
      <w:r>
        <w:rPr>
          <w:lang w:val="en-IN"/>
        </w:rPr>
        <w:t xml:space="preserve"> production and operating expenses (</w:t>
      </w:r>
      <w:r>
        <w:rPr>
          <w:lang w:val="en-IN"/>
        </w:rPr>
        <w:t>Łabucki</w:t>
      </w:r>
      <w:r>
        <w:rPr>
          <w:lang w:val="en-IN"/>
        </w:rPr>
        <w:t xml:space="preserve"> </w:t>
      </w:r>
      <w:r>
        <w:rPr>
          <w:i/>
          <w:iCs/>
          <w:lang w:val="en-IN"/>
        </w:rPr>
        <w:t>et al.,</w:t>
      </w:r>
      <w:r>
        <w:rPr>
          <w:lang w:val="en-IN"/>
        </w:rPr>
        <w:t xml:space="preserve"> 2026). Advanced manufacturing technologies and streamlining the supply chain operations can be used to reduce the cost of production. </w:t>
      </w:r>
      <w:r>
        <w:rPr>
          <w:lang w:val="en-IN"/>
        </w:rPr>
        <w:t>It</w:t>
      </w:r>
      <w:r>
        <w:rPr>
          <w:lang w:val="en-IN"/>
        </w:rPr>
        <w:t xml:space="preserve"> is possible to increase profits by cutting down overhead costs and enhancing efficiency.</w:t>
      </w:r>
    </w:p>
    <w:p w14:paraId="00000089">
      <w:pPr>
        <w:rPr>
          <w:b/>
          <w:bCs/>
          <w:lang w:val="en-IN"/>
        </w:rPr>
      </w:pPr>
      <w:r>
        <w:rPr>
          <w:b/>
          <w:bCs/>
          <w:lang w:val="en-IN"/>
        </w:rPr>
        <w:t>Equity Financing</w:t>
      </w:r>
    </w:p>
    <w:p w14:paraId="0000008A">
      <w:pPr>
        <w:rPr>
          <w:lang w:val="en-IN"/>
        </w:rPr>
      </w:pPr>
      <w:r>
        <w:rPr>
          <w:lang w:val="en-IN"/>
        </w:rPr>
        <w:t>Since Tesla has a good market standing and a good relationship with its investors, equity financing may be a good capital</w:t>
      </w:r>
      <w:r>
        <w:rPr>
          <w:lang w:val="en-IN"/>
        </w:rPr>
        <w:t>-</w:t>
      </w:r>
      <w:r>
        <w:rPr>
          <w:lang w:val="en-IN"/>
        </w:rPr>
        <w:t>raising strategy. With the issue of new shares, Tesla will be able to finance expansion initiatives, research and development, and investments in infrastructure without adding to its debt levels (Ding, 2025). This will minimi</w:t>
      </w:r>
      <w:r>
        <w:rPr>
          <w:lang w:val="en-IN"/>
        </w:rPr>
        <w:t>s</w:t>
      </w:r>
      <w:r>
        <w:rPr>
          <w:lang w:val="en-IN"/>
        </w:rPr>
        <w:t xml:space="preserve">e financial risk and guarantee sustainable financial stability. </w:t>
      </w:r>
      <w:r>
        <w:rPr>
          <w:lang w:val="en-IN"/>
        </w:rPr>
        <w:t>It</w:t>
      </w:r>
      <w:r>
        <w:rPr>
          <w:lang w:val="en-IN"/>
        </w:rPr>
        <w:t xml:space="preserve"> can result in the dilution of the ownership of existing shareholders</w:t>
      </w:r>
      <w:r>
        <w:rPr>
          <w:lang w:val="en-IN"/>
        </w:rPr>
        <w:t>,</w:t>
      </w:r>
      <w:r>
        <w:rPr>
          <w:lang w:val="en-IN"/>
        </w:rPr>
        <w:t xml:space="preserve"> and this should be </w:t>
      </w:r>
      <w:r>
        <w:rPr>
          <w:lang w:val="en-IN"/>
        </w:rPr>
        <w:t>carefully managed</w:t>
      </w:r>
      <w:r>
        <w:rPr>
          <w:lang w:val="en-IN"/>
        </w:rPr>
        <w:t>.</w:t>
      </w:r>
    </w:p>
    <w:p w14:paraId="0000008B">
      <w:pPr>
        <w:rPr>
          <w:b/>
          <w:bCs/>
          <w:lang w:val="en-IN"/>
        </w:rPr>
      </w:pPr>
      <w:r>
        <w:rPr>
          <w:b/>
          <w:bCs/>
          <w:lang w:val="en-IN"/>
        </w:rPr>
        <w:t>Debt Restructuring</w:t>
      </w:r>
    </w:p>
    <w:p w14:paraId="0000008C">
      <w:pPr>
        <w:rPr>
          <w:lang w:val="en-IN"/>
        </w:rPr>
      </w:pPr>
      <w:r>
        <w:rPr>
          <w:lang w:val="en-IN"/>
        </w:rPr>
        <w:t>Even though the amount of debt that Tesla has is currently low, it can be advantageous to grow debt funding in a strategic way. Debt financing offers tax benefits and has the potential to supplement returns on equity when properly managed (</w:t>
      </w:r>
      <w:r>
        <w:rPr>
          <w:lang w:val="en-IN"/>
        </w:rPr>
        <w:t>Gregova</w:t>
      </w:r>
      <w:r>
        <w:rPr>
          <w:lang w:val="en-IN"/>
        </w:rPr>
        <w:t xml:space="preserve"> </w:t>
      </w:r>
      <w:r>
        <w:rPr>
          <w:i/>
          <w:iCs/>
          <w:lang w:val="en-IN"/>
        </w:rPr>
        <w:t>et al.,</w:t>
      </w:r>
      <w:r>
        <w:rPr>
          <w:lang w:val="en-IN"/>
        </w:rPr>
        <w:t xml:space="preserve"> 2021). Long</w:t>
      </w:r>
      <w:r>
        <w:rPr>
          <w:lang w:val="en-IN"/>
        </w:rPr>
        <w:t>-</w:t>
      </w:r>
      <w:r>
        <w:rPr>
          <w:lang w:val="en-IN"/>
        </w:rPr>
        <w:t>term debt instruments with good interest rates can be considered to finance capital</w:t>
      </w:r>
      <w:r>
        <w:rPr>
          <w:lang w:val="en-IN"/>
        </w:rPr>
        <w:t>-</w:t>
      </w:r>
      <w:r>
        <w:rPr>
          <w:lang w:val="en-IN"/>
        </w:rPr>
        <w:t>intensive projects of Tesla</w:t>
      </w:r>
      <w:r>
        <w:rPr>
          <w:lang w:val="en-IN"/>
        </w:rPr>
        <w:t>,</w:t>
      </w:r>
      <w:r>
        <w:rPr>
          <w:lang w:val="en-IN"/>
        </w:rPr>
        <w:t xml:space="preserve"> like </w:t>
      </w:r>
      <w:r>
        <w:rPr>
          <w:lang w:val="en-IN"/>
        </w:rPr>
        <w:t xml:space="preserve">the </w:t>
      </w:r>
      <w:r>
        <w:rPr>
          <w:lang w:val="en-IN"/>
        </w:rPr>
        <w:t>expansion of the factories and development of battery technology.</w:t>
      </w:r>
    </w:p>
    <w:p w14:paraId="0000008D">
      <w:pPr>
        <w:rPr>
          <w:b/>
          <w:bCs/>
          <w:lang w:val="en-IN"/>
        </w:rPr>
      </w:pPr>
      <w:r>
        <w:rPr>
          <w:b/>
          <w:bCs/>
          <w:lang w:val="en-IN"/>
        </w:rPr>
        <w:t>Divestment and Asset Optimisation</w:t>
      </w:r>
    </w:p>
    <w:p w14:paraId="0000008E">
      <w:pPr>
        <w:rPr>
          <w:lang w:val="en-IN"/>
        </w:rPr>
      </w:pPr>
      <w:r>
        <w:rPr>
          <w:lang w:val="en-IN"/>
        </w:rPr>
        <w:t>Tesla is also able to assess its asset portfolio to determine the non-core or underperforming assets. The sale of these assets can release the capital and enable the company to concentrate on other growth prospects like energy storage and software development (Lateefat and Bankole, 2021). Asset optimisation helps to efficiently use the resources and enhances financial performance.</w:t>
      </w:r>
    </w:p>
    <w:p w14:paraId="0000008F">
      <w:pPr>
        <w:rPr>
          <w:b/>
          <w:bCs/>
          <w:lang w:val="en-IN"/>
        </w:rPr>
      </w:pPr>
      <w:r>
        <w:rPr>
          <w:b/>
          <w:bCs/>
          <w:lang w:val="en-IN"/>
        </w:rPr>
        <w:t>Working Capital Optimisation</w:t>
      </w:r>
    </w:p>
    <w:p w14:paraId="00000090">
      <w:pPr>
        <w:rPr>
          <w:lang w:val="en-IN"/>
        </w:rPr>
      </w:pPr>
      <w:r>
        <w:rPr>
          <w:lang w:val="en-IN"/>
        </w:rPr>
        <w:t>Another important strategy is to improve working capital management. Just-in-time inventory systems can be applied to Tesla to minimi</w:t>
      </w:r>
      <w:r>
        <w:rPr>
          <w:lang w:val="en-IN"/>
        </w:rPr>
        <w:t>s</w:t>
      </w:r>
      <w:r>
        <w:rPr>
          <w:lang w:val="en-IN"/>
        </w:rPr>
        <w:t xml:space="preserve">e inventory holding costs and to </w:t>
      </w:r>
      <w:r>
        <w:rPr>
          <w:lang w:val="en-IN"/>
        </w:rPr>
        <w:t>increase cash flow. Liquidity can also be further improved by strengthening supplier relationship</w:t>
      </w:r>
      <w:r>
        <w:rPr>
          <w:lang w:val="en-IN"/>
        </w:rPr>
        <w:t>s</w:t>
      </w:r>
      <w:r>
        <w:rPr>
          <w:lang w:val="en-IN"/>
        </w:rPr>
        <w:t xml:space="preserve"> to negotiate more </w:t>
      </w:r>
      <w:r>
        <w:rPr>
          <w:lang w:val="en-IN"/>
        </w:rPr>
        <w:t>favourable</w:t>
      </w:r>
      <w:r>
        <w:rPr>
          <w:lang w:val="en-IN"/>
        </w:rPr>
        <w:t xml:space="preserve"> credit terms and improving receivables management (Olajide </w:t>
      </w:r>
      <w:r>
        <w:rPr>
          <w:i/>
          <w:iCs/>
          <w:lang w:val="en-IN"/>
        </w:rPr>
        <w:t>et al.,</w:t>
      </w:r>
      <w:r>
        <w:rPr>
          <w:lang w:val="en-IN"/>
        </w:rPr>
        <w:t xml:space="preserve"> 2023).</w:t>
      </w:r>
    </w:p>
    <w:p w14:paraId="00000091">
      <w:pPr>
        <w:pStyle w:val="Heading2"/>
        <w:rPr>
          <w:lang w:val="en-IN"/>
        </w:rPr>
      </w:pPr>
      <w:bookmarkStart w:id="25" w:name="_Toc227907178"/>
      <w:r>
        <w:rPr>
          <w:lang w:val="en-IN"/>
        </w:rPr>
        <w:t>4.3 Impact of Financial Restructuring</w:t>
      </w:r>
      <w:bookmarkEnd w:id="25"/>
    </w:p>
    <w:p w14:paraId="00000092">
      <w:pPr>
        <w:rPr>
          <w:lang w:val="en-IN"/>
        </w:rPr>
      </w:pPr>
      <w:r>
        <w:rPr>
          <w:lang w:val="en-IN"/>
        </w:rPr>
        <w:t xml:space="preserve">Financial restructuring strategies would make a huge positive contribution towards the overall financial performance of Tesla. To begin with, the cost reduction initiatives will directly enhance profitability through </w:t>
      </w:r>
      <w:r>
        <w:rPr>
          <w:lang w:val="en-IN"/>
        </w:rPr>
        <w:t xml:space="preserve">the </w:t>
      </w:r>
      <w:r>
        <w:rPr>
          <w:lang w:val="en-IN"/>
        </w:rPr>
        <w:t xml:space="preserve">reduction of production and operating costs (Kotte, 2025). This will aid </w:t>
      </w:r>
      <w:r>
        <w:rPr>
          <w:lang w:val="en-IN"/>
        </w:rPr>
        <w:t xml:space="preserve">the </w:t>
      </w:r>
      <w:r>
        <w:rPr>
          <w:lang w:val="en-IN"/>
        </w:rPr>
        <w:t xml:space="preserve">stabilisation of </w:t>
      </w:r>
      <w:r>
        <w:rPr>
          <w:lang w:val="en-IN"/>
        </w:rPr>
        <w:t xml:space="preserve">declining margins </w:t>
      </w:r>
      <w:r>
        <w:rPr>
          <w:lang w:val="en-IN"/>
        </w:rPr>
        <w:t>and increase the capacity of the company to produce greater returns. Flexibility in finance will be enhanced by maximising the capital structure by a balanced combination of debt and equity. Though equity financing lowers political risk, judicious application of debt can boost returns on equity and facilitate big</w:t>
      </w:r>
      <w:r>
        <w:rPr>
          <w:lang w:val="en-IN"/>
        </w:rPr>
        <w:t>-</w:t>
      </w:r>
      <w:r>
        <w:rPr>
          <w:lang w:val="en-IN"/>
        </w:rPr>
        <w:t>time investments. The balance helps Tesla to finance its growth programs without jeopardizing the financial stability.</w:t>
      </w:r>
    </w:p>
    <w:p w14:paraId="00000093">
      <w:pPr>
        <w:rPr>
          <w:lang w:val="en-IN"/>
        </w:rPr>
      </w:pPr>
      <w:r>
        <w:rPr>
          <w:lang w:val="en-IN"/>
        </w:rPr>
        <w:t>There</w:t>
      </w:r>
      <w:r>
        <w:rPr>
          <w:lang w:val="en-IN"/>
        </w:rPr>
        <w:t xml:space="preserve"> will be better working capital management, which will increase liquidity and decrease </w:t>
      </w:r>
      <w:r>
        <w:rPr>
          <w:lang w:val="en-IN"/>
        </w:rPr>
        <w:t xml:space="preserve">the </w:t>
      </w:r>
      <w:r>
        <w:rPr>
          <w:lang w:val="en-IN"/>
        </w:rPr>
        <w:t>cash conversion cycle. The improved credit terms and effective inventory management will enable Tesla to generate cash at a faster rate, thus improving its financial standing. Shareholders can benefit through these restructuring activities, as they enhance shareholder value related to profitability, risk reduction, and sustainable growth (</w:t>
      </w:r>
      <w:r>
        <w:rPr>
          <w:lang w:val="en-IN"/>
        </w:rPr>
        <w:t>Ermawati</w:t>
      </w:r>
      <w:r>
        <w:rPr>
          <w:lang w:val="en-IN"/>
        </w:rPr>
        <w:t>, 2024). Increased efficiency and financial performance will lead to increased investor confidence and, possibly, higher stock valuations.</w:t>
      </w:r>
    </w:p>
    <w:p w14:paraId="00000094">
      <w:pPr>
        <w:rPr>
          <w:lang w:val="en-IN"/>
        </w:rPr>
      </w:pPr>
      <w:r>
        <w:rPr>
          <w:lang w:val="en-IN"/>
        </w:rPr>
        <w:t xml:space="preserve">There </w:t>
      </w:r>
      <w:r>
        <w:rPr>
          <w:lang w:val="en-IN"/>
        </w:rPr>
        <w:t xml:space="preserve">are also risks associated with restructuring. Reducing costs can affect the quality of the products or the morale of the employees unless done with caution. </w:t>
      </w:r>
      <w:r>
        <w:rPr>
          <w:lang w:val="en-IN"/>
        </w:rPr>
        <w:t xml:space="preserve">Similarly, excessive reliance </w:t>
      </w:r>
      <w:r>
        <w:rPr>
          <w:lang w:val="en-IN"/>
        </w:rPr>
        <w:t>on debt may augment the exposure to financial risk, especially when there is uncertainty in the economic environment. Consequently, Tesla should strategically and in a balanced way apply these strategies.</w:t>
      </w:r>
    </w:p>
    <w:p w14:paraId="00000095">
      <w:pPr>
        <w:pStyle w:val="Heading2"/>
        <w:rPr>
          <w:lang w:val="en-IN"/>
        </w:rPr>
      </w:pPr>
      <w:bookmarkStart w:id="26" w:name="_Toc227907179"/>
      <w:r>
        <w:rPr>
          <w:lang w:val="en-IN"/>
        </w:rPr>
        <w:t>4.4 International and Ethical Considerations</w:t>
      </w:r>
      <w:bookmarkEnd w:id="26"/>
    </w:p>
    <w:p w14:paraId="00000096">
      <w:pPr>
        <w:rPr>
          <w:lang w:val="en-IN"/>
        </w:rPr>
      </w:pPr>
      <w:r>
        <w:rPr>
          <w:lang w:val="en-IN"/>
        </w:rPr>
        <w:t>Tesla</w:t>
      </w:r>
      <w:r>
        <w:rPr>
          <w:lang w:val="en-IN"/>
        </w:rPr>
        <w:t>,</w:t>
      </w:r>
      <w:r>
        <w:rPr>
          <w:lang w:val="en-IN"/>
        </w:rPr>
        <w:t xml:space="preserve"> being an international firm</w:t>
      </w:r>
      <w:r>
        <w:rPr>
          <w:lang w:val="en-IN"/>
        </w:rPr>
        <w:t>,</w:t>
      </w:r>
      <w:r>
        <w:rPr>
          <w:lang w:val="en-IN"/>
        </w:rPr>
        <w:t xml:space="preserve"> should take into account several international and ethical considerations when carrying out financial restructuring measures. Currency risk is one of the major challenges. Tesla has several countries of operation</w:t>
      </w:r>
      <w:r>
        <w:rPr>
          <w:lang w:val="en-IN"/>
        </w:rPr>
        <w:t>,</w:t>
      </w:r>
      <w:r>
        <w:rPr>
          <w:lang w:val="en-IN"/>
        </w:rPr>
        <w:t xml:space="preserve"> and the exchange rates may affect revenue, costs, and profitability. To avert these risks, there should be effective hedging strategies and financial planning. Financial decision-making is also greatly influenced by inflation and alterations in global economic </w:t>
      </w:r>
      <w:r>
        <w:rPr>
          <w:lang w:val="en-IN"/>
        </w:rPr>
        <w:t>conditions (Purwanto, 2025). Inflation may lead to higher production costs</w:t>
      </w:r>
      <w:r>
        <w:rPr>
          <w:lang w:val="en-IN"/>
        </w:rPr>
        <w:t>,</w:t>
      </w:r>
      <w:r>
        <w:rPr>
          <w:lang w:val="en-IN"/>
        </w:rPr>
        <w:t xml:space="preserve"> especially on raw materials and labour. Tesla should constantly observe the economic trends and change its pricing and cost strategies.</w:t>
      </w:r>
    </w:p>
    <w:p w14:paraId="00000097">
      <w:pPr>
        <w:rPr>
          <w:lang w:val="en-IN"/>
        </w:rPr>
      </w:pPr>
      <w:r>
        <w:rPr>
          <w:lang w:val="en-IN"/>
        </w:rPr>
        <w:t>Financial restructuring is as well concerned with ethical issues. Tesla should not jeopardi</w:t>
      </w:r>
      <w:r>
        <w:rPr>
          <w:lang w:val="en-IN"/>
        </w:rPr>
        <w:t>s</w:t>
      </w:r>
      <w:r>
        <w:rPr>
          <w:lang w:val="en-IN"/>
        </w:rPr>
        <w:t xml:space="preserve">e employee well-being or the quality of </w:t>
      </w:r>
      <w:r>
        <w:rPr>
          <w:lang w:val="en-IN"/>
        </w:rPr>
        <w:t xml:space="preserve">its </w:t>
      </w:r>
      <w:r>
        <w:rPr>
          <w:lang w:val="en-IN"/>
        </w:rPr>
        <w:t xml:space="preserve">products by cutting costs. Safe working conditions and fair labour practices are required to keep the reputation of the company and guarantee its long-term success (Jain, Ripa, and Torres, 2024). The other important factor is corporate social responsibility (CSR). Tesla is a company that aims at sustainability, so Tesla has to </w:t>
      </w:r>
      <w:r>
        <w:rPr>
          <w:lang w:val="en-IN"/>
        </w:rPr>
        <w:t>align</w:t>
      </w:r>
      <w:r>
        <w:rPr>
          <w:lang w:val="en-IN"/>
        </w:rPr>
        <w:t xml:space="preserve"> its financial strategies </w:t>
      </w:r>
      <w:r>
        <w:rPr>
          <w:lang w:val="en-IN"/>
        </w:rPr>
        <w:t>with</w:t>
      </w:r>
      <w:r>
        <w:rPr>
          <w:lang w:val="en-IN"/>
        </w:rPr>
        <w:t xml:space="preserve"> its environmental and social objectives. The focus on investments in renewable energy, sustainable production processes, and environmentally friendly technologies should not be abandoned. Ethical financial reporting and transparency are essential in keeping the confidence of investors. Tesla should also make sure that all its financial choices and disclosure</w:t>
      </w:r>
      <w:r>
        <w:rPr>
          <w:lang w:val="en-IN"/>
        </w:rPr>
        <w:t>s</w:t>
      </w:r>
      <w:r>
        <w:rPr>
          <w:lang w:val="en-IN"/>
        </w:rPr>
        <w:t xml:space="preserve"> are correct, transparent, and regulatory.</w:t>
      </w:r>
    </w:p>
    <w:p w14:paraId="00000098">
      <w:pPr>
        <w:rPr>
          <w:lang w:val="en-IN"/>
        </w:rPr>
      </w:pPr>
      <w:r>
        <w:rPr>
          <w:lang w:val="en-IN"/>
        </w:rPr>
        <w:t xml:space="preserve">It has been critically analysed that </w:t>
      </w:r>
      <w:r>
        <w:rPr>
          <w:lang w:val="en-IN"/>
        </w:rPr>
        <w:t>the idea of financial restructuring has great advantages, and it should be conducted in a cautious way in terms of the international risks and ethical responsibilities. By balancing financial performance, social, and environmental obligations, Tesla will be able to grow in a sustainable way and be the leader in the global market.</w:t>
      </w:r>
    </w:p>
    <w:p w14:paraId="00000099">
      <w:pPr>
        <w:pStyle w:val="Heading1"/>
        <w:rPr>
          <w:lang w:val="en-IN"/>
        </w:rPr>
      </w:pPr>
      <w:bookmarkStart w:id="27" w:name="_Toc227907180"/>
      <w:r>
        <w:rPr>
          <w:lang w:val="en-IN"/>
        </w:rPr>
        <w:t>5. Investment Appraisal and Capital Budgeting</w:t>
      </w:r>
      <w:bookmarkEnd w:id="27"/>
    </w:p>
    <w:p w14:paraId="0000009A">
      <w:pPr>
        <w:pStyle w:val="Heading2"/>
        <w:rPr>
          <w:lang w:val="en-IN"/>
        </w:rPr>
      </w:pPr>
      <w:bookmarkStart w:id="28" w:name="_Toc227907181"/>
      <w:r>
        <w:rPr>
          <w:lang w:val="en-IN"/>
        </w:rPr>
        <w:t>5.1 Introduction</w:t>
      </w:r>
      <w:bookmarkEnd w:id="28"/>
    </w:p>
    <w:p w14:paraId="0000009B">
      <w:pPr>
        <w:rPr>
          <w:lang w:val="en-IN"/>
        </w:rPr>
      </w:pPr>
      <w:r>
        <w:rPr>
          <w:lang w:val="en-IN"/>
        </w:rPr>
        <w:t xml:space="preserve">A crucial financial decision process is investment appraisal, which helps organisations to assess the viability and profitability of investment projects in the long term (Daming and </w:t>
      </w:r>
      <w:r>
        <w:rPr>
          <w:lang w:val="en-IN"/>
        </w:rPr>
        <w:t>Widyawati</w:t>
      </w:r>
      <w:r>
        <w:rPr>
          <w:lang w:val="en-IN"/>
        </w:rPr>
        <w:t>, 2024). Efficient capital budgeting is necessary in the case of Tesla since the electric vehicle industry is capital</w:t>
      </w:r>
      <w:r>
        <w:rPr>
          <w:lang w:val="en-IN"/>
        </w:rPr>
        <w:t>-</w:t>
      </w:r>
      <w:r>
        <w:rPr>
          <w:lang w:val="en-IN"/>
        </w:rPr>
        <w:t>intensive and requires considerable investment in its manufacturing plants, battery technology, and infrastructure.</w:t>
      </w:r>
    </w:p>
    <w:p w14:paraId="0000009C">
      <w:pPr>
        <w:rPr>
          <w:lang w:val="en-IN"/>
        </w:rPr>
      </w:pPr>
      <w:r>
        <w:rPr>
          <w:lang w:val="en-IN"/>
        </w:rPr>
        <w:t xml:space="preserve">This part compares three investment projects, Project A, Project B and Project C that need an initial investment of </w:t>
      </w:r>
      <w:r>
        <w:rPr>
          <w:lang w:val="en-IN"/>
        </w:rPr>
        <w:t>£50 million</w:t>
      </w:r>
      <w:r>
        <w:rPr>
          <w:lang w:val="en-IN"/>
        </w:rPr>
        <w:t xml:space="preserve">. The projects have various cash inflow patterns within a period of five years, which depict different risk-return profiles. In order to evaluate these projects, </w:t>
      </w:r>
      <w:r>
        <w:rPr>
          <w:lang w:val="en-IN"/>
        </w:rPr>
        <w:t>several</w:t>
      </w:r>
      <w:r>
        <w:rPr>
          <w:lang w:val="en-IN"/>
        </w:rPr>
        <w:t xml:space="preserve"> capital budgeting methods are used</w:t>
      </w:r>
      <w:r>
        <w:rPr>
          <w:lang w:val="en-IN"/>
        </w:rPr>
        <w:t>,</w:t>
      </w:r>
      <w:r>
        <w:rPr>
          <w:lang w:val="en-IN"/>
        </w:rPr>
        <w:t xml:space="preserve"> among which are Payback Period (PBP), Accounting rate of Return (ARR), Net Present Value (NPV), Profitability Index (PI) and Internal rate of Return (IRR).</w:t>
      </w:r>
    </w:p>
    <w:p w14:paraId="0000009D">
      <w:pPr>
        <w:rPr>
          <w:lang w:val="en-IN"/>
        </w:rPr>
      </w:pPr>
      <w:r>
        <w:rPr>
          <w:lang w:val="en-IN"/>
        </w:rPr>
        <w:t xml:space="preserve">The time value of money is considered by using a discount rate of 10% so that future cash flows are discounted accordingly to reflect their present value. This analysis aims </w:t>
      </w:r>
      <w:r>
        <w:rPr>
          <w:lang w:val="en-IN"/>
        </w:rPr>
        <w:t>to determine</w:t>
      </w:r>
      <w:r>
        <w:rPr>
          <w:lang w:val="en-IN"/>
        </w:rPr>
        <w:t xml:space="preserve"> the most feasible project and prescrib</w:t>
      </w:r>
      <w:r>
        <w:rPr>
          <w:lang w:val="en-IN"/>
        </w:rPr>
        <w:t>e</w:t>
      </w:r>
      <w:r>
        <w:rPr>
          <w:lang w:val="en-IN"/>
        </w:rPr>
        <w:t xml:space="preserve"> the best investment choice, according to both the quantitative findings and qualitative factors.</w:t>
      </w:r>
    </w:p>
    <w:p w14:paraId="0000009E">
      <w:pPr>
        <w:pStyle w:val="Heading2"/>
        <w:rPr>
          <w:lang w:val="en-IN"/>
        </w:rPr>
      </w:pPr>
      <w:bookmarkStart w:id="29" w:name="_Toc227907182"/>
      <w:r>
        <w:rPr>
          <w:lang w:val="en-IN"/>
        </w:rPr>
        <w:t>5.2 Investment Appraisal Methods</w:t>
      </w:r>
      <w:bookmarkEnd w:id="29"/>
    </w:p>
    <w:p w14:paraId="0000009F">
      <w:pPr>
        <w:rPr>
          <w:lang w:val="en-IN"/>
        </w:rPr>
      </w:pPr>
      <w:r>
        <w:rPr>
          <w:lang w:val="en-IN"/>
        </w:rPr>
        <w:t>A range of financial evaluation techniques has been used to assess the viability of the three projects.</w:t>
      </w:r>
    </w:p>
    <w:p w14:paraId="000000A0">
      <w:pPr>
        <w:rPr>
          <w:b/>
          <w:bCs/>
          <w:lang w:val="en-IN"/>
        </w:rPr>
      </w:pPr>
      <w:r>
        <w:rPr>
          <w:b/>
          <w:bCs/>
          <w:lang w:val="en-IN"/>
        </w:rPr>
        <w:t>Payback Period (PBP)</w:t>
      </w:r>
    </w:p>
    <w:p w14:paraId="000000A1">
      <w:pPr>
        <w:rPr>
          <w:lang w:val="en-IN"/>
        </w:rPr>
      </w:pPr>
      <w:r>
        <w:rPr>
          <w:lang w:val="en-IN"/>
        </w:rPr>
        <w:t>The payback period measures the time required to recover the initial investment from the project’s cash inflows</w:t>
      </w:r>
      <w:r>
        <w:rPr>
          <w:lang w:val="en-IN"/>
        </w:rPr>
        <w:t xml:space="preserve"> (</w:t>
      </w:r>
      <w:r>
        <w:t>Sokolov, 2026</w:t>
      </w:r>
      <w:r>
        <w:rPr>
          <w:lang w:val="en-IN"/>
        </w:rPr>
        <w:t>)</w:t>
      </w:r>
      <w:r>
        <w:rPr>
          <w:lang w:val="en-IN"/>
        </w:rPr>
        <w:t>. It is a simple and widely used method that focuses on liquidity and risk. A shorter payback period is generally preferred, as it indicates quicker recovery of investment and lower exposure to uncertainty.</w:t>
      </w:r>
    </w:p>
    <w:p w14:paraId="000000A2">
      <w:pPr>
        <w:rPr>
          <w:b/>
          <w:bCs/>
          <w:lang w:val="en-IN"/>
        </w:rPr>
      </w:pPr>
      <w:r>
        <w:rPr>
          <w:b/>
          <w:bCs/>
          <w:lang w:val="en-IN"/>
        </w:rPr>
        <w:t>Accounting Rate of Return (ARR)</w:t>
      </w:r>
    </w:p>
    <w:p w14:paraId="000000A3">
      <w:pPr>
        <w:rPr>
          <w:lang w:val="en-IN"/>
        </w:rPr>
      </w:pPr>
      <w:r>
        <w:rPr>
          <w:lang w:val="en-IN"/>
        </w:rPr>
        <w:t>ARR calculates the average accounting profit as a percentage of the initial investment. It provides an indication of the project’s profitability based on accounting figures rather than cash flows. Although easy to compute, ARR does not consider the time value of money.</w:t>
      </w:r>
    </w:p>
    <w:p w14:paraId="000000A4">
      <w:pPr>
        <w:rPr>
          <w:b/>
          <w:bCs/>
          <w:lang w:val="en-IN"/>
        </w:rPr>
      </w:pPr>
      <w:r>
        <w:rPr>
          <w:b/>
          <w:bCs/>
          <w:lang w:val="en-IN"/>
        </w:rPr>
        <w:t>Net Present Value (NPV)</w:t>
      </w:r>
    </w:p>
    <w:p w14:paraId="000000A5">
      <w:pPr>
        <w:rPr>
          <w:lang w:val="en-IN"/>
        </w:rPr>
      </w:pPr>
      <w:r>
        <w:rPr>
          <w:lang w:val="en-IN"/>
        </w:rPr>
        <w:t>NPV is one of the most reliable methods, as it considers both the time value of money and the magnitude of cash flows</w:t>
      </w:r>
      <w:r>
        <w:rPr>
          <w:lang w:val="en-IN"/>
        </w:rPr>
        <w:t xml:space="preserve"> (</w:t>
      </w:r>
      <w:r>
        <w:t>Shou, 2022</w:t>
      </w:r>
      <w:r>
        <w:rPr>
          <w:lang w:val="en-IN"/>
        </w:rPr>
        <w:t>)</w:t>
      </w:r>
      <w:r>
        <w:rPr>
          <w:lang w:val="en-IN"/>
        </w:rPr>
        <w:t>. It calculates the difference between the present value of cash inflows and the initial investment. A positive NPV indicates that the project adds value to the firm and should be accepted.</w:t>
      </w:r>
    </w:p>
    <w:p w14:paraId="000000A6">
      <w:pPr>
        <w:rPr>
          <w:b/>
          <w:bCs/>
          <w:lang w:val="en-IN"/>
        </w:rPr>
      </w:pPr>
      <w:r>
        <w:rPr>
          <w:b/>
          <w:bCs/>
          <w:lang w:val="en-IN"/>
        </w:rPr>
        <w:t>Profitability Index (PI)</w:t>
      </w:r>
    </w:p>
    <w:p w14:paraId="000000A7">
      <w:pPr>
        <w:rPr>
          <w:lang w:val="en-IN"/>
        </w:rPr>
      </w:pPr>
      <w:r>
        <w:rPr>
          <w:lang w:val="en-IN"/>
        </w:rPr>
        <w:t>PI is the ratio of the present value of future cash inflows to the initial investment. A PI greater than 1 indicates that the project is profitable and acceptable.</w:t>
      </w:r>
    </w:p>
    <w:p w14:paraId="000000A8">
      <w:pPr>
        <w:rPr>
          <w:b/>
          <w:bCs/>
          <w:lang w:val="en-IN"/>
        </w:rPr>
      </w:pPr>
      <w:r>
        <w:rPr>
          <w:b/>
          <w:bCs/>
          <w:lang w:val="en-IN"/>
        </w:rPr>
        <w:t>Internal Rate of Return (IRR)</w:t>
      </w:r>
    </w:p>
    <w:p w14:paraId="000000A9">
      <w:pPr>
        <w:rPr>
          <w:lang w:val="en-IN"/>
        </w:rPr>
      </w:pPr>
      <w:r>
        <w:rPr>
          <w:lang w:val="en-IN"/>
        </w:rPr>
        <w:t>IRR represents the discount rate at which the NPV of a project becomes zero. It reflects the project’s expected rate of return</w:t>
      </w:r>
      <w:r>
        <w:rPr>
          <w:lang w:val="en-IN"/>
        </w:rPr>
        <w:t xml:space="preserve"> (</w:t>
      </w:r>
      <w:r>
        <w:t>Wangchuk, 2022</w:t>
      </w:r>
      <w:r>
        <w:rPr>
          <w:lang w:val="en-IN"/>
        </w:rPr>
        <w:t>)</w:t>
      </w:r>
      <w:r>
        <w:rPr>
          <w:lang w:val="en-IN"/>
        </w:rPr>
        <w:t>. A project is considered acceptable if its IRR exceeds the required rate of return (10% in this case).</w:t>
      </w:r>
    </w:p>
    <w:p w14:paraId="000000AA">
      <w:pPr>
        <w:pStyle w:val="Heading2"/>
        <w:rPr>
          <w:lang w:val="en-IN"/>
        </w:rPr>
      </w:pPr>
      <w:bookmarkStart w:id="30" w:name="_Toc227907183"/>
      <w:r>
        <w:rPr>
          <w:lang w:val="en-IN"/>
        </w:rPr>
        <w:t>5.3 Results and Interpretation</w:t>
      </w:r>
      <w:bookmarkEnd w:id="30"/>
    </w:p>
    <w:p w14:paraId="000000AB">
      <w:pPr>
        <w:jc w:val="center"/>
        <w:rPr>
          <w:lang w:val="en-IN"/>
        </w:rPr>
      </w:pPr>
      <w:r>
        <w:rPr/>
        <w:drawing xmlns:mc="http://schemas.openxmlformats.org/markup-compatibility/2006">
          <wp:inline distT="0" distB="0" distL="0" distR="0">
            <wp:extent cx="4572000" cy="2743200"/>
            <wp:effectExtent l="0" t="0" r="9526" b="9526"/>
            <wp:docPr id="1866639475"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00000AC">
      <w:pPr>
        <w:rPr>
          <w:lang w:val="en-IN"/>
        </w:rPr>
      </w:pPr>
      <w:r>
        <w:rPr>
          <w:lang w:val="en-IN"/>
        </w:rPr>
        <w:t>The NPV comparison graph clearly illustrates that Project C is the only project with a positive NPV (£1.08 million), while Projects A and B have negative NPVs. This indicates that Project C is expected to create value for the company, whereas the other projects would result in value destruction.</w:t>
      </w:r>
      <w:r>
        <w:rPr>
          <w:lang w:val="en-IN"/>
        </w:rPr>
        <w:t xml:space="preserve"> </w:t>
      </w:r>
      <w:r>
        <w:rPr>
          <w:lang w:val="en-IN"/>
        </w:rPr>
        <w:t>In terms of payback period, Project C performs best with a recovery time of 4 years, compared to 4.5 and 4.55 years for Projects A and B</w:t>
      </w:r>
      <w:r>
        <w:rPr>
          <w:lang w:val="en-IN"/>
        </w:rPr>
        <w:t>,</w:t>
      </w:r>
      <w:r>
        <w:rPr>
          <w:lang w:val="en-IN"/>
        </w:rPr>
        <w:t xml:space="preserve"> respectively. This suggests lower risk and faster capital recovery.</w:t>
      </w:r>
      <w:r>
        <w:rPr>
          <w:lang w:val="en-IN"/>
        </w:rPr>
        <w:t xml:space="preserve"> </w:t>
      </w:r>
      <w:r>
        <w:rPr>
          <w:lang w:val="en-IN"/>
        </w:rPr>
        <w:t>The ARR values further support this conclusion, as Project C has the highest ARR at 6%, significantly higher than Projects A and B. Similarly, the profitability index for Project C exceeds 1, indicating profitability, while the other projects fall below this threshold.</w:t>
      </w:r>
      <w:r>
        <w:rPr>
          <w:lang w:val="en-IN"/>
        </w:rPr>
        <w:t xml:space="preserve"> </w:t>
      </w:r>
      <w:r>
        <w:rPr>
          <w:lang w:val="en-IN"/>
        </w:rPr>
        <w:t>The IRR of Project C (10.69%) exceeds the required rate of return (10%), making it financially acceptable. In contrast, Projects A and B have IRRs below the required rate, further confirming their unsuitability.</w:t>
      </w:r>
    </w:p>
    <w:p w14:paraId="000000AD">
      <w:pPr>
        <w:rPr>
          <w:lang w:val="en-IN"/>
        </w:rPr>
      </w:pPr>
      <w:r>
        <w:rPr>
          <w:lang w:val="en-IN"/>
        </w:rPr>
        <w:t>A deeper evaluation of the results reveals important insights into the risk-return trade-off of each project. Project A demonstrates moderate and gradually increasing cash inflows over the five-year period, which contribute to a relatively stable but insufficient financial performance. Despite generating consistent cash flows, the project fails to achieve a positive NPV, indicating that the returns are not adequate to cover the cost of capital. This highlights the importance of considering the time value of money rather than relying solely on nominal cash inflows.</w:t>
      </w:r>
    </w:p>
    <w:p w14:paraId="000000AE">
      <w:pPr>
        <w:rPr>
          <w:lang w:val="en-IN"/>
        </w:rPr>
      </w:pPr>
      <w:r>
        <w:rPr>
          <w:lang w:val="en-IN"/>
        </w:rPr>
        <w:t xml:space="preserve">Project B, on the other hand, presents a uniform cash inflow pattern, with equal returns each year. While this may initially appear attractive due to its predictability, the </w:t>
      </w:r>
      <w:r>
        <w:rPr>
          <w:lang w:val="en-IN"/>
        </w:rPr>
        <w:t>financial evaluation shows that it performs the worst among the three projects. Its significantly negative NPV and low IRR suggest that the returns are too low to justify the investment. This demonstrates that stability alone does not guarantee financial viability, especially when returns fall below the required rate.</w:t>
      </w:r>
    </w:p>
    <w:p w14:paraId="000000AF">
      <w:pPr>
        <w:rPr>
          <w:lang w:val="en-IN"/>
        </w:rPr>
      </w:pPr>
      <w:r>
        <w:rPr>
          <w:lang w:val="en-IN"/>
        </w:rPr>
        <w:t>Project C exhibits a different cash flow structure, with higher inflows concentrated in the middle years. This pattern enhances its discounted cash flow value, resulting in a positive NPV. The timing of cash inflows plays a crucial role in improving project performance, as earlier and larger cash inflows increase present value. This reinforces the importance of cash flow timing in investment decisions.</w:t>
      </w:r>
    </w:p>
    <w:p w14:paraId="000000B0">
      <w:pPr>
        <w:pStyle w:val="Heading2"/>
        <w:rPr>
          <w:lang w:val="en-IN"/>
        </w:rPr>
      </w:pPr>
      <w:bookmarkStart w:id="31" w:name="_Toc227907184"/>
      <w:r>
        <w:rPr>
          <w:lang w:val="en-IN"/>
        </w:rPr>
        <w:t>5.4 Project Selection</w:t>
      </w:r>
      <w:bookmarkEnd w:id="31"/>
    </w:p>
    <w:p w14:paraId="000000B1">
      <w:pPr>
        <w:rPr>
          <w:lang w:val="en-IN"/>
        </w:rPr>
      </w:pPr>
      <w:r>
        <w:rPr>
          <w:lang w:val="en-IN"/>
        </w:rPr>
        <w:t xml:space="preserve">The analysis of all financial indicators shows that Project C is the most appropriate project to invest in. It is very successful in all methods of appraisals as compared to the other projects. The positive NPV of Project C means that it will add </w:t>
      </w:r>
      <w:r>
        <w:rPr>
          <w:lang w:val="en-IN"/>
        </w:rPr>
        <w:t xml:space="preserve">to </w:t>
      </w:r>
      <w:r>
        <w:rPr>
          <w:lang w:val="en-IN"/>
        </w:rPr>
        <w:t>shareholders</w:t>
      </w:r>
      <w:r>
        <w:rPr>
          <w:lang w:val="en-IN"/>
        </w:rPr>
        <w:t>'</w:t>
      </w:r>
      <w:r>
        <w:rPr>
          <w:lang w:val="en-IN"/>
        </w:rPr>
        <w:t xml:space="preserve"> wealth, which is the main goal of financial management. </w:t>
      </w:r>
      <w:r>
        <w:rPr>
          <w:lang w:val="en-IN"/>
        </w:rPr>
        <w:t>A h</w:t>
      </w:r>
      <w:r>
        <w:rPr>
          <w:lang w:val="en-IN"/>
        </w:rPr>
        <w:t xml:space="preserve">igher IRR shows its ability to </w:t>
      </w:r>
      <w:r>
        <w:rPr>
          <w:lang w:val="en-IN"/>
        </w:rPr>
        <w:t xml:space="preserve">achieve </w:t>
      </w:r>
      <w:r>
        <w:rPr>
          <w:lang w:val="en-IN"/>
        </w:rPr>
        <w:t>high returns, and the payback period is short, which minimi</w:t>
      </w:r>
      <w:r>
        <w:rPr>
          <w:lang w:val="en-IN"/>
        </w:rPr>
        <w:t>s</w:t>
      </w:r>
      <w:r>
        <w:rPr>
          <w:lang w:val="en-IN"/>
        </w:rPr>
        <w:t xml:space="preserve">es </w:t>
      </w:r>
      <w:r>
        <w:rPr>
          <w:lang w:val="en-IN"/>
        </w:rPr>
        <w:t>risk exposure</w:t>
      </w:r>
      <w:r>
        <w:rPr>
          <w:lang w:val="en-IN"/>
        </w:rPr>
        <w:t xml:space="preserve">. Also, </w:t>
      </w:r>
      <w:r>
        <w:rPr>
          <w:lang w:val="en-IN"/>
        </w:rPr>
        <w:t xml:space="preserve">the </w:t>
      </w:r>
      <w:r>
        <w:rPr>
          <w:lang w:val="en-IN"/>
        </w:rPr>
        <w:t>profitability index will affirm that the project will create a higher value of investment.</w:t>
      </w:r>
    </w:p>
    <w:p w14:paraId="000000B2">
      <w:pPr>
        <w:rPr>
          <w:lang w:val="en-IN"/>
        </w:rPr>
      </w:pPr>
      <w:r>
        <w:rPr>
          <w:lang w:val="en-IN"/>
        </w:rPr>
        <w:t>Projects A and B, on the contrary, are not financially viable. They have negative NPVs</w:t>
      </w:r>
      <w:r>
        <w:rPr>
          <w:lang w:val="en-IN"/>
        </w:rPr>
        <w:t>,</w:t>
      </w:r>
      <w:r>
        <w:rPr>
          <w:lang w:val="en-IN"/>
        </w:rPr>
        <w:t xml:space="preserve"> which means that they would decrease the shareholder value</w:t>
      </w:r>
      <w:r>
        <w:rPr>
          <w:lang w:val="en-IN"/>
        </w:rPr>
        <w:t>,</w:t>
      </w:r>
      <w:r>
        <w:rPr>
          <w:lang w:val="en-IN"/>
        </w:rPr>
        <w:t xml:space="preserve"> and their IRR is lower than the required rate of return. Despite the fact that Project A is a little better performing than Project B, it is the case that neither of the projects fits the required financial requirements to be accepted. The choice of Project C is not based on financial measures only and is also in line with the financial situation of Tesla. Tesla is suffering </w:t>
      </w:r>
      <w:r>
        <w:rPr>
          <w:lang w:val="en-IN"/>
        </w:rPr>
        <w:t>from</w:t>
      </w:r>
      <w:r>
        <w:rPr>
          <w:lang w:val="en-IN"/>
        </w:rPr>
        <w:t xml:space="preserve"> deteriorating profitability and rising cost pressures</w:t>
      </w:r>
      <w:r>
        <w:rPr>
          <w:lang w:val="en-IN"/>
        </w:rPr>
        <w:t>,</w:t>
      </w:r>
      <w:r>
        <w:rPr>
          <w:lang w:val="en-IN"/>
        </w:rPr>
        <w:t xml:space="preserve"> as noted in the financial health analysis. Thus, it becomes necessary to choose a project that has more returns and value addition.</w:t>
      </w:r>
    </w:p>
    <w:p w14:paraId="000000B3">
      <w:pPr>
        <w:rPr>
          <w:lang w:val="en-IN"/>
        </w:rPr>
      </w:pPr>
      <w:r>
        <w:rPr>
          <w:lang w:val="en-IN"/>
        </w:rPr>
        <w:t xml:space="preserve">Project C will be appropriate to deal with the profitability issue at Tesla since it has a good financial performance. Its </w:t>
      </w:r>
      <w:r>
        <w:rPr>
          <w:lang w:val="en-IN"/>
        </w:rPr>
        <w:t>favourable</w:t>
      </w:r>
      <w:r>
        <w:rPr>
          <w:lang w:val="en-IN"/>
        </w:rPr>
        <w:t xml:space="preserve"> NPV signifies value creation, which could be used to counteract falling margins. Moreover, the greater IRR will ensure that the project will provide returns greater than the cost of capital of the company, which will enhance financial performance. Tesla has a stable but pressured liquidity position that has been evidenced by the variation in working capital management. The payback </w:t>
      </w:r>
      <w:r>
        <w:rPr>
          <w:lang w:val="en-IN"/>
        </w:rPr>
        <w:t>period of Project C is comparatively shorter, which enhances cash flow management, thus lowering the liquidity risk. This is especially significant to Tesla, which is still heavily investing in growth and innovation.</w:t>
      </w:r>
    </w:p>
    <w:p w14:paraId="000000B4">
      <w:pPr>
        <w:pStyle w:val="Heading2"/>
        <w:rPr>
          <w:lang w:val="en-IN"/>
        </w:rPr>
      </w:pPr>
      <w:bookmarkStart w:id="32" w:name="_Toc227907185"/>
      <w:r>
        <w:rPr>
          <w:lang w:val="en-IN"/>
        </w:rPr>
        <w:t>5.5 Capital Rationing Decision</w:t>
      </w:r>
      <w:bookmarkEnd w:id="32"/>
    </w:p>
    <w:p w14:paraId="000000B5">
      <w:pPr>
        <w:rPr>
          <w:lang w:val="en-IN"/>
        </w:rPr>
      </w:pPr>
      <w:r>
        <w:rPr>
          <w:lang w:val="en-IN"/>
        </w:rPr>
        <w:t>In situations where investment funds are limited, companies must prioritise projects to maximise returns. This process is known as capital rationing. In this case, Tesla has a maximum investment budget of £100 million, allowing it to undertake only two projects (each requiring £50 million).</w:t>
      </w:r>
      <w:r>
        <w:rPr>
          <w:lang w:val="en-IN"/>
        </w:rPr>
        <w:t xml:space="preserve"> </w:t>
      </w:r>
      <w:r>
        <w:rPr>
          <w:lang w:val="en-IN"/>
        </w:rPr>
        <w:t>Given this constraint, the optimal combination of projects must be selected to maximise total NPV. Since Project C has the highest NPV, it should be selected first. The remaining choice is between Project A and Project B.</w:t>
      </w:r>
    </w:p>
    <w:p w14:paraId="000000B6">
      <w:pPr>
        <w:rPr>
          <w:lang w:val="en-IN"/>
        </w:rPr>
      </w:pPr>
      <w:r>
        <w:rPr>
          <w:lang w:val="en-IN"/>
        </w:rPr>
        <w:t>Although both Projects A and B have negative NPVs, Project A has a smaller negative value (-£2.14 million) compared to Project B (-£8.30 million). Therefore, selecting Project A alongside Project C results in a combined NPV that is higher than any other combination.</w:t>
      </w:r>
      <w:r>
        <w:rPr>
          <w:lang w:val="en-IN"/>
        </w:rPr>
        <w:t xml:space="preserve"> </w:t>
      </w:r>
      <w:r>
        <w:rPr>
          <w:lang w:val="en-IN"/>
        </w:rPr>
        <w:t xml:space="preserve">Thus, the best investment decision under capital rationing is to undertake </w:t>
      </w:r>
      <w:r>
        <w:rPr>
          <w:b/>
          <w:bCs/>
          <w:lang w:val="en-IN"/>
        </w:rPr>
        <w:t>Project C and Project A</w:t>
      </w:r>
      <w:r>
        <w:rPr>
          <w:lang w:val="en-IN"/>
        </w:rPr>
        <w:t>. This combination maximises overall returns within the budget constraint, despite the limitations of available projects.</w:t>
      </w:r>
    </w:p>
    <w:p w14:paraId="000000B7">
      <w:pPr>
        <w:pStyle w:val="Heading2"/>
        <w:rPr>
          <w:lang w:val="en-IN"/>
        </w:rPr>
      </w:pPr>
      <w:bookmarkStart w:id="33" w:name="_Toc227907186"/>
      <w:r>
        <w:rPr>
          <w:lang w:val="en-IN"/>
        </w:rPr>
        <w:t>5.6 Risk Analysis</w:t>
      </w:r>
      <w:bookmarkEnd w:id="33"/>
    </w:p>
    <w:p w14:paraId="000000B8">
      <w:pPr>
        <w:rPr>
          <w:lang w:val="en-IN"/>
        </w:rPr>
      </w:pPr>
      <w:r>
        <w:rPr>
          <w:lang w:val="en-IN"/>
        </w:rPr>
        <w:t>While financial metrics provide valuable insights, it is essential to consider non-financial risks associated with investment decisions.</w:t>
      </w:r>
    </w:p>
    <w:p w14:paraId="000000B9">
      <w:pPr>
        <w:rPr>
          <w:b/>
          <w:bCs/>
          <w:lang w:val="en-IN"/>
        </w:rPr>
      </w:pPr>
      <w:r>
        <w:rPr>
          <w:b/>
          <w:bCs/>
          <w:lang w:val="en-IN"/>
        </w:rPr>
        <w:t>Market Risk</w:t>
      </w:r>
    </w:p>
    <w:p w14:paraId="000000BA">
      <w:pPr>
        <w:rPr>
          <w:lang w:val="en-IN"/>
        </w:rPr>
      </w:pPr>
      <w:r>
        <w:rPr>
          <w:lang w:val="en-IN"/>
        </w:rPr>
        <w:t>The electric vehicle market is highly competitive and subject to rapid technological changes</w:t>
      </w:r>
      <w:r>
        <w:rPr>
          <w:lang w:val="en-IN"/>
        </w:rPr>
        <w:t xml:space="preserve"> (</w:t>
      </w:r>
      <w:r>
        <w:t>Akinsooto</w:t>
      </w:r>
      <w:r>
        <w:t xml:space="preserve"> </w:t>
      </w:r>
      <w:r>
        <w:rPr>
          <w:i/>
          <w:iCs/>
        </w:rPr>
        <w:t>et al.,</w:t>
      </w:r>
      <w:r>
        <w:t xml:space="preserve"> 2025</w:t>
      </w:r>
      <w:r>
        <w:rPr>
          <w:lang w:val="en-IN"/>
        </w:rPr>
        <w:t>)</w:t>
      </w:r>
      <w:r>
        <w:rPr>
          <w:lang w:val="en-IN"/>
        </w:rPr>
        <w:t>. Demand fluctuations, changes in consumer preferences, and increased competition from traditional automakers can impact project returns.</w:t>
      </w:r>
    </w:p>
    <w:p w14:paraId="000000BB">
      <w:pPr>
        <w:rPr>
          <w:b/>
          <w:bCs/>
          <w:lang w:val="en-IN"/>
        </w:rPr>
      </w:pPr>
      <w:r>
        <w:rPr>
          <w:b/>
          <w:bCs/>
          <w:lang w:val="en-IN"/>
        </w:rPr>
        <w:t>Technological Risk</w:t>
      </w:r>
    </w:p>
    <w:p w14:paraId="000000BC">
      <w:pPr>
        <w:rPr>
          <w:lang w:val="en-IN"/>
        </w:rPr>
      </w:pPr>
      <w:r>
        <w:rPr>
          <w:lang w:val="en-IN"/>
        </w:rPr>
        <w:t>Tesla operates in a technology-driven industry where innovation is critical. Delays in technological advancements or failures in product development could affect project outcomes</w:t>
      </w:r>
      <w:r>
        <w:rPr>
          <w:lang w:val="en-IN"/>
        </w:rPr>
        <w:t xml:space="preserve"> (</w:t>
      </w:r>
      <w:r>
        <w:t>Ghorbani</w:t>
      </w:r>
      <w:r>
        <w:t xml:space="preserve"> </w:t>
      </w:r>
      <w:r>
        <w:t xml:space="preserve">and </w:t>
      </w:r>
      <w:r>
        <w:t>Khanachah</w:t>
      </w:r>
      <w:r>
        <w:t>, 2020</w:t>
      </w:r>
      <w:r>
        <w:rPr>
          <w:lang w:val="en-IN"/>
        </w:rPr>
        <w:t>)</w:t>
      </w:r>
      <w:r>
        <w:rPr>
          <w:lang w:val="en-IN"/>
        </w:rPr>
        <w:t>.</w:t>
      </w:r>
    </w:p>
    <w:p w14:paraId="000000BD">
      <w:pPr>
        <w:rPr>
          <w:b/>
          <w:bCs/>
          <w:lang w:val="en-IN"/>
        </w:rPr>
      </w:pPr>
      <w:r>
        <w:rPr>
          <w:b/>
          <w:bCs/>
          <w:lang w:val="en-IN"/>
        </w:rPr>
        <w:t>Operational Risk</w:t>
      </w:r>
    </w:p>
    <w:p w14:paraId="000000BE">
      <w:pPr>
        <w:rPr>
          <w:lang w:val="en-IN"/>
        </w:rPr>
      </w:pPr>
      <w:r>
        <w:rPr>
          <w:lang w:val="en-IN"/>
        </w:rPr>
        <w:t>Large-scale investments involve operational challenges, including supply chain disruptions, production delays, and cost overruns.</w:t>
      </w:r>
    </w:p>
    <w:p w14:paraId="000000BF">
      <w:pPr>
        <w:rPr>
          <w:b/>
          <w:bCs/>
          <w:lang w:val="en-IN"/>
        </w:rPr>
      </w:pPr>
      <w:r>
        <w:rPr>
          <w:b/>
          <w:bCs/>
          <w:lang w:val="en-IN"/>
        </w:rPr>
        <w:t>Regulatory Risk</w:t>
      </w:r>
    </w:p>
    <w:p w14:paraId="000000C0">
      <w:pPr>
        <w:rPr>
          <w:lang w:val="en-IN"/>
        </w:rPr>
      </w:pPr>
      <w:r>
        <w:rPr>
          <w:lang w:val="en-IN"/>
        </w:rPr>
        <w:t>Government policies, environmental regulations, and incentives play a significant role in the EV industry</w:t>
      </w:r>
      <w:r>
        <w:rPr>
          <w:lang w:val="en-IN"/>
        </w:rPr>
        <w:t xml:space="preserve"> (</w:t>
      </w:r>
      <w:r>
        <w:t>Ajeigbe</w:t>
      </w:r>
      <w:r>
        <w:t xml:space="preserve"> </w:t>
      </w:r>
      <w:r>
        <w:t>and Holt, 2025</w:t>
      </w:r>
      <w:r>
        <w:rPr>
          <w:lang w:val="en-IN"/>
        </w:rPr>
        <w:t>)</w:t>
      </w:r>
      <w:r>
        <w:rPr>
          <w:lang w:val="en-IN"/>
        </w:rPr>
        <w:t>. Changes in regulations could impact project feasibility.</w:t>
      </w:r>
    </w:p>
    <w:p w14:paraId="000000C1">
      <w:pPr>
        <w:rPr>
          <w:b/>
          <w:bCs/>
          <w:lang w:val="en-IN"/>
        </w:rPr>
      </w:pPr>
      <w:r>
        <w:rPr>
          <w:b/>
          <w:bCs/>
          <w:lang w:val="en-IN"/>
        </w:rPr>
        <w:t>Financial Risk</w:t>
      </w:r>
    </w:p>
    <w:p w14:paraId="000000C2">
      <w:pPr>
        <w:rPr>
          <w:lang w:val="en-IN"/>
        </w:rPr>
      </w:pPr>
      <w:r>
        <w:rPr>
          <w:lang w:val="en-IN"/>
        </w:rPr>
        <w:t>Although Tesla has a strong financial position, large investments may strain cash flows, particularly if expected returns are not realised.</w:t>
      </w:r>
    </w:p>
    <w:p w14:paraId="000000C3">
      <w:pPr>
        <w:rPr>
          <w:lang w:val="en-IN"/>
        </w:rPr>
      </w:pPr>
      <w:r>
        <w:rPr>
          <w:lang w:val="en-IN"/>
        </w:rPr>
        <w:t>It has been critically analysed that</w:t>
      </w:r>
      <w:r>
        <w:rPr>
          <w:lang w:val="en-IN"/>
        </w:rPr>
        <w:t xml:space="preserve"> the investment appraisal clearly identifies Project C as the most financially viable option, supported by positive NPV, </w:t>
      </w:r>
      <w:r>
        <w:rPr>
          <w:lang w:val="en-IN"/>
        </w:rPr>
        <w:t xml:space="preserve">the </w:t>
      </w:r>
      <w:r>
        <w:rPr>
          <w:lang w:val="en-IN"/>
        </w:rPr>
        <w:t>highest IRR, and strong profitability metrics. Under capital rationing constraints, the combination of Project C and Project A provides the best possible outcome. However, Tesla must also consider non-financial risks and ensure effective risk management strategies are in place to achieve successful project implementation.</w:t>
      </w:r>
    </w:p>
    <w:p w14:paraId="000000C4">
      <w:pPr>
        <w:pStyle w:val="Heading1"/>
        <w:rPr>
          <w:lang w:val="en-IN"/>
        </w:rPr>
      </w:pPr>
      <w:bookmarkStart w:id="34" w:name="_Toc227907187"/>
      <w:r>
        <w:rPr>
          <w:lang w:val="en-IN"/>
        </w:rPr>
        <w:t>6. Conclusion</w:t>
      </w:r>
      <w:bookmarkEnd w:id="34"/>
      <w:r>
        <w:rPr>
          <w:lang w:val="en-IN"/>
        </w:rPr>
        <w:t xml:space="preserve"> </w:t>
      </w:r>
    </w:p>
    <w:p w14:paraId="000000C5">
      <w:pPr>
        <w:rPr>
          <w:lang w:val="en-IN"/>
        </w:rPr>
      </w:pPr>
      <w:r>
        <w:rPr>
          <w:lang w:val="en-IN"/>
        </w:rPr>
        <w:t xml:space="preserve">This report has given a detailed analysis of the financial performance, operational efficiency, and the decision-making of Tesla in the year 20212025. The analysis points out that Tesla has had high revenue growth and profitability in previous years due to </w:t>
      </w:r>
      <w:r>
        <w:rPr>
          <w:lang w:val="en-IN"/>
        </w:rPr>
        <w:t xml:space="preserve">the </w:t>
      </w:r>
      <w:r>
        <w:rPr>
          <w:lang w:val="en-IN"/>
        </w:rPr>
        <w:t xml:space="preserve">rising demand </w:t>
      </w:r>
      <w:r>
        <w:rPr>
          <w:lang w:val="en-IN"/>
        </w:rPr>
        <w:t>for</w:t>
      </w:r>
      <w:r>
        <w:rPr>
          <w:lang w:val="en-IN"/>
        </w:rPr>
        <w:t xml:space="preserve"> electric vehicles and </w:t>
      </w:r>
      <w:r>
        <w:rPr>
          <w:lang w:val="en-IN"/>
        </w:rPr>
        <w:t>its</w:t>
      </w:r>
      <w:r>
        <w:rPr>
          <w:lang w:val="en-IN"/>
        </w:rPr>
        <w:t xml:space="preserve"> expansion</w:t>
      </w:r>
      <w:r>
        <w:rPr>
          <w:lang w:val="en-IN"/>
        </w:rPr>
        <w:t xml:space="preserve"> strategies</w:t>
      </w:r>
      <w:r>
        <w:rPr>
          <w:lang w:val="en-IN"/>
        </w:rPr>
        <w:t>. But recent trends show that the growth has slowed and the profit margins are decreasing mainly due to increasing cost of production, competitive pricing policies and rising operational cost</w:t>
      </w:r>
      <w:r>
        <w:rPr>
          <w:lang w:val="en-IN"/>
        </w:rPr>
        <w:t>s</w:t>
      </w:r>
      <w:r>
        <w:rPr>
          <w:lang w:val="en-IN"/>
        </w:rPr>
        <w:t>. These results highlight the importance of better cost management and financial planning.</w:t>
      </w:r>
    </w:p>
    <w:p w14:paraId="000000C6">
      <w:pPr>
        <w:rPr>
          <w:lang w:val="en-IN"/>
        </w:rPr>
      </w:pPr>
      <w:r>
        <w:rPr>
          <w:lang w:val="en-IN"/>
        </w:rPr>
        <w:t>The ratio analysis also indicates that Tesla has a stable liquidity position and low financial risk, as it has a conservative gearing structure, but it has efficiency issues, especially in its inventory management. The negative to positive change in the cash conversion cycle indicates the decrease in efficiency of working capital</w:t>
      </w:r>
      <w:r>
        <w:rPr>
          <w:lang w:val="en-IN"/>
        </w:rPr>
        <w:t>, which</w:t>
      </w:r>
      <w:r>
        <w:rPr>
          <w:lang w:val="en-IN"/>
        </w:rPr>
        <w:t xml:space="preserve"> makes the company more dependent on internal financing. Despite the fact that the management of receivables is good, there is variability in the number of days payable and the increasing inventory levels</w:t>
      </w:r>
      <w:r>
        <w:rPr>
          <w:lang w:val="en-IN"/>
        </w:rPr>
        <w:t>,</w:t>
      </w:r>
      <w:r>
        <w:rPr>
          <w:lang w:val="en-IN"/>
        </w:rPr>
        <w:t xml:space="preserve"> which indicate the need to improve </w:t>
      </w:r>
      <w:r>
        <w:rPr>
          <w:lang w:val="en-IN"/>
        </w:rPr>
        <w:t>i</w:t>
      </w:r>
      <w:r>
        <w:rPr>
          <w:lang w:val="en-IN"/>
        </w:rPr>
        <w:t>n some areas.</w:t>
      </w:r>
    </w:p>
    <w:p w14:paraId="000000C7">
      <w:pPr>
        <w:rPr>
          <w:lang w:val="en-IN"/>
        </w:rPr>
      </w:pPr>
      <w:r>
        <w:rPr>
          <w:lang w:val="en-IN"/>
        </w:rPr>
        <w:t>Strategic financial restructuring was also identified as crucial in the report to deal with these challenges. The profitability and long-term sustainability require cost optimisation, better working capital management and balanced capital structure. Also, it is important to incorporate international and ethical factors into the financial decision-making process to preserve the reputation of Tesla in the world and make it coherent with its sustainable goals.</w:t>
      </w:r>
    </w:p>
    <w:p w14:paraId="000000C8">
      <w:pPr>
        <w:rPr>
          <w:lang w:val="en-IN"/>
        </w:rPr>
      </w:pPr>
      <w:r>
        <w:rPr>
          <w:lang w:val="en-IN"/>
        </w:rPr>
        <w:t>The analysis of investment appraisal has shown clearly that Project C is the most financially feasible choice</w:t>
      </w:r>
      <w:r>
        <w:rPr>
          <w:lang w:val="en-IN"/>
        </w:rPr>
        <w:t>,</w:t>
      </w:r>
      <w:r>
        <w:rPr>
          <w:lang w:val="en-IN"/>
        </w:rPr>
        <w:t xml:space="preserve"> as evidenced by the positive NPV, </w:t>
      </w:r>
      <w:r>
        <w:rPr>
          <w:lang w:val="en-IN"/>
        </w:rPr>
        <w:t xml:space="preserve">the </w:t>
      </w:r>
      <w:r>
        <w:rPr>
          <w:lang w:val="en-IN"/>
        </w:rPr>
        <w:t>greatest IRR, and the most favourable payback period. The combination of Project C and Project A was found to be the best investment choice to maximise returns at the given budget constraint of capital rationing.</w:t>
      </w:r>
    </w:p>
    <w:p w14:paraId="000000C9">
      <w:pPr>
        <w:rPr>
          <w:lang w:val="en-IN"/>
        </w:rPr>
      </w:pPr>
      <w:r>
        <w:rPr>
          <w:lang w:val="en-IN"/>
        </w:rPr>
        <w:t>Tesla remains in a strong financial position but faces increasing pressures that require proactive financial and strategic interventions</w:t>
      </w:r>
      <w:r>
        <w:rPr>
          <w:lang w:val="en-IN"/>
        </w:rPr>
        <w:t>. With its emphasis on operational efficiency, cost management, and value-based investment decisions</w:t>
      </w:r>
      <w:r>
        <w:rPr>
          <w:lang w:val="en-IN"/>
        </w:rPr>
        <w:t>,</w:t>
      </w:r>
      <w:r>
        <w:rPr>
          <w:lang w:val="en-IN"/>
        </w:rPr>
        <w:t xml:space="preserve"> Tesla can maintain its competitive edge and grow long</w:t>
      </w:r>
      <w:r>
        <w:rPr>
          <w:lang w:val="en-IN"/>
        </w:rPr>
        <w:t>-</w:t>
      </w:r>
      <w:r>
        <w:rPr>
          <w:lang w:val="en-IN"/>
        </w:rPr>
        <w:t>term in the electric vehicle industry, which is dynamic and changing. This conclusion is in line with the important findings in the report.</w:t>
      </w:r>
    </w:p>
    <w:p w14:paraId="000000CA">
      <w:pPr>
        <w:rPr>
          <w:lang w:val="en-IN"/>
        </w:rPr>
      </w:pPr>
    </w:p>
    <w:p w14:paraId="000000CB">
      <w:pPr>
        <w:spacing w:before="0" w:beforeAutospacing="0" w:after="160" w:afterAutospacing="0" w:line="259" w:lineRule="auto"/>
        <w:jc w:val="left"/>
        <w:rPr>
          <w:lang w:val="en-IN"/>
        </w:rPr>
      </w:pPr>
      <w:r>
        <w:rPr>
          <w:lang w:val="en-IN"/>
        </w:rPr>
        <w:br w:type="page"/>
      </w:r>
    </w:p>
    <w:p w14:paraId="000000CC">
      <w:pPr>
        <w:pStyle w:val="Heading1"/>
        <w:rPr>
          <w:lang w:val="en-IN"/>
        </w:rPr>
      </w:pPr>
      <w:bookmarkStart w:id="35" w:name="_Toc227907188"/>
      <w:r>
        <w:rPr>
          <w:lang w:val="en-IN"/>
        </w:rPr>
        <w:t>7. References</w:t>
      </w:r>
      <w:bookmarkEnd w:id="35"/>
    </w:p>
    <w:p w14:paraId="000000CD">
      <w:r>
        <w:t>Ajeigbe</w:t>
      </w:r>
      <w:r>
        <w:t>, K. and Holt, W., 2025. Government Policies and Incentives for EV Manufacturing.</w:t>
      </w:r>
    </w:p>
    <w:p w14:paraId="000000CE">
      <w:r>
        <w:t xml:space="preserve">Akbar, A., Jiang, X. and Akbar, M., 2022. Do working capital management practices influence investment and financing patterns of </w:t>
      </w:r>
      <w:r>
        <w:t>firms?.</w:t>
      </w:r>
      <w:r>
        <w:t> </w:t>
      </w:r>
      <w:r>
        <w:rPr>
          <w:i/>
          <w:iCs/>
        </w:rPr>
        <w:t>Journal of Economic and Administrative Sciences</w:t>
      </w:r>
      <w:r>
        <w:t>, </w:t>
      </w:r>
      <w:r>
        <w:rPr>
          <w:i/>
          <w:iCs/>
        </w:rPr>
        <w:t>38</w:t>
      </w:r>
      <w:r>
        <w:t>(1), pp.91-109.</w:t>
      </w:r>
    </w:p>
    <w:p w14:paraId="000000CF">
      <w:r>
        <w:t>Akinsooto</w:t>
      </w:r>
      <w:r>
        <w:t xml:space="preserve">, O., </w:t>
      </w:r>
      <w:r>
        <w:t>Ogunnowo</w:t>
      </w:r>
      <w:r>
        <w:t xml:space="preserve">, E.O. and </w:t>
      </w:r>
      <w:r>
        <w:t>Ezeanochie</w:t>
      </w:r>
      <w:r>
        <w:t>, C.C., 2025. The future of electric vehicles: Technological innovations and market trends. </w:t>
      </w:r>
      <w:r>
        <w:rPr>
          <w:i/>
          <w:iCs/>
        </w:rPr>
        <w:t>Engineering and Technology Journal</w:t>
      </w:r>
      <w:r>
        <w:t>, </w:t>
      </w:r>
      <w:r>
        <w:rPr>
          <w:i/>
          <w:iCs/>
        </w:rPr>
        <w:t>10</w:t>
      </w:r>
      <w:r>
        <w:t>(4), pp.4392-4405.</w:t>
      </w:r>
    </w:p>
    <w:p w14:paraId="000000D0">
      <w:r>
        <w:t xml:space="preserve">Brem, A. and Nylund, P.A., 2023. </w:t>
      </w:r>
      <w:r>
        <w:t>Incumbents</w:t>
      </w:r>
      <w:r>
        <w:t xml:space="preserve"> inertia in the automotive industry: technological, market, and societal drivers of electric vehicle standardization. </w:t>
      </w:r>
      <w:r>
        <w:rPr>
          <w:i/>
          <w:iCs/>
        </w:rPr>
        <w:t>IEEE Transactions on Engineering Management</w:t>
      </w:r>
      <w:r>
        <w:t>, </w:t>
      </w:r>
      <w:r>
        <w:rPr>
          <w:i/>
          <w:iCs/>
        </w:rPr>
        <w:t>71</w:t>
      </w:r>
      <w:r>
        <w:t>, pp.1683-1689.</w:t>
      </w:r>
    </w:p>
    <w:p w14:paraId="000000D1">
      <w:r>
        <w:t xml:space="preserve">Daming, S. and </w:t>
      </w:r>
      <w:r>
        <w:t>Widyawati</w:t>
      </w:r>
      <w:r>
        <w:t>, W., 2024. A Qualitative Investigation into Financial Strategy, Performance, Investment Decision-Making. </w:t>
      </w:r>
      <w:r>
        <w:rPr>
          <w:i/>
          <w:iCs/>
        </w:rPr>
        <w:t>Economics and Digital Business Review</w:t>
      </w:r>
      <w:r>
        <w:t>, </w:t>
      </w:r>
      <w:r>
        <w:rPr>
          <w:i/>
          <w:iCs/>
        </w:rPr>
        <w:t>5</w:t>
      </w:r>
      <w:r>
        <w:t>(2), pp.885-882.</w:t>
      </w:r>
    </w:p>
    <w:p w14:paraId="000000D2">
      <w:r>
        <w:t>Ding, R., 2025, July. Value Investing in the EV Industry: A Case Study of Tesla. In </w:t>
      </w:r>
      <w:r>
        <w:rPr>
          <w:i/>
          <w:iCs/>
        </w:rPr>
        <w:t>2025 International Conference on Financial Risk and Investment Management (ICFRIM 2025)</w:t>
      </w:r>
      <w:r>
        <w:t> (pp. 929-937). Atlantis Press.</w:t>
      </w:r>
    </w:p>
    <w:p w14:paraId="000000D3">
      <w:r>
        <w:t>Ermawati</w:t>
      </w:r>
      <w:r>
        <w:t>, Y., 2024. The Role of Corporate Finance in Maximizing Shareholder Wealth and Driving Sustainable Growth. </w:t>
      </w:r>
      <w:r>
        <w:rPr>
          <w:i/>
          <w:iCs/>
        </w:rPr>
        <w:t>Advances in Management &amp; Financial Reporting</w:t>
      </w:r>
      <w:r>
        <w:t>, </w:t>
      </w:r>
      <w:r>
        <w:rPr>
          <w:i/>
          <w:iCs/>
        </w:rPr>
        <w:t>2</w:t>
      </w:r>
      <w:r>
        <w:t>(3), pp.173-185.</w:t>
      </w:r>
    </w:p>
    <w:p w14:paraId="000000D4">
      <w:r>
        <w:t xml:space="preserve">Ghorbani, S. and </w:t>
      </w:r>
      <w:r>
        <w:t>Khanachah</w:t>
      </w:r>
      <w:r>
        <w:t>, S.N., 2020. Investigating the reasons for failures and delays in R&amp;D projects with the project management approach. </w:t>
      </w:r>
      <w:r>
        <w:rPr>
          <w:i/>
          <w:iCs/>
        </w:rPr>
        <w:t>Annals of management and organization research</w:t>
      </w:r>
      <w:r>
        <w:t>, </w:t>
      </w:r>
      <w:r>
        <w:rPr>
          <w:i/>
          <w:iCs/>
        </w:rPr>
        <w:t>1</w:t>
      </w:r>
      <w:r>
        <w:t>(4), pp.319-334.</w:t>
      </w:r>
    </w:p>
    <w:p w14:paraId="000000D5">
      <w:r>
        <w:t>Gregova</w:t>
      </w:r>
      <w:r>
        <w:t xml:space="preserve">, E., </w:t>
      </w:r>
      <w:r>
        <w:t>Smrcka</w:t>
      </w:r>
      <w:r>
        <w:t xml:space="preserve">, L., </w:t>
      </w:r>
      <w:r>
        <w:t>Michalkova</w:t>
      </w:r>
      <w:r>
        <w:t xml:space="preserve">, L. and </w:t>
      </w:r>
      <w:r>
        <w:t>Svabova</w:t>
      </w:r>
      <w:r>
        <w:t>, L., 2021. Impact of tax benefits and earnings management on capital structures across V4 countries. </w:t>
      </w:r>
      <w:r>
        <w:rPr>
          <w:i/>
          <w:iCs/>
        </w:rPr>
        <w:t xml:space="preserve">Acta </w:t>
      </w:r>
      <w:r>
        <w:rPr>
          <w:i/>
          <w:iCs/>
        </w:rPr>
        <w:t>Polytechnica</w:t>
      </w:r>
      <w:r>
        <w:rPr>
          <w:i/>
          <w:iCs/>
        </w:rPr>
        <w:t xml:space="preserve"> </w:t>
      </w:r>
      <w:r>
        <w:rPr>
          <w:i/>
          <w:iCs/>
        </w:rPr>
        <w:t>Hungarica</w:t>
      </w:r>
      <w:r>
        <w:t>, </w:t>
      </w:r>
      <w:r>
        <w:rPr>
          <w:i/>
          <w:iCs/>
        </w:rPr>
        <w:t>18</w:t>
      </w:r>
      <w:r>
        <w:t>(3), pp.221-244.</w:t>
      </w:r>
      <w:r>
        <w:t>’</w:t>
      </w:r>
    </w:p>
    <w:p w14:paraId="000000D6">
      <w:r>
        <w:t>Jain, A., Ripa, D. and Torres, L., 2024. Have companies arisen to the challenge of promoting sustainable work? The role of responsible business practices in the context of evolving employment and working conditions. </w:t>
      </w:r>
      <w:r>
        <w:rPr>
          <w:i/>
          <w:iCs/>
        </w:rPr>
        <w:t>Safety Science</w:t>
      </w:r>
      <w:r>
        <w:t>, </w:t>
      </w:r>
      <w:r>
        <w:rPr>
          <w:i/>
          <w:iCs/>
        </w:rPr>
        <w:t>170</w:t>
      </w:r>
      <w:r>
        <w:t>, p.106364.</w:t>
      </w:r>
    </w:p>
    <w:p w14:paraId="000000D7">
      <w:r>
        <w:t>Kotte, K.R., 2025. Lean Manufacturing and Financial Performance a Study on Cost Reduction Strategies. </w:t>
      </w:r>
      <w:r>
        <w:rPr>
          <w:i/>
          <w:iCs/>
        </w:rPr>
        <w:t>International Journal of Emerging Research in Engineering and Technology</w:t>
      </w:r>
      <w:r>
        <w:t>, pp.41-49.</w:t>
      </w:r>
    </w:p>
    <w:p w14:paraId="000000D8">
      <w:r>
        <w:t>Łabucki</w:t>
      </w:r>
      <w:r>
        <w:t xml:space="preserve">, I., Kowalski, O. and </w:t>
      </w:r>
      <w:r>
        <w:t>Runiewicz</w:t>
      </w:r>
      <w:r>
        <w:t>-Wardyn, M., 2026. </w:t>
      </w:r>
      <w:r>
        <w:rPr>
          <w:i/>
          <w:iCs/>
        </w:rPr>
        <w:t>The role of technological transformation in enhancing efficiency and productivity in the automotive industry: Case studies of Toyota, Tesla, and Volkswagen</w:t>
      </w:r>
      <w:r>
        <w:t> (No. 155). TIGER Working Paper Series.</w:t>
      </w:r>
    </w:p>
    <w:p w14:paraId="000000D9">
      <w:r>
        <w:t>Lateefat, T. and Bankole, F.A., 2021. Capital allocation strategies in asset management firms to maximize efficiency and support growth objectives. </w:t>
      </w:r>
      <w:r>
        <w:rPr>
          <w:i/>
          <w:iCs/>
        </w:rPr>
        <w:t>International Journal of Multidisciplinary Research and Growth Evaluation</w:t>
      </w:r>
      <w:r>
        <w:t>, </w:t>
      </w:r>
      <w:r>
        <w:rPr>
          <w:i/>
          <w:iCs/>
        </w:rPr>
        <w:t>2</w:t>
      </w:r>
      <w:r>
        <w:t>(2), pp.478-495.</w:t>
      </w:r>
    </w:p>
    <w:p w14:paraId="000000DA">
      <w:r>
        <w:t>Li, Y., 2025, November. Analysis of Company’s Financial Situation: Taking Tesla Company as an Example. In </w:t>
      </w:r>
      <w:r>
        <w:rPr>
          <w:i/>
          <w:iCs/>
        </w:rPr>
        <w:t>2025 International Conference on Financial Innovation and Marketing Management (FIMM 2025)</w:t>
      </w:r>
      <w:r>
        <w:t> (pp. 845-852). Atlantis Press.</w:t>
      </w:r>
    </w:p>
    <w:p w14:paraId="000000DB">
      <w:r>
        <w:t xml:space="preserve">Olajide, J.O., </w:t>
      </w:r>
      <w:r>
        <w:t>Otokiti</w:t>
      </w:r>
      <w:r>
        <w:t xml:space="preserve">, B.O., Nwani, S., </w:t>
      </w:r>
      <w:r>
        <w:t>Ogunmokun</w:t>
      </w:r>
      <w:r>
        <w:t xml:space="preserve">, A.S., Adekunle, B.I. and </w:t>
      </w:r>
      <w:r>
        <w:t>Fiemotongha</w:t>
      </w:r>
      <w:r>
        <w:t>, J.E., 2023. Building a working capital optimization model for vendor and distributor relationship management. </w:t>
      </w:r>
      <w:r>
        <w:rPr>
          <w:i/>
          <w:iCs/>
        </w:rPr>
        <w:t>International Journal of Scientific Research in Civil Engineering</w:t>
      </w:r>
      <w:r>
        <w:t>, </w:t>
      </w:r>
      <w:r>
        <w:rPr>
          <w:i/>
          <w:iCs/>
        </w:rPr>
        <w:t>7</w:t>
      </w:r>
      <w:r>
        <w:t>(6), pp.55-66.</w:t>
      </w:r>
    </w:p>
    <w:p w14:paraId="000000DC">
      <w:pPr>
        <w:rPr>
          <w:lang w:val="en-IN"/>
        </w:rPr>
      </w:pPr>
      <w:r>
        <w:t>Pal, S., 2023. Advancements in AI-enhanced just-in-time inventory: Elevating demand forecasting accuracy. </w:t>
      </w:r>
      <w:r>
        <w:rPr>
          <w:i/>
          <w:iCs/>
        </w:rPr>
        <w:t>International journal for research in applied science and engineering technology</w:t>
      </w:r>
      <w:r>
        <w:t>, </w:t>
      </w:r>
      <w:r>
        <w:rPr>
          <w:i/>
          <w:iCs/>
        </w:rPr>
        <w:t>11</w:t>
      </w:r>
      <w:r>
        <w:t>(11), pp.282-289.</w:t>
      </w:r>
    </w:p>
    <w:p w14:paraId="000000DD">
      <w:r>
        <w:t>Purwanto, H., 2025. Analysis of the Effect of Global Inflation on Investment Decision Making by Domestic Investors in Indonesia. </w:t>
      </w:r>
      <w:r>
        <w:rPr>
          <w:i/>
          <w:iCs/>
        </w:rPr>
        <w:t>International Journal for Science Review</w:t>
      </w:r>
      <w:r>
        <w:t>, </w:t>
      </w:r>
      <w:r>
        <w:rPr>
          <w:i/>
          <w:iCs/>
        </w:rPr>
        <w:t>2</w:t>
      </w:r>
      <w:r>
        <w:t>(5), pp.275-283.</w:t>
      </w:r>
    </w:p>
    <w:p w14:paraId="000000DE">
      <w:r>
        <w:t>Shou, T., 2022, July. A literature review on the net present value (NPV) valuation method. In </w:t>
      </w:r>
      <w:r>
        <w:rPr>
          <w:i/>
          <w:iCs/>
        </w:rPr>
        <w:t>2022 2nd International Conference on Enterprise Management and Economic Development (ICEMED 2022)</w:t>
      </w:r>
      <w:r>
        <w:t> (pp. 826-830). Atlantis Press.</w:t>
      </w:r>
    </w:p>
    <w:p w14:paraId="000000DF">
      <w:r>
        <w:t>Sokolov, M.V., 2026. Defining the payback period for nonconventional cash flows: An axiomatic approach. </w:t>
      </w:r>
      <w:r>
        <w:rPr>
          <w:i/>
          <w:iCs/>
        </w:rPr>
        <w:t>The Engineering Economist</w:t>
      </w:r>
      <w:r>
        <w:t>, pp.1-15.</w:t>
      </w:r>
    </w:p>
    <w:p w14:paraId="000000E0">
      <w:pPr>
        <w:rPr>
          <w:lang w:val="en-IN"/>
        </w:rPr>
      </w:pPr>
      <w:r>
        <w:t xml:space="preserve">Stavropoulos, A.S. and </w:t>
      </w:r>
      <w:r>
        <w:t>Zounta</w:t>
      </w:r>
      <w:r>
        <w:t>, S., 2025. Cash conversion cycle and profitability: Evidence from Greek service firms. </w:t>
      </w:r>
      <w:r>
        <w:rPr>
          <w:i/>
          <w:iCs/>
        </w:rPr>
        <w:t>Journal of Risk and Financial Management</w:t>
      </w:r>
      <w:r>
        <w:t>, </w:t>
      </w:r>
      <w:r>
        <w:rPr>
          <w:i/>
          <w:iCs/>
        </w:rPr>
        <w:t>18</w:t>
      </w:r>
      <w:r>
        <w:t>(4), p.208.</w:t>
      </w:r>
    </w:p>
    <w:p w14:paraId="000000E1">
      <w:r>
        <w:t>Survilė</w:t>
      </w:r>
      <w:r>
        <w:t>, E., 2025. </w:t>
      </w:r>
      <w:r>
        <w:rPr>
          <w:i/>
          <w:iCs/>
        </w:rPr>
        <w:t>The impact of business cycle fluctuations and working capital strategies on profitability: retail and manufacturing sectors' case</w:t>
      </w:r>
      <w:r>
        <w:t xml:space="preserve"> (Doctoral dissertation, Vilniaus </w:t>
      </w:r>
      <w:r>
        <w:t>universitetas</w:t>
      </w:r>
      <w:r>
        <w:t>.).</w:t>
      </w:r>
    </w:p>
    <w:p w14:paraId="000000E2">
      <w:pPr>
        <w:rPr>
          <w:lang w:val="en-IN"/>
        </w:rPr>
      </w:pPr>
      <w:r>
        <w:rPr>
          <w:lang w:val="en-IN"/>
        </w:rPr>
        <w:t>Tesla, 202</w:t>
      </w:r>
      <w:r>
        <w:rPr>
          <w:lang w:val="en-IN"/>
        </w:rPr>
        <w:t>1</w:t>
      </w:r>
      <w:r>
        <w:rPr>
          <w:lang w:val="en-IN"/>
        </w:rPr>
        <w:t xml:space="preserve">. Annual Report. [online] available at </w:t>
      </w:r>
      <w:r>
        <w:rPr>
          <w:rStyle w:val="Hyperlink"/>
          <w:lang w:val="en-IN"/>
        </w:rPr>
        <w:fldChar w:fldCharType="begin"/>
      </w:r>
      <w:r>
        <w:rPr>
          <w:rStyle w:val="Hyperlink"/>
          <w:lang w:val="en-IN"/>
        </w:rPr>
        <w:instrText xml:space="preserve">HYPERLINK "https://ir.tesla.com/" </w:instrText>
      </w:r>
      <w:r>
        <w:rPr>
          <w:rStyle w:val="Hyperlink"/>
          <w:lang w:val="en-IN"/>
        </w:rPr>
        <w:fldChar w:fldCharType="separate"/>
      </w:r>
      <w:r>
        <w:rPr>
          <w:rStyle w:val="Hyperlink"/>
          <w:lang w:val="en-IN"/>
        </w:rPr>
        <w:t>https://ir.tesla.com/</w:t>
      </w:r>
      <w:r>
        <w:rPr>
          <w:lang w:val="en-IN"/>
        </w:rPr>
        <w:fldChar w:fldCharType="end"/>
      </w:r>
    </w:p>
    <w:p w14:paraId="000000E3">
      <w:pPr>
        <w:rPr>
          <w:lang w:val="en-IN"/>
        </w:rPr>
      </w:pPr>
      <w:r>
        <w:rPr>
          <w:lang w:val="en-IN"/>
        </w:rPr>
        <w:t>Tesla, 202</w:t>
      </w:r>
      <w:r>
        <w:rPr>
          <w:lang w:val="en-IN"/>
        </w:rPr>
        <w:t>2</w:t>
      </w:r>
      <w:r>
        <w:rPr>
          <w:lang w:val="en-IN"/>
        </w:rPr>
        <w:t xml:space="preserve">. Annual Report. [online] available at </w:t>
      </w:r>
      <w:r>
        <w:rPr>
          <w:rStyle w:val="Hyperlink"/>
          <w:lang w:val="en-IN"/>
        </w:rPr>
        <w:fldChar w:fldCharType="begin"/>
      </w:r>
      <w:r>
        <w:rPr>
          <w:rStyle w:val="Hyperlink"/>
          <w:lang w:val="en-IN"/>
        </w:rPr>
        <w:instrText xml:space="preserve">HYPERLINK "https://ir.tesla.com/_flysystem/s3/sec/000095017023001409/tsla-20221231-gen.pdf" </w:instrText>
      </w:r>
      <w:r>
        <w:rPr>
          <w:rStyle w:val="Hyperlink"/>
          <w:lang w:val="en-IN"/>
        </w:rPr>
        <w:fldChar w:fldCharType="separate"/>
      </w:r>
      <w:r>
        <w:rPr>
          <w:rStyle w:val="Hyperlink"/>
          <w:lang w:val="en-IN"/>
        </w:rPr>
        <w:t>https://ir.tesla.com/_flysystem/s3/sec/000095017023001409/tsla-20221231-gen.pdf</w:t>
      </w:r>
      <w:r>
        <w:rPr>
          <w:lang w:val="en-IN"/>
        </w:rPr>
        <w:fldChar w:fldCharType="end"/>
      </w:r>
    </w:p>
    <w:p w14:paraId="000000E4">
      <w:pPr>
        <w:rPr>
          <w:lang w:val="en-IN"/>
        </w:rPr>
      </w:pPr>
      <w:r>
        <w:rPr>
          <w:lang w:val="en-IN"/>
        </w:rPr>
        <w:t>Tesla, 202</w:t>
      </w:r>
      <w:r>
        <w:rPr>
          <w:lang w:val="en-IN"/>
        </w:rPr>
        <w:t>3</w:t>
      </w:r>
      <w:r>
        <w:rPr>
          <w:lang w:val="en-IN"/>
        </w:rPr>
        <w:t xml:space="preserve">. Annual Report. [online] available at </w:t>
      </w:r>
      <w:r>
        <w:rPr>
          <w:rStyle w:val="Hyperlink"/>
          <w:lang w:val="en-IN"/>
        </w:rPr>
        <w:fldChar w:fldCharType="begin"/>
      </w:r>
      <w:r>
        <w:rPr>
          <w:rStyle w:val="Hyperlink"/>
          <w:lang w:val="en-IN"/>
        </w:rPr>
        <w:instrText xml:space="preserve">HYPERLINK "https://ir.tesla.com/_flysystem/s3/sec/000162828024002390/tsla-20231231-gen.pdf" </w:instrText>
      </w:r>
      <w:r>
        <w:rPr>
          <w:rStyle w:val="Hyperlink"/>
          <w:lang w:val="en-IN"/>
        </w:rPr>
        <w:fldChar w:fldCharType="separate"/>
      </w:r>
      <w:r>
        <w:rPr>
          <w:rStyle w:val="Hyperlink"/>
          <w:lang w:val="en-IN"/>
        </w:rPr>
        <w:t>https://ir.tesla.com/_flysystem/s3/sec/000162828024002390/tsla-20231231-gen.pdf</w:t>
      </w:r>
      <w:r>
        <w:rPr>
          <w:lang w:val="en-IN"/>
        </w:rPr>
        <w:fldChar w:fldCharType="end"/>
      </w:r>
    </w:p>
    <w:p w14:paraId="000000E5">
      <w:pPr>
        <w:rPr>
          <w:lang w:val="en-IN"/>
        </w:rPr>
      </w:pPr>
      <w:r>
        <w:rPr>
          <w:lang w:val="en-IN"/>
        </w:rPr>
        <w:t>Tesla, 202</w:t>
      </w:r>
      <w:r>
        <w:rPr>
          <w:lang w:val="en-IN"/>
        </w:rPr>
        <w:t>4</w:t>
      </w:r>
      <w:r>
        <w:rPr>
          <w:lang w:val="en-IN"/>
        </w:rPr>
        <w:t xml:space="preserve">. Annual </w:t>
      </w:r>
      <w:r>
        <w:rPr>
          <w:lang w:val="en-IN"/>
        </w:rPr>
        <w:t>Financial Statements</w:t>
      </w:r>
      <w:r>
        <w:rPr>
          <w:lang w:val="en-IN"/>
        </w:rPr>
        <w:t xml:space="preserve">. [online] available at </w:t>
      </w:r>
      <w:r>
        <w:rPr>
          <w:rStyle w:val="Hyperlink"/>
          <w:lang w:val="en-IN"/>
        </w:rPr>
        <w:fldChar w:fldCharType="begin"/>
      </w:r>
      <w:r>
        <w:rPr>
          <w:rStyle w:val="Hyperlink"/>
          <w:lang w:val="en-IN"/>
        </w:rPr>
        <w:instrText xml:space="preserve">HYPERLINK "https://ir.tesla.com/_flysystem/s3/sec/000162828025003063/tsla-20241231-gen.pdf" </w:instrText>
      </w:r>
      <w:r>
        <w:rPr>
          <w:rStyle w:val="Hyperlink"/>
          <w:lang w:val="en-IN"/>
        </w:rPr>
        <w:fldChar w:fldCharType="separate"/>
      </w:r>
      <w:r>
        <w:rPr>
          <w:rStyle w:val="Hyperlink"/>
          <w:lang w:val="en-IN"/>
        </w:rPr>
        <w:t>https://ir.tesla.com/_flysystem/s3/sec/000162828025003063/tsla-20241231-gen.pdf</w:t>
      </w:r>
      <w:r>
        <w:rPr>
          <w:lang w:val="en-IN"/>
        </w:rPr>
        <w:fldChar w:fldCharType="end"/>
      </w:r>
    </w:p>
    <w:p w14:paraId="000000E6">
      <w:pPr>
        <w:rPr>
          <w:lang w:val="en-IN"/>
        </w:rPr>
      </w:pPr>
      <w:r>
        <w:rPr>
          <w:lang w:val="en-IN"/>
        </w:rPr>
        <w:t>Tesla, 202</w:t>
      </w:r>
      <w:r>
        <w:rPr>
          <w:lang w:val="en-IN"/>
        </w:rPr>
        <w:t>5</w:t>
      </w:r>
      <w:r>
        <w:rPr>
          <w:lang w:val="en-IN"/>
        </w:rPr>
        <w:t xml:space="preserve">. </w:t>
      </w:r>
      <w:r>
        <w:rPr>
          <w:lang w:val="en-IN"/>
        </w:rPr>
        <w:t>Annual Report</w:t>
      </w:r>
      <w:r>
        <w:rPr>
          <w:lang w:val="en-IN"/>
        </w:rPr>
        <w:t xml:space="preserve">. [online] available at </w:t>
      </w:r>
      <w:r>
        <w:rPr>
          <w:rStyle w:val="Hyperlink"/>
          <w:lang w:val="en-IN"/>
        </w:rPr>
        <w:fldChar w:fldCharType="begin"/>
      </w:r>
      <w:r>
        <w:rPr>
          <w:rStyle w:val="Hyperlink"/>
          <w:lang w:val="en-IN"/>
        </w:rPr>
        <w:instrText xml:space="preserve">HYPERLINK "https://ir.tesla.com/_flysystem/s3/sec/000162828026003952/tsla-20251231-gen.pdf" </w:instrText>
      </w:r>
      <w:r>
        <w:rPr>
          <w:rStyle w:val="Hyperlink"/>
          <w:lang w:val="en-IN"/>
        </w:rPr>
        <w:fldChar w:fldCharType="separate"/>
      </w:r>
      <w:r>
        <w:rPr>
          <w:rStyle w:val="Hyperlink"/>
          <w:lang w:val="en-IN"/>
        </w:rPr>
        <w:t>https://ir.tesla.com/_flysystem/s3/sec/000162828026003952/tsla-20251231-gen.pdf</w:t>
      </w:r>
      <w:r>
        <w:rPr>
          <w:lang w:val="en-IN"/>
        </w:rPr>
        <w:fldChar w:fldCharType="end"/>
      </w:r>
    </w:p>
    <w:p w14:paraId="000000E7">
      <w:pPr>
        <w:rPr>
          <w:lang w:val="en-IN"/>
        </w:rPr>
      </w:pPr>
      <w:r>
        <w:rPr>
          <w:lang w:val="en-IN"/>
        </w:rPr>
        <w:t xml:space="preserve">Tesla, 2026. About us. [online] available at </w:t>
      </w:r>
      <w:r>
        <w:rPr>
          <w:rStyle w:val="Hyperlink"/>
          <w:lang w:val="en-IN"/>
        </w:rPr>
        <w:fldChar w:fldCharType="begin"/>
      </w:r>
      <w:r>
        <w:rPr>
          <w:rStyle w:val="Hyperlink"/>
          <w:lang w:val="en-IN"/>
        </w:rPr>
        <w:instrText xml:space="preserve">HYPERLINK "https://www.tesla.com/about" </w:instrText>
      </w:r>
      <w:r>
        <w:rPr>
          <w:rStyle w:val="Hyperlink"/>
          <w:lang w:val="en-IN"/>
        </w:rPr>
        <w:fldChar w:fldCharType="separate"/>
      </w:r>
      <w:r>
        <w:rPr>
          <w:rStyle w:val="Hyperlink"/>
          <w:lang w:val="en-IN"/>
        </w:rPr>
        <w:t>https://www.tesla.com/about</w:t>
      </w:r>
      <w:r>
        <w:rPr>
          <w:lang w:val="en-IN"/>
        </w:rPr>
        <w:fldChar w:fldCharType="end"/>
      </w:r>
    </w:p>
    <w:p w14:paraId="000000E8">
      <w:pPr>
        <w:rPr>
          <w:lang w:val="en-IN"/>
        </w:rPr>
      </w:pPr>
      <w:r>
        <w:t xml:space="preserve">Tong, J., DeCroix, G. and Song, J.S., 2020. Modeling payment timing in </w:t>
      </w:r>
      <w:r>
        <w:t>multiechelon</w:t>
      </w:r>
      <w:r>
        <w:t xml:space="preserve"> inventory systems with applications to supply chain coordination. </w:t>
      </w:r>
      <w:r>
        <w:rPr>
          <w:i/>
          <w:iCs/>
        </w:rPr>
        <w:t>Manufacturing &amp; Service Operations Management</w:t>
      </w:r>
      <w:r>
        <w:t>, </w:t>
      </w:r>
      <w:r>
        <w:rPr>
          <w:i/>
          <w:iCs/>
        </w:rPr>
        <w:t>22</w:t>
      </w:r>
      <w:r>
        <w:t>(2), pp.346-363.</w:t>
      </w:r>
    </w:p>
    <w:p w14:paraId="000000E9">
      <w:r>
        <w:t>Wangchuk, P., 2022. Application of depreciation net present value and internal rate of return in engineering projects a brief literature review. </w:t>
      </w:r>
      <w:r>
        <w:rPr>
          <w:i/>
          <w:iCs/>
        </w:rPr>
        <w:t>Journal of Applied Engineering, Technology and Management</w:t>
      </w:r>
      <w:r>
        <w:t>, </w:t>
      </w:r>
      <w:r>
        <w:rPr>
          <w:i/>
          <w:iCs/>
        </w:rPr>
        <w:t>2</w:t>
      </w:r>
      <w:r>
        <w:t>(1), pp.25-30.</w:t>
      </w:r>
    </w:p>
    <w:p w14:paraId="000000EA">
      <w:pPr>
        <w:rPr>
          <w:lang w:val="en-IN"/>
        </w:rPr>
      </w:pPr>
      <w:r>
        <w:t>Zhu, C., 2025. Data-Driven Future: How Tesla's Management Information System Enables Strategic Transformation. </w:t>
      </w:r>
      <w:r>
        <w:rPr>
          <w:i/>
          <w:iCs/>
        </w:rPr>
        <w:t>Academic Journal of Business &amp; Management</w:t>
      </w:r>
      <w:r>
        <w:t>, </w:t>
      </w:r>
      <w:r>
        <w:rPr>
          <w:i/>
          <w:iCs/>
        </w:rPr>
        <w:t>7</w:t>
      </w:r>
      <w:r>
        <w:t>(2), pp.160-168.</w:t>
      </w:r>
    </w:p>
    <w:p w14:paraId="000000EB"/>
    <w:p w14:paraId="000000EC">
      <w:r>
        <w:rPr>
          <w:lang w:val="en-IN"/>
        </w:rPr>
        <w:br w:type="page"/>
      </w:r>
    </w:p>
    <w:p w14:paraId="000000ED">
      <w:pPr>
        <w:pStyle w:val="Heading1"/>
        <w:rPr>
          <w:rFonts w:cs="Arial"/>
          <w:szCs w:val="24"/>
          <w:lang w:val="en-IN"/>
        </w:rPr>
      </w:pPr>
      <w:bookmarkStart w:id="36" w:name="_Toc227907189"/>
      <w:r>
        <w:rPr>
          <w:lang w:val="en-IN"/>
        </w:rPr>
        <w:t>8. Appendix</w:t>
      </w:r>
      <w:bookmarkEnd w:id="36"/>
    </w:p>
    <w:p w14:paraId="000000EE">
      <w:pPr>
        <w:pStyle w:val="Heading2"/>
        <w:rPr>
          <w:rFonts w:cs="Arial"/>
          <w:szCs w:val="24"/>
          <w:lang w:val="en-IN"/>
        </w:rPr>
      </w:pPr>
      <w:bookmarkStart w:id="37" w:name="_Toc227907190"/>
      <w:r>
        <w:rPr>
          <w:rFonts w:cs="Arial"/>
          <w:szCs w:val="24"/>
          <w:lang w:val="en-IN"/>
        </w:rPr>
        <w:t>8.1 Financial Data</w:t>
      </w:r>
      <w:bookmarkEnd w:id="37"/>
      <w:r>
        <w:rPr>
          <w:rFonts w:cs="Arial"/>
          <w:szCs w:val="24"/>
          <w:lang w:val="en-IN"/>
        </w:rPr>
        <w:t xml:space="preserve"> </w:t>
      </w:r>
    </w:p>
    <w:tbl>
      <w:tblPr>
        <w:tblStyle w:val="ListTable3Accent4"/>
        <w:tblW w:w="8397" w:type="dxa"/>
        <w:tblLook w:val="04A0"/>
      </w:tblPr>
      <w:tblGrid>
        <w:gridCol w:w="3642"/>
        <w:gridCol w:w="951"/>
        <w:gridCol w:w="951"/>
        <w:gridCol w:w="951"/>
        <w:gridCol w:w="951"/>
        <w:gridCol w:w="951"/>
      </w:tblGrid>
      <w:tr>
        <w:trPr>
          <w:cnfStyle w:val="100000000000"/>
          <w:trHeight w:val="276"/>
        </w:trPr>
        <w:tc>
          <w:tcPr>
            <w:cnfStyle w:val="101000000000"/>
            <w:tcW w:w="3823" w:type="dxa"/>
          </w:tcPr>
          <w:p w14:paraId="000000EF">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Financial Data</w:t>
            </w:r>
          </w:p>
        </w:tc>
        <w:tc>
          <w:tcPr>
            <w:cnfStyle w:val="100000000000"/>
            <w:tcW w:w="889" w:type="dxa"/>
          </w:tcPr>
          <w:p w14:paraId="000000F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2021</w:t>
            </w:r>
          </w:p>
        </w:tc>
        <w:tc>
          <w:tcPr>
            <w:cnfStyle w:val="100000000000"/>
            <w:tcW w:w="889" w:type="dxa"/>
          </w:tcPr>
          <w:p w14:paraId="000000F1">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2022</w:t>
            </w:r>
          </w:p>
        </w:tc>
        <w:tc>
          <w:tcPr>
            <w:cnfStyle w:val="100000000000"/>
            <w:tcW w:w="932" w:type="dxa"/>
          </w:tcPr>
          <w:p w14:paraId="000000F2">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2023</w:t>
            </w:r>
          </w:p>
        </w:tc>
        <w:tc>
          <w:tcPr>
            <w:cnfStyle w:val="100000000000"/>
            <w:tcW w:w="932" w:type="dxa"/>
          </w:tcPr>
          <w:p w14:paraId="000000F3">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2024</w:t>
            </w:r>
          </w:p>
        </w:tc>
        <w:tc>
          <w:tcPr>
            <w:cnfStyle w:val="100000000000"/>
            <w:tcW w:w="932" w:type="dxa"/>
          </w:tcPr>
          <w:p w14:paraId="000000F4">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2025</w:t>
            </w:r>
          </w:p>
        </w:tc>
      </w:tr>
      <w:tr>
        <w:trPr>
          <w:cnfStyle w:val="000000100000"/>
          <w:trHeight w:val="276"/>
        </w:trPr>
        <w:tc>
          <w:tcPr>
            <w:cnfStyle w:val="001000100000"/>
            <w:tcW w:w="3823" w:type="dxa"/>
          </w:tcPr>
          <w:p w14:paraId="000000F5">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Revenue</w:t>
            </w:r>
          </w:p>
        </w:tc>
        <w:tc>
          <w:tcPr>
            <w:cnfStyle w:val="000000100000"/>
            <w:tcW w:w="889" w:type="dxa"/>
          </w:tcPr>
          <w:p w14:paraId="000000F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53,823</w:t>
            </w:r>
          </w:p>
        </w:tc>
        <w:tc>
          <w:tcPr>
            <w:cnfStyle w:val="000000100000"/>
            <w:tcW w:w="889" w:type="dxa"/>
          </w:tcPr>
          <w:p w14:paraId="000000F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81,462</w:t>
            </w:r>
          </w:p>
        </w:tc>
        <w:tc>
          <w:tcPr>
            <w:cnfStyle w:val="000000100000"/>
            <w:tcW w:w="932" w:type="dxa"/>
          </w:tcPr>
          <w:p w14:paraId="000000F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96,773</w:t>
            </w:r>
          </w:p>
        </w:tc>
        <w:tc>
          <w:tcPr>
            <w:cnfStyle w:val="000000100000"/>
            <w:tcW w:w="932" w:type="dxa"/>
          </w:tcPr>
          <w:p w14:paraId="000000F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97,690</w:t>
            </w:r>
          </w:p>
        </w:tc>
        <w:tc>
          <w:tcPr>
            <w:cnfStyle w:val="000000100000"/>
            <w:tcW w:w="932" w:type="dxa"/>
          </w:tcPr>
          <w:p w14:paraId="000000F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94,827</w:t>
            </w:r>
          </w:p>
        </w:tc>
      </w:tr>
      <w:tr>
        <w:trPr>
          <w:trHeight w:val="276"/>
        </w:trPr>
        <w:tc>
          <w:tcPr>
            <w:cnfStyle w:val="001000010000"/>
            <w:tcW w:w="3823" w:type="dxa"/>
          </w:tcPr>
          <w:p w14:paraId="000000FB">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Cost of Revenue</w:t>
            </w:r>
          </w:p>
        </w:tc>
        <w:tc>
          <w:tcPr>
            <w:cnfStyle w:val="000000010000"/>
            <w:tcW w:w="889" w:type="dxa"/>
          </w:tcPr>
          <w:p w14:paraId="000000F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40,217</w:t>
            </w:r>
          </w:p>
        </w:tc>
        <w:tc>
          <w:tcPr>
            <w:cnfStyle w:val="000000010000"/>
            <w:tcW w:w="889" w:type="dxa"/>
          </w:tcPr>
          <w:p w14:paraId="000000F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60,609</w:t>
            </w:r>
          </w:p>
        </w:tc>
        <w:tc>
          <w:tcPr>
            <w:cnfStyle w:val="000000010000"/>
            <w:tcW w:w="932" w:type="dxa"/>
          </w:tcPr>
          <w:p w14:paraId="000000F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79,113</w:t>
            </w:r>
          </w:p>
        </w:tc>
        <w:tc>
          <w:tcPr>
            <w:cnfStyle w:val="000000010000"/>
            <w:tcW w:w="932" w:type="dxa"/>
          </w:tcPr>
          <w:p w14:paraId="000000F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80,240</w:t>
            </w:r>
          </w:p>
        </w:tc>
        <w:tc>
          <w:tcPr>
            <w:cnfStyle w:val="000000010000"/>
            <w:tcW w:w="932" w:type="dxa"/>
          </w:tcPr>
          <w:p w14:paraId="0000010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77,733</w:t>
            </w:r>
          </w:p>
        </w:tc>
      </w:tr>
      <w:tr>
        <w:trPr>
          <w:cnfStyle w:val="000000100000"/>
          <w:trHeight w:val="276"/>
        </w:trPr>
        <w:tc>
          <w:tcPr>
            <w:cnfStyle w:val="001000100000"/>
            <w:tcW w:w="3823" w:type="dxa"/>
          </w:tcPr>
          <w:p w14:paraId="00000101">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Gross Profit</w:t>
            </w:r>
          </w:p>
        </w:tc>
        <w:tc>
          <w:tcPr>
            <w:cnfStyle w:val="000000100000"/>
            <w:tcW w:w="889" w:type="dxa"/>
          </w:tcPr>
          <w:p w14:paraId="0000010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13,606</w:t>
            </w:r>
          </w:p>
        </w:tc>
        <w:tc>
          <w:tcPr>
            <w:cnfStyle w:val="000000100000"/>
            <w:tcW w:w="889" w:type="dxa"/>
          </w:tcPr>
          <w:p w14:paraId="0000010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20,853</w:t>
            </w:r>
          </w:p>
        </w:tc>
        <w:tc>
          <w:tcPr>
            <w:cnfStyle w:val="000000100000"/>
            <w:tcW w:w="932" w:type="dxa"/>
          </w:tcPr>
          <w:p w14:paraId="0000010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17,660</w:t>
            </w:r>
          </w:p>
        </w:tc>
        <w:tc>
          <w:tcPr>
            <w:cnfStyle w:val="000000100000"/>
            <w:tcW w:w="932" w:type="dxa"/>
          </w:tcPr>
          <w:p w14:paraId="0000010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17,450</w:t>
            </w:r>
          </w:p>
        </w:tc>
        <w:tc>
          <w:tcPr>
            <w:cnfStyle w:val="000000100000"/>
            <w:tcW w:w="932" w:type="dxa"/>
          </w:tcPr>
          <w:p w14:paraId="0000010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17,094</w:t>
            </w:r>
          </w:p>
        </w:tc>
      </w:tr>
      <w:tr>
        <w:trPr>
          <w:trHeight w:val="276"/>
        </w:trPr>
        <w:tc>
          <w:tcPr>
            <w:cnfStyle w:val="001000010000"/>
            <w:tcW w:w="3823" w:type="dxa"/>
          </w:tcPr>
          <w:p w14:paraId="00000107">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Operating Income</w:t>
            </w:r>
          </w:p>
        </w:tc>
        <w:tc>
          <w:tcPr>
            <w:cnfStyle w:val="000000010000"/>
            <w:tcW w:w="889" w:type="dxa"/>
          </w:tcPr>
          <w:p w14:paraId="0000010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6,523</w:t>
            </w:r>
          </w:p>
        </w:tc>
        <w:tc>
          <w:tcPr>
            <w:cnfStyle w:val="000000010000"/>
            <w:tcW w:w="889" w:type="dxa"/>
          </w:tcPr>
          <w:p w14:paraId="0000010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13,656</w:t>
            </w:r>
          </w:p>
        </w:tc>
        <w:tc>
          <w:tcPr>
            <w:cnfStyle w:val="000000010000"/>
            <w:tcW w:w="932" w:type="dxa"/>
          </w:tcPr>
          <w:p w14:paraId="0000010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8,891</w:t>
            </w:r>
          </w:p>
        </w:tc>
        <w:tc>
          <w:tcPr>
            <w:cnfStyle w:val="000000010000"/>
            <w:tcW w:w="932" w:type="dxa"/>
          </w:tcPr>
          <w:p w14:paraId="0000010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8,500</w:t>
            </w:r>
          </w:p>
        </w:tc>
        <w:tc>
          <w:tcPr>
            <w:cnfStyle w:val="000000010000"/>
            <w:tcW w:w="932" w:type="dxa"/>
          </w:tcPr>
          <w:p w14:paraId="0000010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8,200</w:t>
            </w:r>
          </w:p>
        </w:tc>
      </w:tr>
      <w:tr>
        <w:trPr>
          <w:cnfStyle w:val="000000100000"/>
          <w:trHeight w:val="276"/>
        </w:trPr>
        <w:tc>
          <w:tcPr>
            <w:cnfStyle w:val="001000100000"/>
            <w:tcW w:w="3823" w:type="dxa"/>
          </w:tcPr>
          <w:p w14:paraId="0000010D">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Net Income</w:t>
            </w:r>
          </w:p>
        </w:tc>
        <w:tc>
          <w:tcPr>
            <w:cnfStyle w:val="000000100000"/>
            <w:tcW w:w="889" w:type="dxa"/>
          </w:tcPr>
          <w:p w14:paraId="0000010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5,519</w:t>
            </w:r>
          </w:p>
        </w:tc>
        <w:tc>
          <w:tcPr>
            <w:cnfStyle w:val="000000100000"/>
            <w:tcW w:w="889" w:type="dxa"/>
          </w:tcPr>
          <w:p w14:paraId="0000010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12,556</w:t>
            </w:r>
          </w:p>
        </w:tc>
        <w:tc>
          <w:tcPr>
            <w:cnfStyle w:val="000000100000"/>
            <w:tcW w:w="932" w:type="dxa"/>
          </w:tcPr>
          <w:p w14:paraId="0000011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14,997</w:t>
            </w:r>
          </w:p>
        </w:tc>
        <w:tc>
          <w:tcPr>
            <w:cnfStyle w:val="000000100000"/>
            <w:tcW w:w="932" w:type="dxa"/>
          </w:tcPr>
          <w:p w14:paraId="0000011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14,500</w:t>
            </w:r>
          </w:p>
        </w:tc>
        <w:tc>
          <w:tcPr>
            <w:cnfStyle w:val="000000100000"/>
            <w:tcW w:w="932" w:type="dxa"/>
          </w:tcPr>
          <w:p w14:paraId="0000011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13,800</w:t>
            </w:r>
          </w:p>
        </w:tc>
      </w:tr>
    </w:tbl>
    <w:p w14:paraId="00000113">
      <w:pPr>
        <w:rPr>
          <w:rFonts w:cs="Arial"/>
          <w:szCs w:val="24"/>
          <w:lang w:val="en-IN"/>
        </w:rPr>
      </w:pPr>
    </w:p>
    <w:tbl>
      <w:tblPr>
        <w:tblStyle w:val="ListTable3Accent4"/>
        <w:tblW w:w="8394" w:type="dxa"/>
        <w:tblLook w:val="04A0"/>
      </w:tblPr>
      <w:tblGrid>
        <w:gridCol w:w="3397"/>
        <w:gridCol w:w="951"/>
        <w:gridCol w:w="951"/>
        <w:gridCol w:w="1151"/>
        <w:gridCol w:w="1151"/>
        <w:gridCol w:w="1151"/>
      </w:tblGrid>
      <w:tr>
        <w:trPr>
          <w:cnfStyle w:val="100000000000"/>
          <w:trHeight w:val="276"/>
        </w:trPr>
        <w:tc>
          <w:tcPr>
            <w:cnfStyle w:val="101000000000"/>
            <w:tcW w:w="8394" w:type="dxa"/>
            <w:noWrap w:val="on"/>
            <w:gridSpan w:val="6"/>
          </w:tcPr>
          <w:p w14:paraId="00000114">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BALANCE SHEET DATA</w:t>
            </w:r>
          </w:p>
        </w:tc>
      </w:tr>
      <w:tr>
        <w:trPr>
          <w:cnfStyle w:val="000000100000"/>
          <w:trHeight w:val="276"/>
        </w:trPr>
        <w:tc>
          <w:tcPr>
            <w:cnfStyle w:val="001000100000"/>
            <w:tcW w:w="3397" w:type="dxa"/>
          </w:tcPr>
          <w:p w14:paraId="00000115">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Financial Data</w:t>
            </w:r>
          </w:p>
        </w:tc>
        <w:tc>
          <w:tcPr>
            <w:cnfStyle w:val="000000100000"/>
            <w:tcW w:w="889" w:type="dxa"/>
          </w:tcPr>
          <w:p w14:paraId="00000116">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889" w:type="dxa"/>
          </w:tcPr>
          <w:p w14:paraId="00000117">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073" w:type="dxa"/>
          </w:tcPr>
          <w:p w14:paraId="00000118">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073" w:type="dxa"/>
          </w:tcPr>
          <w:p w14:paraId="00000119">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073" w:type="dxa"/>
          </w:tcPr>
          <w:p w14:paraId="0000011A">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76"/>
        </w:trPr>
        <w:tc>
          <w:tcPr>
            <w:cnfStyle w:val="001000010000"/>
            <w:tcW w:w="3397" w:type="dxa"/>
          </w:tcPr>
          <w:p w14:paraId="0000011B">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Assets</w:t>
            </w:r>
          </w:p>
        </w:tc>
        <w:tc>
          <w:tcPr>
            <w:cnfStyle w:val="000000010000"/>
            <w:tcW w:w="889" w:type="dxa"/>
          </w:tcPr>
          <w:p w14:paraId="0000011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62,131</w:t>
            </w:r>
          </w:p>
        </w:tc>
        <w:tc>
          <w:tcPr>
            <w:cnfStyle w:val="000000010000"/>
            <w:tcW w:w="889" w:type="dxa"/>
          </w:tcPr>
          <w:p w14:paraId="0000011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82,338</w:t>
            </w:r>
          </w:p>
        </w:tc>
        <w:tc>
          <w:tcPr>
            <w:cnfStyle w:val="000000010000"/>
            <w:tcW w:w="1073" w:type="dxa"/>
          </w:tcPr>
          <w:p w14:paraId="0000011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1,06,618</w:t>
            </w:r>
          </w:p>
        </w:tc>
        <w:tc>
          <w:tcPr>
            <w:cnfStyle w:val="000000010000"/>
            <w:tcW w:w="1073" w:type="dxa"/>
          </w:tcPr>
          <w:p w14:paraId="0000011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1,10,500</w:t>
            </w:r>
          </w:p>
        </w:tc>
        <w:tc>
          <w:tcPr>
            <w:cnfStyle w:val="000000010000"/>
            <w:tcW w:w="1073" w:type="dxa"/>
          </w:tcPr>
          <w:p w14:paraId="0000012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1,15,800</w:t>
            </w:r>
          </w:p>
        </w:tc>
      </w:tr>
      <w:tr>
        <w:trPr>
          <w:cnfStyle w:val="000000100000"/>
          <w:trHeight w:val="276"/>
        </w:trPr>
        <w:tc>
          <w:tcPr>
            <w:cnfStyle w:val="001000100000"/>
            <w:tcW w:w="3397" w:type="dxa"/>
          </w:tcPr>
          <w:p w14:paraId="00000121">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Current Assets</w:t>
            </w:r>
          </w:p>
        </w:tc>
        <w:tc>
          <w:tcPr>
            <w:cnfStyle w:val="000000100000"/>
            <w:tcW w:w="889" w:type="dxa"/>
          </w:tcPr>
          <w:p w14:paraId="0000012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30,548</w:t>
            </w:r>
          </w:p>
        </w:tc>
        <w:tc>
          <w:tcPr>
            <w:cnfStyle w:val="000000100000"/>
            <w:tcW w:w="889" w:type="dxa"/>
          </w:tcPr>
          <w:p w14:paraId="0000012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40,917</w:t>
            </w:r>
          </w:p>
        </w:tc>
        <w:tc>
          <w:tcPr>
            <w:cnfStyle w:val="000000100000"/>
            <w:tcW w:w="1073" w:type="dxa"/>
          </w:tcPr>
          <w:p w14:paraId="0000012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49,616</w:t>
            </w:r>
          </w:p>
        </w:tc>
        <w:tc>
          <w:tcPr>
            <w:cnfStyle w:val="000000100000"/>
            <w:tcW w:w="1073" w:type="dxa"/>
          </w:tcPr>
          <w:p w14:paraId="0000012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51,800</w:t>
            </w:r>
          </w:p>
        </w:tc>
        <w:tc>
          <w:tcPr>
            <w:cnfStyle w:val="000000100000"/>
            <w:tcW w:w="1073" w:type="dxa"/>
          </w:tcPr>
          <w:p w14:paraId="0000012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55,200</w:t>
            </w:r>
          </w:p>
        </w:tc>
      </w:tr>
      <w:tr>
        <w:trPr>
          <w:trHeight w:val="276"/>
        </w:trPr>
        <w:tc>
          <w:tcPr>
            <w:cnfStyle w:val="001000010000"/>
            <w:tcW w:w="3397" w:type="dxa"/>
          </w:tcPr>
          <w:p w14:paraId="00000127">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Current Liabilities</w:t>
            </w:r>
          </w:p>
        </w:tc>
        <w:tc>
          <w:tcPr>
            <w:cnfStyle w:val="000000010000"/>
            <w:tcW w:w="889" w:type="dxa"/>
          </w:tcPr>
          <w:p w14:paraId="0000012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19,705</w:t>
            </w:r>
          </w:p>
        </w:tc>
        <w:tc>
          <w:tcPr>
            <w:cnfStyle w:val="000000010000"/>
            <w:tcW w:w="889" w:type="dxa"/>
          </w:tcPr>
          <w:p w14:paraId="0000012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28,748</w:t>
            </w:r>
          </w:p>
        </w:tc>
        <w:tc>
          <w:tcPr>
            <w:cnfStyle w:val="000000010000"/>
            <w:tcW w:w="1073" w:type="dxa"/>
          </w:tcPr>
          <w:p w14:paraId="0000012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29,000</w:t>
            </w:r>
          </w:p>
        </w:tc>
        <w:tc>
          <w:tcPr>
            <w:cnfStyle w:val="000000010000"/>
            <w:tcW w:w="1073" w:type="dxa"/>
          </w:tcPr>
          <w:p w14:paraId="0000012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30,800</w:t>
            </w:r>
          </w:p>
        </w:tc>
        <w:tc>
          <w:tcPr>
            <w:cnfStyle w:val="000000010000"/>
            <w:tcW w:w="1073" w:type="dxa"/>
          </w:tcPr>
          <w:p w14:paraId="0000012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32,500</w:t>
            </w:r>
          </w:p>
        </w:tc>
      </w:tr>
      <w:tr>
        <w:trPr>
          <w:cnfStyle w:val="000000100000"/>
          <w:trHeight w:val="276"/>
        </w:trPr>
        <w:tc>
          <w:tcPr>
            <w:cnfStyle w:val="001000100000"/>
            <w:tcW w:w="3397" w:type="dxa"/>
          </w:tcPr>
          <w:p w14:paraId="0000012D">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Inventory</w:t>
            </w:r>
          </w:p>
        </w:tc>
        <w:tc>
          <w:tcPr>
            <w:cnfStyle w:val="000000100000"/>
            <w:tcW w:w="889" w:type="dxa"/>
          </w:tcPr>
          <w:p w14:paraId="0000012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5,757</w:t>
            </w:r>
          </w:p>
        </w:tc>
        <w:tc>
          <w:tcPr>
            <w:cnfStyle w:val="000000100000"/>
            <w:tcW w:w="889" w:type="dxa"/>
          </w:tcPr>
          <w:p w14:paraId="0000012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12,839</w:t>
            </w:r>
          </w:p>
        </w:tc>
        <w:tc>
          <w:tcPr>
            <w:cnfStyle w:val="000000100000"/>
            <w:tcW w:w="1073" w:type="dxa"/>
          </w:tcPr>
          <w:p w14:paraId="0000013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13,626</w:t>
            </w:r>
          </w:p>
        </w:tc>
        <w:tc>
          <w:tcPr>
            <w:cnfStyle w:val="000000100000"/>
            <w:tcW w:w="1073" w:type="dxa"/>
          </w:tcPr>
          <w:p w14:paraId="0000013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14,500</w:t>
            </w:r>
          </w:p>
        </w:tc>
        <w:tc>
          <w:tcPr>
            <w:cnfStyle w:val="000000100000"/>
            <w:tcW w:w="1073" w:type="dxa"/>
          </w:tcPr>
          <w:p w14:paraId="0000013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15,200</w:t>
            </w:r>
          </w:p>
        </w:tc>
      </w:tr>
      <w:tr>
        <w:trPr>
          <w:trHeight w:val="276"/>
        </w:trPr>
        <w:tc>
          <w:tcPr>
            <w:cnfStyle w:val="001000010000"/>
            <w:tcW w:w="3397" w:type="dxa"/>
          </w:tcPr>
          <w:p w14:paraId="00000133">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Receivables</w:t>
            </w:r>
          </w:p>
        </w:tc>
        <w:tc>
          <w:tcPr>
            <w:cnfStyle w:val="000000010000"/>
            <w:tcW w:w="889" w:type="dxa"/>
          </w:tcPr>
          <w:p w14:paraId="0000013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1,913</w:t>
            </w:r>
          </w:p>
        </w:tc>
        <w:tc>
          <w:tcPr>
            <w:cnfStyle w:val="000000010000"/>
            <w:tcW w:w="889" w:type="dxa"/>
          </w:tcPr>
          <w:p w14:paraId="0000013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2,952</w:t>
            </w:r>
          </w:p>
        </w:tc>
        <w:tc>
          <w:tcPr>
            <w:cnfStyle w:val="000000010000"/>
            <w:tcW w:w="1073" w:type="dxa"/>
          </w:tcPr>
          <w:p w14:paraId="0000013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3,600</w:t>
            </w:r>
          </w:p>
        </w:tc>
        <w:tc>
          <w:tcPr>
            <w:cnfStyle w:val="000000010000"/>
            <w:tcW w:w="1073" w:type="dxa"/>
          </w:tcPr>
          <w:p w14:paraId="0000013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4,100</w:t>
            </w:r>
          </w:p>
        </w:tc>
        <w:tc>
          <w:tcPr>
            <w:cnfStyle w:val="000000010000"/>
            <w:tcW w:w="1073" w:type="dxa"/>
          </w:tcPr>
          <w:p w14:paraId="0000013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4,400</w:t>
            </w:r>
          </w:p>
        </w:tc>
      </w:tr>
      <w:tr>
        <w:trPr>
          <w:cnfStyle w:val="000000100000"/>
          <w:trHeight w:val="276"/>
        </w:trPr>
        <w:tc>
          <w:tcPr>
            <w:cnfStyle w:val="001000100000"/>
            <w:tcW w:w="3397" w:type="dxa"/>
          </w:tcPr>
          <w:p w14:paraId="00000139">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Payables</w:t>
            </w:r>
          </w:p>
        </w:tc>
        <w:tc>
          <w:tcPr>
            <w:cnfStyle w:val="000000100000"/>
            <w:tcW w:w="889" w:type="dxa"/>
          </w:tcPr>
          <w:p w14:paraId="0000013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10,025</w:t>
            </w:r>
          </w:p>
        </w:tc>
        <w:tc>
          <w:tcPr>
            <w:cnfStyle w:val="000000100000"/>
            <w:tcW w:w="889" w:type="dxa"/>
          </w:tcPr>
          <w:p w14:paraId="0000013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15,255</w:t>
            </w:r>
          </w:p>
        </w:tc>
        <w:tc>
          <w:tcPr>
            <w:cnfStyle w:val="000000100000"/>
            <w:tcW w:w="1073" w:type="dxa"/>
          </w:tcPr>
          <w:p w14:paraId="0000013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16,200</w:t>
            </w:r>
          </w:p>
        </w:tc>
        <w:tc>
          <w:tcPr>
            <w:cnfStyle w:val="000000100000"/>
            <w:tcW w:w="1073" w:type="dxa"/>
          </w:tcPr>
          <w:p w14:paraId="0000013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17,200</w:t>
            </w:r>
          </w:p>
        </w:tc>
        <w:tc>
          <w:tcPr>
            <w:cnfStyle w:val="000000100000"/>
            <w:tcW w:w="1073" w:type="dxa"/>
          </w:tcPr>
          <w:p w14:paraId="0000013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18,500</w:t>
            </w:r>
          </w:p>
        </w:tc>
      </w:tr>
      <w:tr>
        <w:trPr>
          <w:trHeight w:val="276"/>
        </w:trPr>
        <w:tc>
          <w:tcPr>
            <w:cnfStyle w:val="001000010000"/>
            <w:tcW w:w="3397" w:type="dxa"/>
          </w:tcPr>
          <w:p w14:paraId="0000013F">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Equity</w:t>
            </w:r>
          </w:p>
        </w:tc>
        <w:tc>
          <w:tcPr>
            <w:cnfStyle w:val="000000010000"/>
            <w:tcW w:w="889" w:type="dxa"/>
          </w:tcPr>
          <w:p w14:paraId="0000014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30,189</w:t>
            </w:r>
          </w:p>
        </w:tc>
        <w:tc>
          <w:tcPr>
            <w:cnfStyle w:val="000000010000"/>
            <w:tcW w:w="889" w:type="dxa"/>
          </w:tcPr>
          <w:p w14:paraId="0000014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44,704</w:t>
            </w:r>
          </w:p>
        </w:tc>
        <w:tc>
          <w:tcPr>
            <w:cnfStyle w:val="000000010000"/>
            <w:tcW w:w="1073" w:type="dxa"/>
          </w:tcPr>
          <w:p w14:paraId="0000014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62,720</w:t>
            </w:r>
          </w:p>
        </w:tc>
        <w:tc>
          <w:tcPr>
            <w:cnfStyle w:val="000000010000"/>
            <w:tcW w:w="1073" w:type="dxa"/>
          </w:tcPr>
          <w:p w14:paraId="0000014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68,000</w:t>
            </w:r>
          </w:p>
        </w:tc>
        <w:tc>
          <w:tcPr>
            <w:cnfStyle w:val="000000010000"/>
            <w:tcW w:w="1073" w:type="dxa"/>
          </w:tcPr>
          <w:p w14:paraId="0000014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72,500</w:t>
            </w:r>
          </w:p>
        </w:tc>
      </w:tr>
      <w:tr>
        <w:trPr>
          <w:cnfStyle w:val="000000100000"/>
          <w:trHeight w:val="276"/>
        </w:trPr>
        <w:tc>
          <w:tcPr>
            <w:cnfStyle w:val="001000100000"/>
            <w:tcW w:w="3397" w:type="dxa"/>
          </w:tcPr>
          <w:p w14:paraId="00000145">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Debt</w:t>
            </w:r>
          </w:p>
        </w:tc>
        <w:tc>
          <w:tcPr>
            <w:cnfStyle w:val="000000100000"/>
            <w:tcW w:w="889" w:type="dxa"/>
          </w:tcPr>
          <w:p w14:paraId="0000014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9,400</w:t>
            </w:r>
          </w:p>
        </w:tc>
        <w:tc>
          <w:tcPr>
            <w:cnfStyle w:val="000000100000"/>
            <w:tcW w:w="889" w:type="dxa"/>
          </w:tcPr>
          <w:p w14:paraId="0000014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5,700</w:t>
            </w:r>
          </w:p>
        </w:tc>
        <w:tc>
          <w:tcPr>
            <w:cnfStyle w:val="000000100000"/>
            <w:tcW w:w="1073" w:type="dxa"/>
          </w:tcPr>
          <w:p w14:paraId="0000014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5,000</w:t>
            </w:r>
          </w:p>
        </w:tc>
        <w:tc>
          <w:tcPr>
            <w:cnfStyle w:val="000000100000"/>
            <w:tcW w:w="1073" w:type="dxa"/>
          </w:tcPr>
          <w:p w14:paraId="0000014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5,500</w:t>
            </w:r>
          </w:p>
        </w:tc>
        <w:tc>
          <w:tcPr>
            <w:cnfStyle w:val="000000100000"/>
            <w:tcW w:w="1073" w:type="dxa"/>
          </w:tcPr>
          <w:p w14:paraId="0000014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6,000</w:t>
            </w:r>
          </w:p>
        </w:tc>
      </w:tr>
    </w:tbl>
    <w:p w14:paraId="0000014B">
      <w:pPr>
        <w:rPr>
          <w:rFonts w:cs="Arial"/>
          <w:szCs w:val="24"/>
          <w:lang w:val="en-IN"/>
        </w:rPr>
      </w:pPr>
    </w:p>
    <w:tbl>
      <w:tblPr>
        <w:tblStyle w:val="ListTable3Accent4"/>
        <w:tblW w:w="8530" w:type="dxa"/>
        <w:tblLook w:val="04A0"/>
      </w:tblPr>
      <w:tblGrid>
        <w:gridCol w:w="3964"/>
        <w:gridCol w:w="951"/>
        <w:gridCol w:w="951"/>
        <w:gridCol w:w="951"/>
        <w:gridCol w:w="951"/>
        <w:gridCol w:w="951"/>
      </w:tblGrid>
      <w:tr>
        <w:trPr>
          <w:cnfStyle w:val="100000000000"/>
          <w:trHeight w:val="276"/>
        </w:trPr>
        <w:tc>
          <w:tcPr>
            <w:cnfStyle w:val="101000000000"/>
            <w:tcW w:w="8530" w:type="dxa"/>
            <w:noWrap w:val="on"/>
            <w:gridSpan w:val="6"/>
          </w:tcPr>
          <w:p w14:paraId="0000014C">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CASH FLOW DATA</w:t>
            </w:r>
          </w:p>
        </w:tc>
      </w:tr>
      <w:tr>
        <w:trPr>
          <w:cnfStyle w:val="000000100000"/>
          <w:trHeight w:val="276"/>
        </w:trPr>
        <w:tc>
          <w:tcPr>
            <w:cnfStyle w:val="001000100000"/>
            <w:tcW w:w="3964" w:type="dxa"/>
          </w:tcPr>
          <w:p w14:paraId="0000014D">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Financial Data</w:t>
            </w:r>
          </w:p>
        </w:tc>
        <w:tc>
          <w:tcPr>
            <w:cnfStyle w:val="000000100000"/>
            <w:tcW w:w="889" w:type="dxa"/>
          </w:tcPr>
          <w:p w14:paraId="0000014E">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889" w:type="dxa"/>
          </w:tcPr>
          <w:p w14:paraId="0000014F">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930" w:type="dxa"/>
          </w:tcPr>
          <w:p w14:paraId="00000150">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929" w:type="dxa"/>
          </w:tcPr>
          <w:p w14:paraId="0000015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929" w:type="dxa"/>
          </w:tcPr>
          <w:p w14:paraId="0000015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76"/>
        </w:trPr>
        <w:tc>
          <w:tcPr>
            <w:cnfStyle w:val="001000010000"/>
            <w:tcW w:w="3964" w:type="dxa"/>
          </w:tcPr>
          <w:p w14:paraId="00000153">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Operating Cash Flow</w:t>
            </w:r>
          </w:p>
        </w:tc>
        <w:tc>
          <w:tcPr>
            <w:cnfStyle w:val="000000010000"/>
            <w:tcW w:w="889" w:type="dxa"/>
          </w:tcPr>
          <w:p w14:paraId="0000015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11,497</w:t>
            </w:r>
          </w:p>
        </w:tc>
        <w:tc>
          <w:tcPr>
            <w:cnfStyle w:val="000000010000"/>
            <w:tcW w:w="889" w:type="dxa"/>
          </w:tcPr>
          <w:p w14:paraId="0000015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14,724</w:t>
            </w:r>
          </w:p>
        </w:tc>
        <w:tc>
          <w:tcPr>
            <w:cnfStyle w:val="000000010000"/>
            <w:tcW w:w="930" w:type="dxa"/>
          </w:tcPr>
          <w:p w14:paraId="0000015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13,256</w:t>
            </w:r>
          </w:p>
        </w:tc>
        <w:tc>
          <w:tcPr>
            <w:cnfStyle w:val="000000010000"/>
            <w:tcW w:w="929" w:type="dxa"/>
          </w:tcPr>
          <w:p w14:paraId="0000015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13,800</w:t>
            </w:r>
          </w:p>
        </w:tc>
        <w:tc>
          <w:tcPr>
            <w:cnfStyle w:val="000000010000"/>
            <w:tcW w:w="929" w:type="dxa"/>
          </w:tcPr>
          <w:p w14:paraId="0000015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14,200</w:t>
            </w:r>
          </w:p>
        </w:tc>
      </w:tr>
      <w:tr>
        <w:trPr>
          <w:cnfStyle w:val="000000100000"/>
          <w:trHeight w:val="276"/>
        </w:trPr>
        <w:tc>
          <w:tcPr>
            <w:cnfStyle w:val="001000100000"/>
            <w:tcW w:w="3964" w:type="dxa"/>
          </w:tcPr>
          <w:p w14:paraId="00000159">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Capital Expenditure</w:t>
            </w:r>
          </w:p>
        </w:tc>
        <w:tc>
          <w:tcPr>
            <w:cnfStyle w:val="000000100000"/>
            <w:tcW w:w="889" w:type="dxa"/>
          </w:tcPr>
          <w:p w14:paraId="0000015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-6,482</w:t>
            </w:r>
          </w:p>
        </w:tc>
        <w:tc>
          <w:tcPr>
            <w:cnfStyle w:val="000000100000"/>
            <w:tcW w:w="889" w:type="dxa"/>
          </w:tcPr>
          <w:p w14:paraId="0000015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-7,158</w:t>
            </w:r>
          </w:p>
        </w:tc>
        <w:tc>
          <w:tcPr>
            <w:cnfStyle w:val="000000100000"/>
            <w:tcW w:w="930" w:type="dxa"/>
          </w:tcPr>
          <w:p w14:paraId="0000015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-8,899</w:t>
            </w:r>
          </w:p>
        </w:tc>
        <w:tc>
          <w:tcPr>
            <w:cnfStyle w:val="000000100000"/>
            <w:tcW w:w="929" w:type="dxa"/>
          </w:tcPr>
          <w:p w14:paraId="0000015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-9,200</w:t>
            </w:r>
          </w:p>
        </w:tc>
        <w:tc>
          <w:tcPr>
            <w:cnfStyle w:val="000000100000"/>
            <w:tcW w:w="929" w:type="dxa"/>
          </w:tcPr>
          <w:p w14:paraId="0000015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-9,500</w:t>
            </w:r>
          </w:p>
        </w:tc>
      </w:tr>
      <w:tr>
        <w:trPr>
          <w:trHeight w:val="276"/>
        </w:trPr>
        <w:tc>
          <w:tcPr>
            <w:cnfStyle w:val="001000010000"/>
            <w:tcW w:w="3964" w:type="dxa"/>
          </w:tcPr>
          <w:p w14:paraId="0000015F">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Free Cash Flow</w:t>
            </w:r>
          </w:p>
        </w:tc>
        <w:tc>
          <w:tcPr>
            <w:cnfStyle w:val="000000010000"/>
            <w:tcW w:w="889" w:type="dxa"/>
          </w:tcPr>
          <w:p w14:paraId="0000016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5,015</w:t>
            </w:r>
          </w:p>
        </w:tc>
        <w:tc>
          <w:tcPr>
            <w:cnfStyle w:val="000000010000"/>
            <w:tcW w:w="889" w:type="dxa"/>
          </w:tcPr>
          <w:p w14:paraId="0000016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7,566</w:t>
            </w:r>
          </w:p>
        </w:tc>
        <w:tc>
          <w:tcPr>
            <w:cnfStyle w:val="000000010000"/>
            <w:tcW w:w="930" w:type="dxa"/>
          </w:tcPr>
          <w:p w14:paraId="0000016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4,357</w:t>
            </w:r>
          </w:p>
        </w:tc>
        <w:tc>
          <w:tcPr>
            <w:cnfStyle w:val="000000010000"/>
            <w:tcW w:w="929" w:type="dxa"/>
          </w:tcPr>
          <w:p w14:paraId="0000016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4,600</w:t>
            </w:r>
          </w:p>
        </w:tc>
        <w:tc>
          <w:tcPr>
            <w:cnfStyle w:val="000000010000"/>
            <w:tcW w:w="929" w:type="dxa"/>
          </w:tcPr>
          <w:p w14:paraId="0000016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4,700</w:t>
            </w:r>
          </w:p>
        </w:tc>
      </w:tr>
    </w:tbl>
    <w:p w14:paraId="00000165">
      <w:pPr>
        <w:rPr>
          <w:rFonts w:cs="Arial"/>
          <w:szCs w:val="24"/>
          <w:lang w:val="en-IN"/>
        </w:rPr>
      </w:pPr>
    </w:p>
    <w:tbl>
      <w:tblPr>
        <w:tblStyle w:val="ListTable3Accent4"/>
        <w:tblW w:w="8540" w:type="dxa"/>
        <w:tblLook w:val="04A0"/>
      </w:tblPr>
      <w:tblGrid>
        <w:gridCol w:w="4200"/>
        <w:gridCol w:w="760"/>
        <w:gridCol w:w="760"/>
        <w:gridCol w:w="940"/>
        <w:gridCol w:w="940"/>
        <w:gridCol w:w="940"/>
      </w:tblGrid>
      <w:tr>
        <w:trPr>
          <w:cnfStyle w:val="100000000000"/>
          <w:trHeight w:val="276"/>
        </w:trPr>
        <w:tc>
          <w:tcPr>
            <w:cnfStyle w:val="101000000000"/>
            <w:tcW w:w="8537" w:type="dxa"/>
            <w:noWrap w:val="on"/>
            <w:gridSpan w:val="6"/>
          </w:tcPr>
          <w:p w14:paraId="00000166">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INVESTMENT DATA</w:t>
            </w:r>
          </w:p>
        </w:tc>
      </w:tr>
      <w:tr>
        <w:trPr>
          <w:cnfStyle w:val="000000100000"/>
          <w:trHeight w:val="276"/>
        </w:trPr>
        <w:tc>
          <w:tcPr>
            <w:cnfStyle w:val="001000100000"/>
            <w:tcW w:w="4200" w:type="dxa"/>
          </w:tcPr>
          <w:p w14:paraId="00000167">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Financial Data</w:t>
            </w:r>
          </w:p>
        </w:tc>
        <w:tc>
          <w:tcPr>
            <w:cnfStyle w:val="000000100000"/>
            <w:tcW w:w="760" w:type="dxa"/>
          </w:tcPr>
          <w:p w14:paraId="00000168">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760" w:type="dxa"/>
          </w:tcPr>
          <w:p w14:paraId="00000169">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940" w:type="dxa"/>
          </w:tcPr>
          <w:p w14:paraId="0000016A">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940" w:type="dxa"/>
          </w:tcPr>
          <w:p w14:paraId="0000016B">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940" w:type="dxa"/>
          </w:tcPr>
          <w:p w14:paraId="0000016C">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76"/>
        </w:trPr>
        <w:tc>
          <w:tcPr>
            <w:cnfStyle w:val="001000010000"/>
            <w:tcW w:w="4200" w:type="dxa"/>
          </w:tcPr>
          <w:p w14:paraId="0000016D">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EPS ($)</w:t>
            </w:r>
          </w:p>
        </w:tc>
        <w:tc>
          <w:tcPr>
            <w:cnfStyle w:val="000000010000"/>
            <w:tcW w:w="760" w:type="dxa"/>
          </w:tcPr>
          <w:p w14:paraId="0000016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4.9</w:t>
            </w:r>
          </w:p>
        </w:tc>
        <w:tc>
          <w:tcPr>
            <w:cnfStyle w:val="000000010000"/>
            <w:tcW w:w="760" w:type="dxa"/>
          </w:tcPr>
          <w:p w14:paraId="0000016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3.62</w:t>
            </w:r>
          </w:p>
        </w:tc>
        <w:tc>
          <w:tcPr>
            <w:cnfStyle w:val="000000010000"/>
            <w:tcW w:w="940" w:type="dxa"/>
          </w:tcPr>
          <w:p w14:paraId="0000017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4.3</w:t>
            </w:r>
          </w:p>
        </w:tc>
        <w:tc>
          <w:tcPr>
            <w:cnfStyle w:val="000000010000"/>
            <w:tcW w:w="940" w:type="dxa"/>
          </w:tcPr>
          <w:p w14:paraId="0000017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4.6</w:t>
            </w:r>
          </w:p>
        </w:tc>
        <w:tc>
          <w:tcPr>
            <w:cnfStyle w:val="000000010000"/>
            <w:tcW w:w="940" w:type="dxa"/>
          </w:tcPr>
          <w:p w14:paraId="0000017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4.85</w:t>
            </w:r>
          </w:p>
        </w:tc>
      </w:tr>
    </w:tbl>
    <w:p w14:paraId="00000173">
      <w:pPr>
        <w:rPr>
          <w:rFonts w:cs="Arial"/>
          <w:szCs w:val="24"/>
          <w:lang w:val="en-IN"/>
        </w:rPr>
      </w:pPr>
    </w:p>
    <w:p w14:paraId="00000174">
      <w:pPr>
        <w:pStyle w:val="Heading2"/>
        <w:rPr>
          <w:rFonts w:cs="Arial"/>
          <w:szCs w:val="24"/>
          <w:lang w:val="en-IN"/>
        </w:rPr>
      </w:pPr>
      <w:bookmarkStart w:id="38" w:name="_Toc227907191"/>
      <w:r>
        <w:rPr>
          <w:rFonts w:cs="Arial"/>
          <w:szCs w:val="24"/>
          <w:lang w:val="en-IN"/>
        </w:rPr>
        <w:t>8.2 Ratios</w:t>
      </w:r>
      <w:bookmarkEnd w:id="38"/>
    </w:p>
    <w:tbl>
      <w:tblPr>
        <w:tblStyle w:val="ListTable3Accent4"/>
        <w:tblW w:w="8523" w:type="dxa"/>
        <w:tblLook w:val="04A0"/>
      </w:tblPr>
      <w:tblGrid>
        <w:gridCol w:w="2122"/>
        <w:gridCol w:w="1280"/>
        <w:gridCol w:w="1280"/>
        <w:gridCol w:w="1280"/>
        <w:gridCol w:w="1281"/>
        <w:gridCol w:w="1280"/>
      </w:tblGrid>
      <w:tr>
        <w:trPr>
          <w:cnfStyle w:val="100000000000"/>
          <w:trHeight w:val="288"/>
        </w:trPr>
        <w:tc>
          <w:tcPr>
            <w:cnfStyle w:val="101000000000"/>
            <w:tcW w:w="8523" w:type="dxa"/>
            <w:noWrap w:val="on"/>
            <w:gridSpan w:val="6"/>
          </w:tcPr>
          <w:p w14:paraId="00000175">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PROFITABILITY RATIOS</w:t>
            </w:r>
          </w:p>
        </w:tc>
      </w:tr>
      <w:tr>
        <w:trPr>
          <w:cnfStyle w:val="000000100000"/>
          <w:trHeight w:val="288"/>
        </w:trPr>
        <w:tc>
          <w:tcPr>
            <w:cnfStyle w:val="001000100000"/>
            <w:tcW w:w="2122" w:type="dxa"/>
          </w:tcPr>
          <w:p w14:paraId="00000176">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Ratio</w:t>
            </w:r>
          </w:p>
        </w:tc>
        <w:tc>
          <w:tcPr>
            <w:cnfStyle w:val="000000100000"/>
            <w:tcW w:w="1280" w:type="dxa"/>
          </w:tcPr>
          <w:p w14:paraId="00000177">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178">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179">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17A">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0" w:type="dxa"/>
          </w:tcPr>
          <w:p w14:paraId="0000017B">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88"/>
        </w:trPr>
        <w:tc>
          <w:tcPr>
            <w:cnfStyle w:val="001000010000"/>
            <w:tcW w:w="2122" w:type="dxa"/>
          </w:tcPr>
          <w:p w14:paraId="0000017C">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Gross Profit Margin</w:t>
            </w:r>
          </w:p>
        </w:tc>
        <w:tc>
          <w:tcPr>
            <w:cnfStyle w:val="000000010000"/>
            <w:tcW w:w="1280" w:type="dxa"/>
          </w:tcPr>
          <w:p w14:paraId="0000017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25.28%</w:t>
            </w:r>
          </w:p>
        </w:tc>
        <w:tc>
          <w:tcPr>
            <w:cnfStyle w:val="000000010000"/>
            <w:tcW w:w="1280" w:type="dxa"/>
          </w:tcPr>
          <w:p w14:paraId="0000017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25.60%</w:t>
            </w:r>
          </w:p>
        </w:tc>
        <w:tc>
          <w:tcPr>
            <w:cnfStyle w:val="000000010000"/>
            <w:tcW w:w="1280" w:type="dxa"/>
          </w:tcPr>
          <w:p w14:paraId="0000017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18.25%</w:t>
            </w:r>
          </w:p>
        </w:tc>
        <w:tc>
          <w:tcPr>
            <w:cnfStyle w:val="000000010000"/>
            <w:tcW w:w="1280" w:type="dxa"/>
          </w:tcPr>
          <w:p w14:paraId="0000018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17.86%</w:t>
            </w:r>
          </w:p>
        </w:tc>
        <w:tc>
          <w:tcPr>
            <w:cnfStyle w:val="000000010000"/>
            <w:tcW w:w="1280" w:type="dxa"/>
          </w:tcPr>
          <w:p w14:paraId="0000018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18.03%</w:t>
            </w:r>
          </w:p>
        </w:tc>
      </w:tr>
      <w:tr>
        <w:trPr>
          <w:cnfStyle w:val="000000100000"/>
          <w:trHeight w:val="288"/>
        </w:trPr>
        <w:tc>
          <w:tcPr>
            <w:cnfStyle w:val="001000100000"/>
            <w:tcW w:w="2122" w:type="dxa"/>
          </w:tcPr>
          <w:p w14:paraId="00000182">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Operating Margin</w:t>
            </w:r>
          </w:p>
        </w:tc>
        <w:tc>
          <w:tcPr>
            <w:cnfStyle w:val="000000100000"/>
            <w:tcW w:w="1280" w:type="dxa"/>
          </w:tcPr>
          <w:p w14:paraId="0000018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12.12%</w:t>
            </w:r>
          </w:p>
        </w:tc>
        <w:tc>
          <w:tcPr>
            <w:cnfStyle w:val="000000100000"/>
            <w:tcW w:w="1280" w:type="dxa"/>
          </w:tcPr>
          <w:p w14:paraId="0000018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16.76%</w:t>
            </w:r>
          </w:p>
        </w:tc>
        <w:tc>
          <w:tcPr>
            <w:cnfStyle w:val="000000100000"/>
            <w:tcW w:w="1280" w:type="dxa"/>
          </w:tcPr>
          <w:p w14:paraId="0000018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9.19%</w:t>
            </w:r>
          </w:p>
        </w:tc>
        <w:tc>
          <w:tcPr>
            <w:cnfStyle w:val="000000100000"/>
            <w:tcW w:w="1280" w:type="dxa"/>
          </w:tcPr>
          <w:p w14:paraId="0000018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8.70%</w:t>
            </w:r>
          </w:p>
        </w:tc>
        <w:tc>
          <w:tcPr>
            <w:cnfStyle w:val="000000100000"/>
            <w:tcW w:w="1280" w:type="dxa"/>
          </w:tcPr>
          <w:p w14:paraId="0000018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8.65%</w:t>
            </w:r>
          </w:p>
        </w:tc>
      </w:tr>
      <w:tr>
        <w:trPr>
          <w:trHeight w:val="288"/>
        </w:trPr>
        <w:tc>
          <w:tcPr>
            <w:cnfStyle w:val="001000010000"/>
            <w:tcW w:w="2122" w:type="dxa"/>
          </w:tcPr>
          <w:p w14:paraId="00000188">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Net Profit Margin</w:t>
            </w:r>
          </w:p>
        </w:tc>
        <w:tc>
          <w:tcPr>
            <w:cnfStyle w:val="000000010000"/>
            <w:tcW w:w="1280" w:type="dxa"/>
          </w:tcPr>
          <w:p w14:paraId="0000018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10.25%</w:t>
            </w:r>
          </w:p>
        </w:tc>
        <w:tc>
          <w:tcPr>
            <w:cnfStyle w:val="000000010000"/>
            <w:tcW w:w="1280" w:type="dxa"/>
          </w:tcPr>
          <w:p w14:paraId="0000018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15.41%</w:t>
            </w:r>
          </w:p>
        </w:tc>
        <w:tc>
          <w:tcPr>
            <w:cnfStyle w:val="000000010000"/>
            <w:tcW w:w="1280" w:type="dxa"/>
          </w:tcPr>
          <w:p w14:paraId="0000018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15.50%</w:t>
            </w:r>
          </w:p>
        </w:tc>
        <w:tc>
          <w:tcPr>
            <w:cnfStyle w:val="000000010000"/>
            <w:tcW w:w="1280" w:type="dxa"/>
          </w:tcPr>
          <w:p w14:paraId="0000018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14.84%</w:t>
            </w:r>
          </w:p>
        </w:tc>
        <w:tc>
          <w:tcPr>
            <w:cnfStyle w:val="000000010000"/>
            <w:tcW w:w="1280" w:type="dxa"/>
          </w:tcPr>
          <w:p w14:paraId="0000018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14.55%</w:t>
            </w:r>
          </w:p>
        </w:tc>
      </w:tr>
      <w:tr>
        <w:trPr>
          <w:cnfStyle w:val="000000100000"/>
          <w:trHeight w:val="288"/>
        </w:trPr>
        <w:tc>
          <w:tcPr>
            <w:cnfStyle w:val="001000100000"/>
            <w:tcW w:w="2122" w:type="dxa"/>
          </w:tcPr>
          <w:p w14:paraId="0000018E">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ROCE</w:t>
            </w:r>
          </w:p>
        </w:tc>
        <w:tc>
          <w:tcPr>
            <w:cnfStyle w:val="000000100000"/>
            <w:tcW w:w="1280" w:type="dxa"/>
          </w:tcPr>
          <w:p w14:paraId="0000018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15.38%</w:t>
            </w:r>
          </w:p>
        </w:tc>
        <w:tc>
          <w:tcPr>
            <w:cnfStyle w:val="000000100000"/>
            <w:tcW w:w="1280" w:type="dxa"/>
          </w:tcPr>
          <w:p w14:paraId="0000019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25.48%</w:t>
            </w:r>
          </w:p>
        </w:tc>
        <w:tc>
          <w:tcPr>
            <w:cnfStyle w:val="000000100000"/>
            <w:tcW w:w="1280" w:type="dxa"/>
          </w:tcPr>
          <w:p w14:paraId="0000019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11.45%</w:t>
            </w:r>
          </w:p>
        </w:tc>
        <w:tc>
          <w:tcPr>
            <w:cnfStyle w:val="000000100000"/>
            <w:tcW w:w="1280" w:type="dxa"/>
          </w:tcPr>
          <w:p w14:paraId="0000019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10.66%</w:t>
            </w:r>
          </w:p>
        </w:tc>
        <w:tc>
          <w:tcPr>
            <w:cnfStyle w:val="000000100000"/>
            <w:tcW w:w="1280" w:type="dxa"/>
          </w:tcPr>
          <w:p w14:paraId="0000019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9.84%</w:t>
            </w:r>
          </w:p>
        </w:tc>
      </w:tr>
      <w:tr>
        <w:trPr>
          <w:trHeight w:val="288"/>
        </w:trPr>
        <w:tc>
          <w:tcPr>
            <w:cnfStyle w:val="001000010000"/>
            <w:tcW w:w="2122" w:type="dxa"/>
          </w:tcPr>
          <w:p w14:paraId="00000194">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ROE</w:t>
            </w:r>
          </w:p>
        </w:tc>
        <w:tc>
          <w:tcPr>
            <w:cnfStyle w:val="000000010000"/>
            <w:tcW w:w="1280" w:type="dxa"/>
          </w:tcPr>
          <w:p w14:paraId="0000019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18.28%</w:t>
            </w:r>
          </w:p>
        </w:tc>
        <w:tc>
          <w:tcPr>
            <w:cnfStyle w:val="000000010000"/>
            <w:tcW w:w="1280" w:type="dxa"/>
          </w:tcPr>
          <w:p w14:paraId="0000019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28.09%</w:t>
            </w:r>
          </w:p>
        </w:tc>
        <w:tc>
          <w:tcPr>
            <w:cnfStyle w:val="000000010000"/>
            <w:tcW w:w="1280" w:type="dxa"/>
          </w:tcPr>
          <w:p w14:paraId="0000019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23.91%</w:t>
            </w:r>
          </w:p>
        </w:tc>
        <w:tc>
          <w:tcPr>
            <w:cnfStyle w:val="000000010000"/>
            <w:tcW w:w="1280" w:type="dxa"/>
          </w:tcPr>
          <w:p w14:paraId="0000019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21.32%</w:t>
            </w:r>
          </w:p>
        </w:tc>
        <w:tc>
          <w:tcPr>
            <w:cnfStyle w:val="000000010000"/>
            <w:tcW w:w="1280" w:type="dxa"/>
          </w:tcPr>
          <w:p w14:paraId="0000019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19.03%</w:t>
            </w:r>
          </w:p>
        </w:tc>
      </w:tr>
    </w:tbl>
    <w:p w14:paraId="0000019A">
      <w:pPr>
        <w:rPr>
          <w:rFonts w:cs="Arial"/>
          <w:szCs w:val="24"/>
          <w:lang w:val="en-IN"/>
        </w:rPr>
      </w:pPr>
    </w:p>
    <w:tbl>
      <w:tblPr>
        <w:tblStyle w:val="ListTable3Accent4"/>
        <w:tblW w:w="8664" w:type="dxa"/>
        <w:tblLook w:val="04A0"/>
      </w:tblPr>
      <w:tblGrid>
        <w:gridCol w:w="2263"/>
        <w:gridCol w:w="1280"/>
        <w:gridCol w:w="1280"/>
        <w:gridCol w:w="1280"/>
        <w:gridCol w:w="1280"/>
        <w:gridCol w:w="1281"/>
      </w:tblGrid>
      <w:tr>
        <w:trPr>
          <w:cnfStyle w:val="100000000000"/>
          <w:trHeight w:val="288"/>
        </w:trPr>
        <w:tc>
          <w:tcPr>
            <w:cnfStyle w:val="101000000000"/>
            <w:tcW w:w="8664" w:type="dxa"/>
            <w:noWrap w:val="on"/>
            <w:gridSpan w:val="6"/>
          </w:tcPr>
          <w:p w14:paraId="0000019B">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LIQUIDITY RATIOS</w:t>
            </w:r>
          </w:p>
        </w:tc>
      </w:tr>
      <w:tr>
        <w:trPr>
          <w:cnfStyle w:val="000000100000"/>
          <w:trHeight w:val="288"/>
        </w:trPr>
        <w:tc>
          <w:tcPr>
            <w:cnfStyle w:val="001000100000"/>
            <w:tcW w:w="2263" w:type="dxa"/>
          </w:tcPr>
          <w:p w14:paraId="0000019C">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Ratio</w:t>
            </w:r>
          </w:p>
        </w:tc>
        <w:tc>
          <w:tcPr>
            <w:cnfStyle w:val="000000100000"/>
            <w:tcW w:w="1280" w:type="dxa"/>
          </w:tcPr>
          <w:p w14:paraId="0000019D">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19E">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19F">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1A0">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1" w:type="dxa"/>
          </w:tcPr>
          <w:p w14:paraId="000001A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88"/>
        </w:trPr>
        <w:tc>
          <w:tcPr>
            <w:cnfStyle w:val="001000010000"/>
            <w:tcW w:w="2263" w:type="dxa"/>
          </w:tcPr>
          <w:p w14:paraId="000001A2">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Current Ratio</w:t>
            </w:r>
          </w:p>
        </w:tc>
        <w:tc>
          <w:tcPr>
            <w:cnfStyle w:val="000000010000"/>
            <w:tcW w:w="1280" w:type="dxa"/>
          </w:tcPr>
          <w:p w14:paraId="000001A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1.55</w:t>
            </w:r>
          </w:p>
        </w:tc>
        <w:tc>
          <w:tcPr>
            <w:cnfStyle w:val="000000010000"/>
            <w:tcW w:w="1280" w:type="dxa"/>
          </w:tcPr>
          <w:p w14:paraId="000001A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1.42</w:t>
            </w:r>
          </w:p>
        </w:tc>
        <w:tc>
          <w:tcPr>
            <w:cnfStyle w:val="000000010000"/>
            <w:tcW w:w="1280" w:type="dxa"/>
          </w:tcPr>
          <w:p w14:paraId="000001A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1.71</w:t>
            </w:r>
          </w:p>
        </w:tc>
        <w:tc>
          <w:tcPr>
            <w:cnfStyle w:val="000000010000"/>
            <w:tcW w:w="1280" w:type="dxa"/>
          </w:tcPr>
          <w:p w14:paraId="000001A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1.68</w:t>
            </w:r>
          </w:p>
        </w:tc>
        <w:tc>
          <w:tcPr>
            <w:cnfStyle w:val="000000010000"/>
            <w:tcW w:w="1281" w:type="dxa"/>
          </w:tcPr>
          <w:p w14:paraId="000001A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1.70</w:t>
            </w:r>
          </w:p>
        </w:tc>
      </w:tr>
      <w:tr>
        <w:trPr>
          <w:cnfStyle w:val="000000100000"/>
          <w:trHeight w:val="288"/>
        </w:trPr>
        <w:tc>
          <w:tcPr>
            <w:cnfStyle w:val="001000100000"/>
            <w:tcW w:w="2263" w:type="dxa"/>
          </w:tcPr>
          <w:p w14:paraId="000001A8">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Quick Ratio</w:t>
            </w:r>
          </w:p>
        </w:tc>
        <w:tc>
          <w:tcPr>
            <w:cnfStyle w:val="000000100000"/>
            <w:tcW w:w="1280" w:type="dxa"/>
          </w:tcPr>
          <w:p w14:paraId="000001A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1.26</w:t>
            </w:r>
          </w:p>
        </w:tc>
        <w:tc>
          <w:tcPr>
            <w:cnfStyle w:val="000000100000"/>
            <w:tcW w:w="1280" w:type="dxa"/>
          </w:tcPr>
          <w:p w14:paraId="000001A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0.98</w:t>
            </w:r>
          </w:p>
        </w:tc>
        <w:tc>
          <w:tcPr>
            <w:cnfStyle w:val="000000100000"/>
            <w:tcW w:w="1280" w:type="dxa"/>
          </w:tcPr>
          <w:p w14:paraId="000001A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1.24</w:t>
            </w:r>
          </w:p>
        </w:tc>
        <w:tc>
          <w:tcPr>
            <w:cnfStyle w:val="000000100000"/>
            <w:tcW w:w="1280" w:type="dxa"/>
          </w:tcPr>
          <w:p w14:paraId="000001A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1.21</w:t>
            </w:r>
          </w:p>
        </w:tc>
        <w:tc>
          <w:tcPr>
            <w:cnfStyle w:val="000000100000"/>
            <w:tcW w:w="1281" w:type="dxa"/>
          </w:tcPr>
          <w:p w14:paraId="000001A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1.23</w:t>
            </w:r>
          </w:p>
        </w:tc>
      </w:tr>
    </w:tbl>
    <w:p w14:paraId="000001AE">
      <w:pPr>
        <w:rPr>
          <w:rFonts w:cs="Arial"/>
          <w:szCs w:val="24"/>
          <w:lang w:val="en-IN"/>
        </w:rPr>
      </w:pPr>
    </w:p>
    <w:tbl>
      <w:tblPr>
        <w:tblStyle w:val="ListTable3Accent4"/>
        <w:tblW w:w="8664" w:type="dxa"/>
        <w:tblLook w:val="04A0"/>
      </w:tblPr>
      <w:tblGrid>
        <w:gridCol w:w="2263"/>
        <w:gridCol w:w="1280"/>
        <w:gridCol w:w="1280"/>
        <w:gridCol w:w="1280"/>
        <w:gridCol w:w="1281"/>
        <w:gridCol w:w="1280"/>
      </w:tblGrid>
      <w:tr>
        <w:trPr>
          <w:cnfStyle w:val="100000000000"/>
          <w:trHeight w:val="288"/>
        </w:trPr>
        <w:tc>
          <w:tcPr>
            <w:cnfStyle w:val="101000000000"/>
            <w:tcW w:w="8664" w:type="dxa"/>
            <w:noWrap w:val="on"/>
            <w:gridSpan w:val="6"/>
          </w:tcPr>
          <w:p w14:paraId="000001AF">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EFFICIENCY RATIOS</w:t>
            </w:r>
          </w:p>
        </w:tc>
      </w:tr>
      <w:tr>
        <w:trPr>
          <w:cnfStyle w:val="000000100000"/>
          <w:trHeight w:val="288"/>
        </w:trPr>
        <w:tc>
          <w:tcPr>
            <w:cnfStyle w:val="001000100000"/>
            <w:tcW w:w="2263" w:type="dxa"/>
          </w:tcPr>
          <w:p w14:paraId="000001B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Ratio</w:t>
            </w:r>
          </w:p>
        </w:tc>
        <w:tc>
          <w:tcPr>
            <w:cnfStyle w:val="000000100000"/>
            <w:tcW w:w="1280" w:type="dxa"/>
          </w:tcPr>
          <w:p w14:paraId="000001B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1B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1B3">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1B4">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0" w:type="dxa"/>
          </w:tcPr>
          <w:p w14:paraId="000001B5">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88"/>
        </w:trPr>
        <w:tc>
          <w:tcPr>
            <w:cnfStyle w:val="001000010000"/>
            <w:tcW w:w="2263" w:type="dxa"/>
          </w:tcPr>
          <w:p w14:paraId="000001B6">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Asset Turnover</w:t>
            </w:r>
          </w:p>
        </w:tc>
        <w:tc>
          <w:tcPr>
            <w:cnfStyle w:val="000000010000"/>
            <w:tcW w:w="1280" w:type="dxa"/>
          </w:tcPr>
          <w:p w14:paraId="000001B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0.87</w:t>
            </w:r>
          </w:p>
        </w:tc>
        <w:tc>
          <w:tcPr>
            <w:cnfStyle w:val="000000010000"/>
            <w:tcW w:w="1280" w:type="dxa"/>
          </w:tcPr>
          <w:p w14:paraId="000001B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0.99</w:t>
            </w:r>
          </w:p>
        </w:tc>
        <w:tc>
          <w:tcPr>
            <w:cnfStyle w:val="000000010000"/>
            <w:tcW w:w="1280" w:type="dxa"/>
          </w:tcPr>
          <w:p w14:paraId="000001B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0.91</w:t>
            </w:r>
          </w:p>
        </w:tc>
        <w:tc>
          <w:tcPr>
            <w:cnfStyle w:val="000000010000"/>
            <w:tcW w:w="1280" w:type="dxa"/>
          </w:tcPr>
          <w:p w14:paraId="000001B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0.88</w:t>
            </w:r>
          </w:p>
        </w:tc>
        <w:tc>
          <w:tcPr>
            <w:cnfStyle w:val="000000010000"/>
            <w:tcW w:w="1280" w:type="dxa"/>
          </w:tcPr>
          <w:p w14:paraId="000001B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0.82</w:t>
            </w:r>
          </w:p>
        </w:tc>
      </w:tr>
      <w:tr>
        <w:trPr>
          <w:cnfStyle w:val="000000100000"/>
          <w:trHeight w:val="288"/>
        </w:trPr>
        <w:tc>
          <w:tcPr>
            <w:cnfStyle w:val="001000100000"/>
            <w:tcW w:w="2263" w:type="dxa"/>
          </w:tcPr>
          <w:p w14:paraId="000001BC">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Inventory Days</w:t>
            </w:r>
          </w:p>
        </w:tc>
        <w:tc>
          <w:tcPr>
            <w:cnfStyle w:val="000000100000"/>
            <w:tcW w:w="1280" w:type="dxa"/>
          </w:tcPr>
          <w:p w14:paraId="000001B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52</w:t>
            </w:r>
          </w:p>
        </w:tc>
        <w:tc>
          <w:tcPr>
            <w:cnfStyle w:val="000000100000"/>
            <w:tcW w:w="1280" w:type="dxa"/>
          </w:tcPr>
          <w:p w14:paraId="000001B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77</w:t>
            </w:r>
          </w:p>
        </w:tc>
        <w:tc>
          <w:tcPr>
            <w:cnfStyle w:val="000000100000"/>
            <w:tcW w:w="1280" w:type="dxa"/>
          </w:tcPr>
          <w:p w14:paraId="000001B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63</w:t>
            </w:r>
          </w:p>
        </w:tc>
        <w:tc>
          <w:tcPr>
            <w:cnfStyle w:val="000000100000"/>
            <w:tcW w:w="1280" w:type="dxa"/>
          </w:tcPr>
          <w:p w14:paraId="000001C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66</w:t>
            </w:r>
          </w:p>
        </w:tc>
        <w:tc>
          <w:tcPr>
            <w:cnfStyle w:val="000000100000"/>
            <w:tcW w:w="1280" w:type="dxa"/>
          </w:tcPr>
          <w:p w14:paraId="000001C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71</w:t>
            </w:r>
          </w:p>
        </w:tc>
      </w:tr>
      <w:tr>
        <w:trPr>
          <w:trHeight w:val="288"/>
        </w:trPr>
        <w:tc>
          <w:tcPr>
            <w:cnfStyle w:val="001000010000"/>
            <w:tcW w:w="2263" w:type="dxa"/>
          </w:tcPr>
          <w:p w14:paraId="000001C2">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Receivable Days</w:t>
            </w:r>
          </w:p>
        </w:tc>
        <w:tc>
          <w:tcPr>
            <w:cnfStyle w:val="000000010000"/>
            <w:tcW w:w="1280" w:type="dxa"/>
          </w:tcPr>
          <w:p w14:paraId="000001C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w:t>
            </w:r>
          </w:p>
        </w:tc>
        <w:tc>
          <w:tcPr>
            <w:cnfStyle w:val="000000010000"/>
            <w:tcW w:w="1280" w:type="dxa"/>
          </w:tcPr>
          <w:p w14:paraId="000001C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w:t>
            </w:r>
          </w:p>
        </w:tc>
        <w:tc>
          <w:tcPr>
            <w:cnfStyle w:val="000000010000"/>
            <w:tcW w:w="1280" w:type="dxa"/>
          </w:tcPr>
          <w:p w14:paraId="000001C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w:t>
            </w:r>
          </w:p>
        </w:tc>
        <w:tc>
          <w:tcPr>
            <w:cnfStyle w:val="000000010000"/>
            <w:tcW w:w="1280" w:type="dxa"/>
          </w:tcPr>
          <w:p w14:paraId="000001C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w:t>
            </w:r>
          </w:p>
        </w:tc>
        <w:tc>
          <w:tcPr>
            <w:cnfStyle w:val="000000010000"/>
            <w:tcW w:w="1280" w:type="dxa"/>
          </w:tcPr>
          <w:p w14:paraId="000001C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w:t>
            </w:r>
          </w:p>
        </w:tc>
      </w:tr>
      <w:tr>
        <w:trPr>
          <w:cnfStyle w:val="000000100000"/>
          <w:trHeight w:val="288"/>
        </w:trPr>
        <w:tc>
          <w:tcPr>
            <w:cnfStyle w:val="001000100000"/>
            <w:tcW w:w="2263" w:type="dxa"/>
          </w:tcPr>
          <w:p w14:paraId="000001C8">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Payable Days</w:t>
            </w:r>
          </w:p>
        </w:tc>
        <w:tc>
          <w:tcPr>
            <w:cnfStyle w:val="000000100000"/>
            <w:tcW w:w="1280" w:type="dxa"/>
          </w:tcPr>
          <w:p w14:paraId="000001C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91</w:t>
            </w:r>
          </w:p>
        </w:tc>
        <w:tc>
          <w:tcPr>
            <w:cnfStyle w:val="000000100000"/>
            <w:tcW w:w="1280" w:type="dxa"/>
          </w:tcPr>
          <w:p w14:paraId="000001C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92</w:t>
            </w:r>
          </w:p>
        </w:tc>
        <w:tc>
          <w:tcPr>
            <w:cnfStyle w:val="000000100000"/>
            <w:tcW w:w="1280" w:type="dxa"/>
          </w:tcPr>
          <w:p w14:paraId="000001C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75</w:t>
            </w:r>
          </w:p>
        </w:tc>
        <w:tc>
          <w:tcPr>
            <w:cnfStyle w:val="000000100000"/>
            <w:tcW w:w="1280" w:type="dxa"/>
          </w:tcPr>
          <w:p w14:paraId="000001C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78</w:t>
            </w:r>
          </w:p>
        </w:tc>
        <w:tc>
          <w:tcPr>
            <w:cnfStyle w:val="000000100000"/>
            <w:tcW w:w="1280" w:type="dxa"/>
          </w:tcPr>
          <w:p w14:paraId="000001C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87</w:t>
            </w:r>
          </w:p>
        </w:tc>
      </w:tr>
    </w:tbl>
    <w:p w14:paraId="000001CE">
      <w:pPr>
        <w:rPr>
          <w:rFonts w:cs="Arial"/>
          <w:szCs w:val="24"/>
        </w:rPr>
      </w:pPr>
    </w:p>
    <w:tbl>
      <w:tblPr>
        <w:tblStyle w:val="ListTable3Accent4"/>
        <w:tblW w:w="8664" w:type="dxa"/>
        <w:tblLook w:val="04A0"/>
      </w:tblPr>
      <w:tblGrid>
        <w:gridCol w:w="2263"/>
        <w:gridCol w:w="1280"/>
        <w:gridCol w:w="1280"/>
        <w:gridCol w:w="1280"/>
        <w:gridCol w:w="1280"/>
        <w:gridCol w:w="1281"/>
      </w:tblGrid>
      <w:tr>
        <w:trPr>
          <w:cnfStyle w:val="100000000000"/>
          <w:trHeight w:val="288"/>
        </w:trPr>
        <w:tc>
          <w:tcPr>
            <w:cnfStyle w:val="101000000000"/>
            <w:tcW w:w="8662" w:type="dxa"/>
            <w:noWrap w:val="on"/>
            <w:gridSpan w:val="6"/>
          </w:tcPr>
          <w:p w14:paraId="000001CF">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WORKING CAPITAL CYCLE (CCC)</w:t>
            </w:r>
          </w:p>
        </w:tc>
      </w:tr>
      <w:tr>
        <w:trPr>
          <w:cnfStyle w:val="000000100000"/>
          <w:trHeight w:val="288"/>
        </w:trPr>
        <w:tc>
          <w:tcPr>
            <w:cnfStyle w:val="001000100000"/>
            <w:tcW w:w="2263" w:type="dxa"/>
          </w:tcPr>
          <w:p w14:paraId="000001D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Metric</w:t>
            </w:r>
          </w:p>
        </w:tc>
        <w:tc>
          <w:tcPr>
            <w:cnfStyle w:val="000000100000"/>
            <w:tcW w:w="1280" w:type="dxa"/>
          </w:tcPr>
          <w:p w14:paraId="000001D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1D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1D3">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1D4">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1" w:type="dxa"/>
          </w:tcPr>
          <w:p w14:paraId="000001D5">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88"/>
        </w:trPr>
        <w:tc>
          <w:tcPr>
            <w:cnfStyle w:val="001000010000"/>
            <w:tcW w:w="2263" w:type="dxa"/>
          </w:tcPr>
          <w:p w14:paraId="000001D6">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Inventory Days</w:t>
            </w:r>
          </w:p>
        </w:tc>
        <w:tc>
          <w:tcPr>
            <w:cnfStyle w:val="000000010000"/>
            <w:tcW w:w="1280" w:type="dxa"/>
          </w:tcPr>
          <w:p w14:paraId="000001D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52</w:t>
            </w:r>
          </w:p>
        </w:tc>
        <w:tc>
          <w:tcPr>
            <w:cnfStyle w:val="000000010000"/>
            <w:tcW w:w="1280" w:type="dxa"/>
          </w:tcPr>
          <w:p w14:paraId="000001D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77</w:t>
            </w:r>
          </w:p>
        </w:tc>
        <w:tc>
          <w:tcPr>
            <w:cnfStyle w:val="000000010000"/>
            <w:tcW w:w="1280" w:type="dxa"/>
          </w:tcPr>
          <w:p w14:paraId="000001D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63</w:t>
            </w:r>
          </w:p>
        </w:tc>
        <w:tc>
          <w:tcPr>
            <w:cnfStyle w:val="000000010000"/>
            <w:tcW w:w="1280" w:type="dxa"/>
          </w:tcPr>
          <w:p w14:paraId="000001D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66</w:t>
            </w:r>
          </w:p>
        </w:tc>
        <w:tc>
          <w:tcPr>
            <w:cnfStyle w:val="000000010000"/>
            <w:tcW w:w="1281" w:type="dxa"/>
          </w:tcPr>
          <w:p w14:paraId="000001D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71</w:t>
            </w:r>
          </w:p>
        </w:tc>
      </w:tr>
      <w:tr>
        <w:trPr>
          <w:cnfStyle w:val="000000100000"/>
          <w:trHeight w:val="288"/>
        </w:trPr>
        <w:tc>
          <w:tcPr>
            <w:cnfStyle w:val="001000100000"/>
            <w:tcW w:w="2263" w:type="dxa"/>
          </w:tcPr>
          <w:p w14:paraId="000001DC">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Receivable Days</w:t>
            </w:r>
          </w:p>
        </w:tc>
        <w:tc>
          <w:tcPr>
            <w:cnfStyle w:val="000000100000"/>
            <w:tcW w:w="1280" w:type="dxa"/>
          </w:tcPr>
          <w:p w14:paraId="000001D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w:t>
            </w:r>
          </w:p>
        </w:tc>
        <w:tc>
          <w:tcPr>
            <w:cnfStyle w:val="000000100000"/>
            <w:tcW w:w="1280" w:type="dxa"/>
          </w:tcPr>
          <w:p w14:paraId="000001D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13</w:t>
            </w:r>
          </w:p>
        </w:tc>
        <w:tc>
          <w:tcPr>
            <w:cnfStyle w:val="000000100000"/>
            <w:tcW w:w="1280" w:type="dxa"/>
          </w:tcPr>
          <w:p w14:paraId="000001D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w:t>
            </w:r>
          </w:p>
        </w:tc>
        <w:tc>
          <w:tcPr>
            <w:cnfStyle w:val="000000100000"/>
            <w:tcW w:w="1280" w:type="dxa"/>
          </w:tcPr>
          <w:p w14:paraId="000001E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15</w:t>
            </w:r>
          </w:p>
        </w:tc>
        <w:tc>
          <w:tcPr>
            <w:cnfStyle w:val="000000100000"/>
            <w:tcW w:w="1281" w:type="dxa"/>
          </w:tcPr>
          <w:p w14:paraId="000001E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17</w:t>
            </w:r>
          </w:p>
        </w:tc>
      </w:tr>
      <w:tr>
        <w:trPr>
          <w:trHeight w:val="288"/>
        </w:trPr>
        <w:tc>
          <w:tcPr>
            <w:cnfStyle w:val="001000010000"/>
            <w:tcW w:w="2263" w:type="dxa"/>
          </w:tcPr>
          <w:p w14:paraId="000001E2">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Payable Days</w:t>
            </w:r>
          </w:p>
        </w:tc>
        <w:tc>
          <w:tcPr>
            <w:cnfStyle w:val="000000010000"/>
            <w:tcW w:w="1280" w:type="dxa"/>
          </w:tcPr>
          <w:p w14:paraId="000001E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91</w:t>
            </w:r>
          </w:p>
        </w:tc>
        <w:tc>
          <w:tcPr>
            <w:cnfStyle w:val="000000010000"/>
            <w:tcW w:w="1280" w:type="dxa"/>
          </w:tcPr>
          <w:p w14:paraId="000001E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92</w:t>
            </w:r>
          </w:p>
        </w:tc>
        <w:tc>
          <w:tcPr>
            <w:cnfStyle w:val="000000010000"/>
            <w:tcW w:w="1280" w:type="dxa"/>
          </w:tcPr>
          <w:p w14:paraId="000001E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75</w:t>
            </w:r>
          </w:p>
        </w:tc>
        <w:tc>
          <w:tcPr>
            <w:cnfStyle w:val="000000010000"/>
            <w:tcW w:w="1280" w:type="dxa"/>
          </w:tcPr>
          <w:p w14:paraId="000001E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78</w:t>
            </w:r>
          </w:p>
        </w:tc>
        <w:tc>
          <w:tcPr>
            <w:cnfStyle w:val="000000010000"/>
            <w:tcW w:w="1281" w:type="dxa"/>
          </w:tcPr>
          <w:p w14:paraId="000001E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87</w:t>
            </w:r>
          </w:p>
        </w:tc>
      </w:tr>
      <w:tr>
        <w:trPr>
          <w:cnfStyle w:val="000000100000"/>
          <w:trHeight w:val="288"/>
        </w:trPr>
        <w:tc>
          <w:tcPr>
            <w:cnfStyle w:val="001000100000"/>
            <w:tcW w:w="2263" w:type="dxa"/>
          </w:tcPr>
          <w:p w14:paraId="000001E8">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Cash Conversion Cycle</w:t>
            </w:r>
          </w:p>
        </w:tc>
        <w:tc>
          <w:tcPr>
            <w:cnfStyle w:val="000000100000"/>
            <w:tcW w:w="1280" w:type="dxa"/>
          </w:tcPr>
          <w:p w14:paraId="000001E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-26</w:t>
            </w:r>
          </w:p>
        </w:tc>
        <w:tc>
          <w:tcPr>
            <w:cnfStyle w:val="000000100000"/>
            <w:tcW w:w="1280" w:type="dxa"/>
          </w:tcPr>
          <w:p w14:paraId="000001E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w:t>
            </w:r>
          </w:p>
        </w:tc>
        <w:tc>
          <w:tcPr>
            <w:cnfStyle w:val="000000100000"/>
            <w:tcW w:w="1280" w:type="dxa"/>
          </w:tcPr>
          <w:p w14:paraId="000001E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w:t>
            </w:r>
          </w:p>
        </w:tc>
        <w:tc>
          <w:tcPr>
            <w:cnfStyle w:val="000000100000"/>
            <w:tcW w:w="1280" w:type="dxa"/>
          </w:tcPr>
          <w:p w14:paraId="000001E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w:t>
            </w:r>
          </w:p>
        </w:tc>
        <w:tc>
          <w:tcPr>
            <w:cnfStyle w:val="000000100000"/>
            <w:tcW w:w="1281" w:type="dxa"/>
          </w:tcPr>
          <w:p w14:paraId="000001E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w:t>
            </w:r>
          </w:p>
        </w:tc>
      </w:tr>
    </w:tbl>
    <w:p w14:paraId="000001EE">
      <w:pPr>
        <w:rPr>
          <w:rFonts w:cs="Arial"/>
          <w:szCs w:val="24"/>
        </w:rPr>
      </w:pPr>
    </w:p>
    <w:tbl>
      <w:tblPr>
        <w:tblStyle w:val="ListTable3Accent4"/>
        <w:tblW w:w="8664" w:type="dxa"/>
        <w:tblLook w:val="04A0"/>
      </w:tblPr>
      <w:tblGrid>
        <w:gridCol w:w="2263"/>
        <w:gridCol w:w="1280"/>
        <w:gridCol w:w="1280"/>
        <w:gridCol w:w="1280"/>
        <w:gridCol w:w="1281"/>
        <w:gridCol w:w="1280"/>
      </w:tblGrid>
      <w:tr>
        <w:trPr>
          <w:cnfStyle w:val="100000000000"/>
          <w:trHeight w:val="288"/>
        </w:trPr>
        <w:tc>
          <w:tcPr>
            <w:cnfStyle w:val="101000000000"/>
            <w:tcW w:w="8664" w:type="dxa"/>
            <w:noWrap w:val="on"/>
            <w:gridSpan w:val="6"/>
          </w:tcPr>
          <w:p w14:paraId="000001EF">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GEARING RATIO</w:t>
            </w:r>
          </w:p>
        </w:tc>
      </w:tr>
      <w:tr>
        <w:trPr>
          <w:cnfStyle w:val="000000100000"/>
          <w:trHeight w:val="288"/>
        </w:trPr>
        <w:tc>
          <w:tcPr>
            <w:cnfStyle w:val="001000100000"/>
            <w:tcW w:w="2263" w:type="dxa"/>
          </w:tcPr>
          <w:p w14:paraId="000001F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Ratio</w:t>
            </w:r>
          </w:p>
        </w:tc>
        <w:tc>
          <w:tcPr>
            <w:cnfStyle w:val="000000100000"/>
            <w:tcW w:w="1280" w:type="dxa"/>
          </w:tcPr>
          <w:p w14:paraId="000001F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1F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1F3">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1F4">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0" w:type="dxa"/>
          </w:tcPr>
          <w:p w14:paraId="000001F5">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288"/>
        </w:trPr>
        <w:tc>
          <w:tcPr>
            <w:cnfStyle w:val="001000010000"/>
            <w:tcW w:w="2263" w:type="dxa"/>
          </w:tcPr>
          <w:p w14:paraId="000001F6">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Debt to Equity</w:t>
            </w:r>
          </w:p>
        </w:tc>
        <w:tc>
          <w:tcPr>
            <w:cnfStyle w:val="000000010000"/>
            <w:tcW w:w="1280" w:type="dxa"/>
          </w:tcPr>
          <w:p w14:paraId="000001F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0.15</w:t>
            </w:r>
          </w:p>
        </w:tc>
        <w:tc>
          <w:tcPr>
            <w:cnfStyle w:val="000000010000"/>
            <w:tcW w:w="1280" w:type="dxa"/>
          </w:tcPr>
          <w:p w14:paraId="000001F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0.07</w:t>
            </w:r>
          </w:p>
        </w:tc>
        <w:tc>
          <w:tcPr>
            <w:cnfStyle w:val="000000010000"/>
            <w:tcW w:w="1280" w:type="dxa"/>
          </w:tcPr>
          <w:p w14:paraId="000001F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0.05</w:t>
            </w:r>
          </w:p>
        </w:tc>
        <w:tc>
          <w:tcPr>
            <w:cnfStyle w:val="000000010000"/>
            <w:tcW w:w="1280" w:type="dxa"/>
          </w:tcPr>
          <w:p w14:paraId="000001F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0.05</w:t>
            </w:r>
          </w:p>
        </w:tc>
        <w:tc>
          <w:tcPr>
            <w:cnfStyle w:val="000000010000"/>
            <w:tcW w:w="1280" w:type="dxa"/>
          </w:tcPr>
          <w:p w14:paraId="000001F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0.05</w:t>
            </w:r>
          </w:p>
        </w:tc>
      </w:tr>
    </w:tbl>
    <w:p w14:paraId="000001FC">
      <w:pPr>
        <w:rPr>
          <w:rFonts w:cs="Arial"/>
          <w:szCs w:val="24"/>
        </w:rPr>
      </w:pPr>
    </w:p>
    <w:tbl>
      <w:tblPr>
        <w:tblStyle w:val="ListTable3Accent4"/>
        <w:tblW w:w="8664" w:type="dxa"/>
        <w:tblLook w:val="04A0"/>
      </w:tblPr>
      <w:tblGrid>
        <w:gridCol w:w="2263"/>
        <w:gridCol w:w="1280"/>
        <w:gridCol w:w="1280"/>
        <w:gridCol w:w="1280"/>
        <w:gridCol w:w="1281"/>
        <w:gridCol w:w="1280"/>
      </w:tblGrid>
      <w:tr>
        <w:trPr>
          <w:cnfStyle w:val="100000000000"/>
          <w:trHeight w:val="288"/>
        </w:trPr>
        <w:tc>
          <w:tcPr>
            <w:cnfStyle w:val="101000000000"/>
            <w:tcW w:w="8664" w:type="dxa"/>
            <w:noWrap w:val="on"/>
            <w:gridSpan w:val="6"/>
          </w:tcPr>
          <w:p w14:paraId="000001FD">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CASH FLOW RATIOS</w:t>
            </w:r>
          </w:p>
        </w:tc>
      </w:tr>
      <w:tr>
        <w:trPr>
          <w:cnfStyle w:val="000000100000"/>
          <w:trHeight w:val="288"/>
        </w:trPr>
        <w:tc>
          <w:tcPr>
            <w:cnfStyle w:val="001000100000"/>
            <w:tcW w:w="2263" w:type="dxa"/>
          </w:tcPr>
          <w:p w14:paraId="000001FE">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Ratio</w:t>
            </w:r>
          </w:p>
        </w:tc>
        <w:tc>
          <w:tcPr>
            <w:cnfStyle w:val="000000100000"/>
            <w:tcW w:w="1280" w:type="dxa"/>
          </w:tcPr>
          <w:p w14:paraId="000001FF">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2021</w:t>
            </w:r>
          </w:p>
        </w:tc>
        <w:tc>
          <w:tcPr>
            <w:cnfStyle w:val="000000100000"/>
            <w:tcW w:w="1280" w:type="dxa"/>
          </w:tcPr>
          <w:p w14:paraId="00000200">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2022</w:t>
            </w:r>
          </w:p>
        </w:tc>
        <w:tc>
          <w:tcPr>
            <w:cnfStyle w:val="000000100000"/>
            <w:tcW w:w="1280" w:type="dxa"/>
          </w:tcPr>
          <w:p w14:paraId="00000201">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2023</w:t>
            </w:r>
          </w:p>
        </w:tc>
        <w:tc>
          <w:tcPr>
            <w:cnfStyle w:val="000000100000"/>
            <w:tcW w:w="1280" w:type="dxa"/>
          </w:tcPr>
          <w:p w14:paraId="0000020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2024</w:t>
            </w:r>
          </w:p>
        </w:tc>
        <w:tc>
          <w:tcPr>
            <w:cnfStyle w:val="000000100000"/>
            <w:tcW w:w="1280" w:type="dxa"/>
          </w:tcPr>
          <w:p w14:paraId="00000203">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2025</w:t>
            </w:r>
          </w:p>
        </w:tc>
      </w:tr>
      <w:tr>
        <w:trPr>
          <w:trHeight w:val="576"/>
        </w:trPr>
        <w:tc>
          <w:tcPr>
            <w:cnfStyle w:val="001000010000"/>
            <w:tcW w:w="2263" w:type="dxa"/>
          </w:tcPr>
          <w:p w14:paraId="00000204">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Operating Cash Flow Ratio</w:t>
            </w:r>
          </w:p>
        </w:tc>
        <w:tc>
          <w:tcPr>
            <w:cnfStyle w:val="000000010000"/>
            <w:tcW w:w="1280" w:type="dxa"/>
          </w:tcPr>
          <w:p w14:paraId="0000020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0.58</w:t>
            </w:r>
          </w:p>
        </w:tc>
        <w:tc>
          <w:tcPr>
            <w:cnfStyle w:val="000000010000"/>
            <w:tcW w:w="1280" w:type="dxa"/>
          </w:tcPr>
          <w:p w14:paraId="0000020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0.51</w:t>
            </w:r>
          </w:p>
        </w:tc>
        <w:tc>
          <w:tcPr>
            <w:cnfStyle w:val="000000010000"/>
            <w:tcW w:w="1280" w:type="dxa"/>
          </w:tcPr>
          <w:p w14:paraId="0000020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0.46</w:t>
            </w:r>
          </w:p>
        </w:tc>
        <w:tc>
          <w:tcPr>
            <w:cnfStyle w:val="000000010000"/>
            <w:tcW w:w="1280" w:type="dxa"/>
          </w:tcPr>
          <w:p w14:paraId="0000020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0.45</w:t>
            </w:r>
          </w:p>
        </w:tc>
        <w:tc>
          <w:tcPr>
            <w:cnfStyle w:val="000000010000"/>
            <w:tcW w:w="1280" w:type="dxa"/>
          </w:tcPr>
          <w:p w14:paraId="0000020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0.44</w:t>
            </w:r>
          </w:p>
        </w:tc>
      </w:tr>
      <w:tr>
        <w:trPr>
          <w:cnfStyle w:val="000000100000"/>
          <w:trHeight w:val="288"/>
        </w:trPr>
        <w:tc>
          <w:tcPr>
            <w:cnfStyle w:val="001000100000"/>
            <w:tcW w:w="2263" w:type="dxa"/>
          </w:tcPr>
          <w:p w14:paraId="0000020A">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Free Cash Flow</w:t>
            </w:r>
          </w:p>
        </w:tc>
        <w:tc>
          <w:tcPr>
            <w:cnfStyle w:val="000000100000"/>
            <w:tcW w:w="1280" w:type="dxa"/>
          </w:tcPr>
          <w:p w14:paraId="0000020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5,015</w:t>
            </w:r>
          </w:p>
        </w:tc>
        <w:tc>
          <w:tcPr>
            <w:cnfStyle w:val="000000100000"/>
            <w:tcW w:w="1280" w:type="dxa"/>
          </w:tcPr>
          <w:p w14:paraId="0000020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7,566</w:t>
            </w:r>
          </w:p>
        </w:tc>
        <w:tc>
          <w:tcPr>
            <w:cnfStyle w:val="000000100000"/>
            <w:tcW w:w="1280" w:type="dxa"/>
          </w:tcPr>
          <w:p w14:paraId="0000020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4,357</w:t>
            </w:r>
          </w:p>
        </w:tc>
        <w:tc>
          <w:tcPr>
            <w:cnfStyle w:val="000000100000"/>
            <w:tcW w:w="1280" w:type="dxa"/>
          </w:tcPr>
          <w:p w14:paraId="0000020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4,600</w:t>
            </w:r>
          </w:p>
        </w:tc>
        <w:tc>
          <w:tcPr>
            <w:cnfStyle w:val="000000100000"/>
            <w:tcW w:w="1280" w:type="dxa"/>
          </w:tcPr>
          <w:p w14:paraId="0000020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4,700</w:t>
            </w:r>
          </w:p>
        </w:tc>
      </w:tr>
    </w:tbl>
    <w:p w14:paraId="00000210">
      <w:pPr>
        <w:rPr>
          <w:rFonts w:cs="Arial"/>
          <w:szCs w:val="24"/>
        </w:rPr>
      </w:pPr>
    </w:p>
    <w:p w14:paraId="00000211">
      <w:pPr>
        <w:pStyle w:val="Heading2"/>
        <w:rPr>
          <w:rFonts w:cs="Arial"/>
          <w:szCs w:val="24"/>
        </w:rPr>
      </w:pPr>
      <w:bookmarkStart w:id="39" w:name="_Toc227907192"/>
      <w:r>
        <w:rPr>
          <w:rFonts w:cs="Arial"/>
          <w:szCs w:val="24"/>
        </w:rPr>
        <w:t xml:space="preserve">8.3 </w:t>
      </w:r>
      <w:r>
        <w:rPr>
          <w:rFonts w:cs="Arial"/>
          <w:szCs w:val="24"/>
        </w:rPr>
        <w:t>Investment Appraisal</w:t>
      </w:r>
      <w:bookmarkEnd w:id="39"/>
    </w:p>
    <w:tbl>
      <w:tblPr>
        <w:tblStyle w:val="ListTable3Accent4"/>
        <w:tblW w:w="8708" w:type="dxa"/>
        <w:tblLook w:val="04A0"/>
      </w:tblPr>
      <w:tblGrid>
        <w:gridCol w:w="4248"/>
        <w:gridCol w:w="1520"/>
        <w:gridCol w:w="1520"/>
        <w:gridCol w:w="1420"/>
      </w:tblGrid>
      <w:tr>
        <w:trPr>
          <w:cnfStyle w:val="100000000000"/>
          <w:trHeight w:val="288"/>
        </w:trPr>
        <w:tc>
          <w:tcPr>
            <w:cnfStyle w:val="101000000000"/>
            <w:tcW w:w="8705" w:type="dxa"/>
            <w:noWrap w:val="on"/>
            <w:gridSpan w:val="4"/>
          </w:tcPr>
          <w:p w14:paraId="00000212">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Cash Flow Data</w:t>
            </w:r>
          </w:p>
        </w:tc>
      </w:tr>
      <w:tr>
        <w:trPr>
          <w:cnfStyle w:val="000000100000"/>
          <w:trHeight w:val="288"/>
        </w:trPr>
        <w:tc>
          <w:tcPr>
            <w:cnfStyle w:val="001000100000"/>
            <w:tcW w:w="4248" w:type="dxa"/>
          </w:tcPr>
          <w:p w14:paraId="00000213">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Year</w:t>
            </w:r>
          </w:p>
        </w:tc>
        <w:tc>
          <w:tcPr>
            <w:cnfStyle w:val="000000100000"/>
            <w:tcW w:w="1520" w:type="dxa"/>
          </w:tcPr>
          <w:p w14:paraId="00000214">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Project A (£m)</w:t>
            </w:r>
          </w:p>
        </w:tc>
        <w:tc>
          <w:tcPr>
            <w:cnfStyle w:val="000000100000"/>
            <w:tcW w:w="1520" w:type="dxa"/>
          </w:tcPr>
          <w:p w14:paraId="00000215">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Project B (£m)</w:t>
            </w:r>
          </w:p>
        </w:tc>
        <w:tc>
          <w:tcPr>
            <w:cnfStyle w:val="000000100000"/>
            <w:tcW w:w="1420" w:type="dxa"/>
          </w:tcPr>
          <w:p w14:paraId="00000216">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Project C (£m)</w:t>
            </w:r>
          </w:p>
        </w:tc>
      </w:tr>
      <w:tr>
        <w:trPr>
          <w:trHeight w:val="288"/>
        </w:trPr>
        <w:tc>
          <w:tcPr>
            <w:cnfStyle w:val="001000010000"/>
            <w:tcW w:w="4248" w:type="dxa"/>
          </w:tcPr>
          <w:p w14:paraId="00000217">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0 (Initial Investment)</w:t>
            </w:r>
          </w:p>
        </w:tc>
        <w:tc>
          <w:tcPr>
            <w:cnfStyle w:val="000000010000"/>
            <w:tcW w:w="1520" w:type="dxa"/>
          </w:tcPr>
          <w:p w14:paraId="00000218">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-50</w:t>
            </w:r>
          </w:p>
        </w:tc>
        <w:tc>
          <w:tcPr>
            <w:cnfStyle w:val="000000010000"/>
            <w:tcW w:w="1520" w:type="dxa"/>
          </w:tcPr>
          <w:p w14:paraId="00000219">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-50</w:t>
            </w:r>
          </w:p>
        </w:tc>
        <w:tc>
          <w:tcPr>
            <w:cnfStyle w:val="000000010000"/>
            <w:tcW w:w="1420" w:type="dxa"/>
          </w:tcPr>
          <w:p w14:paraId="0000021A">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-50</w:t>
            </w:r>
          </w:p>
        </w:tc>
      </w:tr>
      <w:tr>
        <w:trPr>
          <w:cnfStyle w:val="000000100000"/>
          <w:trHeight w:val="288"/>
        </w:trPr>
        <w:tc>
          <w:tcPr>
            <w:cnfStyle w:val="001000100000"/>
            <w:tcW w:w="4248" w:type="dxa"/>
          </w:tcPr>
          <w:p w14:paraId="0000021B">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Year 1</w:t>
            </w:r>
          </w:p>
        </w:tc>
        <w:tc>
          <w:tcPr>
            <w:cnfStyle w:val="000000100000"/>
            <w:tcW w:w="1520" w:type="dxa"/>
          </w:tcPr>
          <w:p w14:paraId="0000021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w:t>
            </w:r>
          </w:p>
        </w:tc>
        <w:tc>
          <w:tcPr>
            <w:cnfStyle w:val="000000100000"/>
            <w:tcW w:w="1520" w:type="dxa"/>
          </w:tcPr>
          <w:p w14:paraId="0000021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w:t>
            </w:r>
          </w:p>
        </w:tc>
        <w:tc>
          <w:tcPr>
            <w:cnfStyle w:val="000000100000"/>
            <w:tcW w:w="1420" w:type="dxa"/>
          </w:tcPr>
          <w:p w14:paraId="0000021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w:t>
            </w:r>
          </w:p>
        </w:tc>
      </w:tr>
      <w:tr>
        <w:trPr>
          <w:trHeight w:val="288"/>
        </w:trPr>
        <w:tc>
          <w:tcPr>
            <w:cnfStyle w:val="001000010000"/>
            <w:tcW w:w="4248" w:type="dxa"/>
          </w:tcPr>
          <w:p w14:paraId="0000021F">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Year 2</w:t>
            </w:r>
          </w:p>
        </w:tc>
        <w:tc>
          <w:tcPr>
            <w:cnfStyle w:val="000000010000"/>
            <w:tcW w:w="1520" w:type="dxa"/>
          </w:tcPr>
          <w:p w14:paraId="0000022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w:t>
            </w:r>
          </w:p>
        </w:tc>
        <w:tc>
          <w:tcPr>
            <w:cnfStyle w:val="000000010000"/>
            <w:tcW w:w="1520" w:type="dxa"/>
          </w:tcPr>
          <w:p w14:paraId="0000022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w:t>
            </w:r>
          </w:p>
        </w:tc>
        <w:tc>
          <w:tcPr>
            <w:cnfStyle w:val="000000010000"/>
            <w:tcW w:w="1420" w:type="dxa"/>
          </w:tcPr>
          <w:p w14:paraId="0000022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w:t>
            </w:r>
          </w:p>
        </w:tc>
      </w:tr>
      <w:tr>
        <w:trPr>
          <w:cnfStyle w:val="000000100000"/>
          <w:trHeight w:val="288"/>
        </w:trPr>
        <w:tc>
          <w:tcPr>
            <w:cnfStyle w:val="001000100000"/>
            <w:tcW w:w="4248" w:type="dxa"/>
          </w:tcPr>
          <w:p w14:paraId="00000223">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Year 3</w:t>
            </w:r>
          </w:p>
        </w:tc>
        <w:tc>
          <w:tcPr>
            <w:cnfStyle w:val="000000100000"/>
            <w:tcW w:w="1520" w:type="dxa"/>
          </w:tcPr>
          <w:p w14:paraId="0000022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w:t>
            </w:r>
          </w:p>
        </w:tc>
        <w:tc>
          <w:tcPr>
            <w:cnfStyle w:val="000000100000"/>
            <w:tcW w:w="1520" w:type="dxa"/>
          </w:tcPr>
          <w:p w14:paraId="0000022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w:t>
            </w:r>
          </w:p>
        </w:tc>
        <w:tc>
          <w:tcPr>
            <w:cnfStyle w:val="000000100000"/>
            <w:tcW w:w="1420" w:type="dxa"/>
          </w:tcPr>
          <w:p w14:paraId="0000022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20</w:t>
            </w:r>
          </w:p>
        </w:tc>
      </w:tr>
      <w:tr>
        <w:trPr>
          <w:trHeight w:val="288"/>
        </w:trPr>
        <w:tc>
          <w:tcPr>
            <w:cnfStyle w:val="001000010000"/>
            <w:tcW w:w="4248" w:type="dxa"/>
          </w:tcPr>
          <w:p w14:paraId="00000227">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Year 4</w:t>
            </w:r>
          </w:p>
        </w:tc>
        <w:tc>
          <w:tcPr>
            <w:cnfStyle w:val="000000010000"/>
            <w:tcW w:w="1520" w:type="dxa"/>
          </w:tcPr>
          <w:p w14:paraId="0000022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w:t>
            </w:r>
          </w:p>
        </w:tc>
        <w:tc>
          <w:tcPr>
            <w:cnfStyle w:val="000000010000"/>
            <w:tcW w:w="1520" w:type="dxa"/>
          </w:tcPr>
          <w:p w14:paraId="0000022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w:t>
            </w:r>
          </w:p>
        </w:tc>
        <w:tc>
          <w:tcPr>
            <w:cnfStyle w:val="000000010000"/>
            <w:tcW w:w="1420" w:type="dxa"/>
          </w:tcPr>
          <w:p w14:paraId="0000022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25</w:t>
            </w:r>
          </w:p>
        </w:tc>
      </w:tr>
      <w:tr>
        <w:trPr>
          <w:cnfStyle w:val="000000100000"/>
          <w:trHeight w:val="288"/>
        </w:trPr>
        <w:tc>
          <w:tcPr>
            <w:cnfStyle w:val="001000100000"/>
            <w:tcW w:w="4248" w:type="dxa"/>
          </w:tcPr>
          <w:p w14:paraId="0000022B">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Year 5</w:t>
            </w:r>
          </w:p>
        </w:tc>
        <w:tc>
          <w:tcPr>
            <w:cnfStyle w:val="000000100000"/>
            <w:tcW w:w="1520" w:type="dxa"/>
          </w:tcPr>
          <w:p w14:paraId="0000022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w:t>
            </w:r>
          </w:p>
        </w:tc>
        <w:tc>
          <w:tcPr>
            <w:cnfStyle w:val="000000100000"/>
            <w:tcW w:w="1520" w:type="dxa"/>
          </w:tcPr>
          <w:p w14:paraId="0000022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11</w:t>
            </w:r>
          </w:p>
        </w:tc>
        <w:tc>
          <w:tcPr>
            <w:cnfStyle w:val="000000100000"/>
            <w:tcW w:w="1420" w:type="dxa"/>
          </w:tcPr>
          <w:p w14:paraId="0000022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w:t>
            </w:r>
          </w:p>
        </w:tc>
      </w:tr>
    </w:tbl>
    <w:p w14:paraId="0000022F">
      <w:pPr>
        <w:rPr>
          <w:rFonts w:cs="Arial"/>
          <w:szCs w:val="24"/>
        </w:rPr>
      </w:pPr>
    </w:p>
    <w:tbl>
      <w:tblPr>
        <w:tblStyle w:val="ListTable3Accent4"/>
        <w:tblW w:w="3720" w:type="dxa"/>
        <w:jc w:val="center"/>
        <w:tblLook w:val="04A0"/>
      </w:tblPr>
      <w:tblGrid>
        <w:gridCol w:w="2200"/>
        <w:gridCol w:w="1520"/>
      </w:tblGrid>
      <w:tr>
        <w:trPr>
          <w:cnfStyle w:val="100000000000"/>
          <w:trHeight w:val="288"/>
          <w:jc w:val="center"/>
        </w:trPr>
        <w:tc>
          <w:tcPr>
            <w:cnfStyle w:val="101000000000"/>
            <w:tcW w:w="3720" w:type="dxa"/>
            <w:noWrap w:val="on"/>
            <w:gridSpan w:val="2"/>
          </w:tcPr>
          <w:p w14:paraId="0000023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 xml:space="preserve">DISCOUNT FACTOR </w:t>
            </w:r>
          </w:p>
        </w:tc>
      </w:tr>
      <w:tr>
        <w:trPr>
          <w:cnfStyle w:val="000000100000"/>
          <w:trHeight w:val="288"/>
          <w:jc w:val="center"/>
        </w:trPr>
        <w:tc>
          <w:tcPr>
            <w:cnfStyle w:val="001000100000"/>
            <w:tcW w:w="2200" w:type="dxa"/>
          </w:tcPr>
          <w:p w14:paraId="00000231">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Year</w:t>
            </w:r>
          </w:p>
        </w:tc>
        <w:tc>
          <w:tcPr>
            <w:cnfStyle w:val="000000100000"/>
            <w:tcW w:w="1520" w:type="dxa"/>
          </w:tcPr>
          <w:p w14:paraId="0000023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Discount Factor</w:t>
            </w:r>
          </w:p>
        </w:tc>
      </w:tr>
      <w:tr>
        <w:trPr>
          <w:trHeight w:val="288"/>
          <w:jc w:val="center"/>
        </w:trPr>
        <w:tc>
          <w:tcPr>
            <w:cnfStyle w:val="001000010000"/>
            <w:tcW w:w="2200" w:type="dxa"/>
          </w:tcPr>
          <w:p w14:paraId="00000233">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w:t>
            </w:r>
          </w:p>
        </w:tc>
        <w:tc>
          <w:tcPr>
            <w:cnfStyle w:val="000000010000"/>
            <w:tcW w:w="1520" w:type="dxa"/>
          </w:tcPr>
          <w:p w14:paraId="00000234">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1</w:t>
            </w:r>
          </w:p>
        </w:tc>
      </w:tr>
      <w:tr>
        <w:trPr>
          <w:cnfStyle w:val="000000100000"/>
          <w:trHeight w:val="288"/>
          <w:jc w:val="center"/>
        </w:trPr>
        <w:tc>
          <w:tcPr>
            <w:cnfStyle w:val="001000100000"/>
            <w:tcW w:w="2200" w:type="dxa"/>
          </w:tcPr>
          <w:p w14:paraId="00000235">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1</w:t>
            </w:r>
          </w:p>
        </w:tc>
        <w:tc>
          <w:tcPr>
            <w:cnfStyle w:val="000000100000"/>
            <w:tcW w:w="1520" w:type="dxa"/>
          </w:tcPr>
          <w:p w14:paraId="00000236">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0.909</w:t>
            </w:r>
          </w:p>
        </w:tc>
      </w:tr>
      <w:tr>
        <w:trPr>
          <w:trHeight w:val="288"/>
          <w:jc w:val="center"/>
        </w:trPr>
        <w:tc>
          <w:tcPr>
            <w:cnfStyle w:val="001000010000"/>
            <w:tcW w:w="2200" w:type="dxa"/>
          </w:tcPr>
          <w:p w14:paraId="00000237">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2</w:t>
            </w:r>
          </w:p>
        </w:tc>
        <w:tc>
          <w:tcPr>
            <w:cnfStyle w:val="000000010000"/>
            <w:tcW w:w="1520" w:type="dxa"/>
          </w:tcPr>
          <w:p w14:paraId="00000238">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0.826</w:t>
            </w:r>
          </w:p>
        </w:tc>
      </w:tr>
      <w:tr>
        <w:trPr>
          <w:cnfStyle w:val="000000100000"/>
          <w:trHeight w:val="288"/>
          <w:jc w:val="center"/>
        </w:trPr>
        <w:tc>
          <w:tcPr>
            <w:cnfStyle w:val="001000100000"/>
            <w:tcW w:w="2200" w:type="dxa"/>
          </w:tcPr>
          <w:p w14:paraId="00000239">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3</w:t>
            </w:r>
          </w:p>
        </w:tc>
        <w:tc>
          <w:tcPr>
            <w:cnfStyle w:val="000000100000"/>
            <w:tcW w:w="1520" w:type="dxa"/>
          </w:tcPr>
          <w:p w14:paraId="0000023A">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0.751</w:t>
            </w:r>
          </w:p>
        </w:tc>
      </w:tr>
      <w:tr>
        <w:trPr>
          <w:trHeight w:val="288"/>
          <w:jc w:val="center"/>
        </w:trPr>
        <w:tc>
          <w:tcPr>
            <w:cnfStyle w:val="001000010000"/>
            <w:tcW w:w="2200" w:type="dxa"/>
          </w:tcPr>
          <w:p w14:paraId="0000023B">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4</w:t>
            </w:r>
          </w:p>
        </w:tc>
        <w:tc>
          <w:tcPr>
            <w:cnfStyle w:val="000000010000"/>
            <w:tcW w:w="1520" w:type="dxa"/>
          </w:tcPr>
          <w:p w14:paraId="0000023C">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0.683</w:t>
            </w:r>
          </w:p>
        </w:tc>
      </w:tr>
      <w:tr>
        <w:trPr>
          <w:cnfStyle w:val="000000100000"/>
          <w:trHeight w:val="288"/>
          <w:jc w:val="center"/>
        </w:trPr>
        <w:tc>
          <w:tcPr>
            <w:cnfStyle w:val="001000100000"/>
            <w:tcW w:w="2200" w:type="dxa"/>
          </w:tcPr>
          <w:p w14:paraId="0000023D">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5</w:t>
            </w:r>
          </w:p>
        </w:tc>
        <w:tc>
          <w:tcPr>
            <w:cnfStyle w:val="000000100000"/>
            <w:tcW w:w="1520" w:type="dxa"/>
          </w:tcPr>
          <w:p w14:paraId="0000023E">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0.621</w:t>
            </w:r>
          </w:p>
        </w:tc>
      </w:tr>
    </w:tbl>
    <w:p w14:paraId="0000023F">
      <w:pPr>
        <w:rPr>
          <w:rFonts w:cs="Arial"/>
          <w:szCs w:val="24"/>
        </w:rPr>
      </w:pPr>
    </w:p>
    <w:tbl>
      <w:tblPr>
        <w:tblStyle w:val="ListTable3Accent4"/>
        <w:tblW w:w="8721" w:type="dxa"/>
        <w:tblLook w:val="04A0"/>
      </w:tblPr>
      <w:tblGrid>
        <w:gridCol w:w="3114"/>
        <w:gridCol w:w="2126"/>
        <w:gridCol w:w="1843"/>
        <w:gridCol w:w="1638"/>
      </w:tblGrid>
      <w:tr>
        <w:trPr>
          <w:cnfStyle w:val="100000000000"/>
          <w:trHeight w:val="288"/>
        </w:trPr>
        <w:tc>
          <w:tcPr>
            <w:cnfStyle w:val="101000000000"/>
            <w:tcW w:w="8718" w:type="dxa"/>
            <w:noWrap w:val="on"/>
            <w:gridSpan w:val="4"/>
          </w:tcPr>
          <w:p w14:paraId="00000240">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NPV CALCULATION</w:t>
            </w:r>
          </w:p>
        </w:tc>
      </w:tr>
      <w:tr>
        <w:trPr>
          <w:cnfStyle w:val="000000100000"/>
          <w:trHeight w:val="288"/>
        </w:trPr>
        <w:tc>
          <w:tcPr>
            <w:cnfStyle w:val="001000100000"/>
            <w:tcW w:w="3114" w:type="dxa"/>
          </w:tcPr>
          <w:p w14:paraId="00000241">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Year</w:t>
            </w:r>
          </w:p>
        </w:tc>
        <w:tc>
          <w:tcPr>
            <w:cnfStyle w:val="000000100000"/>
            <w:tcW w:w="2126" w:type="dxa"/>
          </w:tcPr>
          <w:p w14:paraId="00000242">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Cash Flow</w:t>
            </w:r>
          </w:p>
        </w:tc>
        <w:tc>
          <w:tcPr>
            <w:cnfStyle w:val="000000100000"/>
            <w:tcW w:w="1843" w:type="dxa"/>
          </w:tcPr>
          <w:p w14:paraId="00000243">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Discount Factor</w:t>
            </w:r>
          </w:p>
        </w:tc>
        <w:tc>
          <w:tcPr>
            <w:cnfStyle w:val="000000100000"/>
            <w:tcW w:w="1638" w:type="dxa"/>
          </w:tcPr>
          <w:p w14:paraId="00000244">
            <w:pPr>
              <w:spacing w:before="0" w:beforeAutospacing="0" w:after="0" w:afterAutospacing="0" w:line="240" w:lineRule="auto"/>
              <w:jc w:val="center"/>
              <w:rPr>
                <w:rFonts w:cs="Arial" w:eastAsia="Times New Roman"/>
                <w:b/>
                <w:bCs/>
                <w:color w:val="000000"/>
                <w:szCs w:val="24"/>
                <w:lang w:val="en-IN" w:eastAsia="en-IN"/>
              </w:rPr>
            </w:pPr>
            <w:r>
              <w:rPr>
                <w:rFonts w:cs="Arial" w:eastAsia="Times New Roman"/>
                <w:b/>
                <w:bCs/>
                <w:color w:val="000000"/>
                <w:szCs w:val="24"/>
                <w:lang w:val="en-IN" w:eastAsia="en-IN"/>
              </w:rPr>
              <w:t>Present Value</w:t>
            </w:r>
          </w:p>
        </w:tc>
      </w:tr>
      <w:tr>
        <w:trPr>
          <w:trHeight w:val="288"/>
        </w:trPr>
        <w:tc>
          <w:tcPr>
            <w:cnfStyle w:val="001000010000"/>
            <w:tcW w:w="3114" w:type="dxa"/>
          </w:tcPr>
          <w:p w14:paraId="0000024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w:t>
            </w:r>
          </w:p>
        </w:tc>
        <w:tc>
          <w:tcPr>
            <w:cnfStyle w:val="000000010000"/>
            <w:tcW w:w="2126" w:type="dxa"/>
          </w:tcPr>
          <w:p w14:paraId="0000024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-50</w:t>
            </w:r>
          </w:p>
        </w:tc>
        <w:tc>
          <w:tcPr>
            <w:cnfStyle w:val="000000010000"/>
            <w:tcW w:w="1843" w:type="dxa"/>
          </w:tcPr>
          <w:p w14:paraId="0000024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w:t>
            </w:r>
          </w:p>
        </w:tc>
        <w:tc>
          <w:tcPr>
            <w:cnfStyle w:val="000000010000"/>
            <w:tcW w:w="1638" w:type="dxa"/>
          </w:tcPr>
          <w:p w14:paraId="0000024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-50</w:t>
            </w:r>
          </w:p>
        </w:tc>
      </w:tr>
      <w:tr>
        <w:trPr>
          <w:cnfStyle w:val="000000100000"/>
          <w:trHeight w:val="288"/>
        </w:trPr>
        <w:tc>
          <w:tcPr>
            <w:cnfStyle w:val="001000100000"/>
            <w:tcW w:w="3114" w:type="dxa"/>
          </w:tcPr>
          <w:p w14:paraId="0000024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w:t>
            </w:r>
          </w:p>
        </w:tc>
        <w:tc>
          <w:tcPr>
            <w:cnfStyle w:val="000000100000"/>
            <w:tcW w:w="2126" w:type="dxa"/>
          </w:tcPr>
          <w:p w14:paraId="0000024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w:t>
            </w:r>
          </w:p>
        </w:tc>
        <w:tc>
          <w:tcPr>
            <w:cnfStyle w:val="000000100000"/>
            <w:tcW w:w="1843" w:type="dxa"/>
          </w:tcPr>
          <w:p w14:paraId="0000024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0.909</w:t>
            </w:r>
          </w:p>
        </w:tc>
        <w:tc>
          <w:tcPr>
            <w:cnfStyle w:val="000000100000"/>
            <w:tcW w:w="1638" w:type="dxa"/>
          </w:tcPr>
          <w:p w14:paraId="0000024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9.09</w:t>
            </w:r>
          </w:p>
        </w:tc>
      </w:tr>
      <w:tr>
        <w:trPr>
          <w:trHeight w:val="288"/>
        </w:trPr>
        <w:tc>
          <w:tcPr>
            <w:cnfStyle w:val="001000010000"/>
            <w:tcW w:w="3114" w:type="dxa"/>
          </w:tcPr>
          <w:p w14:paraId="0000024D">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2</w:t>
            </w:r>
          </w:p>
        </w:tc>
        <w:tc>
          <w:tcPr>
            <w:cnfStyle w:val="000000010000"/>
            <w:tcW w:w="2126" w:type="dxa"/>
          </w:tcPr>
          <w:p w14:paraId="0000024E">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12</w:t>
            </w:r>
          </w:p>
        </w:tc>
        <w:tc>
          <w:tcPr>
            <w:cnfStyle w:val="000000010000"/>
            <w:tcW w:w="1843" w:type="dxa"/>
          </w:tcPr>
          <w:p w14:paraId="0000024F">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0.826</w:t>
            </w:r>
          </w:p>
        </w:tc>
        <w:tc>
          <w:tcPr>
            <w:cnfStyle w:val="000000010000"/>
            <w:tcW w:w="1638" w:type="dxa"/>
          </w:tcPr>
          <w:p w14:paraId="00000250">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9.91</w:t>
            </w:r>
          </w:p>
        </w:tc>
      </w:tr>
      <w:tr>
        <w:trPr>
          <w:cnfStyle w:val="000000100000"/>
          <w:trHeight w:val="288"/>
        </w:trPr>
        <w:tc>
          <w:tcPr>
            <w:cnfStyle w:val="001000100000"/>
            <w:tcW w:w="3114" w:type="dxa"/>
          </w:tcPr>
          <w:p w14:paraId="00000251">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3</w:t>
            </w:r>
          </w:p>
        </w:tc>
        <w:tc>
          <w:tcPr>
            <w:cnfStyle w:val="000000100000"/>
            <w:tcW w:w="2126" w:type="dxa"/>
          </w:tcPr>
          <w:p w14:paraId="00000252">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14</w:t>
            </w:r>
          </w:p>
        </w:tc>
        <w:tc>
          <w:tcPr>
            <w:cnfStyle w:val="000000100000"/>
            <w:tcW w:w="1843" w:type="dxa"/>
          </w:tcPr>
          <w:p w14:paraId="00000253">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0.751</w:t>
            </w:r>
          </w:p>
        </w:tc>
        <w:tc>
          <w:tcPr>
            <w:cnfStyle w:val="000000100000"/>
            <w:tcW w:w="1638" w:type="dxa"/>
          </w:tcPr>
          <w:p w14:paraId="00000254">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10.51</w:t>
            </w:r>
          </w:p>
        </w:tc>
      </w:tr>
      <w:tr>
        <w:trPr>
          <w:trHeight w:val="288"/>
        </w:trPr>
        <w:tc>
          <w:tcPr>
            <w:cnfStyle w:val="001000010000"/>
            <w:tcW w:w="3114" w:type="dxa"/>
          </w:tcPr>
          <w:p w14:paraId="00000255">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w:t>
            </w:r>
          </w:p>
        </w:tc>
        <w:tc>
          <w:tcPr>
            <w:cnfStyle w:val="000000010000"/>
            <w:tcW w:w="2126" w:type="dxa"/>
          </w:tcPr>
          <w:p w14:paraId="00000256">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10</w:t>
            </w:r>
          </w:p>
        </w:tc>
        <w:tc>
          <w:tcPr>
            <w:cnfStyle w:val="000000010000"/>
            <w:tcW w:w="1843" w:type="dxa"/>
          </w:tcPr>
          <w:p w14:paraId="00000257">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0.683</w:t>
            </w:r>
          </w:p>
        </w:tc>
        <w:tc>
          <w:tcPr>
            <w:cnfStyle w:val="000000010000"/>
            <w:tcW w:w="1638" w:type="dxa"/>
          </w:tcPr>
          <w:p w14:paraId="00000258">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6.83</w:t>
            </w:r>
          </w:p>
        </w:tc>
      </w:tr>
      <w:tr>
        <w:trPr>
          <w:cnfStyle w:val="000000100000"/>
          <w:trHeight w:val="288"/>
        </w:trPr>
        <w:tc>
          <w:tcPr>
            <w:cnfStyle w:val="001000100000"/>
            <w:tcW w:w="3114" w:type="dxa"/>
          </w:tcPr>
          <w:p w14:paraId="00000259">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5</w:t>
            </w:r>
          </w:p>
        </w:tc>
        <w:tc>
          <w:tcPr>
            <w:cnfStyle w:val="000000100000"/>
            <w:tcW w:w="2126" w:type="dxa"/>
          </w:tcPr>
          <w:p w14:paraId="0000025A">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8</w:t>
            </w:r>
          </w:p>
        </w:tc>
        <w:tc>
          <w:tcPr>
            <w:cnfStyle w:val="000000100000"/>
            <w:tcW w:w="1843" w:type="dxa"/>
          </w:tcPr>
          <w:p w14:paraId="0000025B">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0.621</w:t>
            </w:r>
          </w:p>
        </w:tc>
        <w:tc>
          <w:tcPr>
            <w:cnfStyle w:val="000000100000"/>
            <w:tcW w:w="1638" w:type="dxa"/>
          </w:tcPr>
          <w:p w14:paraId="0000025C">
            <w:pPr>
              <w:spacing w:before="0" w:beforeAutospacing="0" w:after="0" w:afterAutospacing="0" w:line="240" w:lineRule="auto"/>
              <w:jc w:val="right"/>
              <w:rPr>
                <w:rFonts w:cs="Arial" w:eastAsia="Times New Roman"/>
                <w:color w:val="000000"/>
                <w:szCs w:val="24"/>
                <w:lang w:val="en-IN" w:eastAsia="en-IN"/>
              </w:rPr>
            </w:pPr>
            <w:r>
              <w:rPr>
                <w:rFonts w:cs="Arial" w:eastAsia="Times New Roman"/>
                <w:color w:val="000000"/>
                <w:szCs w:val="24"/>
                <w:lang w:val="en-IN" w:eastAsia="en-IN"/>
              </w:rPr>
              <w:t>4.97</w:t>
            </w:r>
          </w:p>
        </w:tc>
      </w:tr>
      <w:tr>
        <w:trPr>
          <w:trHeight w:val="288"/>
        </w:trPr>
        <w:tc>
          <w:tcPr>
            <w:cnfStyle w:val="001000010000"/>
            <w:tcW w:w="3114" w:type="dxa"/>
          </w:tcPr>
          <w:p w14:paraId="0000025D">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Total NPV</w:t>
            </w:r>
          </w:p>
        </w:tc>
        <w:tc>
          <w:tcPr>
            <w:cnfStyle w:val="000000010000"/>
            <w:tcW w:w="2126" w:type="dxa"/>
          </w:tcPr>
          <w:p w14:paraId="0000025E">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 </w:t>
            </w:r>
          </w:p>
        </w:tc>
        <w:tc>
          <w:tcPr>
            <w:cnfStyle w:val="000000010000"/>
            <w:tcW w:w="1843" w:type="dxa"/>
          </w:tcPr>
          <w:p w14:paraId="0000025F">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 </w:t>
            </w:r>
          </w:p>
        </w:tc>
        <w:tc>
          <w:tcPr>
            <w:cnfStyle w:val="000000010000"/>
            <w:tcW w:w="1638" w:type="dxa"/>
          </w:tcPr>
          <w:p w14:paraId="00000260">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-2.14</w:t>
            </w:r>
          </w:p>
        </w:tc>
      </w:tr>
    </w:tbl>
    <w:p w14:paraId="00000261">
      <w:pPr>
        <w:rPr>
          <w:rFonts w:cs="Arial"/>
          <w:szCs w:val="24"/>
        </w:rPr>
      </w:pPr>
    </w:p>
    <w:tbl>
      <w:tblPr>
        <w:tblStyle w:val="ListTable3Accent4"/>
        <w:tblW w:w="8784" w:type="dxa"/>
        <w:tblLook w:val="04A0"/>
      </w:tblPr>
      <w:tblGrid>
        <w:gridCol w:w="2689"/>
        <w:gridCol w:w="1842"/>
        <w:gridCol w:w="1985"/>
        <w:gridCol w:w="2268"/>
      </w:tblGrid>
      <w:tr>
        <w:trPr>
          <w:cnfStyle w:val="100000000000"/>
          <w:trHeight w:val="288"/>
        </w:trPr>
        <w:tc>
          <w:tcPr>
            <w:cnfStyle w:val="101000000000"/>
            <w:tcW w:w="2689" w:type="dxa"/>
          </w:tcPr>
          <w:p w14:paraId="00000262">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Metric</w:t>
            </w:r>
          </w:p>
        </w:tc>
        <w:tc>
          <w:tcPr>
            <w:cnfStyle w:val="100000000000"/>
            <w:tcW w:w="1842" w:type="dxa"/>
          </w:tcPr>
          <w:p w14:paraId="00000263">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Project A</w:t>
            </w:r>
          </w:p>
        </w:tc>
        <w:tc>
          <w:tcPr>
            <w:cnfStyle w:val="100000000000"/>
            <w:tcW w:w="1985" w:type="dxa"/>
          </w:tcPr>
          <w:p w14:paraId="00000264">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Project B</w:t>
            </w:r>
          </w:p>
        </w:tc>
        <w:tc>
          <w:tcPr>
            <w:cnfStyle w:val="100000000000"/>
            <w:tcW w:w="2268" w:type="dxa"/>
          </w:tcPr>
          <w:p w14:paraId="00000265">
            <w:pPr>
              <w:spacing w:before="0" w:beforeAutospacing="0" w:after="0" w:afterAutospacing="0" w:line="240" w:lineRule="auto"/>
              <w:jc w:val="center"/>
              <w:rPr>
                <w:rFonts w:cs="Arial" w:eastAsia="Times New Roman"/>
                <w:color w:val="000000"/>
                <w:szCs w:val="24"/>
                <w:lang w:val="en-IN" w:eastAsia="en-IN"/>
              </w:rPr>
            </w:pPr>
            <w:r>
              <w:rPr>
                <w:rFonts w:cs="Arial" w:eastAsia="Times New Roman"/>
                <w:color w:val="000000"/>
                <w:szCs w:val="24"/>
                <w:lang w:val="en-IN" w:eastAsia="en-IN"/>
              </w:rPr>
              <w:t>Project C</w:t>
            </w:r>
          </w:p>
        </w:tc>
      </w:tr>
      <w:tr>
        <w:trPr>
          <w:cnfStyle w:val="000000100000"/>
          <w:trHeight w:val="288"/>
        </w:trPr>
        <w:tc>
          <w:tcPr>
            <w:cnfStyle w:val="001000100000"/>
            <w:tcW w:w="2689" w:type="dxa"/>
          </w:tcPr>
          <w:p w14:paraId="00000266">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Payback Period (Years)</w:t>
            </w:r>
          </w:p>
        </w:tc>
        <w:tc>
          <w:tcPr>
            <w:cnfStyle w:val="000000100000"/>
            <w:tcW w:w="1842" w:type="dxa"/>
          </w:tcPr>
          <w:p w14:paraId="00000267">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4.5</w:t>
            </w:r>
          </w:p>
        </w:tc>
        <w:tc>
          <w:tcPr>
            <w:cnfStyle w:val="000000100000"/>
            <w:tcW w:w="1985" w:type="dxa"/>
          </w:tcPr>
          <w:p w14:paraId="00000268">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4.55</w:t>
            </w:r>
          </w:p>
        </w:tc>
        <w:tc>
          <w:tcPr>
            <w:cnfStyle w:val="000000100000"/>
            <w:tcW w:w="2268" w:type="dxa"/>
          </w:tcPr>
          <w:p w14:paraId="00000269">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4</w:t>
            </w:r>
          </w:p>
        </w:tc>
      </w:tr>
      <w:tr>
        <w:trPr>
          <w:trHeight w:val="288"/>
        </w:trPr>
        <w:tc>
          <w:tcPr>
            <w:cnfStyle w:val="001000010000"/>
            <w:tcW w:w="2689" w:type="dxa"/>
          </w:tcPr>
          <w:p w14:paraId="0000026A">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ARR (%)</w:t>
            </w:r>
          </w:p>
        </w:tc>
        <w:tc>
          <w:tcPr>
            <w:cnfStyle w:val="000000010000"/>
            <w:tcW w:w="1842" w:type="dxa"/>
          </w:tcPr>
          <w:p w14:paraId="0000026B">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1.60%</w:t>
            </w:r>
          </w:p>
        </w:tc>
        <w:tc>
          <w:tcPr>
            <w:cnfStyle w:val="000000010000"/>
            <w:tcW w:w="1985" w:type="dxa"/>
          </w:tcPr>
          <w:p w14:paraId="0000026C">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2.00%</w:t>
            </w:r>
          </w:p>
        </w:tc>
        <w:tc>
          <w:tcPr>
            <w:cnfStyle w:val="000000010000"/>
            <w:tcW w:w="2268" w:type="dxa"/>
          </w:tcPr>
          <w:p w14:paraId="0000026D">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6.00%</w:t>
            </w:r>
          </w:p>
        </w:tc>
      </w:tr>
      <w:tr>
        <w:trPr>
          <w:cnfStyle w:val="000000100000"/>
          <w:trHeight w:val="288"/>
        </w:trPr>
        <w:tc>
          <w:tcPr>
            <w:cnfStyle w:val="001000100000"/>
            <w:tcW w:w="2689" w:type="dxa"/>
          </w:tcPr>
          <w:p w14:paraId="0000026E">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NPV (£m)</w:t>
            </w:r>
          </w:p>
        </w:tc>
        <w:tc>
          <w:tcPr>
            <w:cnfStyle w:val="000000100000"/>
            <w:tcW w:w="1842" w:type="dxa"/>
          </w:tcPr>
          <w:p w14:paraId="0000026F">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-2.14</w:t>
            </w:r>
          </w:p>
        </w:tc>
        <w:tc>
          <w:tcPr>
            <w:cnfStyle w:val="000000100000"/>
            <w:tcW w:w="1985" w:type="dxa"/>
          </w:tcPr>
          <w:p w14:paraId="00000270">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-8.3</w:t>
            </w:r>
          </w:p>
        </w:tc>
        <w:tc>
          <w:tcPr>
            <w:cnfStyle w:val="000000100000"/>
            <w:tcW w:w="2268" w:type="dxa"/>
          </w:tcPr>
          <w:p w14:paraId="00000271">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1.08</w:t>
            </w:r>
          </w:p>
        </w:tc>
      </w:tr>
      <w:tr>
        <w:trPr>
          <w:trHeight w:val="288"/>
        </w:trPr>
        <w:tc>
          <w:tcPr>
            <w:cnfStyle w:val="001000010000"/>
            <w:tcW w:w="2689" w:type="dxa"/>
          </w:tcPr>
          <w:p w14:paraId="00000272">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Profitability Index</w:t>
            </w:r>
          </w:p>
        </w:tc>
        <w:tc>
          <w:tcPr>
            <w:cnfStyle w:val="000000010000"/>
            <w:tcW w:w="1842" w:type="dxa"/>
          </w:tcPr>
          <w:p w14:paraId="00000273">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0.96</w:t>
            </w:r>
          </w:p>
        </w:tc>
        <w:tc>
          <w:tcPr>
            <w:cnfStyle w:val="000000010000"/>
            <w:tcW w:w="1985" w:type="dxa"/>
          </w:tcPr>
          <w:p w14:paraId="00000274">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0.83</w:t>
            </w:r>
          </w:p>
        </w:tc>
        <w:tc>
          <w:tcPr>
            <w:cnfStyle w:val="000000010000"/>
            <w:tcW w:w="2268" w:type="dxa"/>
          </w:tcPr>
          <w:p w14:paraId="00000275">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1.02</w:t>
            </w:r>
          </w:p>
        </w:tc>
      </w:tr>
      <w:tr>
        <w:trPr>
          <w:cnfStyle w:val="000000100000"/>
          <w:trHeight w:val="288"/>
        </w:trPr>
        <w:tc>
          <w:tcPr>
            <w:cnfStyle w:val="001000100000"/>
            <w:tcW w:w="2689" w:type="dxa"/>
          </w:tcPr>
          <w:p w14:paraId="00000276">
            <w:pPr>
              <w:spacing w:before="0" w:beforeAutospacing="0" w:after="0" w:afterAutospacing="0" w:line="240" w:lineRule="auto"/>
              <w:jc w:val="left"/>
              <w:rPr>
                <w:rFonts w:cs="Arial" w:eastAsia="Times New Roman"/>
                <w:color w:val="000000"/>
                <w:szCs w:val="24"/>
                <w:lang w:val="en-IN" w:eastAsia="en-IN"/>
              </w:rPr>
            </w:pPr>
            <w:r>
              <w:rPr>
                <w:rFonts w:cs="Arial" w:eastAsia="Times New Roman"/>
                <w:color w:val="000000"/>
                <w:szCs w:val="24"/>
                <w:lang w:val="en-IN" w:eastAsia="en-IN"/>
              </w:rPr>
              <w:t>IRR (%)</w:t>
            </w:r>
          </w:p>
        </w:tc>
        <w:tc>
          <w:tcPr>
            <w:cnfStyle w:val="000000100000"/>
            <w:tcW w:w="1842" w:type="dxa"/>
          </w:tcPr>
          <w:p w14:paraId="00000277">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8.45%</w:t>
            </w:r>
          </w:p>
        </w:tc>
        <w:tc>
          <w:tcPr>
            <w:cnfStyle w:val="000000100000"/>
            <w:tcW w:w="1985" w:type="dxa"/>
          </w:tcPr>
          <w:p w14:paraId="00000278">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3.42%</w:t>
            </w:r>
          </w:p>
        </w:tc>
        <w:tc>
          <w:tcPr>
            <w:cnfStyle w:val="000000100000"/>
            <w:tcW w:w="2268" w:type="dxa"/>
          </w:tcPr>
          <w:p w14:paraId="00000279">
            <w:pPr>
              <w:spacing w:before="0" w:beforeAutospacing="0" w:after="0" w:afterAutospacing="0" w:line="240" w:lineRule="auto"/>
              <w:jc w:val="right"/>
              <w:rPr>
                <w:rFonts w:cs="Arial" w:eastAsia="Times New Roman"/>
                <w:b/>
                <w:bCs/>
                <w:color w:val="000000"/>
                <w:szCs w:val="24"/>
                <w:lang w:val="en-IN" w:eastAsia="en-IN"/>
              </w:rPr>
            </w:pPr>
            <w:r>
              <w:rPr>
                <w:rFonts w:cs="Arial" w:eastAsia="Times New Roman"/>
                <w:b/>
                <w:bCs/>
                <w:color w:val="000000"/>
                <w:szCs w:val="24"/>
                <w:lang w:val="en-IN" w:eastAsia="en-IN"/>
              </w:rPr>
              <w:t>10.69%</w:t>
            </w:r>
          </w:p>
        </w:tc>
      </w:tr>
    </w:tbl>
    <w:p w14:paraId="0000027A">
      <w:pPr>
        <w:rPr>
          <w:rFonts w:cs="Arial"/>
          <w:szCs w:val="24"/>
        </w:rPr>
      </w:pPr>
    </w:p>
    <w:sectPr>
      <w:footerReference w:type="default" r:id="rId36"/>
      <w:pgSz w:w="11906" w:h="16838"/>
      <w:pgMar w:top="1440" w:right="1440" w:bottom="1440" w:left="1440" w:header="708" w:footer="708" w:gutter="0"/>
      <w:pgBorders w:display="allPages" w:offsetFrom="page" w:zOrder="front">
        <w:top w:val="single" w:color="auto" w:sz="4" w:space="24"/>
        <w:left w:val="single" w:color="auto" w:sz="4" w:space="24"/>
        <w:right w:val="single" w:color="auto" w:sz="4" w:space="24"/>
        <w:bottom w:val="single" w:color="auto" w:sz="4" w:space="24"/>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endnote w:type="separator" w:id="0">
    <w:p w14:paraId="00000003">
      <w:pPr>
        <w:spacing w:before="0" w:beforeAutospacing="0" w:after="0" w:afterAutospacing="0" w:line="240" w:lineRule="auto"/>
        <w:rPr/>
      </w:pPr>
      <w:r>
        <w:rPr/>
        <w:separator/>
      </w:r>
    </w:p>
  </w:endnote>
  <w:endnote w:type="continuationSeparator" w:id="1">
    <w:p w14:paraId="00000004">
      <w:pPr>
        <w:spacing w:before="0" w:beforeAutospacing="0" w:after="0" w:afterAutospacing="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p w14:paraId="0000027B">
    <w:pPr>
      <w:pStyle w:val="Footer"/>
      <w:jc w:val="right"/>
      <w:rPr/>
    </w:pPr>
    <w:r>
      <w:fldChar w:fldCharType="begin"/>
    </w:r>
    <w:r>
      <w:instrText xml:space="preserve"> PAGE   \* MERGEFORMAT </w:instrText>
    </w:r>
    <w:r>
      <w:fldChar w:fldCharType="separate"/>
    </w:r>
    <w:r>
      <w:t>2</w:t>
    </w:r>
    <w:r>
      <w:fldChar w:fldCharType="end"/>
    </w:r>
  </w:p>
  <w:p w14:paraId="0000027C">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footnote w:type="separator" w:id="0">
    <w:p w14:paraId="00000001">
      <w:pPr>
        <w:spacing w:before="0" w:beforeAutospacing="0" w:after="0" w:afterAutospacing="0" w:line="240" w:lineRule="auto"/>
        <w:rPr/>
      </w:pPr>
      <w:r>
        <w:rPr/>
        <w:separator/>
      </w:r>
    </w:p>
  </w:footnote>
  <w:footnote w:type="continuationSeparator" w:id="1">
    <w:p w14:paraId="00000002">
      <w:pPr>
        <w:spacing w:before="0" w:beforeAutospacing="0" w:after="0" w:afterAutospacing="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xszA2NDM2MjU0MrRQ0lEKTi0uzszPAykwrAUACDoVGSwAAAA="/>
  </w:docVars>
  <w:rsids>
    <w:rsidRoot w:val="002E0570"/>
    <w:rsid w:val="0002130A"/>
    <w:rsid w:val="00071E31"/>
    <w:rsid w:val="00077E42"/>
    <w:rsid w:val="00084077"/>
    <w:rsid w:val="00086D30"/>
    <w:rsid w:val="000A182D"/>
    <w:rsid w:val="000B11B6"/>
    <w:rsid w:val="000D4278"/>
    <w:rsid w:val="000E0C6A"/>
    <w:rsid w:val="000F67DE"/>
    <w:rsid w:val="000F7372"/>
    <w:rsid w:val="00104E32"/>
    <w:rsid w:val="00110271"/>
    <w:rsid w:val="00122CC9"/>
    <w:rsid w:val="00123DF1"/>
    <w:rsid w:val="00130ED9"/>
    <w:rsid w:val="00166FFC"/>
    <w:rsid w:val="00185BFD"/>
    <w:rsid w:val="00186824"/>
    <w:rsid w:val="00197500"/>
    <w:rsid w:val="001A60CA"/>
    <w:rsid w:val="001C05AB"/>
    <w:rsid w:val="001C092B"/>
    <w:rsid w:val="001E33E6"/>
    <w:rsid w:val="00210EA7"/>
    <w:rsid w:val="00225642"/>
    <w:rsid w:val="002260E5"/>
    <w:rsid w:val="00227BF5"/>
    <w:rsid w:val="00234DF3"/>
    <w:rsid w:val="00240182"/>
    <w:rsid w:val="002463E3"/>
    <w:rsid w:val="002467FB"/>
    <w:rsid w:val="002540E7"/>
    <w:rsid w:val="00255749"/>
    <w:rsid w:val="00296D9B"/>
    <w:rsid w:val="002B2DEE"/>
    <w:rsid w:val="002C0F55"/>
    <w:rsid w:val="002C7DB5"/>
    <w:rsid w:val="002D0527"/>
    <w:rsid w:val="002D057C"/>
    <w:rsid w:val="002D72CE"/>
    <w:rsid w:val="002E0570"/>
    <w:rsid w:val="002F45F0"/>
    <w:rsid w:val="00317754"/>
    <w:rsid w:val="0032479A"/>
    <w:rsid w:val="0032711C"/>
    <w:rsid w:val="00332E92"/>
    <w:rsid w:val="00383C51"/>
    <w:rsid w:val="0039134C"/>
    <w:rsid w:val="003A777E"/>
    <w:rsid w:val="004266E5"/>
    <w:rsid w:val="004367AE"/>
    <w:rsid w:val="004448B0"/>
    <w:rsid w:val="004556DD"/>
    <w:rsid w:val="00484910"/>
    <w:rsid w:val="00486552"/>
    <w:rsid w:val="004A2862"/>
    <w:rsid w:val="004F28E7"/>
    <w:rsid w:val="005209BE"/>
    <w:rsid w:val="00527EFD"/>
    <w:rsid w:val="00536DA6"/>
    <w:rsid w:val="00546AFC"/>
    <w:rsid w:val="005512BC"/>
    <w:rsid w:val="005532D7"/>
    <w:rsid w:val="00560010"/>
    <w:rsid w:val="00562BE7"/>
    <w:rsid w:val="0056643C"/>
    <w:rsid w:val="00571C7D"/>
    <w:rsid w:val="005B5B2B"/>
    <w:rsid w:val="005C2DE1"/>
    <w:rsid w:val="005C2F90"/>
    <w:rsid w:val="005C4254"/>
    <w:rsid w:val="005D6B4F"/>
    <w:rsid w:val="005F0BA3"/>
    <w:rsid w:val="005F6B77"/>
    <w:rsid w:val="00600139"/>
    <w:rsid w:val="0062140C"/>
    <w:rsid w:val="00624002"/>
    <w:rsid w:val="00672606"/>
    <w:rsid w:val="00676BD3"/>
    <w:rsid w:val="0069460F"/>
    <w:rsid w:val="006B0874"/>
    <w:rsid w:val="006B44F5"/>
    <w:rsid w:val="006B52FC"/>
    <w:rsid w:val="006C75CB"/>
    <w:rsid w:val="006D7440"/>
    <w:rsid w:val="006E6A68"/>
    <w:rsid w:val="006F366A"/>
    <w:rsid w:val="00702315"/>
    <w:rsid w:val="00724FD6"/>
    <w:rsid w:val="007251E7"/>
    <w:rsid w:val="00737672"/>
    <w:rsid w:val="0078194A"/>
    <w:rsid w:val="0078775A"/>
    <w:rsid w:val="007A7617"/>
    <w:rsid w:val="007B3E3C"/>
    <w:rsid w:val="007E2FFB"/>
    <w:rsid w:val="007F0CA9"/>
    <w:rsid w:val="00804A76"/>
    <w:rsid w:val="00821B8E"/>
    <w:rsid w:val="00827740"/>
    <w:rsid w:val="0084375E"/>
    <w:rsid w:val="00860BFB"/>
    <w:rsid w:val="00873B20"/>
    <w:rsid w:val="0088207A"/>
    <w:rsid w:val="008C14BE"/>
    <w:rsid w:val="008C5B67"/>
    <w:rsid w:val="008E4419"/>
    <w:rsid w:val="008E524E"/>
    <w:rsid w:val="008F1360"/>
    <w:rsid w:val="00946976"/>
    <w:rsid w:val="009612EB"/>
    <w:rsid w:val="00972763"/>
    <w:rsid w:val="009A0072"/>
    <w:rsid w:val="009B0DF0"/>
    <w:rsid w:val="009D10B5"/>
    <w:rsid w:val="009D68B8"/>
    <w:rsid w:val="009E6699"/>
    <w:rsid w:val="009F3B51"/>
    <w:rsid w:val="00A06717"/>
    <w:rsid w:val="00A15CB6"/>
    <w:rsid w:val="00A30307"/>
    <w:rsid w:val="00A62F6B"/>
    <w:rsid w:val="00A8692C"/>
    <w:rsid w:val="00A87B5F"/>
    <w:rsid w:val="00AA19E5"/>
    <w:rsid w:val="00AB3CF9"/>
    <w:rsid w:val="00AC1302"/>
    <w:rsid w:val="00AC33E9"/>
    <w:rsid w:val="00AC67C8"/>
    <w:rsid w:val="00AE22CC"/>
    <w:rsid w:val="00B137EB"/>
    <w:rsid w:val="00B16328"/>
    <w:rsid w:val="00B35575"/>
    <w:rsid w:val="00B41EF4"/>
    <w:rsid w:val="00B572EB"/>
    <w:rsid w:val="00B653CB"/>
    <w:rsid w:val="00B75286"/>
    <w:rsid w:val="00B82D9C"/>
    <w:rsid w:val="00B83CE1"/>
    <w:rsid w:val="00B940DB"/>
    <w:rsid w:val="00BE0928"/>
    <w:rsid w:val="00BE3162"/>
    <w:rsid w:val="00BE4431"/>
    <w:rsid w:val="00BF2EEB"/>
    <w:rsid w:val="00C00724"/>
    <w:rsid w:val="00C03869"/>
    <w:rsid w:val="00C25E6D"/>
    <w:rsid w:val="00C32153"/>
    <w:rsid w:val="00C50280"/>
    <w:rsid w:val="00C763D1"/>
    <w:rsid w:val="00C77653"/>
    <w:rsid w:val="00C972C1"/>
    <w:rsid w:val="00CC2265"/>
    <w:rsid w:val="00CE7D48"/>
    <w:rsid w:val="00CF020C"/>
    <w:rsid w:val="00CF470B"/>
    <w:rsid w:val="00D33668"/>
    <w:rsid w:val="00D47D22"/>
    <w:rsid w:val="00D50798"/>
    <w:rsid w:val="00D50E1E"/>
    <w:rsid w:val="00D67DA8"/>
    <w:rsid w:val="00D83BD0"/>
    <w:rsid w:val="00D93AA0"/>
    <w:rsid w:val="00D941DD"/>
    <w:rsid w:val="00DA2BA9"/>
    <w:rsid w:val="00DB2E1B"/>
    <w:rsid w:val="00DB4B79"/>
    <w:rsid w:val="00DD391E"/>
    <w:rsid w:val="00E02C72"/>
    <w:rsid w:val="00E11B49"/>
    <w:rsid w:val="00E272F5"/>
    <w:rsid w:val="00E32BDF"/>
    <w:rsid w:val="00EB6BA4"/>
    <w:rsid w:val="00ED1CD9"/>
    <w:rsid w:val="00EE22EE"/>
    <w:rsid w:val="00F03A79"/>
    <w:rsid w:val="00F03D85"/>
    <w:rsid w:val="00F14948"/>
    <w:rsid w:val="00F15C77"/>
    <w:rsid w:val="00F24D94"/>
    <w:rsid w:val="00F27D34"/>
    <w:rsid w:val="00F4180A"/>
    <w:rsid w:val="00F41E19"/>
    <w:rsid w:val="00F42CAD"/>
    <w:rsid w:val="00F52621"/>
    <w:rsid w:val="00F6528A"/>
    <w:rsid w:val="00F71E06"/>
    <w:rsid w:val="00F73DBD"/>
    <w:rsid w:val="00F83DBB"/>
    <w:rsid w:val="00F979CB"/>
    <w:rsid w:val="00FA2EAD"/>
    <w:rsid w:val="00FD023F"/>
    <w:rsid w:val="00FD031B"/>
    <w:rsid w:val="00FF1F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B1B84"/>
  <w15:chartTrackingRefBased/>
  <w15:docId w15:val="{CF6EB572-98F3-45EF-918F-74EF8B8D3F4A}"/>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IN" w:bidi="ar-SA" w:eastAsia="en-US"/>
      </w:rPr>
    </w:rPrDefault>
    <w:pPrDefault>
      <w:pPr>
        <w:spacing w:beforeAutospacing="0" w:after="160" w:afterAutospacing="0" w:line="259" w:lineRule="auto"/>
      </w:pPr>
    </w:pPrDefault>
  </w:docDefaults>
  <w:style w:type="paragraph" w:styleId="NoSpacing">
    <w:name w:val="No Spacing"/>
    <w:uiPriority w:val="1"/>
    <w:qFormat w:val="on"/>
    <w:pPr>
      <w:spacing w:beforeAutospacing="0" w:after="0" w:afterAutospacing="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beforeAutospacing="0" w:after="0" w:afterAutospacing="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beforeAutospacing="0" w:after="0" w:afterAutospacing="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beforeAutospacing="0" w:after="0" w:afterAutospacing="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before="120" w:beforeAutospacing="0" w:after="120" w:afterAutospacing="0" w:line="360" w:lineRule="auto"/>
      <w:jc w:val="both"/>
    </w:pPr>
    <w:rPr>
      <w:rFonts w:ascii="Arial" w:hAnsi="Arial"/>
      <w:sz w:val="24"/>
      <w:lang w:val="en-GB"/>
    </w:rPr>
  </w:style>
  <w:style w:type="paragraph" w:styleId="Heading1">
    <w:name w:val="Heading 1"/>
    <w:basedOn w:val="Normal"/>
    <w:next w:val="Normal"/>
    <w:link w:val="Heading1Char"/>
    <w:uiPriority w:val="9"/>
    <w:qFormat w:val="on"/>
    <w:pPr>
      <w:keepNext w:val="on"/>
      <w:keepLines w:val="on"/>
    </w:pPr>
    <w:rPr>
      <w:rFonts w:eastAsiaTheme="majorEastAsia"/>
      <w:b/>
      <w:bCs/>
      <w:color w:val="000000" w:themeColor="text1"/>
      <w:szCs w:val="48"/>
      <w:lang w:eastAsia="en-IN"/>
    </w:rPr>
  </w:style>
  <w:style w:type="paragraph" w:styleId="Heading2">
    <w:name w:val="Heading 2"/>
    <w:basedOn w:val="Normal"/>
    <w:next w:val="Normal"/>
    <w:link w:val="Heading2Char"/>
    <w:uiPriority w:val="9"/>
    <w:unhideWhenUsed w:val="on"/>
    <w:qFormat w:val="on"/>
    <w:pPr>
      <w:keepNext w:val="on"/>
      <w:keepLines w:val="on"/>
    </w:pPr>
    <w:rPr>
      <w:rFonts w:cstheme="majorBidi" w:eastAsiaTheme="majorEastAsia"/>
      <w:b/>
      <w:i/>
      <w:szCs w:val="32"/>
      <w:u w:val="single"/>
    </w:rPr>
  </w:style>
  <w:style w:type="paragraph" w:styleId="Heading3">
    <w:name w:val="Heading 3"/>
    <w:basedOn w:val="Normal"/>
    <w:next w:val="Normal"/>
    <w:link w:val="Heading3Char"/>
    <w:uiPriority w:val="9"/>
    <w:unhideWhenUsed w:val="on"/>
    <w:qFormat w:val="on"/>
    <w:pPr>
      <w:keepNext w:val="on"/>
      <w:keepLines w:val="on"/>
    </w:pPr>
    <w:rPr>
      <w:rFonts w:cstheme="majorBidi" w:eastAsiaTheme="majorEastAsia"/>
      <w:b/>
      <w:i/>
      <w:color w:val="000000" w:themeColor="text1"/>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beforeAutospacing="0" w:after="40" w:afterAutospacing="0"/>
    </w:pPr>
    <w:rPr>
      <w:rFonts w:asciiTheme="minorHAnsi" w:cstheme="majorBidi" w:eastAsiaTheme="majorEastAsia" w:hAnsiTheme="minorHAnsi"/>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beforeAutospacing="0" w:after="40" w:afterAutospacing="0"/>
    </w:pPr>
    <w:rPr>
      <w:rFonts w:asciiTheme="minorHAnsi" w:cstheme="majorBidi" w:eastAsiaTheme="majorEastAsia" w:hAnsiTheme="minorHAnsi"/>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beforeAutospacing="0" w:after="0" w:afterAutospacing="0"/>
    </w:pPr>
    <w:rPr>
      <w:rFonts w:asciiTheme="minorHAnsi" w:cstheme="majorBidi" w:eastAsiaTheme="majorEastAsia" w:hAnsiTheme="minorHAnsi"/>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beforeAutospacing="0" w:after="0" w:afterAutospacing="0"/>
    </w:pPr>
    <w:rPr>
      <w:rFonts w:asciiTheme="minorHAnsi" w:cstheme="majorBidi" w:eastAsiaTheme="majorEastAsia" w:hAnsiTheme="minorHAnsi"/>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before="0" w:beforeAutospacing="0" w:after="0" w:afterAutospacing="0"/>
    </w:pPr>
    <w:rPr>
      <w:rFonts w:asciiTheme="minorHAnsi" w:cstheme="majorBidi" w:eastAsiaTheme="majorEastAsia" w:hAnsiTheme="minorHAnsi"/>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before="0" w:beforeAutospacing="0" w:after="0" w:afterAutospacing="0"/>
    </w:pPr>
    <w:rPr>
      <w:rFonts w:asciiTheme="minorHAnsi" w:cstheme="majorBidi" w:eastAsiaTheme="majorEastAsia" w:hAnsiTheme="minorHAnsi"/>
      <w:color w:val="272727" w:themeColor="text1" w:themeTint="d8"/>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eastAsiaTheme="majorEastAsia" w:hAnsi="Times New Roman"/>
      <w:b/>
      <w:bCs/>
      <w:color w:val="000000" w:themeColor="text1"/>
      <w:sz w:val="24"/>
      <w:szCs w:val="48"/>
      <w:lang w:eastAsia="en-IN"/>
    </w:rPr>
  </w:style>
  <w:style w:type="character" w:customStyle="1" w:styleId="Heading2Char">
    <w:name w:val="Heading 2 Char"/>
    <w:basedOn w:val="DefaultParagraphFont"/>
    <w:link w:val="Heading2"/>
    <w:uiPriority w:val="9"/>
    <w:rPr>
      <w:rFonts w:ascii="Times New Roman" w:cstheme="majorBidi" w:eastAsiaTheme="majorEastAsia" w:hAnsi="Times New Roman"/>
      <w:b/>
      <w:i/>
      <w:sz w:val="24"/>
      <w:szCs w:val="32"/>
      <w:u w:val="single"/>
    </w:rPr>
  </w:style>
  <w:style w:type="paragraph" w:styleId="BodyText">
    <w:name w:val="Body Text"/>
    <w:basedOn w:val="Normal"/>
    <w:link w:val="BodyTextChar"/>
    <w:uiPriority w:val="1"/>
    <w:qFormat w:val="on"/>
    <w:pPr>
      <w:widowControl w:val="off"/>
    </w:pPr>
    <w:rPr>
      <w:sz w:val="22"/>
      <w:lang w:val="en-US"/>
    </w:rPr>
  </w:style>
  <w:style w:type="character" w:customStyle="1" w:styleId="BodyTextChar">
    <w:name w:val="Body Text Char"/>
    <w:basedOn w:val="DefaultParagraphFont"/>
    <w:link w:val="BodyText"/>
    <w:uiPriority w:val="1"/>
    <w:rPr>
      <w:rFonts w:ascii="Times New Roman" w:cs="Times New Roman" w:eastAsia="Times New Roman" w:hAnsi="Times New Roman"/>
      <w:lang w:val="en-US"/>
    </w:rPr>
  </w:style>
  <w:style w:type="character" w:customStyle="1" w:styleId="Heading3Char">
    <w:name w:val="Heading 3 Char"/>
    <w:basedOn w:val="DefaultParagraphFont"/>
    <w:link w:val="Heading3"/>
    <w:uiPriority w:val="9"/>
    <w:rPr>
      <w:rFonts w:ascii="Times New Roman" w:cstheme="majorBidi" w:eastAsiaTheme="majorEastAsia" w:hAnsi="Times New Roman"/>
      <w:b/>
      <w:i/>
      <w:color w:val="000000" w:themeColor="text1"/>
      <w:sz w:val="24"/>
      <w:szCs w:val="28"/>
      <w14:ligatures w14:val="standardContextual"/>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sz w:val="24"/>
      <w:lang w:val="en-GB"/>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sz w:val="24"/>
      <w:lang w:val="en-GB"/>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sz w:val="24"/>
      <w:lang w:val="en-GB"/>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sz w:val="24"/>
      <w:lang w:val="en-GB"/>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sz w:val="24"/>
      <w:lang w:val="en-GB"/>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sz w:val="24"/>
      <w:lang w:val="en-GB"/>
    </w:rPr>
  </w:style>
  <w:style w:type="paragraph" w:styleId="Title">
    <w:name w:val="Title"/>
    <w:basedOn w:val="Normal"/>
    <w:next w:val="Normal"/>
    <w:link w:val="TitleChar"/>
    <w:uiPriority w:val="10"/>
    <w:qFormat w:val="on"/>
    <w:pPr>
      <w:spacing w:before="0" w:beforeAutospacing="0" w:after="80" w:afterAutospacing="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lang w:val="en-GB"/>
    </w:rPr>
  </w:style>
  <w:style w:type="paragraph" w:styleId="Subtitle">
    <w:name w:val="Subtitle"/>
    <w:basedOn w:val="Normal"/>
    <w:next w:val="Normal"/>
    <w:link w:val="SubtitleChar"/>
    <w:uiPriority w:val="11"/>
    <w:qFormat w:val="on"/>
    <w:pPr>
      <w:spacing w:beforeAutospacing="0" w:after="160" w:afterAutospacing="0"/>
    </w:pPr>
    <w:rPr>
      <w:rFonts w:asciiTheme="minorHAnsi" w:cstheme="majorBid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lang w:val="en-GB"/>
    </w:rPr>
  </w:style>
  <w:style w:type="paragraph" w:styleId="Quote">
    <w:name w:val="Quote"/>
    <w:basedOn w:val="Normal"/>
    <w:next w:val="Normal"/>
    <w:link w:val="QuoteChar"/>
    <w:uiPriority w:val="29"/>
    <w:qFormat w:val="on"/>
    <w:pPr>
      <w:spacing w:before="160" w:beforeAutospacing="0" w:after="160" w:afterAutospacing="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sz w:val="24"/>
      <w:lang w:val="en-GB"/>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beforeAutospacing="0" w:after="360" w:afterAutospacing="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rFonts w:ascii="Times New Roman" w:hAnsi="Times New Roman"/>
      <w:i/>
      <w:iCs/>
      <w:color w:val="104760" w:themeColor="accent1" w:themeShade="bf"/>
      <w:sz w:val="24"/>
      <w:lang w:val="en-GB"/>
    </w:rPr>
  </w:style>
  <w:style w:type="character" w:styleId="IntenseReference">
    <w:name w:val="Intense Reference"/>
    <w:basedOn w:val="DefaultParagraphFont"/>
    <w:uiPriority w:val="32"/>
    <w:qFormat w:val="on"/>
    <w:rPr>
      <w:b/>
      <w:bCs/>
      <w:smallCaps/>
      <w:color w:val="104760" w:themeColor="accent1" w:themeShade="bf"/>
      <w:spacing w:val="5"/>
    </w:rPr>
  </w:style>
  <w:style w:type="paragraph" w:styleId="Header">
    <w:name w:val="Header"/>
    <w:basedOn w:val="Normal"/>
    <w:link w:val="HeaderChar"/>
    <w:uiPriority w:val="99"/>
    <w:unhideWhenUsed w:val="on"/>
    <w:pPr>
      <w:tabs>
        <w:tab w:val="center" w:pos="4513"/>
        <w:tab w:val="right" w:pos="9026"/>
      </w:tabs>
      <w:spacing w:before="0" w:beforeAutospacing="0" w:after="0" w:afterAutospacing="0" w:line="240" w:lineRule="auto"/>
    </w:pPr>
  </w:style>
  <w:style w:type="character" w:customStyle="1" w:styleId="HeaderChar">
    <w:name w:val="Header Char"/>
    <w:basedOn w:val="DefaultParagraphFont"/>
    <w:link w:val="Header"/>
    <w:uiPriority w:val="99"/>
    <w:rPr>
      <w:rFonts w:ascii="Arial" w:hAnsi="Arial"/>
      <w:sz w:val="24"/>
      <w:lang w:val="en-GB"/>
    </w:rPr>
  </w:style>
  <w:style w:type="paragraph" w:styleId="Footer">
    <w:name w:val="Footer"/>
    <w:basedOn w:val="Normal"/>
    <w:link w:val="FooterChar"/>
    <w:uiPriority w:val="99"/>
    <w:unhideWhenUsed w:val="on"/>
    <w:pPr>
      <w:tabs>
        <w:tab w:val="center" w:pos="4513"/>
        <w:tab w:val="right" w:pos="9026"/>
      </w:tabs>
      <w:spacing w:before="0" w:beforeAutospacing="0" w:after="0" w:afterAutospacing="0" w:line="240" w:lineRule="auto"/>
    </w:pPr>
  </w:style>
  <w:style w:type="character" w:customStyle="1" w:styleId="FooterChar">
    <w:name w:val="Footer Char"/>
    <w:basedOn w:val="DefaultParagraphFont"/>
    <w:link w:val="Footer"/>
    <w:uiPriority w:val="99"/>
    <w:rPr>
      <w:rFonts w:ascii="Arial" w:hAnsi="Arial"/>
      <w:sz w:val="24"/>
      <w:lang w:val="en-GB"/>
    </w:rPr>
  </w:style>
  <w:style w:type="paragraph" w:styleId="TOCHeading">
    <w:name w:val="TOC Heading"/>
    <w:basedOn w:val="Heading1"/>
    <w:next w:val="Normal"/>
    <w:uiPriority w:val="39"/>
    <w:unhideWhenUsed w:val="on"/>
    <w:qFormat w:val="on"/>
    <w:pPr>
      <w:spacing w:before="240" w:beforeAutospacing="0" w:after="0" w:afterAutospacing="0" w:line="259" w:lineRule="auto"/>
      <w:jc w:val="left"/>
    </w:pPr>
    <w:rPr>
      <w:rFonts w:asciiTheme="majorHAnsi" w:cstheme="majorBidi" w:hAnsiTheme="majorHAnsi"/>
      <w:b w:val="off"/>
      <w:bCs w:val="off"/>
      <w:color w:val="104760" w:themeColor="accent1" w:themeShade="bf"/>
      <w:sz w:val="32"/>
      <w:szCs w:val="32"/>
      <w:lang w:val="en-US" w:eastAsia="en-US"/>
    </w:rPr>
  </w:style>
  <w:style w:type="paragraph" w:styleId="Toc1">
    <w:name w:val="Toc 1"/>
    <w:basedOn w:val="Normal"/>
    <w:next w:val="Normal"/>
    <w:uiPriority w:val="39"/>
    <w:unhideWhenUsed w:val="on"/>
    <w:pPr>
      <w:spacing w:beforeAutospacing="0" w:after="100" w:afterAutospacing="0"/>
    </w:pPr>
  </w:style>
  <w:style w:type="paragraph" w:styleId="Toc2">
    <w:name w:val="Toc 2"/>
    <w:basedOn w:val="Normal"/>
    <w:next w:val="Normal"/>
    <w:uiPriority w:val="39"/>
    <w:unhideWhenUsed w:val="on"/>
    <w:pPr>
      <w:spacing w:beforeAutospacing="0" w:after="100" w:afterAutospacing="0"/>
      <w:ind w:left="240"/>
    </w:pPr>
  </w:style>
  <w:style w:type="character" w:styleId="Hyperlink">
    <w:name w:val="Hyperlink"/>
    <w:basedOn w:val="DefaultParagraphFont"/>
    <w:uiPriority w:val="99"/>
    <w:unhideWhenUsed w:val="on"/>
    <w:rPr>
      <w:color w:val="467886" w:themeColor="hyperlink"/>
      <w:u w:val="single"/>
    </w:rPr>
  </w:style>
  <w:style w:type="paragraph" w:styleId="Caption">
    <w:name w:val="Caption"/>
    <w:basedOn w:val="Normal"/>
    <w:next w:val="Normal"/>
    <w:uiPriority w:val="35"/>
    <w:unhideWhenUsed w:val="on"/>
    <w:qFormat w:val="on"/>
    <w:pPr>
      <w:spacing w:before="0" w:beforeAutospacing="0" w:after="200" w:afterAutospacing="0" w:line="240" w:lineRule="auto"/>
    </w:pPr>
    <w:rPr>
      <w:i/>
      <w:iCs/>
      <w:color w:val="0e2841" w:themeColor="text2"/>
      <w:sz w:val="18"/>
      <w:szCs w:val="18"/>
    </w:rPr>
  </w:style>
  <w:style w:type="paragraph" w:styleId="Normal(Web)">
    <w:name w:val="Normal (Web)"/>
    <w:basedOn w:val="Normal"/>
    <w:uiPriority w:val="99"/>
    <w:semiHidden w:val="on"/>
    <w:unhideWhenUsed w:val="on"/>
    <w:rPr>
      <w:rFonts w:ascii="Times New Roman" w:cs="Times New Roman" w:hAnsi="Times New Roman"/>
      <w:szCs w:val="24"/>
    </w:rPr>
  </w:style>
  <w:style w:type="table" w:styleId="ListTable3Accent1">
    <w:name w:val="List Table 3 Accent 1"/>
    <w:basedOn w:val="NormalTable"/>
    <w:uiPriority w:val="48"/>
    <w:pPr>
      <w:spacing w:beforeAutospacing="0" w:after="0" w:afterAutospacing="0" w:line="240" w:lineRule="auto"/>
    </w:pPr>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b/>
        <w:bCs/>
        <w:color w:val="ffffff" w:themeColor="background1"/>
      </w:rPr>
      <w:tblPr/>
      <w:tcPr>
        <w:shd w:val="clear" w:color="auto" w:fill="156082" w:themeFill="accent1"/>
      </w:tcPr>
    </w:tblStylePr>
    <w:tblStylePr w:type="lastRow">
      <w:rPr>
        <w:b/>
        <w:bCs/>
      </w:rPr>
      <w:tblPr/>
      <w:tcPr>
        <w:tcBorders>
          <w:top w:val="double" w:color="156082" w:themeColor="accent1" w:sz="4" w:space="0"/>
        </w:tcBorders>
        <w:shd w:val="clear" w:color="auto" w:fill="ffffff" w:themeFill="background1"/>
      </w:tcPr>
    </w:tblStylePr>
    <w:tblStylePr w:type="firstCol">
      <w:rPr>
        <w:b/>
        <w:bCs/>
      </w:rPr>
      <w:tblPr/>
      <w:tcPr>
        <w:tcBorders>
          <w:right w:val="nil" w:sz="4" w:space="0"/>
        </w:tcBorders>
        <w:shd w:val="clear" w:color="auto" w:fill="ffffff" w:themeFill="background1"/>
      </w:tcPr>
    </w:tblStylePr>
    <w:tblStylePr w:type="lastCol">
      <w:rPr>
        <w:b/>
        <w:bCs/>
      </w:rPr>
      <w:tblPr/>
      <w:tcPr>
        <w:tcBorders>
          <w:left w:val="nil" w:sz="4" w:space="0"/>
        </w:tcBorders>
        <w:shd w:val="clear" w:color="auto" w:fill="ffffff" w:themeFill="background1"/>
      </w:tcPr>
    </w:tblStylePr>
    <w:tblStylePr w:type="band1Vert">
      <w:tblPr/>
      <w:tcPr>
        <w:tcBorders>
          <w:left w:val="single" w:color="156082" w:themeColor="accent1" w:sz="4" w:space="0"/>
          <w:right w:val="single" w:color="156082" w:themeColor="accent1" w:sz="4" w:space="0"/>
        </w:tcBorders>
      </w:tcPr>
    </w:tblStylePr>
    <w:tblStylePr w:type="band1Horz">
      <w:tblPr/>
      <w:tcPr>
        <w:tcBorders>
          <w:top w:val="single" w:color="156082" w:themeColor="accent1" w:sz="4" w:space="0"/>
          <w:bottom w:val="single" w:color="156082" w:themeColor="accent1" w:sz="4" w:space="0"/>
          <w:insideH w:val="nil" w:sz="4" w:space="0"/>
        </w:tcBorders>
      </w:tcPr>
    </w:tblStylePr>
    <w:tblStylePr w:type="neCell">
      <w:tblPr/>
      <w:tcPr>
        <w:tcBorders>
          <w:left w:val="nil" w:sz="4" w:space="0"/>
          <w:bottom w:val="nil" w:sz="4" w:space="0"/>
        </w:tcBorders>
      </w:tcPr>
    </w:tblStylePr>
    <w:tblStylePr w:type="nwCell">
      <w:tblPr/>
      <w:tcPr>
        <w:tcBorders>
          <w:bottom w:val="nil" w:sz="4" w:space="0"/>
          <w:right w:val="nil" w:sz="4" w:space="0"/>
        </w:tcBorders>
      </w:tcPr>
    </w:tblStylePr>
    <w:tblStylePr w:type="swCell">
      <w:tblPr/>
      <w:tcPr>
        <w:tcBorders>
          <w:top w:val="double" w:color="156082" w:themeColor="accent1" w:sz="4" w:space="0"/>
          <w:right w:val="nil" w:sz="4" w:space="0"/>
        </w:tcBorders>
      </w:tcPr>
    </w:tblStylePr>
    <w:tblStylePr w:type="seCell">
      <w:tblPr/>
      <w:tcPr>
        <w:tcBorders>
          <w:top w:val="double" w:color="156082" w:themeColor="accent1" w:sz="4" w:space="0"/>
          <w:left w:val="nil" w:sz="4" w:space="0"/>
        </w:tcBorders>
      </w:tcPr>
    </w:tblStylePr>
  </w:style>
  <w:style w:type="table" w:styleId="ListTable3Accent3">
    <w:name w:val="List Table 3 Accent 3"/>
    <w:basedOn w:val="NormalTable"/>
    <w:uiPriority w:val="48"/>
    <w:pPr>
      <w:spacing w:beforeAutospacing="0" w:after="0" w:afterAutospacing="0" w:line="240" w:lineRule="auto"/>
    </w:pPr>
    <w:tblPr>
      <w:tblStyleRowBandSize w:val="1"/>
      <w:tblStyleColBandSize w:val="1"/>
      <w:tblBorders>
        <w:top w:val="single" w:color="196b24" w:themeColor="accent3" w:sz="4" w:space="0"/>
        <w:left w:val="single" w:color="196b24" w:themeColor="accent3" w:sz="4" w:space="0"/>
        <w:bottom w:val="single" w:color="196b24" w:themeColor="accent3" w:sz="4" w:space="0"/>
        <w:right w:val="single" w:color="196b24" w:themeColor="accent3" w:sz="4" w:space="0"/>
      </w:tblBorders>
    </w:tblPr>
    <w:tblStylePr w:type="firstRow">
      <w:rPr>
        <w:b/>
        <w:bCs/>
        <w:color w:val="ffffff" w:themeColor="background1"/>
      </w:rPr>
      <w:tblPr/>
      <w:tcPr>
        <w:shd w:val="clear" w:color="auto" w:fill="196b24" w:themeFill="accent3"/>
      </w:tcPr>
    </w:tblStylePr>
    <w:tblStylePr w:type="lastRow">
      <w:rPr>
        <w:b/>
        <w:bCs/>
      </w:rPr>
      <w:tblPr/>
      <w:tcPr>
        <w:tcBorders>
          <w:top w:val="double" w:color="196b24" w:themeColor="accent3" w:sz="4" w:space="0"/>
        </w:tcBorders>
        <w:shd w:val="clear" w:color="auto" w:fill="ffffff" w:themeFill="background1"/>
      </w:tcPr>
    </w:tblStylePr>
    <w:tblStylePr w:type="firstCol">
      <w:rPr>
        <w:b/>
        <w:bCs/>
      </w:rPr>
      <w:tblPr/>
      <w:tcPr>
        <w:tcBorders>
          <w:right w:val="nil" w:sz="4" w:space="0"/>
        </w:tcBorders>
        <w:shd w:val="clear" w:color="auto" w:fill="ffffff" w:themeFill="background1"/>
      </w:tcPr>
    </w:tblStylePr>
    <w:tblStylePr w:type="lastCol">
      <w:rPr>
        <w:b/>
        <w:bCs/>
      </w:rPr>
      <w:tblPr/>
      <w:tcPr>
        <w:tcBorders>
          <w:left w:val="nil" w:sz="4" w:space="0"/>
        </w:tcBorders>
        <w:shd w:val="clear" w:color="auto" w:fill="ffffff" w:themeFill="background1"/>
      </w:tcPr>
    </w:tblStylePr>
    <w:tblStylePr w:type="band1Vert">
      <w:tblPr/>
      <w:tcPr>
        <w:tcBorders>
          <w:left w:val="single" w:color="196b24" w:themeColor="accent3" w:sz="4" w:space="0"/>
          <w:right w:val="single" w:color="196b24" w:themeColor="accent3" w:sz="4" w:space="0"/>
        </w:tcBorders>
      </w:tcPr>
    </w:tblStylePr>
    <w:tblStylePr w:type="band1Horz">
      <w:tblPr/>
      <w:tcPr>
        <w:tcBorders>
          <w:top w:val="single" w:color="196b24" w:themeColor="accent3" w:sz="4" w:space="0"/>
          <w:bottom w:val="single" w:color="196b24" w:themeColor="accent3" w:sz="4" w:space="0"/>
          <w:insideH w:val="nil" w:sz="4" w:space="0"/>
        </w:tcBorders>
      </w:tcPr>
    </w:tblStylePr>
    <w:tblStylePr w:type="neCell">
      <w:tblPr/>
      <w:tcPr>
        <w:tcBorders>
          <w:left w:val="nil" w:sz="4" w:space="0"/>
          <w:bottom w:val="nil" w:sz="4" w:space="0"/>
        </w:tcBorders>
      </w:tcPr>
    </w:tblStylePr>
    <w:tblStylePr w:type="nwCell">
      <w:tblPr/>
      <w:tcPr>
        <w:tcBorders>
          <w:bottom w:val="nil" w:sz="4" w:space="0"/>
          <w:right w:val="nil" w:sz="4" w:space="0"/>
        </w:tcBorders>
      </w:tcPr>
    </w:tblStylePr>
    <w:tblStylePr w:type="swCell">
      <w:tblPr/>
      <w:tcPr>
        <w:tcBorders>
          <w:top w:val="double" w:color="196b24" w:themeColor="accent3" w:sz="4" w:space="0"/>
          <w:right w:val="nil" w:sz="4" w:space="0"/>
        </w:tcBorders>
      </w:tcPr>
    </w:tblStylePr>
    <w:tblStylePr w:type="seCell">
      <w:tblPr/>
      <w:tcPr>
        <w:tcBorders>
          <w:top w:val="double" w:color="196b24" w:themeColor="accent3" w:sz="4" w:space="0"/>
          <w:left w:val="nil" w:sz="4" w:space="0"/>
        </w:tcBorders>
      </w:tcPr>
    </w:tblStylePr>
  </w:style>
  <w:style w:type="table" w:styleId="ListTable3Accent4">
    <w:name w:val="List Table 3 Accent 4"/>
    <w:basedOn w:val="NormalTable"/>
    <w:uiPriority w:val="48"/>
    <w:pPr>
      <w:spacing w:beforeAutospacing="0" w:after="0" w:afterAutospacing="0" w:line="240" w:lineRule="auto"/>
    </w:pPr>
    <w:tblPr>
      <w:tblStyleRowBandSize w:val="1"/>
      <w:tblStyleColBandSize w:val="1"/>
      <w:tblBorders>
        <w:top w:val="single" w:color="0f9ed5" w:themeColor="accent4" w:sz="4" w:space="0"/>
        <w:left w:val="single" w:color="0f9ed5" w:themeColor="accent4" w:sz="4" w:space="0"/>
        <w:bottom w:val="single" w:color="0f9ed5" w:themeColor="accent4" w:sz="4" w:space="0"/>
        <w:right w:val="single" w:color="0f9ed5" w:themeColor="accent4" w:sz="4" w:space="0"/>
      </w:tblBorders>
    </w:tblPr>
    <w:tblStylePr w:type="firstRow">
      <w:rPr>
        <w:b/>
        <w:bCs/>
        <w:color w:val="ffffff" w:themeColor="background1"/>
      </w:rPr>
      <w:tblPr/>
      <w:tcPr>
        <w:shd w:val="clear" w:color="auto" w:fill="0f9ed5" w:themeFill="accent4"/>
      </w:tcPr>
    </w:tblStylePr>
    <w:tblStylePr w:type="lastRow">
      <w:rPr>
        <w:b/>
        <w:bCs/>
      </w:rPr>
      <w:tblPr/>
      <w:tcPr>
        <w:tcBorders>
          <w:top w:val="double" w:color="0f9ed5" w:themeColor="accent4" w:sz="4" w:space="0"/>
        </w:tcBorders>
        <w:shd w:val="clear" w:color="auto" w:fill="ffffff" w:themeFill="background1"/>
      </w:tcPr>
    </w:tblStylePr>
    <w:tblStylePr w:type="firstCol">
      <w:rPr>
        <w:b/>
        <w:bCs/>
      </w:rPr>
      <w:tblPr/>
      <w:tcPr>
        <w:tcBorders>
          <w:right w:val="nil" w:sz="4" w:space="0"/>
        </w:tcBorders>
        <w:shd w:val="clear" w:color="auto" w:fill="ffffff" w:themeFill="background1"/>
      </w:tcPr>
    </w:tblStylePr>
    <w:tblStylePr w:type="lastCol">
      <w:rPr>
        <w:b/>
        <w:bCs/>
      </w:rPr>
      <w:tblPr/>
      <w:tcPr>
        <w:tcBorders>
          <w:left w:val="nil" w:sz="4" w:space="0"/>
        </w:tcBorders>
        <w:shd w:val="clear" w:color="auto" w:fill="ffffff" w:themeFill="background1"/>
      </w:tcPr>
    </w:tblStylePr>
    <w:tblStylePr w:type="band1Vert">
      <w:tblPr/>
      <w:tcPr>
        <w:tcBorders>
          <w:left w:val="single" w:color="0f9ed5" w:themeColor="accent4" w:sz="4" w:space="0"/>
          <w:right w:val="single" w:color="0f9ed5" w:themeColor="accent4" w:sz="4" w:space="0"/>
        </w:tcBorders>
      </w:tcPr>
    </w:tblStylePr>
    <w:tblStylePr w:type="band1Horz">
      <w:tblPr/>
      <w:tcPr>
        <w:tcBorders>
          <w:top w:val="single" w:color="0f9ed5" w:themeColor="accent4" w:sz="4" w:space="0"/>
          <w:bottom w:val="single" w:color="0f9ed5" w:themeColor="accent4" w:sz="4" w:space="0"/>
          <w:insideH w:val="nil" w:sz="4" w:space="0"/>
        </w:tcBorders>
      </w:tcPr>
    </w:tblStylePr>
    <w:tblStylePr w:type="neCell">
      <w:tblPr/>
      <w:tcPr>
        <w:tcBorders>
          <w:left w:val="nil" w:sz="4" w:space="0"/>
          <w:bottom w:val="nil" w:sz="4" w:space="0"/>
        </w:tcBorders>
      </w:tcPr>
    </w:tblStylePr>
    <w:tblStylePr w:type="nwCell">
      <w:tblPr/>
      <w:tcPr>
        <w:tcBorders>
          <w:bottom w:val="nil" w:sz="4" w:space="0"/>
          <w:right w:val="nil" w:sz="4" w:space="0"/>
        </w:tcBorders>
      </w:tcPr>
    </w:tblStylePr>
    <w:tblStylePr w:type="swCell">
      <w:tblPr/>
      <w:tcPr>
        <w:tcBorders>
          <w:top w:val="double" w:color="0f9ed5" w:themeColor="accent4" w:sz="4" w:space="0"/>
          <w:right w:val="nil" w:sz="4" w:space="0"/>
        </w:tcBorders>
      </w:tcPr>
    </w:tblStylePr>
    <w:tblStylePr w:type="seCell">
      <w:tblPr/>
      <w:tcPr>
        <w:tcBorders>
          <w:top w:val="double" w:color="0f9ed5" w:themeColor="accent4" w:sz="4" w:space="0"/>
          <w:left w:val="nil" w:sz="4" w:space="0"/>
        </w:tcBorders>
      </w:tcPr>
    </w:tblStylePr>
  </w:style>
  <w:style w:type="paragraph" w:styleId="Tableoffigures">
    <w:name w:val="Table of figures"/>
    <w:basedOn w:val="Normal"/>
    <w:next w:val="Normal"/>
    <w:uiPriority w:val="99"/>
    <w:unhideWhenUsed w:val="on"/>
    <w:pPr>
      <w:spacing w:beforeAutospacing="0" w:after="0" w:afterAutospacing="0"/>
    </w:p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 Type="http://schemas.openxmlformats.org/officeDocument/2006/relationships/styles" Target="styles.xml"/><Relationship Id="rId24" Type="http://schemas.openxmlformats.org/officeDocument/2006/relationships/fontTable" Target="fontTable.xml"/><Relationship Id="rId25" Type="http://schemas.openxmlformats.org/officeDocument/2006/relationships/theme" Target="theme/theme1.xml"/><Relationship Id="rId26" Type="http://schemas.openxmlformats.org/officeDocument/2006/relationships/image" Target="media/image1.jpeg"/><Relationship Id="rId27" Type="http://schemas.openxmlformats.org/officeDocument/2006/relationships/image" Target="media/image3.jpeg"/><Relationship Id="rId28" Type="http://schemas.openxmlformats.org/officeDocument/2006/relationships/chart" Target="charts/chart1.xml"/><Relationship Id="rId29" Type="http://schemas.openxmlformats.org/officeDocument/2006/relationships/chart" Target="charts/chart2.xml"/><Relationship Id="rId3" Type="http://schemas.openxmlformats.org/officeDocument/2006/relationships/settings" Target="settings.xml"/><Relationship Id="rId30" Type="http://schemas.openxmlformats.org/officeDocument/2006/relationships/chart" Target="charts/chart3.xml"/><Relationship Id="rId31" Type="http://schemas.openxmlformats.org/officeDocument/2006/relationships/chart" Target="charts/chart4.xml"/><Relationship Id="rId32" Type="http://schemas.openxmlformats.org/officeDocument/2006/relationships/chart" Target="charts/chart5.xml"/><Relationship Id="rId33" Type="http://schemas.openxmlformats.org/officeDocument/2006/relationships/chart" Target="charts/chart6.xml"/><Relationship Id="rId34" Type="http://schemas.openxmlformats.org/officeDocument/2006/relationships/chart" Target="charts/chart7.xml"/><Relationship Id="rId35" Type="http://schemas.openxmlformats.org/officeDocument/2006/relationships/chart" Target="charts/chart8.xml"/><Relationship Id="rId36"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endnotes" Target="endnotes.xml"/><Relationship Id="rId1" Type="http://schemas.openxmlformats.org/officeDocument/2006/relationships/customXml" Target="../customXml/item1.xml"/><Relationship Id="rId4" Type="http://schemas.openxmlformats.org/officeDocument/2006/relationships/webSettings" Target="webSettings.xml"/><Relationship Id="rId17" Type="http://schemas.openxmlformats.org/officeDocument/2006/relationships/hyperlink" Target="https://ir.tesla.com/" TargetMode="External"/><Relationship Id="rId18" Type="http://schemas.openxmlformats.org/officeDocument/2006/relationships/hyperlink" Target="https://ir.tesla.com/_flysystem/s3/sec/000095017023001409/tsla-20221231-gen.pdf" TargetMode="External"/><Relationship Id="rId19" Type="http://schemas.openxmlformats.org/officeDocument/2006/relationships/hyperlink" Target="https://ir.tesla.com/_flysystem/s3/sec/000162828024002390/tsla-20231231-gen.pdf" TargetMode="External"/><Relationship Id="rId20" Type="http://schemas.openxmlformats.org/officeDocument/2006/relationships/hyperlink" Target="https://ir.tesla.com/_flysystem/s3/sec/000162828025003063/tsla-20241231-gen.pdf" TargetMode="External"/><Relationship Id="rId21" Type="http://schemas.openxmlformats.org/officeDocument/2006/relationships/hyperlink" Target="https://ir.tesla.com/_flysystem/s3/sec/000162828026003952/tsla-20251231-gen.pdf" TargetMode="External"/><Relationship Id="rId22" Type="http://schemas.openxmlformats.org/officeDocument/2006/relationships/hyperlink" Target="https://www.tesla.com/about"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charts/_rels/chart1.xml.rels><?xml version="1.0" encoding="UTF-8" standalone="yes"?>
<Relationships xmlns="http://schemas.openxmlformats.org/package/2006/relationships"><Relationship Id="rId1" Type="http://schemas.microsoft.com/office/2011/relationships/chartColorStyle" Target="colors1.xml"/><Relationship Id="rId2" Type="http://schemas.microsoft.com/office/2011/relationships/chartStyle" Target="style1.xml"/><Relationship Id="rId3" Type="http://schemas.openxmlformats.org/officeDocument/2006/relationships/oleObject" Target="file:///C:\Users\asus\Desktop\RAJ%20WORK.xlsx" TargetMode="External"/></Relationships>
</file>

<file path=word/charts/_rels/chart2.xml.rels><?xml version="1.0" encoding="UTF-8" standalone="yes"?>
<Relationships xmlns="http://schemas.openxmlformats.org/package/2006/relationships"><Relationship Id="rId1" Type="http://schemas.microsoft.com/office/2011/relationships/chartColorStyle" Target="colors2.xml"/><Relationship Id="rId2" Type="http://schemas.microsoft.com/office/2011/relationships/chartStyle" Target="style2.xml"/><Relationship Id="rId3" Type="http://schemas.openxmlformats.org/officeDocument/2006/relationships/oleObject" Target="file:///C:\Users\asus\Desktop\RAJ%20WORK.xlsx" TargetMode="External"/></Relationships>
</file>

<file path=word/charts/_rels/chart3.xml.rels><?xml version="1.0" encoding="UTF-8" standalone="yes"?>
<Relationships xmlns="http://schemas.openxmlformats.org/package/2006/relationships"><Relationship Id="rId1" Type="http://schemas.microsoft.com/office/2011/relationships/chartColorStyle" Target="colors3.xml"/><Relationship Id="rId2" Type="http://schemas.microsoft.com/office/2011/relationships/chartStyle" Target="style3.xml"/><Relationship Id="rId3" Type="http://schemas.openxmlformats.org/officeDocument/2006/relationships/oleObject" Target="file:///C:\Users\asus\Desktop\RAJ%20WORK.xlsx" TargetMode="External"/></Relationships>
</file>

<file path=word/charts/_rels/chart4.xml.rels><?xml version="1.0" encoding="UTF-8" standalone="yes"?>
<Relationships xmlns="http://schemas.openxmlformats.org/package/2006/relationships"><Relationship Id="rId1" Type="http://schemas.microsoft.com/office/2011/relationships/chartColorStyle" Target="colors4.xml"/><Relationship Id="rId2" Type="http://schemas.microsoft.com/office/2011/relationships/chartStyle" Target="style4.xml"/><Relationship Id="rId3" Type="http://schemas.openxmlformats.org/officeDocument/2006/relationships/oleObject" Target="file:///C:\Users\asus\Desktop\RAJ%20WORK.xlsx" TargetMode="External"/></Relationships>
</file>

<file path=word/charts/_rels/chart5.xml.rels><?xml version="1.0" encoding="UTF-8" standalone="yes"?>
<Relationships xmlns="http://schemas.openxmlformats.org/package/2006/relationships"><Relationship Id="rId1" Type="http://schemas.microsoft.com/office/2011/relationships/chartColorStyle" Target="colors5.xml"/><Relationship Id="rId2" Type="http://schemas.microsoft.com/office/2011/relationships/chartStyle" Target="style5.xml"/><Relationship Id="rId3" Type="http://schemas.openxmlformats.org/officeDocument/2006/relationships/oleObject" Target="file:///C:\Users\asus\Desktop\RAJ%20WORK.xlsx" TargetMode="External"/></Relationships>
</file>

<file path=word/charts/_rels/chart6.xml.rels><?xml version="1.0" encoding="UTF-8" standalone="yes"?>
<Relationships xmlns="http://schemas.openxmlformats.org/package/2006/relationships"><Relationship Id="rId1" Type="http://schemas.microsoft.com/office/2011/relationships/chartColorStyle" Target="colors6.xml"/><Relationship Id="rId2" Type="http://schemas.microsoft.com/office/2011/relationships/chartStyle" Target="style6.xml"/><Relationship Id="rId3" Type="http://schemas.openxmlformats.org/officeDocument/2006/relationships/oleObject" Target="file:///C:\Users\asus\Desktop\RAJ%20WORK.xlsx" TargetMode="External"/></Relationships>
</file>

<file path=word/charts/_rels/chart7.xml.rels><?xml version="1.0" encoding="UTF-8" standalone="yes"?>
<Relationships xmlns="http://schemas.openxmlformats.org/package/2006/relationships"><Relationship Id="rId1" Type="http://schemas.microsoft.com/office/2011/relationships/chartColorStyle" Target="colors7.xml"/><Relationship Id="rId2" Type="http://schemas.microsoft.com/office/2011/relationships/chartStyle" Target="style7.xml"/><Relationship Id="rId3" Type="http://schemas.openxmlformats.org/officeDocument/2006/relationships/oleObject" Target="file:///C:\Users\asus\Desktop\RAJ%20finance.xlsx" TargetMode="External"/></Relationships>
</file>

<file path=word/charts/_rels/chart8.xml.rels><?xml version="1.0" encoding="UTF-8" standalone="yes"?>
<Relationships xmlns="http://schemas.openxmlformats.org/package/2006/relationships"><Relationship Id="rId1" Type="http://schemas.microsoft.com/office/2011/relationships/chartColorStyle" Target="colors8.xml"/><Relationship Id="rId2" Type="http://schemas.microsoft.com/office/2011/relationships/chartStyle" Target="style8.xml"/><Relationship Id="rId3" Type="http://schemas.openxmlformats.org/officeDocument/2006/relationships/oleObject" Target="file:///C:\Users\asus\Desktop\RAJ%20financ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Arial" pitchFamily="34" charset="0" panose="020B0604020202020204"/>
                <a:ea typeface="+mn-ea"/>
                <a:cs typeface="Arial" pitchFamily="34" charset="0" panose="020B0604020202020204"/>
              </a:defRPr>
            </a:pPr>
            <a:r>
              <a:rPr lang="en-IN" sz="1200"/>
              <a:t>Tesla Revenue Trend (2021–2025)</a:t>
            </a:r>
            <a:endParaRPr lang="en-US" sz="120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title>
    <c:autoTitleDeleted val="0"/>
    <c:plotArea>
      <c:layout/>
      <c:lineChart>
        <c:grouping val="standard"/>
        <c:varyColors val="0"/>
        <c:ser>
          <c:idx val="0"/>
          <c:order val="0"/>
          <c:tx>
            <c:strRef>
              <c:f>DATA!$A$2</c:f>
              <c:strCache>
                <c:ptCount val="1"/>
                <c:pt idx="0">
                  <c:v>Total Revenue</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itchFamily="34" charset="0" panose="020B0604020202020204"/>
                    <a:ea typeface="+mn-ea"/>
                    <a:cs typeface="Arial" pitchFamily="34" charset="0" panose="020B0604020202020204"/>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DATA!$B$1:$F$1</c:f>
              <c:numCache>
                <c:formatCode>General</c:formatCode>
                <c:ptCount val="5"/>
                <c:pt idx="0">
                  <c:v>2021</c:v>
                </c:pt>
                <c:pt idx="1">
                  <c:v>2022</c:v>
                </c:pt>
                <c:pt idx="2">
                  <c:v>2023</c:v>
                </c:pt>
                <c:pt idx="3">
                  <c:v>2024</c:v>
                </c:pt>
                <c:pt idx="4">
                  <c:v>2025</c:v>
                </c:pt>
              </c:numCache>
            </c:numRef>
          </c:cat>
          <c:val>
            <c:numRef>
              <c:f>DATA!$B$2:$F$2</c:f>
              <c:numCache>
                <c:formatCode>#,##0</c:formatCode>
                <c:ptCount val="5"/>
                <c:pt idx="0">
                  <c:v>53823</c:v>
                </c:pt>
                <c:pt idx="1">
                  <c:v>81462</c:v>
                </c:pt>
                <c:pt idx="2">
                  <c:v>96773</c:v>
                </c:pt>
                <c:pt idx="3">
                  <c:v>97690</c:v>
                </c:pt>
                <c:pt idx="4">
                  <c:v>94827</c:v>
                </c:pt>
              </c:numCache>
            </c:numRef>
          </c:val>
          <c:smooth val="0"/>
          <c:extLst>
            <c:ext xmlns:c16="http://schemas.microsoft.com/office/drawing/2014/chart" uri="{C3380CC4-5D6E-409C-BE32-E72D297353CC}">
              <c16:uniqueId val="{00000000-49B8-40D4-A3DF-97E1E1FD3F03}"/>
            </c:ext>
          </c:extLst>
        </c:ser>
        <c:dLbls>
          <c:dLblPos val="ctr"/>
          <c:showLegendKey val="0"/>
          <c:showVal val="1"/>
          <c:showCatName val="0"/>
          <c:showSerName val="0"/>
          <c:showPercent val="0"/>
          <c:showBubbleSize val="0"/>
        </c:dLbls>
        <c:smooth val="0"/>
        <c:axId val="260732208"/>
        <c:axId val="260727408"/>
      </c:lineChart>
      <c:catAx>
        <c:axId val="260732208"/>
        <c:scaling>
          <c:orientation val="minMax"/>
        </c:scaling>
        <c:delete val="0"/>
        <c:axPos val="b"/>
        <c:majorGridlines>
          <c:spPr>
            <a:ln w="9525" cap="flat" cmpd="sng" algn="ctr">
              <a:solidFill>
                <a:schemeClr val="tx1">
                  <a:lumMod val="15000"/>
                  <a:lumOff val="85000"/>
                  <a:alpha val="32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260727408"/>
        <c:crosses val="autoZero"/>
        <c:auto val="1"/>
        <c:lblAlgn val="ctr"/>
        <c:lblOffset val="100"/>
        <c:noMultiLvlLbl val="0"/>
      </c:catAx>
      <c:valAx>
        <c:axId val="260727408"/>
        <c:scaling>
          <c:orientation val="minMax"/>
        </c:scaling>
        <c:delete val="0"/>
        <c:axPos val="l"/>
        <c:majorGridlines>
          <c:spPr>
            <a:ln w="9525" cap="flat" cmpd="sng" algn="ctr">
              <a:solidFill>
                <a:schemeClr val="tx1">
                  <a:lumMod val="15000"/>
                  <a:lumOff val="85000"/>
                  <a:alpha val="32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Revenue ($ million)</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0" sourceLinked="0"/>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260732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Tesla Net Profit Trend (2021–2025)</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DATA!$A$6</c:f>
              <c:strCache>
                <c:ptCount val="1"/>
                <c:pt idx="0">
                  <c:v>Net Income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DATA!$B$1:$F$1</c:f>
              <c:numCache>
                <c:formatCode>General</c:formatCode>
                <c:ptCount val="5"/>
                <c:pt idx="0">
                  <c:v>2021</c:v>
                </c:pt>
                <c:pt idx="1">
                  <c:v>2022</c:v>
                </c:pt>
                <c:pt idx="2">
                  <c:v>2023</c:v>
                </c:pt>
                <c:pt idx="3">
                  <c:v>2024</c:v>
                </c:pt>
                <c:pt idx="4">
                  <c:v>2025</c:v>
                </c:pt>
              </c:numCache>
            </c:numRef>
          </c:cat>
          <c:val>
            <c:numRef>
              <c:f>DATA!$B$6:$F$6</c:f>
              <c:numCache>
                <c:formatCode>#,##0</c:formatCode>
                <c:ptCount val="5"/>
                <c:pt idx="0">
                  <c:v>5519</c:v>
                </c:pt>
                <c:pt idx="1">
                  <c:v>12556</c:v>
                </c:pt>
                <c:pt idx="2">
                  <c:v>14997</c:v>
                </c:pt>
                <c:pt idx="3">
                  <c:v>14500</c:v>
                </c:pt>
                <c:pt idx="4">
                  <c:v>13800</c:v>
                </c:pt>
              </c:numCache>
            </c:numRef>
          </c:val>
          <c:extLst>
            <c:ext xmlns:c16="http://schemas.microsoft.com/office/drawing/2014/chart" uri="{C3380CC4-5D6E-409C-BE32-E72D297353CC}">
              <c16:uniqueId val="{00000000-5F09-4604-B271-38619C09FF8E}"/>
            </c:ext>
          </c:extLst>
        </c:ser>
        <c:dLbls>
          <c:dLblPos val="inEnd"/>
          <c:showLegendKey val="0"/>
          <c:showVal val="1"/>
          <c:showCatName val="0"/>
          <c:showSerName val="0"/>
          <c:showPercent val="0"/>
          <c:showBubbleSize val="0"/>
        </c:dLbls>
        <c:gapWidth val="65"/>
        <c:axId val="38114576"/>
        <c:axId val="38140976"/>
      </c:barChart>
      <c:catAx>
        <c:axId val="3811457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8140976"/>
        <c:crosses val="autoZero"/>
        <c:auto val="1"/>
        <c:lblAlgn val="ctr"/>
        <c:lblOffset val="100"/>
        <c:noMultiLvlLbl val="0"/>
      </c:catAx>
      <c:valAx>
        <c:axId val="38140976"/>
        <c:scaling>
          <c:orientation val="minMax"/>
        </c:scaling>
        <c:delete val="1"/>
        <c:axPos val="l"/>
        <c:majorGridlines>
          <c:spPr>
            <a:ln w="9525" cap="flat" cmpd="sng" algn="ctr">
              <a:gradFill>
                <a:gsLst>
                  <a:gs pos="0">
                    <a:schemeClr val="lt1">
                      <a:lumMod val="75000"/>
                      <a:alpha val="36000"/>
                    </a:schemeClr>
                  </a:gs>
                  <a:gs pos="100000">
                    <a:schemeClr val="dk1">
                      <a:lumMod val="95000"/>
                      <a:lumOff val="5000"/>
                      <a:alpha val="42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Net Income ($ million)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 sourceLinked="1"/>
        <c:majorTickMark val="none"/>
        <c:minorTickMark val="none"/>
        <c:tickLblPos val="nextTo"/>
        <c:crossAx val="3811457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a:t>Tesla Profitability Margins (2021–2025)</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RATIOS!$A$3</c:f>
              <c:strCache>
                <c:ptCount val="1"/>
                <c:pt idx="0">
                  <c:v>Gross Profit Margin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RATIOS!$B$2:$F$2</c:f>
              <c:numCache>
                <c:formatCode>General</c:formatCode>
                <c:ptCount val="5"/>
                <c:pt idx="0">
                  <c:v>2021</c:v>
                </c:pt>
                <c:pt idx="1">
                  <c:v>2022</c:v>
                </c:pt>
                <c:pt idx="2">
                  <c:v>2023</c:v>
                </c:pt>
                <c:pt idx="3">
                  <c:v>2024</c:v>
                </c:pt>
                <c:pt idx="4">
                  <c:v>2025</c:v>
                </c:pt>
              </c:numCache>
            </c:numRef>
          </c:cat>
          <c:val>
            <c:numRef>
              <c:f>RATIOS!$B$3:$F$3</c:f>
              <c:numCache>
                <c:formatCode>0.00%</c:formatCode>
                <c:ptCount val="5"/>
                <c:pt idx="0">
                  <c:v>0.25279155751258753</c:v>
                </c:pt>
                <c:pt idx="1">
                  <c:v>0.25598438535759005</c:v>
                </c:pt>
                <c:pt idx="2">
                  <c:v>0.18248891736331416</c:v>
                </c:pt>
                <c:pt idx="3">
                  <c:v>0.17862626676220697</c:v>
                </c:pt>
                <c:pt idx="4">
                  <c:v>0.18026511436616155</c:v>
                </c:pt>
              </c:numCache>
            </c:numRef>
          </c:val>
          <c:smooth val="0"/>
          <c:extLst>
            <c:ext xmlns:c16="http://schemas.microsoft.com/office/drawing/2014/chart" uri="{C3380CC4-5D6E-409C-BE32-E72D297353CC}">
              <c16:uniqueId val="{00000000-C2BD-4194-BCF3-680548E6366A}"/>
            </c:ext>
          </c:extLst>
        </c:ser>
        <c:ser>
          <c:idx val="1"/>
          <c:order val="1"/>
          <c:tx>
            <c:strRef>
              <c:f>RATIOS!$A$4</c:f>
              <c:strCache>
                <c:ptCount val="1"/>
                <c:pt idx="0">
                  <c:v>Operating Margin</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RATIOS!$B$2:$F$2</c:f>
              <c:numCache>
                <c:formatCode>General</c:formatCode>
                <c:ptCount val="5"/>
                <c:pt idx="0">
                  <c:v>2021</c:v>
                </c:pt>
                <c:pt idx="1">
                  <c:v>2022</c:v>
                </c:pt>
                <c:pt idx="2">
                  <c:v>2023</c:v>
                </c:pt>
                <c:pt idx="3">
                  <c:v>2024</c:v>
                </c:pt>
                <c:pt idx="4">
                  <c:v>2025</c:v>
                </c:pt>
              </c:numCache>
            </c:numRef>
          </c:cat>
          <c:val>
            <c:numRef>
              <c:f>RATIOS!$B$4:$F$4</c:f>
              <c:numCache>
                <c:formatCode>0.00%</c:formatCode>
                <c:ptCount val="5"/>
                <c:pt idx="0">
                  <c:v>0.12119354179440016</c:v>
                </c:pt>
                <c:pt idx="1">
                  <c:v>0.16763644398615304</c:v>
                </c:pt>
                <c:pt idx="2">
                  <c:v>9.18747997891974E-2</c:v>
                </c:pt>
                <c:pt idx="3">
                  <c:v>8.700992936841027E-2</c:v>
                </c:pt>
                <c:pt idx="4">
                  <c:v>8.647326183470952E-2</c:v>
                </c:pt>
              </c:numCache>
            </c:numRef>
          </c:val>
          <c:smooth val="0"/>
          <c:extLst>
            <c:ext xmlns:c16="http://schemas.microsoft.com/office/drawing/2014/chart" uri="{C3380CC4-5D6E-409C-BE32-E72D297353CC}">
              <c16:uniqueId val="{00000001-C2BD-4194-BCF3-680548E6366A}"/>
            </c:ext>
          </c:extLst>
        </c:ser>
        <c:ser>
          <c:idx val="2"/>
          <c:order val="2"/>
          <c:tx>
            <c:strRef>
              <c:f>RATIOS!$A$5</c:f>
              <c:strCache>
                <c:ptCount val="1"/>
                <c:pt idx="0">
                  <c:v>Net Profit Margin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RATIOS!$B$2:$F$2</c:f>
              <c:numCache>
                <c:formatCode>General</c:formatCode>
                <c:ptCount val="5"/>
                <c:pt idx="0">
                  <c:v>2021</c:v>
                </c:pt>
                <c:pt idx="1">
                  <c:v>2022</c:v>
                </c:pt>
                <c:pt idx="2">
                  <c:v>2023</c:v>
                </c:pt>
                <c:pt idx="3">
                  <c:v>2024</c:v>
                </c:pt>
                <c:pt idx="4">
                  <c:v>2025</c:v>
                </c:pt>
              </c:numCache>
            </c:numRef>
          </c:cat>
          <c:val>
            <c:numRef>
              <c:f>RATIOS!$B$5:$F$5</c:f>
              <c:numCache>
                <c:formatCode>0.00%</c:formatCode>
                <c:ptCount val="5"/>
                <c:pt idx="0">
                  <c:v>0.10253980640246735</c:v>
                </c:pt>
                <c:pt idx="1">
                  <c:v>0.15413321548697553</c:v>
                </c:pt>
                <c:pt idx="2">
                  <c:v>0.15497091130790613</c:v>
                </c:pt>
                <c:pt idx="3">
                  <c:v>0.1484287030402293</c:v>
                </c:pt>
                <c:pt idx="4">
                  <c:v>0.14552817235597457</c:v>
                </c:pt>
              </c:numCache>
            </c:numRef>
          </c:val>
          <c:smooth val="0"/>
          <c:extLst>
            <c:ext xmlns:c16="http://schemas.microsoft.com/office/drawing/2014/chart" uri="{C3380CC4-5D6E-409C-BE32-E72D297353CC}">
              <c16:uniqueId val="{00000002-C2BD-4194-BCF3-680548E6366A}"/>
            </c:ext>
          </c:extLst>
        </c:ser>
        <c:dLbls>
          <c:dLblPos val="ctr"/>
          <c:showLegendKey val="0"/>
          <c:showVal val="1"/>
          <c:showCatName val="0"/>
          <c:showSerName val="0"/>
          <c:showPercent val="0"/>
          <c:showBubbleSize val="0"/>
        </c:dLbls>
        <c:smooth val="0"/>
        <c:axId val="260701008"/>
        <c:axId val="260701488"/>
      </c:lineChart>
      <c:catAx>
        <c:axId val="26070100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701488"/>
        <c:crosses val="autoZero"/>
        <c:auto val="1"/>
        <c:lblAlgn val="ctr"/>
        <c:lblOffset val="100"/>
        <c:noMultiLvlLbl val="0"/>
      </c:catAx>
      <c:valAx>
        <c:axId val="260701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Percentage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70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sz="1600" b="1" i="0" u="none" strike="noStrike" baseline="0"/>
              <a:t>Tesla Liquidity Ratios (2021–2025)</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RATIOS!$A$11</c:f>
              <c:strCache>
                <c:ptCount val="1"/>
                <c:pt idx="0">
                  <c:v>Current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RATIOS!$B$10:$F$10</c:f>
              <c:numCache>
                <c:formatCode>General</c:formatCode>
                <c:ptCount val="5"/>
                <c:pt idx="0">
                  <c:v>2021</c:v>
                </c:pt>
                <c:pt idx="1">
                  <c:v>2022</c:v>
                </c:pt>
                <c:pt idx="2">
                  <c:v>2023</c:v>
                </c:pt>
                <c:pt idx="3">
                  <c:v>2024</c:v>
                </c:pt>
                <c:pt idx="4">
                  <c:v>2025</c:v>
                </c:pt>
              </c:numCache>
            </c:numRef>
          </c:cat>
          <c:val>
            <c:numRef>
              <c:f>RATIOS!$B$11:$F$11</c:f>
              <c:numCache>
                <c:formatCode>0.00</c:formatCode>
                <c:ptCount val="5"/>
                <c:pt idx="0">
                  <c:v>1.550266429840142</c:v>
                </c:pt>
                <c:pt idx="1">
                  <c:v>1.4232990121051898</c:v>
                </c:pt>
                <c:pt idx="2">
                  <c:v>1.710896551724138</c:v>
                </c:pt>
                <c:pt idx="3">
                  <c:v>1.6818181818181819</c:v>
                </c:pt>
                <c:pt idx="4">
                  <c:v>1.6984615384615385</c:v>
                </c:pt>
              </c:numCache>
            </c:numRef>
          </c:val>
          <c:extLst>
            <c:ext xmlns:c16="http://schemas.microsoft.com/office/drawing/2014/chart" uri="{C3380CC4-5D6E-409C-BE32-E72D297353CC}">
              <c16:uniqueId val="{00000000-3443-475B-989D-BAC4A888E3FF}"/>
            </c:ext>
          </c:extLst>
        </c:ser>
        <c:ser>
          <c:idx val="1"/>
          <c:order val="1"/>
          <c:tx>
            <c:strRef>
              <c:f>RATIOS!$A$12</c:f>
              <c:strCache>
                <c:ptCount val="1"/>
                <c:pt idx="0">
                  <c:v>Quick Ratio</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RATIOS!$B$10:$F$10</c:f>
              <c:numCache>
                <c:formatCode>General</c:formatCode>
                <c:ptCount val="5"/>
                <c:pt idx="0">
                  <c:v>2021</c:v>
                </c:pt>
                <c:pt idx="1">
                  <c:v>2022</c:v>
                </c:pt>
                <c:pt idx="2">
                  <c:v>2023</c:v>
                </c:pt>
                <c:pt idx="3">
                  <c:v>2024</c:v>
                </c:pt>
                <c:pt idx="4">
                  <c:v>2025</c:v>
                </c:pt>
              </c:numCache>
            </c:numRef>
          </c:cat>
          <c:val>
            <c:numRef>
              <c:f>RATIOS!$B$12:$F$12</c:f>
              <c:numCache>
                <c:formatCode>0.00</c:formatCode>
                <c:ptCount val="5"/>
                <c:pt idx="0">
                  <c:v>1.2581070794214666</c:v>
                </c:pt>
                <c:pt idx="1">
                  <c:v>0.9766940308891053</c:v>
                </c:pt>
                <c:pt idx="2">
                  <c:v>1.2410344827586206</c:v>
                </c:pt>
                <c:pt idx="3">
                  <c:v>1.2110389610389611</c:v>
                </c:pt>
                <c:pt idx="4">
                  <c:v>1.2307692307692308</c:v>
                </c:pt>
              </c:numCache>
            </c:numRef>
          </c:val>
          <c:extLst>
            <c:ext xmlns:c16="http://schemas.microsoft.com/office/drawing/2014/chart" uri="{C3380CC4-5D6E-409C-BE32-E72D297353CC}">
              <c16:uniqueId val="{00000001-3443-475B-989D-BAC4A888E3FF}"/>
            </c:ext>
          </c:extLst>
        </c:ser>
        <c:dLbls>
          <c:dLblPos val="inEnd"/>
          <c:showLegendKey val="0"/>
          <c:showVal val="1"/>
          <c:showCatName val="0"/>
          <c:showSerName val="0"/>
          <c:showPercent val="0"/>
          <c:showBubbleSize val="0"/>
        </c:dLbls>
        <c:gapWidth val="100"/>
        <c:overlap val="-24"/>
        <c:axId val="65349888"/>
        <c:axId val="65351328"/>
      </c:barChart>
      <c:catAx>
        <c:axId val="6534988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51328"/>
        <c:crosses val="autoZero"/>
        <c:auto val="1"/>
        <c:lblAlgn val="ctr"/>
        <c:lblOffset val="100"/>
        <c:noMultiLvlLbl val="0"/>
      </c:catAx>
      <c:valAx>
        <c:axId val="65351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sz="900" b="0" i="0" u="none" strike="noStrike" baseline="0"/>
                  <a:t>Ratio (Times)</a:t>
                </a:r>
                <a:endParaRPr lang="en-IN"/>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N"/>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49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Tesla Working Capital Efficiency (2021–2025)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RATIOS!$A$19</c:f>
              <c:strCache>
                <c:ptCount val="1"/>
                <c:pt idx="0">
                  <c:v>Inventory Days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RATIOS!$B$17:$F$17</c:f>
              <c:numCache>
                <c:formatCode>General</c:formatCode>
                <c:ptCount val="5"/>
                <c:pt idx="0">
                  <c:v>2021</c:v>
                </c:pt>
                <c:pt idx="1">
                  <c:v>2022</c:v>
                </c:pt>
                <c:pt idx="2">
                  <c:v>2023</c:v>
                </c:pt>
                <c:pt idx="3">
                  <c:v>2024</c:v>
                </c:pt>
                <c:pt idx="4">
                  <c:v>2025</c:v>
                </c:pt>
              </c:numCache>
            </c:numRef>
          </c:cat>
          <c:val>
            <c:numRef>
              <c:f>RATIOS!$B$19:$F$19</c:f>
              <c:numCache>
                <c:formatCode>0</c:formatCode>
                <c:ptCount val="5"/>
                <c:pt idx="0">
                  <c:v>52.24917323519904</c:v>
                </c:pt>
                <c:pt idx="1">
                  <c:v>77.31912752231516</c:v>
                </c:pt>
                <c:pt idx="2">
                  <c:v>62.865647870767134</c:v>
                </c:pt>
                <c:pt idx="3">
                  <c:v>65.95837487537388</c:v>
                </c:pt>
                <c:pt idx="4">
                  <c:v>71.3725187500804</c:v>
                </c:pt>
              </c:numCache>
            </c:numRef>
          </c:val>
          <c:smooth val="0"/>
          <c:extLst>
            <c:ext xmlns:c16="http://schemas.microsoft.com/office/drawing/2014/chart" uri="{C3380CC4-5D6E-409C-BE32-E72D297353CC}">
              <c16:uniqueId val="{00000000-1CB6-42AC-8EA8-1B15FE33A07D}"/>
            </c:ext>
          </c:extLst>
        </c:ser>
        <c:ser>
          <c:idx val="1"/>
          <c:order val="1"/>
          <c:tx>
            <c:strRef>
              <c:f>RATIOS!$A$20</c:f>
              <c:strCache>
                <c:ptCount val="1"/>
                <c:pt idx="0">
                  <c:v>Receivable Days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RATIOS!$B$17:$F$17</c:f>
              <c:numCache>
                <c:formatCode>General</c:formatCode>
                <c:ptCount val="5"/>
                <c:pt idx="0">
                  <c:v>2021</c:v>
                </c:pt>
                <c:pt idx="1">
                  <c:v>2022</c:v>
                </c:pt>
                <c:pt idx="2">
                  <c:v>2023</c:v>
                </c:pt>
                <c:pt idx="3">
                  <c:v>2024</c:v>
                </c:pt>
                <c:pt idx="4">
                  <c:v>2025</c:v>
                </c:pt>
              </c:numCache>
            </c:numRef>
          </c:cat>
          <c:val>
            <c:numRef>
              <c:f>RATIOS!$B$20:$F$20</c:f>
              <c:numCache>
                <c:formatCode>0</c:formatCode>
                <c:ptCount val="5"/>
                <c:pt idx="0">
                  <c:v>12.972985526633597</c:v>
                </c:pt>
                <c:pt idx="1">
                  <c:v>13.22678058481255</c:v>
                </c:pt>
                <c:pt idx="2">
                  <c:v>13.57816746406539</c:v>
                </c:pt>
                <c:pt idx="3">
                  <c:v>15.318865799979529</c:v>
                </c:pt>
                <c:pt idx="4">
                  <c:v>16.936104695919937</c:v>
                </c:pt>
              </c:numCache>
            </c:numRef>
          </c:val>
          <c:smooth val="0"/>
          <c:extLst>
            <c:ext xmlns:c16="http://schemas.microsoft.com/office/drawing/2014/chart" uri="{C3380CC4-5D6E-409C-BE32-E72D297353CC}">
              <c16:uniqueId val="{00000001-1CB6-42AC-8EA8-1B15FE33A07D}"/>
            </c:ext>
          </c:extLst>
        </c:ser>
        <c:ser>
          <c:idx val="2"/>
          <c:order val="2"/>
          <c:tx>
            <c:strRef>
              <c:f>RATIOS!$A$21</c:f>
              <c:strCache>
                <c:ptCount val="1"/>
                <c:pt idx="0">
                  <c:v>Payable Days</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RATIOS!$B$17:$F$17</c:f>
              <c:numCache>
                <c:formatCode>General</c:formatCode>
                <c:ptCount val="5"/>
                <c:pt idx="0">
                  <c:v>2021</c:v>
                </c:pt>
                <c:pt idx="1">
                  <c:v>2022</c:v>
                </c:pt>
                <c:pt idx="2">
                  <c:v>2023</c:v>
                </c:pt>
                <c:pt idx="3">
                  <c:v>2024</c:v>
                </c:pt>
                <c:pt idx="4">
                  <c:v>2025</c:v>
                </c:pt>
              </c:numCache>
            </c:numRef>
          </c:cat>
          <c:val>
            <c:numRef>
              <c:f>RATIOS!$B$21:$F$21</c:f>
              <c:numCache>
                <c:formatCode>0</c:formatCode>
                <c:ptCount val="5"/>
                <c:pt idx="0">
                  <c:v>90.98453390357312</c:v>
                </c:pt>
                <c:pt idx="1">
                  <c:v>91.8687818640796</c:v>
                </c:pt>
                <c:pt idx="2">
                  <c:v>74.74119297713398</c:v>
                </c:pt>
                <c:pt idx="3">
                  <c:v>78.24027916251246</c:v>
                </c:pt>
                <c:pt idx="4">
                  <c:v>86.86786821555839</c:v>
                </c:pt>
              </c:numCache>
            </c:numRef>
          </c:val>
          <c:smooth val="0"/>
          <c:extLst>
            <c:ext xmlns:c16="http://schemas.microsoft.com/office/drawing/2014/chart" uri="{C3380CC4-5D6E-409C-BE32-E72D297353CC}">
              <c16:uniqueId val="{00000002-1CB6-42AC-8EA8-1B15FE33A07D}"/>
            </c:ext>
          </c:extLst>
        </c:ser>
        <c:dLbls>
          <c:dLblPos val="ctr"/>
          <c:showLegendKey val="0"/>
          <c:showVal val="1"/>
          <c:showCatName val="0"/>
          <c:showSerName val="0"/>
          <c:showPercent val="0"/>
          <c:showBubbleSize val="0"/>
        </c:dLbls>
        <c:smooth val="0"/>
        <c:axId val="1551078832"/>
        <c:axId val="1551062512"/>
      </c:lineChart>
      <c:catAx>
        <c:axId val="155107883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51062512"/>
        <c:crosses val="autoZero"/>
        <c:auto val="1"/>
        <c:lblAlgn val="ctr"/>
        <c:lblOffset val="100"/>
        <c:noMultiLvlLbl val="0"/>
      </c:catAx>
      <c:valAx>
        <c:axId val="155106251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IN"/>
                  <a:t>Days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51078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IN" sz="1440" b="0" i="0" u="none" strike="noStrike" cap="all" baseline="0"/>
              <a:t>Tesla Debt to Equity Ratio (2021–2025)</a:t>
            </a:r>
            <a:endParaRPr lang="en-US"/>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RATIOS!$A$35</c:f>
              <c:strCache>
                <c:ptCount val="1"/>
                <c:pt idx="0">
                  <c:v>Debt to Equity</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RATIOS!$B$34:$F$34</c:f>
              <c:numCache>
                <c:formatCode>General</c:formatCode>
                <c:ptCount val="5"/>
                <c:pt idx="0">
                  <c:v>2021</c:v>
                </c:pt>
                <c:pt idx="1">
                  <c:v>2022</c:v>
                </c:pt>
                <c:pt idx="2">
                  <c:v>2023</c:v>
                </c:pt>
                <c:pt idx="3">
                  <c:v>2024</c:v>
                </c:pt>
                <c:pt idx="4">
                  <c:v>2025</c:v>
                </c:pt>
              </c:numCache>
            </c:numRef>
          </c:cat>
          <c:val>
            <c:numRef>
              <c:f>RATIOS!$B$35:$F$35</c:f>
              <c:numCache>
                <c:formatCode>0.00</c:formatCode>
                <c:ptCount val="5"/>
                <c:pt idx="0">
                  <c:v>0.15129323526098082</c:v>
                </c:pt>
                <c:pt idx="1">
                  <c:v>6.922684544195876E-2</c:v>
                </c:pt>
                <c:pt idx="2">
                  <c:v>4.689639648089441E-2</c:v>
                </c:pt>
                <c:pt idx="3">
                  <c:v>4.9773755656108594E-2</c:v>
                </c:pt>
                <c:pt idx="4">
                  <c:v>5.181347150259067E-2</c:v>
                </c:pt>
              </c:numCache>
            </c:numRef>
          </c:val>
          <c:smooth val="0"/>
          <c:extLst>
            <c:ext xmlns:c16="http://schemas.microsoft.com/office/drawing/2014/chart" uri="{C3380CC4-5D6E-409C-BE32-E72D297353CC}">
              <c16:uniqueId val="{00000000-18DF-4DB9-98C0-C91F5196CD50}"/>
            </c:ext>
          </c:extLst>
        </c:ser>
        <c:dLbls>
          <c:dLblPos val="ctr"/>
          <c:showLegendKey val="0"/>
          <c:showVal val="1"/>
          <c:showCatName val="0"/>
          <c:showSerName val="0"/>
          <c:showPercent val="0"/>
          <c:showBubbleSize val="0"/>
        </c:dLbls>
        <c:marker val="1"/>
        <c:smooth val="0"/>
        <c:axId val="1551076432"/>
        <c:axId val="1551066832"/>
      </c:lineChart>
      <c:catAx>
        <c:axId val="155107643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IN" sz="900" b="0" i="0" u="none" strike="noStrike" baseline="0"/>
                  <a:t>Year</a:t>
                </a:r>
                <a:endParaRPr lang="en-IN"/>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1551066832"/>
        <c:crosses val="autoZero"/>
        <c:auto val="1"/>
        <c:lblAlgn val="ctr"/>
        <c:lblOffset val="100"/>
        <c:noMultiLvlLbl val="0"/>
      </c:catAx>
      <c:valAx>
        <c:axId val="1551066832"/>
        <c:scaling>
          <c:orientation val="minMax"/>
        </c:scaling>
        <c:delete val="1"/>
        <c:axPos val="l"/>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IN" sz="900" b="0" i="0" u="none" strike="noStrike" baseline="0"/>
                  <a:t>Debt to Equity Ratio (Times)</a:t>
                </a:r>
                <a:endParaRPr lang="en-IN"/>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IN"/>
            </a:p>
          </c:txPr>
        </c:title>
        <c:numFmt formatCode="0.00" sourceLinked="1"/>
        <c:majorTickMark val="none"/>
        <c:minorTickMark val="none"/>
        <c:tickLblPos val="nextTo"/>
        <c:crossAx val="155107643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Tesla Cash Conversion Cycle (2021–2025)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RATIOS!$A$30</c:f>
              <c:strCache>
                <c:ptCount val="1"/>
                <c:pt idx="0">
                  <c:v>Cash Conversion Cycle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RATIOS!$B$26:$F$26</c:f>
              <c:numCache>
                <c:formatCode>General</c:formatCode>
                <c:ptCount val="5"/>
                <c:pt idx="0">
                  <c:v>2021</c:v>
                </c:pt>
                <c:pt idx="1">
                  <c:v>2022</c:v>
                </c:pt>
                <c:pt idx="2">
                  <c:v>2023</c:v>
                </c:pt>
                <c:pt idx="3">
                  <c:v>2024</c:v>
                </c:pt>
                <c:pt idx="4">
                  <c:v>2025</c:v>
                </c:pt>
              </c:numCache>
            </c:numRef>
          </c:cat>
          <c:val>
            <c:numRef>
              <c:f>RATIOS!$B$30:$F$30</c:f>
              <c:numCache>
                <c:formatCode>0</c:formatCode>
                <c:ptCount val="5"/>
                <c:pt idx="0">
                  <c:v>-25.762375141740492</c:v>
                </c:pt>
                <c:pt idx="1">
                  <c:v>-2</c:v>
                </c:pt>
                <c:pt idx="2">
                  <c:v>1.7026223576985444</c:v>
                </c:pt>
                <c:pt idx="3">
                  <c:v>3.0369615128409464</c:v>
                </c:pt>
                <c:pt idx="4">
                  <c:v>1.440755230441951</c:v>
                </c:pt>
              </c:numCache>
            </c:numRef>
          </c:val>
          <c:smooth val="0"/>
          <c:extLst>
            <c:ext xmlns:c16="http://schemas.microsoft.com/office/drawing/2014/chart" uri="{C3380CC4-5D6E-409C-BE32-E72D297353CC}">
              <c16:uniqueId val="{00000000-A5E9-499F-9998-0483C10D254C}"/>
            </c:ext>
          </c:extLst>
        </c:ser>
        <c:dLbls>
          <c:dLblPos val="ctr"/>
          <c:showLegendKey val="0"/>
          <c:showVal val="1"/>
          <c:showCatName val="0"/>
          <c:showSerName val="0"/>
          <c:showPercent val="0"/>
          <c:showBubbleSize val="0"/>
        </c:dLbls>
        <c:smooth val="0"/>
        <c:axId val="179943311"/>
        <c:axId val="179944751"/>
      </c:lineChart>
      <c:catAx>
        <c:axId val="179943311"/>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IN"/>
                  <a:t>Year</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9944751"/>
        <c:crosses val="autoZero"/>
        <c:auto val="1"/>
        <c:lblAlgn val="ctr"/>
        <c:lblOffset val="100"/>
        <c:noMultiLvlLbl val="0"/>
      </c:catAx>
      <c:valAx>
        <c:axId val="179944751"/>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IN"/>
                  <a:t>Days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9943311"/>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200"/>
              <a:t>NPV Comparison of Investment Projects (A, B &amp;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'Investment Appraisal'!$A$36</c:f>
              <c:strCache>
                <c:ptCount val="1"/>
                <c:pt idx="0">
                  <c:v>NPV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'Investment Appraisal'!$B$33:$D$33</c:f>
              <c:strCache>
                <c:ptCount val="3"/>
                <c:pt idx="0">
                  <c:v>Project A</c:v>
                </c:pt>
                <c:pt idx="1">
                  <c:v>Project B</c:v>
                </c:pt>
                <c:pt idx="2">
                  <c:v>Project C</c:v>
                </c:pt>
              </c:strCache>
            </c:strRef>
          </c:cat>
          <c:val>
            <c:numRef>
              <c:f>'Investment Appraisal'!$B$36:$D$36</c:f>
              <c:numCache>
                <c:formatCode>General</c:formatCode>
                <c:ptCount val="3"/>
                <c:pt idx="0">
                  <c:v>-2.14</c:v>
                </c:pt>
                <c:pt idx="1">
                  <c:v>-8.3</c:v>
                </c:pt>
                <c:pt idx="2">
                  <c:v>1.08</c:v>
                </c:pt>
              </c:numCache>
            </c:numRef>
          </c:val>
          <c:extLst>
            <c:ext xmlns:c16="http://schemas.microsoft.com/office/drawing/2014/chart" uri="{C3380CC4-5D6E-409C-BE32-E72D297353CC}">
              <c16:uniqueId val="{00000000-4768-4944-910F-E1D457345FC6}"/>
            </c:ext>
          </c:extLst>
        </c:ser>
        <c:dLbls>
          <c:showLegendKey val="0"/>
          <c:showVal val="1"/>
          <c:showCatName val="0"/>
          <c:showSerName val="0"/>
          <c:showPercent val="0"/>
          <c:showBubbleSize val="0"/>
        </c:dLbls>
        <c:gapWidth val="182"/>
        <c:axId val="178500399"/>
        <c:axId val="178497999"/>
      </c:barChart>
      <c:catAx>
        <c:axId val="1785003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bg1">
                    <a:lumMod val="65000"/>
                  </a:schemeClr>
                </a:solidFill>
                <a:latin typeface="+mn-lt"/>
                <a:ea typeface="+mn-ea"/>
                <a:cs typeface="+mn-cs"/>
              </a:defRPr>
            </a:pPr>
            <a:endParaRPr lang="en-US"/>
          </a:p>
        </c:txPr>
        <c:crossAx val="178497999"/>
        <c:crosses val="autoZero"/>
        <c:auto val="1"/>
        <c:lblAlgn val="ctr"/>
        <c:lblOffset val="100"/>
        <c:noMultiLvlLbl val="0"/>
      </c:catAx>
      <c:valAx>
        <c:axId val="1784979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5003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39FBD-D1DF-482D-BAE9-70CEFBDC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7340</Words>
  <Characters>41841</Characters>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unknown</cp:lastModifiedBy>
</cp:coreProperties>
</file>