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0CB8" w14:textId="77777777" w:rsidR="00E90171" w:rsidRPr="0098015B" w:rsidRDefault="00E90171" w:rsidP="00E90171">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5CD7BB45" w14:textId="77777777" w:rsidR="00E90171" w:rsidRDefault="00E90171" w:rsidP="00E90171">
      <w:pPr>
        <w:pStyle w:val="Title"/>
        <w:rPr>
          <w:rFonts w:ascii="Arial" w:hAnsi="Arial" w:cs="Arial"/>
          <w:sz w:val="44"/>
          <w:szCs w:val="40"/>
        </w:rPr>
      </w:pPr>
    </w:p>
    <w:p w14:paraId="5B382A65" w14:textId="77777777" w:rsidR="00E90171" w:rsidRDefault="00E90171" w:rsidP="00E90171">
      <w:pPr>
        <w:pStyle w:val="Title"/>
        <w:rPr>
          <w:rFonts w:ascii="Arial" w:hAnsi="Arial" w:cs="Arial"/>
          <w:sz w:val="44"/>
          <w:szCs w:val="40"/>
        </w:rPr>
      </w:pPr>
    </w:p>
    <w:p w14:paraId="14BF46DA" w14:textId="64BED49B" w:rsidR="00E90171" w:rsidRPr="00164A38" w:rsidRDefault="00E90171" w:rsidP="00E90171">
      <w:pPr>
        <w:pStyle w:val="Title"/>
        <w:jc w:val="center"/>
        <w:rPr>
          <w:rFonts w:ascii="Arial" w:hAnsi="Arial" w:cs="Arial"/>
          <w:b/>
          <w:bCs/>
          <w:sz w:val="44"/>
          <w:szCs w:val="40"/>
        </w:rPr>
      </w:pPr>
      <w:r w:rsidRPr="00164A38">
        <w:rPr>
          <w:rFonts w:ascii="Arial" w:hAnsi="Arial" w:cs="Arial"/>
          <w:b/>
          <w:bCs/>
          <w:sz w:val="44"/>
          <w:szCs w:val="40"/>
        </w:rPr>
        <w:t>Sch</w:t>
      </w:r>
      <w:r w:rsidR="00D95E74">
        <w:rPr>
          <w:rFonts w:ascii="Arial" w:hAnsi="Arial" w:cs="Arial"/>
          <w:b/>
          <w:bCs/>
          <w:sz w:val="44"/>
          <w:szCs w:val="40"/>
        </w:rPr>
        <w:t>o</w:t>
      </w:r>
      <w:r w:rsidRPr="00164A38">
        <w:rPr>
          <w:rFonts w:ascii="Arial" w:hAnsi="Arial" w:cs="Arial"/>
          <w:b/>
          <w:bCs/>
          <w:sz w:val="44"/>
          <w:szCs w:val="40"/>
        </w:rPr>
        <w:t>ol</w:t>
      </w:r>
      <w:r w:rsidR="0021614A">
        <w:rPr>
          <w:rFonts w:ascii="Arial" w:hAnsi="Arial" w:cs="Arial"/>
          <w:b/>
          <w:bCs/>
          <w:sz w:val="44"/>
          <w:szCs w:val="40"/>
        </w:rPr>
        <w:t xml:space="preserve"> </w:t>
      </w:r>
      <w:r w:rsidR="00D95E74">
        <w:rPr>
          <w:rFonts w:ascii="Arial" w:hAnsi="Arial" w:cs="Arial"/>
          <w:b/>
          <w:bCs/>
          <w:sz w:val="44"/>
          <w:szCs w:val="40"/>
        </w:rPr>
        <w:t>o</w:t>
      </w:r>
      <w:r w:rsidRPr="00164A38">
        <w:rPr>
          <w:rFonts w:ascii="Arial" w:hAnsi="Arial" w:cs="Arial"/>
          <w:b/>
          <w:bCs/>
          <w:sz w:val="44"/>
          <w:szCs w:val="40"/>
        </w:rPr>
        <w:t>f In</w:t>
      </w:r>
      <w:r w:rsidR="00D95E74">
        <w:rPr>
          <w:rFonts w:ascii="Arial" w:hAnsi="Arial" w:cs="Arial"/>
          <w:b/>
          <w:bCs/>
          <w:sz w:val="44"/>
          <w:szCs w:val="40"/>
        </w:rPr>
        <w:t>t</w:t>
      </w:r>
      <w:r w:rsidRPr="00164A38">
        <w:rPr>
          <w:rFonts w:ascii="Arial" w:hAnsi="Arial" w:cs="Arial"/>
          <w:b/>
          <w:bCs/>
          <w:sz w:val="44"/>
          <w:szCs w:val="40"/>
        </w:rPr>
        <w:t>ernational</w:t>
      </w:r>
      <w:r w:rsidR="0021614A">
        <w:rPr>
          <w:rFonts w:ascii="Arial" w:hAnsi="Arial" w:cs="Arial"/>
          <w:b/>
          <w:bCs/>
          <w:sz w:val="44"/>
          <w:szCs w:val="40"/>
        </w:rPr>
        <w:t xml:space="preserve"> </w:t>
      </w:r>
      <w:r w:rsidRPr="00164A38">
        <w:rPr>
          <w:rFonts w:ascii="Arial" w:hAnsi="Arial" w:cs="Arial"/>
          <w:b/>
          <w:bCs/>
          <w:sz w:val="44"/>
          <w:szCs w:val="40"/>
        </w:rPr>
        <w:t>H</w:t>
      </w:r>
      <w:r w:rsidR="00D95E74">
        <w:rPr>
          <w:rFonts w:ascii="Arial" w:hAnsi="Arial" w:cs="Arial"/>
          <w:b/>
          <w:bCs/>
          <w:sz w:val="44"/>
          <w:szCs w:val="40"/>
        </w:rPr>
        <w:t>o</w:t>
      </w:r>
      <w:r w:rsidRPr="00164A38">
        <w:rPr>
          <w:rFonts w:ascii="Arial" w:hAnsi="Arial" w:cs="Arial"/>
          <w:b/>
          <w:bCs/>
          <w:sz w:val="44"/>
          <w:szCs w:val="40"/>
        </w:rPr>
        <w:t xml:space="preserve">tel </w:t>
      </w:r>
      <w:r w:rsidR="0021614A">
        <w:rPr>
          <w:rFonts w:ascii="Arial" w:hAnsi="Arial" w:cs="Arial"/>
          <w:b/>
          <w:bCs/>
          <w:sz w:val="44"/>
          <w:szCs w:val="40"/>
        </w:rPr>
        <w:t>M</w:t>
      </w:r>
      <w:r w:rsidRPr="00164A38">
        <w:rPr>
          <w:rFonts w:ascii="Arial" w:hAnsi="Arial" w:cs="Arial"/>
          <w:b/>
          <w:bCs/>
          <w:sz w:val="44"/>
          <w:szCs w:val="40"/>
        </w:rPr>
        <w:t>an</w:t>
      </w:r>
      <w:r w:rsidR="00D95E74">
        <w:rPr>
          <w:rFonts w:ascii="Arial" w:hAnsi="Arial" w:cs="Arial"/>
          <w:b/>
          <w:bCs/>
          <w:sz w:val="44"/>
          <w:szCs w:val="40"/>
        </w:rPr>
        <w:t>a</w:t>
      </w:r>
      <w:r w:rsidRPr="00164A38">
        <w:rPr>
          <w:rFonts w:ascii="Arial" w:hAnsi="Arial" w:cs="Arial"/>
          <w:b/>
          <w:bCs/>
          <w:sz w:val="44"/>
          <w:szCs w:val="40"/>
        </w:rPr>
        <w:t>gement</w:t>
      </w:r>
    </w:p>
    <w:p w14:paraId="090DCABA" w14:textId="444ED8AC" w:rsidR="00E90171" w:rsidRPr="00164A38" w:rsidRDefault="00334E3C" w:rsidP="00334E3C">
      <w:pPr>
        <w:rPr>
          <w:b/>
          <w:bCs/>
          <w:sz w:val="44"/>
          <w:szCs w:val="44"/>
          <w:lang w:bidi="hi-IN"/>
        </w:rPr>
      </w:pPr>
      <w:r>
        <w:rPr>
          <w:rFonts w:ascii="Arial" w:hAnsi="Arial" w:cs="Arial"/>
          <w:b/>
          <w:bCs/>
          <w:sz w:val="44"/>
          <w:szCs w:val="44"/>
        </w:rPr>
        <w:t xml:space="preserve">      </w:t>
      </w:r>
      <w:r w:rsidR="00E90171" w:rsidRPr="00164A38">
        <w:rPr>
          <w:rFonts w:ascii="Arial" w:hAnsi="Arial" w:cs="Arial"/>
          <w:b/>
          <w:bCs/>
          <w:sz w:val="44"/>
          <w:szCs w:val="44"/>
        </w:rPr>
        <w:t>B</w:t>
      </w:r>
      <w:r w:rsidR="00D95E74">
        <w:rPr>
          <w:rFonts w:ascii="Arial" w:hAnsi="Arial" w:cs="Arial"/>
          <w:b/>
          <w:bCs/>
          <w:sz w:val="44"/>
          <w:szCs w:val="44"/>
        </w:rPr>
        <w:t>A</w:t>
      </w:r>
      <w:r w:rsidR="00E90171" w:rsidRPr="00164A38">
        <w:rPr>
          <w:rFonts w:ascii="Arial" w:hAnsi="Arial" w:cs="Arial"/>
          <w:b/>
          <w:bCs/>
          <w:sz w:val="44"/>
          <w:szCs w:val="44"/>
        </w:rPr>
        <w:t xml:space="preserve"> </w:t>
      </w:r>
      <w:r>
        <w:rPr>
          <w:rFonts w:ascii="Arial" w:hAnsi="Arial" w:cs="Arial"/>
          <w:b/>
          <w:bCs/>
          <w:sz w:val="44"/>
          <w:szCs w:val="44"/>
        </w:rPr>
        <w:t>I</w:t>
      </w:r>
      <w:r w:rsidR="00D95E74">
        <w:rPr>
          <w:rFonts w:ascii="Arial" w:hAnsi="Arial" w:cs="Arial"/>
          <w:b/>
          <w:bCs/>
          <w:sz w:val="44"/>
          <w:szCs w:val="44"/>
        </w:rPr>
        <w:t>n</w:t>
      </w:r>
      <w:r w:rsidR="00E90171" w:rsidRPr="00164A38">
        <w:rPr>
          <w:rFonts w:ascii="Arial" w:hAnsi="Arial" w:cs="Arial"/>
          <w:b/>
          <w:bCs/>
          <w:sz w:val="44"/>
          <w:szCs w:val="44"/>
        </w:rPr>
        <w:t>ternational</w:t>
      </w:r>
      <w:r>
        <w:rPr>
          <w:rFonts w:ascii="Arial" w:hAnsi="Arial" w:cs="Arial"/>
          <w:b/>
          <w:bCs/>
          <w:sz w:val="44"/>
          <w:szCs w:val="44"/>
        </w:rPr>
        <w:t xml:space="preserve"> </w:t>
      </w:r>
      <w:r w:rsidR="00E90171" w:rsidRPr="00164A38">
        <w:rPr>
          <w:rFonts w:ascii="Arial" w:hAnsi="Arial" w:cs="Arial"/>
          <w:b/>
          <w:bCs/>
          <w:sz w:val="44"/>
          <w:szCs w:val="44"/>
        </w:rPr>
        <w:t>H</w:t>
      </w:r>
      <w:r w:rsidR="00D95E74">
        <w:rPr>
          <w:rFonts w:ascii="Arial" w:hAnsi="Arial" w:cs="Arial"/>
          <w:b/>
          <w:bCs/>
          <w:sz w:val="44"/>
          <w:szCs w:val="44"/>
        </w:rPr>
        <w:t>o</w:t>
      </w:r>
      <w:r w:rsidR="00E90171" w:rsidRPr="00164A38">
        <w:rPr>
          <w:rFonts w:ascii="Arial" w:hAnsi="Arial" w:cs="Arial"/>
          <w:b/>
          <w:bCs/>
          <w:sz w:val="44"/>
          <w:szCs w:val="44"/>
        </w:rPr>
        <w:t>tel</w:t>
      </w:r>
      <w:r>
        <w:rPr>
          <w:rFonts w:ascii="Arial" w:hAnsi="Arial" w:cs="Arial"/>
          <w:b/>
          <w:bCs/>
          <w:sz w:val="44"/>
          <w:szCs w:val="44"/>
        </w:rPr>
        <w:t xml:space="preserve"> </w:t>
      </w:r>
      <w:r w:rsidR="00E90171" w:rsidRPr="00164A38">
        <w:rPr>
          <w:rFonts w:ascii="Arial" w:hAnsi="Arial" w:cs="Arial"/>
          <w:b/>
          <w:bCs/>
          <w:sz w:val="44"/>
          <w:szCs w:val="44"/>
        </w:rPr>
        <w:t>M</w:t>
      </w:r>
      <w:r w:rsidR="00D95E74">
        <w:rPr>
          <w:rFonts w:ascii="Arial" w:hAnsi="Arial" w:cs="Arial"/>
          <w:b/>
          <w:bCs/>
          <w:sz w:val="44"/>
          <w:szCs w:val="44"/>
        </w:rPr>
        <w:t>a</w:t>
      </w:r>
      <w:r w:rsidR="00E90171" w:rsidRPr="00164A38">
        <w:rPr>
          <w:rFonts w:ascii="Arial" w:hAnsi="Arial" w:cs="Arial"/>
          <w:b/>
          <w:bCs/>
          <w:sz w:val="44"/>
          <w:szCs w:val="44"/>
        </w:rPr>
        <w:t>nagement</w:t>
      </w:r>
    </w:p>
    <w:p w14:paraId="0CF5067F" w14:textId="77777777" w:rsidR="007709B8" w:rsidRDefault="007709B8" w:rsidP="00E90171">
      <w:pPr>
        <w:jc w:val="center"/>
        <w:rPr>
          <w:bCs/>
          <w:sz w:val="44"/>
          <w:szCs w:val="44"/>
          <w:lang w:bidi="hi-IN"/>
        </w:rPr>
      </w:pPr>
    </w:p>
    <w:p w14:paraId="3562B30C" w14:textId="0D1A04EB" w:rsidR="007709B8" w:rsidRPr="003C6873" w:rsidRDefault="007F2D0A" w:rsidP="00E90171">
      <w:pPr>
        <w:pStyle w:val="Title"/>
        <w:jc w:val="center"/>
        <w:rPr>
          <w:sz w:val="44"/>
          <w:szCs w:val="44"/>
        </w:rPr>
      </w:pPr>
      <w:r w:rsidRPr="003C6873">
        <w:rPr>
          <w:sz w:val="44"/>
          <w:szCs w:val="44"/>
        </w:rPr>
        <w:t>Conference Research Paper</w:t>
      </w:r>
    </w:p>
    <w:p w14:paraId="25ABC59C" w14:textId="77777777" w:rsidR="003C6873" w:rsidRPr="003C6873" w:rsidRDefault="003C6873" w:rsidP="003C6873"/>
    <w:p w14:paraId="346E0C44" w14:textId="2517BC7D" w:rsidR="00210E5E" w:rsidRPr="003C6873" w:rsidRDefault="00210E5E" w:rsidP="00E77868">
      <w:pPr>
        <w:jc w:val="center"/>
        <w:rPr>
          <w:b/>
          <w:bCs/>
          <w:sz w:val="32"/>
          <w:szCs w:val="32"/>
        </w:rPr>
      </w:pPr>
      <w:r w:rsidRPr="003C6873">
        <w:rPr>
          <w:b/>
          <w:bCs/>
          <w:sz w:val="32"/>
          <w:szCs w:val="32"/>
        </w:rPr>
        <w:t xml:space="preserve">THE </w:t>
      </w:r>
      <w:r w:rsidR="00192E81" w:rsidRPr="003C6873">
        <w:rPr>
          <w:b/>
          <w:bCs/>
          <w:sz w:val="32"/>
          <w:szCs w:val="32"/>
        </w:rPr>
        <w:t xml:space="preserve">MOUNTING FINANCIAL PRESSURES FACED </w:t>
      </w:r>
      <w:r w:rsidR="00B475FE" w:rsidRPr="003C6873">
        <w:rPr>
          <w:b/>
          <w:bCs/>
          <w:sz w:val="32"/>
          <w:szCs w:val="32"/>
        </w:rPr>
        <w:t>BY THE HOSPITALITY INDUSTRY</w:t>
      </w:r>
    </w:p>
    <w:p w14:paraId="711E9B78" w14:textId="77777777" w:rsidR="00E90171" w:rsidRDefault="00E90171" w:rsidP="00E90171">
      <w:pPr>
        <w:rPr>
          <w:rFonts w:ascii="Arial" w:hAnsi="Arial" w:cs="Arial"/>
          <w:sz w:val="28"/>
          <w:szCs w:val="28"/>
        </w:rPr>
      </w:pPr>
    </w:p>
    <w:p w14:paraId="3E3F3E6F" w14:textId="77777777" w:rsidR="00E90171" w:rsidRDefault="00E90171" w:rsidP="00E90171">
      <w:pPr>
        <w:rPr>
          <w:rFonts w:ascii="Arial" w:hAnsi="Arial" w:cs="Arial"/>
          <w:sz w:val="28"/>
          <w:szCs w:val="28"/>
        </w:rPr>
      </w:pPr>
    </w:p>
    <w:p w14:paraId="417AD875" w14:textId="77777777" w:rsidR="003478E9" w:rsidRDefault="003478E9" w:rsidP="00E90171">
      <w:pPr>
        <w:rPr>
          <w:rFonts w:ascii="Arial" w:hAnsi="Arial" w:cs="Arial"/>
          <w:sz w:val="28"/>
          <w:szCs w:val="28"/>
        </w:rPr>
      </w:pPr>
    </w:p>
    <w:p w14:paraId="376238C2" w14:textId="77777777" w:rsidR="003478E9" w:rsidRDefault="003478E9" w:rsidP="00E90171">
      <w:pPr>
        <w:rPr>
          <w:rFonts w:ascii="Arial" w:hAnsi="Arial" w:cs="Arial"/>
          <w:sz w:val="28"/>
          <w:szCs w:val="28"/>
        </w:rPr>
      </w:pPr>
    </w:p>
    <w:p w14:paraId="78C6551F" w14:textId="77777777" w:rsidR="003478E9" w:rsidRDefault="003478E9" w:rsidP="00E90171">
      <w:pPr>
        <w:rPr>
          <w:rFonts w:ascii="Arial" w:hAnsi="Arial" w:cs="Arial"/>
          <w:sz w:val="28"/>
          <w:szCs w:val="28"/>
        </w:rPr>
      </w:pPr>
    </w:p>
    <w:p w14:paraId="7DB94190" w14:textId="77777777" w:rsidR="003478E9" w:rsidRDefault="003478E9" w:rsidP="00E90171">
      <w:pPr>
        <w:rPr>
          <w:rFonts w:ascii="Arial" w:hAnsi="Arial" w:cs="Arial"/>
          <w:sz w:val="28"/>
          <w:szCs w:val="28"/>
        </w:rPr>
      </w:pPr>
    </w:p>
    <w:p w14:paraId="1B4AFB46" w14:textId="77777777" w:rsidR="00E90171" w:rsidRDefault="00E90171" w:rsidP="00E90171">
      <w:pPr>
        <w:rPr>
          <w:rFonts w:ascii="Arial" w:hAnsi="Arial" w:cs="Arial"/>
          <w:sz w:val="28"/>
          <w:szCs w:val="28"/>
        </w:rPr>
      </w:pPr>
    </w:p>
    <w:p w14:paraId="552FC27E" w14:textId="104FD469" w:rsidR="00E90171" w:rsidRPr="00A54504" w:rsidRDefault="00E90171" w:rsidP="00E90171">
      <w:pPr>
        <w:rPr>
          <w:rFonts w:asciiTheme="majorHAnsi" w:hAnsiTheme="majorHAnsi" w:cs="Arial"/>
          <w:sz w:val="28"/>
          <w:szCs w:val="28"/>
        </w:rPr>
      </w:pPr>
      <w:r w:rsidRPr="00A54504">
        <w:rPr>
          <w:rFonts w:asciiTheme="majorHAnsi" w:hAnsiTheme="majorHAnsi" w:cs="Arial"/>
          <w:sz w:val="28"/>
          <w:szCs w:val="28"/>
        </w:rPr>
        <w:t>S</w:t>
      </w:r>
      <w:r w:rsidR="00DE1B6C">
        <w:rPr>
          <w:rFonts w:asciiTheme="majorHAnsi" w:hAnsiTheme="majorHAnsi" w:cs="Arial"/>
          <w:sz w:val="28"/>
          <w:szCs w:val="28"/>
        </w:rPr>
        <w:t>t</w:t>
      </w:r>
      <w:r w:rsidRPr="00A54504">
        <w:rPr>
          <w:rFonts w:asciiTheme="majorHAnsi" w:hAnsiTheme="majorHAnsi" w:cs="Arial"/>
          <w:sz w:val="28"/>
          <w:szCs w:val="28"/>
        </w:rPr>
        <w:t>udent N</w:t>
      </w:r>
      <w:r w:rsidR="00DE1B6C">
        <w:rPr>
          <w:rFonts w:asciiTheme="majorHAnsi" w:hAnsiTheme="majorHAnsi" w:cs="Arial"/>
          <w:sz w:val="28"/>
          <w:szCs w:val="28"/>
        </w:rPr>
        <w:t>a</w:t>
      </w:r>
      <w:r w:rsidRPr="00A54504">
        <w:rPr>
          <w:rFonts w:asciiTheme="majorHAnsi" w:hAnsiTheme="majorHAnsi" w:cs="Arial"/>
          <w:sz w:val="28"/>
          <w:szCs w:val="28"/>
        </w:rPr>
        <w:t xml:space="preserve">me: </w:t>
      </w:r>
      <w:r w:rsidR="00DE1B6C">
        <w:rPr>
          <w:rFonts w:asciiTheme="majorHAnsi" w:hAnsiTheme="majorHAnsi" w:cs="Arial"/>
          <w:sz w:val="28"/>
          <w:szCs w:val="28"/>
        </w:rPr>
        <w:t>O</w:t>
      </w:r>
      <w:r w:rsidRPr="00A54504">
        <w:rPr>
          <w:rFonts w:asciiTheme="majorHAnsi" w:hAnsiTheme="majorHAnsi" w:cs="Arial"/>
          <w:sz w:val="28"/>
          <w:szCs w:val="28"/>
        </w:rPr>
        <w:t>leg G</w:t>
      </w:r>
      <w:r w:rsidR="00DE1B6C">
        <w:rPr>
          <w:rFonts w:asciiTheme="majorHAnsi" w:hAnsiTheme="majorHAnsi" w:cs="Arial"/>
          <w:sz w:val="28"/>
          <w:szCs w:val="28"/>
        </w:rPr>
        <w:t>o</w:t>
      </w:r>
      <w:r w:rsidRPr="00A54504">
        <w:rPr>
          <w:rFonts w:asciiTheme="majorHAnsi" w:hAnsiTheme="majorHAnsi" w:cs="Arial"/>
          <w:sz w:val="28"/>
          <w:szCs w:val="28"/>
        </w:rPr>
        <w:t>ncear</w:t>
      </w:r>
    </w:p>
    <w:p w14:paraId="2445504A" w14:textId="689BCD81" w:rsidR="00E90171" w:rsidRPr="00A54504" w:rsidRDefault="00E90171" w:rsidP="00E90171">
      <w:pPr>
        <w:rPr>
          <w:rFonts w:asciiTheme="majorHAnsi" w:hAnsiTheme="majorHAnsi" w:cs="Arial"/>
          <w:sz w:val="28"/>
          <w:szCs w:val="28"/>
          <w:lang w:bidi="hi-IN"/>
        </w:rPr>
      </w:pPr>
      <w:r w:rsidRPr="00A54504">
        <w:rPr>
          <w:rFonts w:asciiTheme="majorHAnsi" w:hAnsiTheme="majorHAnsi" w:cs="Arial"/>
          <w:sz w:val="28"/>
          <w:szCs w:val="28"/>
          <w:lang w:bidi="hi-IN"/>
        </w:rPr>
        <w:t>Stu</w:t>
      </w:r>
      <w:r w:rsidR="00DE1B6C">
        <w:rPr>
          <w:rFonts w:asciiTheme="majorHAnsi" w:hAnsiTheme="majorHAnsi" w:cs="Arial"/>
          <w:sz w:val="28"/>
          <w:szCs w:val="28"/>
          <w:lang w:bidi="hi-IN"/>
        </w:rPr>
        <w:t>d</w:t>
      </w:r>
      <w:r w:rsidRPr="00A54504">
        <w:rPr>
          <w:rFonts w:asciiTheme="majorHAnsi" w:hAnsiTheme="majorHAnsi" w:cs="Arial"/>
          <w:sz w:val="28"/>
          <w:szCs w:val="28"/>
          <w:lang w:bidi="hi-IN"/>
        </w:rPr>
        <w:t>ent I</w:t>
      </w:r>
      <w:r w:rsidR="00DE1B6C">
        <w:rPr>
          <w:rFonts w:asciiTheme="majorHAnsi" w:hAnsiTheme="majorHAnsi" w:cs="Arial"/>
          <w:sz w:val="28"/>
          <w:szCs w:val="28"/>
          <w:lang w:bidi="hi-IN"/>
        </w:rPr>
        <w:t>D</w:t>
      </w:r>
      <w:r w:rsidRPr="00A54504">
        <w:rPr>
          <w:rFonts w:asciiTheme="majorHAnsi" w:hAnsiTheme="majorHAnsi" w:cs="Arial"/>
          <w:sz w:val="28"/>
          <w:szCs w:val="28"/>
          <w:lang w:bidi="hi-IN"/>
        </w:rPr>
        <w:t>: 22</w:t>
      </w:r>
      <w:r w:rsidR="00DE1B6C">
        <w:rPr>
          <w:rFonts w:asciiTheme="majorHAnsi" w:hAnsiTheme="majorHAnsi" w:cs="Arial"/>
          <w:sz w:val="28"/>
          <w:szCs w:val="28"/>
          <w:lang w:bidi="hi-IN"/>
        </w:rPr>
        <w:t>31</w:t>
      </w:r>
      <w:r w:rsidRPr="00A54504">
        <w:rPr>
          <w:rFonts w:asciiTheme="majorHAnsi" w:hAnsiTheme="majorHAnsi" w:cs="Arial"/>
          <w:sz w:val="28"/>
          <w:szCs w:val="28"/>
          <w:lang w:bidi="hi-IN"/>
        </w:rPr>
        <w:t>041</w:t>
      </w:r>
    </w:p>
    <w:p w14:paraId="1225EBAC" w14:textId="2895F90D" w:rsidR="00E90171" w:rsidRPr="00A54504" w:rsidRDefault="00A1146B" w:rsidP="00E90171">
      <w:pPr>
        <w:pStyle w:val="Title"/>
        <w:spacing w:line="360" w:lineRule="auto"/>
        <w:jc w:val="both"/>
        <w:rPr>
          <w:rFonts w:cs="Arial"/>
          <w:sz w:val="28"/>
          <w:szCs w:val="28"/>
        </w:rPr>
      </w:pPr>
      <w:r w:rsidRPr="00A54504">
        <w:rPr>
          <w:rFonts w:cs="Arial"/>
          <w:sz w:val="28"/>
          <w:szCs w:val="28"/>
        </w:rPr>
        <w:t>Programme</w:t>
      </w:r>
      <w:r w:rsidR="00E90171" w:rsidRPr="00A54504">
        <w:rPr>
          <w:rFonts w:cs="Arial"/>
          <w:sz w:val="28"/>
          <w:szCs w:val="28"/>
        </w:rPr>
        <w:t xml:space="preserve">: </w:t>
      </w:r>
      <w:r w:rsidR="008B4A94" w:rsidRPr="00A54504">
        <w:rPr>
          <w:rFonts w:cs="Arial"/>
          <w:sz w:val="28"/>
          <w:szCs w:val="28"/>
        </w:rPr>
        <w:t>Internation</w:t>
      </w:r>
      <w:r w:rsidR="00DE1B6C">
        <w:rPr>
          <w:rFonts w:cs="Arial"/>
          <w:sz w:val="28"/>
          <w:szCs w:val="28"/>
        </w:rPr>
        <w:t>a</w:t>
      </w:r>
      <w:r w:rsidR="008B4A94" w:rsidRPr="00A54504">
        <w:rPr>
          <w:rFonts w:cs="Arial"/>
          <w:sz w:val="28"/>
          <w:szCs w:val="28"/>
        </w:rPr>
        <w:t xml:space="preserve">l </w:t>
      </w:r>
      <w:r w:rsidR="00045C45" w:rsidRPr="00A54504">
        <w:rPr>
          <w:rFonts w:cs="Arial"/>
          <w:sz w:val="28"/>
          <w:szCs w:val="28"/>
        </w:rPr>
        <w:t>M</w:t>
      </w:r>
      <w:r w:rsidR="00DE1B6C">
        <w:rPr>
          <w:rFonts w:cs="Arial"/>
          <w:sz w:val="28"/>
          <w:szCs w:val="28"/>
        </w:rPr>
        <w:t>e</w:t>
      </w:r>
      <w:r w:rsidR="00045C45" w:rsidRPr="00A54504">
        <w:rPr>
          <w:rFonts w:cs="Arial"/>
          <w:sz w:val="28"/>
          <w:szCs w:val="28"/>
        </w:rPr>
        <w:t>eting Ma</w:t>
      </w:r>
      <w:r w:rsidR="00DE1B6C">
        <w:rPr>
          <w:rFonts w:cs="Arial"/>
          <w:sz w:val="28"/>
          <w:szCs w:val="28"/>
        </w:rPr>
        <w:t>n</w:t>
      </w:r>
      <w:r w:rsidR="00045C45" w:rsidRPr="00A54504">
        <w:rPr>
          <w:rFonts w:cs="Arial"/>
          <w:sz w:val="28"/>
          <w:szCs w:val="28"/>
        </w:rPr>
        <w:t>agement f</w:t>
      </w:r>
      <w:r w:rsidR="00DE1B6C">
        <w:rPr>
          <w:rFonts w:cs="Arial"/>
          <w:sz w:val="28"/>
          <w:szCs w:val="28"/>
        </w:rPr>
        <w:t>o</w:t>
      </w:r>
      <w:r w:rsidR="00045C45" w:rsidRPr="00A54504">
        <w:rPr>
          <w:rFonts w:cs="Arial"/>
          <w:sz w:val="28"/>
          <w:szCs w:val="28"/>
        </w:rPr>
        <w:t>r t</w:t>
      </w:r>
      <w:r w:rsidR="00DE1B6C">
        <w:rPr>
          <w:rFonts w:cs="Arial"/>
          <w:sz w:val="28"/>
          <w:szCs w:val="28"/>
        </w:rPr>
        <w:t>h</w:t>
      </w:r>
      <w:r w:rsidR="00045C45" w:rsidRPr="00A54504">
        <w:rPr>
          <w:rFonts w:cs="Arial"/>
          <w:sz w:val="28"/>
          <w:szCs w:val="28"/>
        </w:rPr>
        <w:t>e H</w:t>
      </w:r>
      <w:r w:rsidR="00DE1B6C">
        <w:rPr>
          <w:rFonts w:cs="Arial"/>
          <w:sz w:val="28"/>
          <w:szCs w:val="28"/>
        </w:rPr>
        <w:t>o</w:t>
      </w:r>
      <w:r w:rsidR="00045C45" w:rsidRPr="00A54504">
        <w:rPr>
          <w:rFonts w:cs="Arial"/>
          <w:sz w:val="28"/>
          <w:szCs w:val="28"/>
        </w:rPr>
        <w:t>tel In</w:t>
      </w:r>
      <w:r w:rsidR="00DE1B6C">
        <w:rPr>
          <w:rFonts w:cs="Arial"/>
          <w:sz w:val="28"/>
          <w:szCs w:val="28"/>
        </w:rPr>
        <w:t>d</w:t>
      </w:r>
      <w:r w:rsidR="00045C45" w:rsidRPr="00A54504">
        <w:rPr>
          <w:rFonts w:cs="Arial"/>
          <w:sz w:val="28"/>
          <w:szCs w:val="28"/>
        </w:rPr>
        <w:t>ustry</w:t>
      </w:r>
    </w:p>
    <w:p w14:paraId="7488D022" w14:textId="65BBF6F3" w:rsidR="00B54392" w:rsidRDefault="00D217F4" w:rsidP="00B54392">
      <w:pPr>
        <w:rPr>
          <w:rFonts w:asciiTheme="majorHAnsi" w:hAnsiTheme="majorHAnsi"/>
          <w:sz w:val="28"/>
          <w:szCs w:val="28"/>
        </w:rPr>
      </w:pPr>
      <w:r w:rsidRPr="00A54504">
        <w:rPr>
          <w:rFonts w:asciiTheme="majorHAnsi" w:hAnsiTheme="majorHAnsi"/>
          <w:sz w:val="28"/>
          <w:szCs w:val="28"/>
        </w:rPr>
        <w:t>Mo</w:t>
      </w:r>
      <w:r w:rsidR="00DE1B6C">
        <w:rPr>
          <w:rFonts w:asciiTheme="majorHAnsi" w:hAnsiTheme="majorHAnsi"/>
          <w:sz w:val="28"/>
          <w:szCs w:val="28"/>
        </w:rPr>
        <w:t>d</w:t>
      </w:r>
      <w:r w:rsidRPr="00A54504">
        <w:rPr>
          <w:rFonts w:asciiTheme="majorHAnsi" w:hAnsiTheme="majorHAnsi"/>
          <w:sz w:val="28"/>
          <w:szCs w:val="28"/>
        </w:rPr>
        <w:t xml:space="preserve">ule: </w:t>
      </w:r>
      <w:r w:rsidR="00AF42D2" w:rsidRPr="00A54504">
        <w:rPr>
          <w:rFonts w:asciiTheme="majorHAnsi" w:hAnsiTheme="majorHAnsi"/>
          <w:sz w:val="28"/>
          <w:szCs w:val="28"/>
        </w:rPr>
        <w:t>Contempora</w:t>
      </w:r>
      <w:r w:rsidR="00DE1B6C">
        <w:rPr>
          <w:rFonts w:asciiTheme="majorHAnsi" w:hAnsiTheme="majorHAnsi"/>
          <w:sz w:val="28"/>
          <w:szCs w:val="28"/>
        </w:rPr>
        <w:t>ry</w:t>
      </w:r>
      <w:r w:rsidR="00AF42D2" w:rsidRPr="00A54504">
        <w:rPr>
          <w:rFonts w:asciiTheme="majorHAnsi" w:hAnsiTheme="majorHAnsi"/>
          <w:sz w:val="28"/>
          <w:szCs w:val="28"/>
        </w:rPr>
        <w:t xml:space="preserve"> Th</w:t>
      </w:r>
      <w:r w:rsidR="00DE1B6C">
        <w:rPr>
          <w:rFonts w:asciiTheme="majorHAnsi" w:hAnsiTheme="majorHAnsi"/>
          <w:sz w:val="28"/>
          <w:szCs w:val="28"/>
        </w:rPr>
        <w:t>e</w:t>
      </w:r>
      <w:r w:rsidR="00AF42D2" w:rsidRPr="00A54504">
        <w:rPr>
          <w:rFonts w:asciiTheme="majorHAnsi" w:hAnsiTheme="majorHAnsi"/>
          <w:sz w:val="28"/>
          <w:szCs w:val="28"/>
        </w:rPr>
        <w:t>mes i</w:t>
      </w:r>
      <w:r w:rsidR="00DE1B6C">
        <w:rPr>
          <w:rFonts w:asciiTheme="majorHAnsi" w:hAnsiTheme="majorHAnsi"/>
          <w:sz w:val="28"/>
          <w:szCs w:val="28"/>
        </w:rPr>
        <w:t>n</w:t>
      </w:r>
      <w:r w:rsidR="00AF42D2" w:rsidRPr="00A54504">
        <w:rPr>
          <w:rFonts w:asciiTheme="majorHAnsi" w:hAnsiTheme="majorHAnsi"/>
          <w:sz w:val="28"/>
          <w:szCs w:val="28"/>
        </w:rPr>
        <w:t xml:space="preserve"> t</w:t>
      </w:r>
      <w:r w:rsidR="00DE1B6C">
        <w:rPr>
          <w:rFonts w:asciiTheme="majorHAnsi" w:hAnsiTheme="majorHAnsi"/>
          <w:sz w:val="28"/>
          <w:szCs w:val="28"/>
        </w:rPr>
        <w:t>h</w:t>
      </w:r>
      <w:r w:rsidR="00AF42D2" w:rsidRPr="00A54504">
        <w:rPr>
          <w:rFonts w:asciiTheme="majorHAnsi" w:hAnsiTheme="majorHAnsi"/>
          <w:sz w:val="28"/>
          <w:szCs w:val="28"/>
        </w:rPr>
        <w:t>e H</w:t>
      </w:r>
      <w:r w:rsidR="00DE1B6C">
        <w:rPr>
          <w:rFonts w:asciiTheme="majorHAnsi" w:hAnsiTheme="majorHAnsi"/>
          <w:sz w:val="28"/>
          <w:szCs w:val="28"/>
        </w:rPr>
        <w:t>o</w:t>
      </w:r>
      <w:r w:rsidR="00AF42D2" w:rsidRPr="00A54504">
        <w:rPr>
          <w:rFonts w:asciiTheme="majorHAnsi" w:hAnsiTheme="majorHAnsi"/>
          <w:sz w:val="28"/>
          <w:szCs w:val="28"/>
        </w:rPr>
        <w:t xml:space="preserve">tel </w:t>
      </w:r>
      <w:r w:rsidR="00DE1B6C">
        <w:rPr>
          <w:rFonts w:asciiTheme="majorHAnsi" w:hAnsiTheme="majorHAnsi"/>
          <w:sz w:val="28"/>
          <w:szCs w:val="28"/>
        </w:rPr>
        <w:t>a</w:t>
      </w:r>
      <w:r w:rsidR="00AF42D2" w:rsidRPr="00A54504">
        <w:rPr>
          <w:rFonts w:asciiTheme="majorHAnsi" w:hAnsiTheme="majorHAnsi"/>
          <w:sz w:val="28"/>
          <w:szCs w:val="28"/>
        </w:rPr>
        <w:t xml:space="preserve">nd </w:t>
      </w:r>
      <w:r w:rsidR="00DE1B6C">
        <w:rPr>
          <w:rFonts w:asciiTheme="majorHAnsi" w:hAnsiTheme="majorHAnsi"/>
          <w:sz w:val="28"/>
          <w:szCs w:val="28"/>
        </w:rPr>
        <w:t>H</w:t>
      </w:r>
      <w:r w:rsidR="00AF42D2" w:rsidRPr="00A54504">
        <w:rPr>
          <w:rFonts w:asciiTheme="majorHAnsi" w:hAnsiTheme="majorHAnsi"/>
          <w:sz w:val="28"/>
          <w:szCs w:val="28"/>
        </w:rPr>
        <w:t>ospitality S</w:t>
      </w:r>
      <w:r w:rsidR="00DE1B6C">
        <w:rPr>
          <w:rFonts w:asciiTheme="majorHAnsi" w:hAnsiTheme="majorHAnsi"/>
          <w:sz w:val="28"/>
          <w:szCs w:val="28"/>
        </w:rPr>
        <w:t>e</w:t>
      </w:r>
      <w:r w:rsidR="00AF42D2" w:rsidRPr="00A54504">
        <w:rPr>
          <w:rFonts w:asciiTheme="majorHAnsi" w:hAnsiTheme="majorHAnsi"/>
          <w:sz w:val="28"/>
          <w:szCs w:val="28"/>
        </w:rPr>
        <w:t>ctor.</w:t>
      </w:r>
    </w:p>
    <w:p w14:paraId="058513DF" w14:textId="27E6618A" w:rsidR="00B54392" w:rsidRDefault="00E90171" w:rsidP="00E90171">
      <w:pPr>
        <w:rPr>
          <w:rFonts w:asciiTheme="majorHAnsi" w:hAnsiTheme="majorHAnsi"/>
          <w:sz w:val="28"/>
          <w:szCs w:val="28"/>
        </w:rPr>
      </w:pPr>
      <w:r w:rsidRPr="00A54504">
        <w:rPr>
          <w:rFonts w:asciiTheme="majorHAnsi" w:hAnsiTheme="majorHAnsi" w:cs="Arial"/>
          <w:sz w:val="28"/>
          <w:szCs w:val="28"/>
        </w:rPr>
        <w:t>Mod</w:t>
      </w:r>
      <w:r w:rsidR="00DE1B6C">
        <w:rPr>
          <w:rFonts w:asciiTheme="majorHAnsi" w:hAnsiTheme="majorHAnsi" w:cs="Arial"/>
          <w:sz w:val="28"/>
          <w:szCs w:val="28"/>
        </w:rPr>
        <w:t>u</w:t>
      </w:r>
      <w:r w:rsidRPr="00A54504">
        <w:rPr>
          <w:rFonts w:asciiTheme="majorHAnsi" w:hAnsiTheme="majorHAnsi" w:cs="Arial"/>
          <w:sz w:val="28"/>
          <w:szCs w:val="28"/>
        </w:rPr>
        <w:t>le c</w:t>
      </w:r>
      <w:r w:rsidR="00DE1B6C">
        <w:rPr>
          <w:rFonts w:asciiTheme="majorHAnsi" w:hAnsiTheme="majorHAnsi" w:cs="Arial"/>
          <w:sz w:val="28"/>
          <w:szCs w:val="28"/>
        </w:rPr>
        <w:t>o</w:t>
      </w:r>
      <w:r w:rsidRPr="00A54504">
        <w:rPr>
          <w:rFonts w:asciiTheme="majorHAnsi" w:hAnsiTheme="majorHAnsi" w:cs="Arial"/>
          <w:sz w:val="28"/>
          <w:szCs w:val="28"/>
        </w:rPr>
        <w:t xml:space="preserve">de: BMIH </w:t>
      </w:r>
      <w:r w:rsidR="00B16495" w:rsidRPr="00A54504">
        <w:rPr>
          <w:rFonts w:asciiTheme="majorHAnsi" w:hAnsiTheme="majorHAnsi" w:cs="Arial"/>
          <w:sz w:val="28"/>
          <w:szCs w:val="28"/>
        </w:rPr>
        <w:t>600</w:t>
      </w:r>
      <w:r w:rsidR="000673F0" w:rsidRPr="00A54504">
        <w:rPr>
          <w:rFonts w:asciiTheme="majorHAnsi" w:hAnsiTheme="majorHAnsi" w:cs="Arial"/>
          <w:sz w:val="28"/>
          <w:szCs w:val="28"/>
        </w:rPr>
        <w:t>1</w:t>
      </w:r>
    </w:p>
    <w:p w14:paraId="0732BE3D" w14:textId="42E07A05" w:rsidR="00E90171" w:rsidRPr="00A54504" w:rsidRDefault="00E90171" w:rsidP="00E90171">
      <w:pPr>
        <w:rPr>
          <w:rFonts w:asciiTheme="majorHAnsi" w:hAnsiTheme="majorHAnsi"/>
          <w:sz w:val="28"/>
          <w:szCs w:val="28"/>
        </w:rPr>
      </w:pPr>
      <w:r w:rsidRPr="00A54504">
        <w:rPr>
          <w:rFonts w:asciiTheme="majorHAnsi" w:hAnsiTheme="majorHAnsi"/>
          <w:sz w:val="28"/>
          <w:szCs w:val="28"/>
        </w:rPr>
        <w:lastRenderedPageBreak/>
        <w:t xml:space="preserve">Lecturer: </w:t>
      </w:r>
      <w:r w:rsidR="00B7324C" w:rsidRPr="00A54504">
        <w:rPr>
          <w:rFonts w:asciiTheme="majorHAnsi" w:hAnsiTheme="majorHAnsi"/>
          <w:sz w:val="28"/>
          <w:szCs w:val="28"/>
        </w:rPr>
        <w:t>Na</w:t>
      </w:r>
      <w:r w:rsidR="009F2DDF">
        <w:rPr>
          <w:rFonts w:asciiTheme="majorHAnsi" w:hAnsiTheme="majorHAnsi"/>
          <w:sz w:val="28"/>
          <w:szCs w:val="28"/>
        </w:rPr>
        <w:t>ta</w:t>
      </w:r>
      <w:r w:rsidR="00B7324C" w:rsidRPr="00A54504">
        <w:rPr>
          <w:rFonts w:asciiTheme="majorHAnsi" w:hAnsiTheme="majorHAnsi"/>
          <w:sz w:val="28"/>
          <w:szCs w:val="28"/>
        </w:rPr>
        <w:t>lie Brai</w:t>
      </w:r>
      <w:r w:rsidR="000673F0" w:rsidRPr="00A54504">
        <w:rPr>
          <w:rFonts w:asciiTheme="majorHAnsi" w:hAnsiTheme="majorHAnsi"/>
          <w:sz w:val="28"/>
          <w:szCs w:val="28"/>
        </w:rPr>
        <w:t>l</w:t>
      </w:r>
      <w:r w:rsidR="009F2DDF">
        <w:rPr>
          <w:rFonts w:asciiTheme="majorHAnsi" w:hAnsiTheme="majorHAnsi"/>
          <w:sz w:val="28"/>
          <w:szCs w:val="28"/>
        </w:rPr>
        <w:t>sf</w:t>
      </w:r>
      <w:r w:rsidR="000673F0" w:rsidRPr="00A54504">
        <w:rPr>
          <w:rFonts w:asciiTheme="majorHAnsi" w:hAnsiTheme="majorHAnsi"/>
          <w:sz w:val="28"/>
          <w:szCs w:val="28"/>
        </w:rPr>
        <w:t>ord</w:t>
      </w:r>
    </w:p>
    <w:p w14:paraId="19599395" w14:textId="4ED123D8" w:rsidR="002033B2" w:rsidRPr="002033B2" w:rsidRDefault="00DC2473" w:rsidP="002033B2">
      <w:pPr>
        <w:autoSpaceDE w:val="0"/>
        <w:autoSpaceDN w:val="0"/>
        <w:adjustRightInd w:val="0"/>
        <w:spacing w:after="0" w:line="240" w:lineRule="auto"/>
        <w:rPr>
          <w:rFonts w:ascii="Arial" w:eastAsia="Aptos" w:hAnsi="Arial" w:cs="Arial"/>
          <w:b/>
          <w:bCs/>
          <w:color w:val="000000"/>
          <w:kern w:val="0"/>
        </w:rPr>
      </w:pPr>
      <w:r>
        <w:rPr>
          <w:rFonts w:ascii="Arial" w:eastAsia="Aptos" w:hAnsi="Arial" w:cs="Arial"/>
          <w:b/>
          <w:bCs/>
          <w:color w:val="000000"/>
          <w:kern w:val="0"/>
        </w:rPr>
        <w:t xml:space="preserve">I </w:t>
      </w:r>
      <w:r w:rsidR="002033B2" w:rsidRPr="002033B2">
        <w:rPr>
          <w:rFonts w:ascii="Arial" w:eastAsia="Aptos" w:hAnsi="Arial" w:cs="Arial"/>
          <w:b/>
          <w:bCs/>
          <w:color w:val="000000"/>
          <w:kern w:val="0"/>
        </w:rPr>
        <w:t>acknowled</w:t>
      </w:r>
      <w:r>
        <w:rPr>
          <w:rFonts w:ascii="Arial" w:eastAsia="Aptos" w:hAnsi="Arial" w:cs="Arial"/>
          <w:b/>
          <w:bCs/>
          <w:color w:val="000000"/>
          <w:kern w:val="0"/>
        </w:rPr>
        <w:t>ge</w:t>
      </w:r>
      <w:r w:rsidR="002033B2" w:rsidRPr="002033B2">
        <w:rPr>
          <w:rFonts w:ascii="Arial" w:eastAsia="Aptos" w:hAnsi="Arial" w:cs="Arial"/>
          <w:b/>
          <w:bCs/>
          <w:color w:val="000000"/>
          <w:kern w:val="0"/>
        </w:rPr>
        <w:t xml:space="preserve"> using t</w:t>
      </w:r>
      <w:r>
        <w:rPr>
          <w:rFonts w:ascii="Arial" w:eastAsia="Aptos" w:hAnsi="Arial" w:cs="Arial"/>
          <w:b/>
          <w:bCs/>
          <w:color w:val="000000"/>
          <w:kern w:val="0"/>
        </w:rPr>
        <w:t>h</w:t>
      </w:r>
      <w:r w:rsidR="002033B2" w:rsidRPr="002033B2">
        <w:rPr>
          <w:rFonts w:ascii="Arial" w:eastAsia="Aptos" w:hAnsi="Arial" w:cs="Arial"/>
          <w:b/>
          <w:bCs/>
          <w:color w:val="000000"/>
          <w:kern w:val="0"/>
        </w:rPr>
        <w:t>e Gramm</w:t>
      </w:r>
      <w:r>
        <w:rPr>
          <w:rFonts w:ascii="Arial" w:eastAsia="Aptos" w:hAnsi="Arial" w:cs="Arial"/>
          <w:b/>
          <w:bCs/>
          <w:color w:val="000000"/>
          <w:kern w:val="0"/>
        </w:rPr>
        <w:t>a</w:t>
      </w:r>
      <w:r w:rsidR="002033B2" w:rsidRPr="002033B2">
        <w:rPr>
          <w:rFonts w:ascii="Arial" w:eastAsia="Aptos" w:hAnsi="Arial" w:cs="Arial"/>
          <w:b/>
          <w:bCs/>
          <w:color w:val="000000"/>
          <w:kern w:val="0"/>
        </w:rPr>
        <w:t xml:space="preserve">rly App </w:t>
      </w:r>
      <w:r w:rsidR="00E77868">
        <w:rPr>
          <w:rFonts w:ascii="Arial" w:eastAsia="Aptos" w:hAnsi="Arial" w:cs="Arial"/>
          <w:b/>
          <w:bCs/>
          <w:color w:val="000000"/>
          <w:kern w:val="0"/>
        </w:rPr>
        <w:t xml:space="preserve">to </w:t>
      </w:r>
      <w:r w:rsidR="00E77868" w:rsidRPr="002033B2">
        <w:rPr>
          <w:rFonts w:ascii="Arial" w:eastAsia="Aptos" w:hAnsi="Arial" w:cs="Arial"/>
          <w:b/>
          <w:bCs/>
          <w:color w:val="000000"/>
          <w:kern w:val="0"/>
        </w:rPr>
        <w:t>check</w:t>
      </w:r>
      <w:r w:rsidR="002033B2" w:rsidRPr="002033B2">
        <w:rPr>
          <w:rFonts w:ascii="Arial" w:eastAsia="Aptos" w:hAnsi="Arial" w:cs="Arial"/>
          <w:b/>
          <w:bCs/>
          <w:color w:val="000000"/>
          <w:kern w:val="0"/>
        </w:rPr>
        <w:t xml:space="preserve"> </w:t>
      </w:r>
      <w:r>
        <w:rPr>
          <w:rFonts w:ascii="Arial" w:eastAsia="Aptos" w:hAnsi="Arial" w:cs="Arial"/>
          <w:b/>
          <w:bCs/>
          <w:color w:val="000000"/>
          <w:kern w:val="0"/>
        </w:rPr>
        <w:t>my</w:t>
      </w:r>
      <w:r w:rsidR="002033B2" w:rsidRPr="002033B2">
        <w:rPr>
          <w:rFonts w:ascii="Arial" w:eastAsia="Aptos" w:hAnsi="Arial" w:cs="Arial"/>
          <w:b/>
          <w:bCs/>
          <w:color w:val="000000"/>
          <w:kern w:val="0"/>
        </w:rPr>
        <w:t xml:space="preserve"> d</w:t>
      </w:r>
      <w:r>
        <w:rPr>
          <w:rFonts w:ascii="Arial" w:eastAsia="Aptos" w:hAnsi="Arial" w:cs="Arial"/>
          <w:b/>
          <w:bCs/>
          <w:color w:val="000000"/>
          <w:kern w:val="0"/>
        </w:rPr>
        <w:t>oc</w:t>
      </w:r>
      <w:r w:rsidR="002033B2" w:rsidRPr="002033B2">
        <w:rPr>
          <w:rFonts w:ascii="Arial" w:eastAsia="Aptos" w:hAnsi="Arial" w:cs="Arial"/>
          <w:b/>
          <w:bCs/>
          <w:color w:val="000000"/>
          <w:kern w:val="0"/>
        </w:rPr>
        <w:t xml:space="preserve">ument </w:t>
      </w:r>
      <w:r>
        <w:rPr>
          <w:rFonts w:ascii="Arial" w:eastAsia="Aptos" w:hAnsi="Arial" w:cs="Arial"/>
          <w:b/>
          <w:bCs/>
          <w:color w:val="000000"/>
          <w:kern w:val="0"/>
        </w:rPr>
        <w:t>f</w:t>
      </w:r>
      <w:r w:rsidR="002033B2" w:rsidRPr="002033B2">
        <w:rPr>
          <w:rFonts w:ascii="Arial" w:eastAsia="Aptos" w:hAnsi="Arial" w:cs="Arial"/>
          <w:b/>
          <w:bCs/>
          <w:color w:val="000000"/>
          <w:kern w:val="0"/>
        </w:rPr>
        <w:t>or gra</w:t>
      </w:r>
      <w:r>
        <w:rPr>
          <w:rFonts w:ascii="Arial" w:eastAsia="Aptos" w:hAnsi="Arial" w:cs="Arial"/>
          <w:b/>
          <w:bCs/>
          <w:color w:val="000000"/>
          <w:kern w:val="0"/>
        </w:rPr>
        <w:t>mm</w:t>
      </w:r>
      <w:r w:rsidR="002033B2" w:rsidRPr="002033B2">
        <w:rPr>
          <w:rFonts w:ascii="Arial" w:eastAsia="Aptos" w:hAnsi="Arial" w:cs="Arial"/>
          <w:b/>
          <w:bCs/>
          <w:color w:val="000000"/>
          <w:kern w:val="0"/>
        </w:rPr>
        <w:t>atical a</w:t>
      </w:r>
      <w:r>
        <w:rPr>
          <w:rFonts w:ascii="Arial" w:eastAsia="Aptos" w:hAnsi="Arial" w:cs="Arial"/>
          <w:b/>
          <w:bCs/>
          <w:color w:val="000000"/>
          <w:kern w:val="0"/>
        </w:rPr>
        <w:t>n</w:t>
      </w:r>
      <w:r w:rsidR="002033B2" w:rsidRPr="002033B2">
        <w:rPr>
          <w:rFonts w:ascii="Arial" w:eastAsia="Aptos" w:hAnsi="Arial" w:cs="Arial"/>
          <w:b/>
          <w:bCs/>
          <w:color w:val="000000"/>
          <w:kern w:val="0"/>
        </w:rPr>
        <w:t>d syn</w:t>
      </w:r>
      <w:r w:rsidR="009F2DDF">
        <w:rPr>
          <w:rFonts w:ascii="Arial" w:eastAsia="Aptos" w:hAnsi="Arial" w:cs="Arial"/>
          <w:b/>
          <w:bCs/>
          <w:color w:val="000000"/>
          <w:kern w:val="0"/>
        </w:rPr>
        <w:t>t</w:t>
      </w:r>
      <w:r w:rsidR="002033B2" w:rsidRPr="002033B2">
        <w:rPr>
          <w:rFonts w:ascii="Arial" w:eastAsia="Aptos" w:hAnsi="Arial" w:cs="Arial"/>
          <w:b/>
          <w:bCs/>
          <w:color w:val="000000"/>
          <w:kern w:val="0"/>
        </w:rPr>
        <w:t>actical mis</w:t>
      </w:r>
      <w:r w:rsidR="009F2DDF">
        <w:rPr>
          <w:rFonts w:ascii="Arial" w:eastAsia="Aptos" w:hAnsi="Arial" w:cs="Arial"/>
          <w:b/>
          <w:bCs/>
          <w:color w:val="000000"/>
          <w:kern w:val="0"/>
        </w:rPr>
        <w:t>t</w:t>
      </w:r>
      <w:r w:rsidR="002033B2" w:rsidRPr="002033B2">
        <w:rPr>
          <w:rFonts w:ascii="Arial" w:eastAsia="Aptos" w:hAnsi="Arial" w:cs="Arial"/>
          <w:b/>
          <w:bCs/>
          <w:color w:val="000000"/>
          <w:kern w:val="0"/>
        </w:rPr>
        <w:t>akes.</w:t>
      </w:r>
    </w:p>
    <w:p w14:paraId="1C7F7DAB" w14:textId="77777777" w:rsidR="002033B2" w:rsidRPr="002033B2" w:rsidRDefault="002033B2" w:rsidP="002033B2">
      <w:pPr>
        <w:autoSpaceDE w:val="0"/>
        <w:autoSpaceDN w:val="0"/>
        <w:adjustRightInd w:val="0"/>
        <w:spacing w:after="0" w:line="240" w:lineRule="auto"/>
        <w:rPr>
          <w:rFonts w:ascii="Arial" w:eastAsia="Aptos" w:hAnsi="Arial" w:cs="Arial"/>
          <w:b/>
          <w:bCs/>
          <w:color w:val="000000"/>
          <w:kern w:val="0"/>
        </w:rPr>
      </w:pPr>
    </w:p>
    <w:p w14:paraId="6204C7FC" w14:textId="77777777" w:rsidR="002033B2" w:rsidRPr="002033B2" w:rsidRDefault="002033B2" w:rsidP="002033B2">
      <w:pPr>
        <w:spacing w:line="259" w:lineRule="auto"/>
        <w:rPr>
          <w:rFonts w:ascii="Arial" w:eastAsia="Aptos" w:hAnsi="Arial" w:cs="Arial"/>
          <w:b/>
          <w:bCs/>
          <w:kern w:val="0"/>
          <w:sz w:val="22"/>
          <w:szCs w:val="22"/>
          <w:u w:val="single"/>
        </w:rPr>
      </w:pPr>
    </w:p>
    <w:p w14:paraId="6C78F798" w14:textId="77777777" w:rsidR="002033B2" w:rsidRPr="002033B2" w:rsidRDefault="002033B2" w:rsidP="002033B2">
      <w:pPr>
        <w:spacing w:line="259" w:lineRule="auto"/>
        <w:rPr>
          <w:rFonts w:ascii="Arial" w:eastAsia="Aptos" w:hAnsi="Arial" w:cs="Arial"/>
          <w:b/>
          <w:bCs/>
          <w:kern w:val="0"/>
          <w:sz w:val="22"/>
          <w:szCs w:val="22"/>
          <w:u w:val="single"/>
        </w:rPr>
      </w:pPr>
    </w:p>
    <w:p w14:paraId="77BF7561" w14:textId="77777777" w:rsidR="002033B2" w:rsidRPr="002033B2" w:rsidRDefault="002033B2" w:rsidP="002033B2">
      <w:pPr>
        <w:spacing w:line="259" w:lineRule="auto"/>
        <w:rPr>
          <w:rFonts w:ascii="Arial" w:eastAsia="Aptos" w:hAnsi="Arial" w:cs="Arial"/>
          <w:b/>
          <w:bCs/>
          <w:kern w:val="0"/>
          <w:sz w:val="22"/>
          <w:szCs w:val="22"/>
          <w:u w:val="single"/>
        </w:rPr>
      </w:pPr>
    </w:p>
    <w:p w14:paraId="0707117D" w14:textId="77777777" w:rsidR="002033B2" w:rsidRPr="002033B2" w:rsidRDefault="002033B2" w:rsidP="002033B2">
      <w:pPr>
        <w:spacing w:line="259" w:lineRule="auto"/>
        <w:rPr>
          <w:rFonts w:ascii="Arial" w:eastAsia="Aptos" w:hAnsi="Arial" w:cs="Arial"/>
          <w:b/>
          <w:bCs/>
          <w:kern w:val="0"/>
          <w:sz w:val="22"/>
          <w:szCs w:val="22"/>
          <w:u w:val="single"/>
        </w:rPr>
      </w:pPr>
    </w:p>
    <w:p w14:paraId="353696A4" w14:textId="77777777" w:rsidR="002033B2" w:rsidRPr="002033B2" w:rsidRDefault="002033B2" w:rsidP="002033B2">
      <w:pPr>
        <w:spacing w:line="259" w:lineRule="auto"/>
        <w:rPr>
          <w:rFonts w:ascii="Arial" w:eastAsia="Aptos" w:hAnsi="Arial" w:cs="Arial"/>
          <w:b/>
          <w:bCs/>
          <w:kern w:val="0"/>
          <w:sz w:val="22"/>
          <w:szCs w:val="22"/>
          <w:u w:val="single"/>
        </w:rPr>
      </w:pPr>
    </w:p>
    <w:p w14:paraId="0A3DEE31" w14:textId="77777777" w:rsidR="002033B2" w:rsidRPr="002033B2" w:rsidRDefault="002033B2" w:rsidP="002033B2">
      <w:pPr>
        <w:spacing w:line="259" w:lineRule="auto"/>
        <w:rPr>
          <w:rFonts w:ascii="Arial" w:eastAsia="Aptos" w:hAnsi="Arial" w:cs="Arial"/>
          <w:b/>
          <w:bCs/>
          <w:kern w:val="0"/>
          <w:sz w:val="22"/>
          <w:szCs w:val="22"/>
          <w:u w:val="single"/>
        </w:rPr>
      </w:pPr>
    </w:p>
    <w:p w14:paraId="04E794C3" w14:textId="77777777" w:rsidR="002033B2" w:rsidRPr="002033B2" w:rsidRDefault="002033B2" w:rsidP="002033B2">
      <w:pPr>
        <w:spacing w:line="259" w:lineRule="auto"/>
        <w:rPr>
          <w:rFonts w:ascii="Arial" w:eastAsia="Aptos" w:hAnsi="Arial" w:cs="Arial"/>
          <w:b/>
          <w:bCs/>
          <w:kern w:val="0"/>
          <w:sz w:val="22"/>
          <w:szCs w:val="22"/>
          <w:u w:val="single"/>
        </w:rPr>
      </w:pPr>
    </w:p>
    <w:p w14:paraId="4342B0D7" w14:textId="77777777" w:rsidR="002033B2" w:rsidRPr="002033B2" w:rsidRDefault="002033B2" w:rsidP="002033B2">
      <w:pPr>
        <w:spacing w:line="259" w:lineRule="auto"/>
        <w:rPr>
          <w:rFonts w:ascii="Arial" w:eastAsia="Aptos" w:hAnsi="Arial" w:cs="Arial"/>
          <w:b/>
          <w:bCs/>
          <w:kern w:val="0"/>
          <w:sz w:val="22"/>
          <w:szCs w:val="22"/>
          <w:u w:val="single"/>
        </w:rPr>
      </w:pPr>
    </w:p>
    <w:p w14:paraId="70870431" w14:textId="77777777" w:rsidR="002033B2" w:rsidRPr="002033B2" w:rsidRDefault="002033B2" w:rsidP="002033B2">
      <w:pPr>
        <w:spacing w:line="259" w:lineRule="auto"/>
        <w:rPr>
          <w:rFonts w:ascii="Arial" w:eastAsia="Aptos" w:hAnsi="Arial" w:cs="Arial"/>
          <w:b/>
          <w:bCs/>
          <w:kern w:val="0"/>
          <w:sz w:val="22"/>
          <w:szCs w:val="22"/>
          <w:u w:val="single"/>
        </w:rPr>
      </w:pPr>
    </w:p>
    <w:p w14:paraId="06B8AEB6" w14:textId="77777777" w:rsidR="002033B2" w:rsidRPr="002033B2" w:rsidRDefault="002033B2" w:rsidP="002033B2">
      <w:pPr>
        <w:spacing w:line="259" w:lineRule="auto"/>
        <w:rPr>
          <w:rFonts w:ascii="Arial" w:eastAsia="Aptos" w:hAnsi="Arial" w:cs="Arial"/>
          <w:b/>
          <w:bCs/>
          <w:kern w:val="0"/>
          <w:sz w:val="22"/>
          <w:szCs w:val="22"/>
          <w:u w:val="single"/>
        </w:rPr>
      </w:pPr>
    </w:p>
    <w:p w14:paraId="76132699" w14:textId="77777777" w:rsidR="002033B2" w:rsidRPr="002033B2" w:rsidRDefault="002033B2" w:rsidP="002033B2">
      <w:pPr>
        <w:spacing w:line="259" w:lineRule="auto"/>
        <w:rPr>
          <w:rFonts w:ascii="Arial" w:eastAsia="Aptos" w:hAnsi="Arial" w:cs="Arial"/>
          <w:b/>
          <w:bCs/>
          <w:kern w:val="0"/>
          <w:sz w:val="22"/>
          <w:szCs w:val="22"/>
          <w:u w:val="single"/>
        </w:rPr>
      </w:pPr>
    </w:p>
    <w:p w14:paraId="57BCBB69" w14:textId="77777777" w:rsidR="002033B2" w:rsidRPr="002033B2" w:rsidRDefault="002033B2" w:rsidP="002033B2">
      <w:pPr>
        <w:spacing w:line="259" w:lineRule="auto"/>
        <w:rPr>
          <w:rFonts w:ascii="Arial" w:eastAsia="Aptos" w:hAnsi="Arial" w:cs="Arial"/>
          <w:b/>
          <w:bCs/>
          <w:kern w:val="0"/>
          <w:sz w:val="22"/>
          <w:szCs w:val="22"/>
          <w:u w:val="single"/>
        </w:rPr>
      </w:pPr>
    </w:p>
    <w:p w14:paraId="7E6E807C" w14:textId="77777777" w:rsidR="002033B2" w:rsidRPr="002033B2" w:rsidRDefault="002033B2" w:rsidP="002033B2">
      <w:pPr>
        <w:spacing w:line="259" w:lineRule="auto"/>
        <w:rPr>
          <w:rFonts w:ascii="Arial" w:eastAsia="Aptos" w:hAnsi="Arial" w:cs="Arial"/>
          <w:b/>
          <w:bCs/>
          <w:kern w:val="0"/>
          <w:sz w:val="22"/>
          <w:szCs w:val="22"/>
          <w:u w:val="single"/>
        </w:rPr>
      </w:pPr>
    </w:p>
    <w:p w14:paraId="704410FA" w14:textId="77777777" w:rsidR="002033B2" w:rsidRPr="002033B2" w:rsidRDefault="002033B2" w:rsidP="002033B2">
      <w:pPr>
        <w:spacing w:line="259" w:lineRule="auto"/>
        <w:rPr>
          <w:rFonts w:ascii="Arial" w:eastAsia="Aptos" w:hAnsi="Arial" w:cs="Arial"/>
          <w:b/>
          <w:bCs/>
          <w:kern w:val="0"/>
          <w:sz w:val="22"/>
          <w:szCs w:val="22"/>
          <w:u w:val="single"/>
        </w:rPr>
      </w:pPr>
    </w:p>
    <w:p w14:paraId="7E4C3171" w14:textId="77777777" w:rsidR="002033B2" w:rsidRPr="002033B2" w:rsidRDefault="002033B2" w:rsidP="002033B2">
      <w:pPr>
        <w:spacing w:line="259" w:lineRule="auto"/>
        <w:rPr>
          <w:rFonts w:ascii="Arial" w:eastAsia="Aptos" w:hAnsi="Arial" w:cs="Arial"/>
          <w:b/>
          <w:bCs/>
          <w:kern w:val="0"/>
          <w:sz w:val="22"/>
          <w:szCs w:val="22"/>
          <w:u w:val="single"/>
        </w:rPr>
      </w:pPr>
    </w:p>
    <w:p w14:paraId="4C11A82C" w14:textId="77777777" w:rsidR="002033B2" w:rsidRPr="002033B2" w:rsidRDefault="002033B2" w:rsidP="002033B2">
      <w:pPr>
        <w:spacing w:line="259" w:lineRule="auto"/>
        <w:rPr>
          <w:rFonts w:ascii="Arial" w:eastAsia="Aptos" w:hAnsi="Arial" w:cs="Arial"/>
          <w:b/>
          <w:bCs/>
          <w:kern w:val="0"/>
          <w:sz w:val="22"/>
          <w:szCs w:val="22"/>
          <w:u w:val="single"/>
        </w:rPr>
      </w:pPr>
    </w:p>
    <w:p w14:paraId="5C6D7E05" w14:textId="77777777" w:rsidR="002033B2" w:rsidRPr="002033B2" w:rsidRDefault="002033B2" w:rsidP="002033B2">
      <w:pPr>
        <w:spacing w:line="259" w:lineRule="auto"/>
        <w:rPr>
          <w:rFonts w:ascii="Arial" w:eastAsia="Aptos" w:hAnsi="Arial" w:cs="Arial"/>
          <w:b/>
          <w:bCs/>
          <w:kern w:val="0"/>
          <w:sz w:val="22"/>
          <w:szCs w:val="22"/>
          <w:u w:val="single"/>
        </w:rPr>
      </w:pPr>
    </w:p>
    <w:p w14:paraId="6F885E14" w14:textId="77777777" w:rsidR="002033B2" w:rsidRPr="002033B2" w:rsidRDefault="002033B2" w:rsidP="002033B2">
      <w:pPr>
        <w:spacing w:line="259" w:lineRule="auto"/>
        <w:rPr>
          <w:rFonts w:ascii="Arial" w:eastAsia="Aptos" w:hAnsi="Arial" w:cs="Arial"/>
          <w:b/>
          <w:bCs/>
          <w:kern w:val="0"/>
          <w:sz w:val="22"/>
          <w:szCs w:val="22"/>
          <w:u w:val="single"/>
        </w:rPr>
      </w:pPr>
    </w:p>
    <w:p w14:paraId="5D8E246B" w14:textId="77777777" w:rsidR="002033B2" w:rsidRPr="002033B2" w:rsidRDefault="002033B2" w:rsidP="002033B2">
      <w:pPr>
        <w:spacing w:line="259" w:lineRule="auto"/>
        <w:rPr>
          <w:rFonts w:ascii="Arial" w:eastAsia="Aptos" w:hAnsi="Arial" w:cs="Arial"/>
          <w:b/>
          <w:bCs/>
          <w:kern w:val="0"/>
          <w:sz w:val="22"/>
          <w:szCs w:val="22"/>
          <w:u w:val="single"/>
        </w:rPr>
      </w:pPr>
    </w:p>
    <w:p w14:paraId="31180027" w14:textId="77777777" w:rsidR="002033B2" w:rsidRPr="002033B2" w:rsidRDefault="002033B2" w:rsidP="002033B2">
      <w:pPr>
        <w:spacing w:line="259" w:lineRule="auto"/>
        <w:rPr>
          <w:rFonts w:ascii="Arial" w:eastAsia="Aptos" w:hAnsi="Arial" w:cs="Arial"/>
          <w:b/>
          <w:bCs/>
          <w:kern w:val="0"/>
          <w:sz w:val="22"/>
          <w:szCs w:val="22"/>
          <w:u w:val="single"/>
        </w:rPr>
      </w:pPr>
    </w:p>
    <w:p w14:paraId="00CAA580" w14:textId="77777777" w:rsidR="002033B2" w:rsidRPr="002033B2" w:rsidRDefault="002033B2" w:rsidP="002033B2">
      <w:pPr>
        <w:spacing w:line="259" w:lineRule="auto"/>
        <w:rPr>
          <w:rFonts w:ascii="Arial" w:eastAsia="Aptos" w:hAnsi="Arial" w:cs="Arial"/>
          <w:b/>
          <w:bCs/>
          <w:kern w:val="0"/>
          <w:sz w:val="22"/>
          <w:szCs w:val="22"/>
          <w:u w:val="single"/>
        </w:rPr>
      </w:pPr>
    </w:p>
    <w:p w14:paraId="793BBDFE" w14:textId="77777777" w:rsidR="002033B2" w:rsidRPr="002033B2" w:rsidRDefault="002033B2" w:rsidP="002033B2">
      <w:pPr>
        <w:spacing w:line="259" w:lineRule="auto"/>
        <w:rPr>
          <w:rFonts w:ascii="Arial" w:eastAsia="Aptos" w:hAnsi="Arial" w:cs="Arial"/>
          <w:b/>
          <w:bCs/>
          <w:kern w:val="0"/>
          <w:sz w:val="22"/>
          <w:szCs w:val="22"/>
          <w:u w:val="single"/>
        </w:rPr>
      </w:pPr>
    </w:p>
    <w:p w14:paraId="03F4B6B5" w14:textId="77777777" w:rsidR="002033B2" w:rsidRPr="002033B2" w:rsidRDefault="002033B2" w:rsidP="002033B2">
      <w:pPr>
        <w:spacing w:line="259" w:lineRule="auto"/>
        <w:rPr>
          <w:rFonts w:ascii="Arial" w:eastAsia="Aptos" w:hAnsi="Arial" w:cs="Arial"/>
          <w:b/>
          <w:bCs/>
          <w:kern w:val="0"/>
          <w:sz w:val="22"/>
          <w:szCs w:val="22"/>
          <w:u w:val="single"/>
        </w:rPr>
      </w:pPr>
    </w:p>
    <w:p w14:paraId="5E11FF51" w14:textId="77777777" w:rsidR="002033B2" w:rsidRPr="002033B2" w:rsidRDefault="002033B2" w:rsidP="002033B2">
      <w:pPr>
        <w:spacing w:line="259" w:lineRule="auto"/>
        <w:rPr>
          <w:rFonts w:ascii="Arial" w:eastAsia="Aptos" w:hAnsi="Arial" w:cs="Arial"/>
          <w:b/>
          <w:bCs/>
          <w:kern w:val="0"/>
          <w:sz w:val="22"/>
          <w:szCs w:val="22"/>
          <w:u w:val="single"/>
        </w:rPr>
      </w:pPr>
    </w:p>
    <w:p w14:paraId="737C9DCA" w14:textId="77777777" w:rsidR="002033B2" w:rsidRPr="002033B2" w:rsidRDefault="002033B2" w:rsidP="002033B2">
      <w:pPr>
        <w:spacing w:line="259" w:lineRule="auto"/>
        <w:rPr>
          <w:rFonts w:ascii="Arial" w:eastAsia="Aptos" w:hAnsi="Arial" w:cs="Arial"/>
          <w:b/>
          <w:bCs/>
          <w:kern w:val="0"/>
          <w:sz w:val="22"/>
          <w:szCs w:val="22"/>
          <w:u w:val="single"/>
        </w:rPr>
      </w:pPr>
    </w:p>
    <w:p w14:paraId="0EBE46A5" w14:textId="77777777" w:rsidR="002033B2" w:rsidRPr="002033B2" w:rsidRDefault="002033B2" w:rsidP="002033B2">
      <w:pPr>
        <w:spacing w:line="259" w:lineRule="auto"/>
        <w:rPr>
          <w:rFonts w:ascii="Arial" w:eastAsia="Aptos" w:hAnsi="Arial" w:cs="Arial"/>
          <w:b/>
          <w:bCs/>
          <w:kern w:val="0"/>
          <w:sz w:val="22"/>
          <w:szCs w:val="22"/>
          <w:u w:val="single"/>
        </w:rPr>
      </w:pPr>
    </w:p>
    <w:p w14:paraId="34A8EFF3" w14:textId="77777777" w:rsidR="002033B2" w:rsidRPr="002033B2" w:rsidRDefault="002033B2" w:rsidP="002033B2">
      <w:pPr>
        <w:spacing w:line="259" w:lineRule="auto"/>
        <w:rPr>
          <w:rFonts w:ascii="Arial" w:eastAsia="Aptos" w:hAnsi="Arial" w:cs="Arial"/>
          <w:b/>
          <w:bCs/>
          <w:kern w:val="0"/>
          <w:sz w:val="22"/>
          <w:szCs w:val="22"/>
          <w:u w:val="single"/>
        </w:rPr>
      </w:pPr>
    </w:p>
    <w:p w14:paraId="3D80B5A6" w14:textId="77777777" w:rsidR="00AB375F" w:rsidRDefault="00AB375F" w:rsidP="002033B2">
      <w:pPr>
        <w:spacing w:line="360" w:lineRule="auto"/>
        <w:jc w:val="both"/>
        <w:rPr>
          <w:rFonts w:ascii="Arial" w:eastAsia="Aptos" w:hAnsi="Arial" w:cs="Arial"/>
          <w:b/>
          <w:bCs/>
          <w:kern w:val="0"/>
          <w:sz w:val="22"/>
          <w:szCs w:val="22"/>
          <w:u w:val="single"/>
        </w:rPr>
      </w:pPr>
    </w:p>
    <w:p w14:paraId="6BD88EB3" w14:textId="77777777" w:rsidR="00AB375F" w:rsidRDefault="00AB375F" w:rsidP="002033B2">
      <w:pPr>
        <w:spacing w:line="360" w:lineRule="auto"/>
        <w:jc w:val="both"/>
        <w:rPr>
          <w:rFonts w:ascii="Arial" w:eastAsia="Aptos" w:hAnsi="Arial" w:cs="Arial"/>
          <w:b/>
          <w:bCs/>
          <w:kern w:val="0"/>
          <w:sz w:val="22"/>
          <w:szCs w:val="22"/>
          <w:u w:val="single"/>
        </w:rPr>
      </w:pPr>
    </w:p>
    <w:p w14:paraId="5176F5B0" w14:textId="77777777" w:rsidR="003478E9" w:rsidRDefault="003478E9" w:rsidP="002033B2">
      <w:pPr>
        <w:spacing w:line="360" w:lineRule="auto"/>
        <w:jc w:val="both"/>
        <w:rPr>
          <w:rFonts w:ascii="Arial" w:eastAsia="Aptos" w:hAnsi="Arial" w:cs="Arial"/>
          <w:b/>
          <w:bCs/>
          <w:kern w:val="0"/>
          <w:sz w:val="22"/>
          <w:szCs w:val="22"/>
          <w:u w:val="single"/>
        </w:rPr>
      </w:pPr>
    </w:p>
    <w:p w14:paraId="3C2B5CE3"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Abstract</w:t>
      </w:r>
    </w:p>
    <w:p w14:paraId="66974714" w14:textId="613C705F" w:rsidR="005A2BB0" w:rsidRPr="009668F8" w:rsidRDefault="005A2BB0" w:rsidP="005A2BB0">
      <w:pPr>
        <w:spacing w:line="360" w:lineRule="auto"/>
        <w:jc w:val="both"/>
        <w:rPr>
          <w:rFonts w:ascii="Arial" w:hAnsi="Arial" w:cs="Arial"/>
        </w:rPr>
      </w:pPr>
      <w:r w:rsidRPr="009668F8">
        <w:rPr>
          <w:rFonts w:ascii="Arial" w:hAnsi="Arial" w:cs="Arial"/>
        </w:rPr>
        <w:t xml:space="preserve">Hotel finance feels permanently </w:t>
      </w:r>
      <w:r w:rsidRPr="003D5638">
        <w:rPr>
          <w:rFonts w:ascii="Arial" w:hAnsi="Arial" w:cs="Arial"/>
        </w:rPr>
        <w:t>under pressure</w:t>
      </w:r>
      <w:r w:rsidRPr="009668F8">
        <w:rPr>
          <w:rFonts w:ascii="Arial" w:hAnsi="Arial" w:cs="Arial"/>
        </w:rPr>
        <w:t xml:space="preserve">. Costs </w:t>
      </w:r>
      <w:r>
        <w:rPr>
          <w:rFonts w:ascii="Arial" w:hAnsi="Arial" w:cs="Arial"/>
        </w:rPr>
        <w:t>rise</w:t>
      </w:r>
      <w:r w:rsidRPr="009668F8">
        <w:rPr>
          <w:rFonts w:ascii="Arial" w:hAnsi="Arial" w:cs="Arial"/>
        </w:rPr>
        <w:t xml:space="preserve">, credit patience </w:t>
      </w:r>
      <w:r w:rsidRPr="00E271EA">
        <w:rPr>
          <w:rFonts w:ascii="Arial" w:hAnsi="Arial" w:cs="Arial"/>
        </w:rPr>
        <w:t>has limits, now visibly reached</w:t>
      </w:r>
      <w:r w:rsidRPr="009668F8">
        <w:rPr>
          <w:rFonts w:ascii="Arial" w:hAnsi="Arial" w:cs="Arial"/>
        </w:rPr>
        <w:t>, and demand behaves in shorter bursts. The pressure does not land evenly</w:t>
      </w:r>
      <w:r>
        <w:rPr>
          <w:rFonts w:ascii="Arial" w:hAnsi="Arial" w:cs="Arial"/>
        </w:rPr>
        <w:t xml:space="preserve"> </w:t>
      </w:r>
      <w:r w:rsidRPr="002223C1">
        <w:rPr>
          <w:rFonts w:ascii="Arial" w:hAnsi="Arial" w:cs="Arial"/>
        </w:rPr>
        <w:t>across the sector</w:t>
      </w:r>
      <w:r w:rsidRPr="009668F8">
        <w:rPr>
          <w:rFonts w:ascii="Arial" w:hAnsi="Arial" w:cs="Arial"/>
        </w:rPr>
        <w:t>. Franchisees, independents and full-service properties carry heavy fixed costs with limited flexibility, while franchisors and select-service models absorb shocks through fee income and simpler operations. This paper examines the sources of financial strain and how they differ across segments using a PESTLE and segmental lens. Evidence from recent research and market commentary shows a compound effect: inflation, restricted lending and regulatory load elevate risk for small operators, even as technology and ESG programmes promise efficiency when capital and know-how exist to deploy them (</w:t>
      </w:r>
      <w:proofErr w:type="spellStart"/>
      <w:r w:rsidRPr="009668F8">
        <w:rPr>
          <w:rFonts w:ascii="Arial" w:hAnsi="Arial" w:cs="Arial"/>
        </w:rPr>
        <w:t>Tascón</w:t>
      </w:r>
      <w:proofErr w:type="spellEnd"/>
      <w:r w:rsidRPr="009668F8">
        <w:rPr>
          <w:rFonts w:ascii="Arial" w:hAnsi="Arial" w:cs="Arial"/>
        </w:rPr>
        <w:t xml:space="preserve"> e</w:t>
      </w:r>
      <w:r w:rsidR="001A70B3">
        <w:rPr>
          <w:rFonts w:ascii="Arial" w:hAnsi="Arial" w:cs="Arial"/>
        </w:rPr>
        <w:t>t</w:t>
      </w:r>
      <w:r w:rsidR="00A62955">
        <w:rPr>
          <w:rFonts w:ascii="Arial" w:hAnsi="Arial" w:cs="Arial"/>
        </w:rPr>
        <w:t xml:space="preserve"> </w:t>
      </w:r>
      <w:r w:rsidRPr="009668F8">
        <w:rPr>
          <w:rFonts w:ascii="Arial" w:hAnsi="Arial" w:cs="Arial"/>
        </w:rPr>
        <w:t>a</w:t>
      </w:r>
      <w:r w:rsidR="001A70B3">
        <w:rPr>
          <w:rFonts w:ascii="Arial" w:hAnsi="Arial" w:cs="Arial"/>
        </w:rPr>
        <w:t>l</w:t>
      </w:r>
      <w:r w:rsidRPr="009668F8">
        <w:rPr>
          <w:rFonts w:ascii="Arial" w:hAnsi="Arial" w:cs="Arial"/>
        </w:rPr>
        <w:t>.,</w:t>
      </w:r>
      <w:r w:rsidR="00A62955">
        <w:rPr>
          <w:rFonts w:ascii="Arial" w:hAnsi="Arial" w:cs="Arial"/>
        </w:rPr>
        <w:t xml:space="preserve"> </w:t>
      </w:r>
      <w:r w:rsidRPr="009668F8">
        <w:rPr>
          <w:rFonts w:ascii="Arial" w:hAnsi="Arial" w:cs="Arial"/>
        </w:rPr>
        <w:t>202</w:t>
      </w:r>
      <w:r w:rsidR="00DD5A4A">
        <w:rPr>
          <w:rFonts w:ascii="Arial" w:hAnsi="Arial" w:cs="Arial"/>
        </w:rPr>
        <w:t>4</w:t>
      </w:r>
      <w:r w:rsidRPr="009668F8">
        <w:rPr>
          <w:rFonts w:ascii="Arial" w:hAnsi="Arial" w:cs="Arial"/>
        </w:rPr>
        <w:t>; Elshaer e</w:t>
      </w:r>
      <w:r w:rsidR="00DD5A4A">
        <w:rPr>
          <w:rFonts w:ascii="Arial" w:hAnsi="Arial" w:cs="Arial"/>
        </w:rPr>
        <w:t>t</w:t>
      </w:r>
      <w:r w:rsidR="00A718E2">
        <w:rPr>
          <w:rFonts w:ascii="Arial" w:hAnsi="Arial" w:cs="Arial"/>
        </w:rPr>
        <w:t xml:space="preserve"> </w:t>
      </w:r>
      <w:r w:rsidR="00DD5A4A">
        <w:rPr>
          <w:rFonts w:ascii="Arial" w:hAnsi="Arial" w:cs="Arial"/>
        </w:rPr>
        <w:t>a</w:t>
      </w:r>
      <w:r w:rsidRPr="009668F8">
        <w:rPr>
          <w:rFonts w:ascii="Arial" w:hAnsi="Arial" w:cs="Arial"/>
        </w:rPr>
        <w:t>l., 2025; Baum e</w:t>
      </w:r>
      <w:r w:rsidR="00DD5A4A">
        <w:rPr>
          <w:rFonts w:ascii="Arial" w:hAnsi="Arial" w:cs="Arial"/>
        </w:rPr>
        <w:t>t</w:t>
      </w:r>
      <w:r w:rsidR="00927769">
        <w:rPr>
          <w:rFonts w:ascii="Arial" w:hAnsi="Arial" w:cs="Arial"/>
        </w:rPr>
        <w:t xml:space="preserve"> </w:t>
      </w:r>
      <w:r w:rsidRPr="009668F8">
        <w:rPr>
          <w:rFonts w:ascii="Arial" w:hAnsi="Arial" w:cs="Arial"/>
        </w:rPr>
        <w:t>a</w:t>
      </w:r>
      <w:r w:rsidR="00DD5A4A">
        <w:rPr>
          <w:rFonts w:ascii="Arial" w:hAnsi="Arial" w:cs="Arial"/>
        </w:rPr>
        <w:t>l</w:t>
      </w:r>
      <w:r w:rsidRPr="009668F8">
        <w:rPr>
          <w:rFonts w:ascii="Arial" w:hAnsi="Arial" w:cs="Arial"/>
        </w:rPr>
        <w:t>., 20</w:t>
      </w:r>
      <w:r w:rsidR="00DD5A4A">
        <w:rPr>
          <w:rFonts w:ascii="Arial" w:hAnsi="Arial" w:cs="Arial"/>
        </w:rPr>
        <w:t>2</w:t>
      </w:r>
      <w:r w:rsidRPr="009668F8">
        <w:rPr>
          <w:rFonts w:ascii="Arial" w:hAnsi="Arial" w:cs="Arial"/>
        </w:rPr>
        <w:t>1; CBRE, 2025; Deloitte, 2025; HVS, 2025). The gap between chains and small owners widens. Discipline decides. The discussion closes with practical measures on financial control, workforce design, operational thrift and cross-segment collaboration.</w:t>
      </w:r>
      <w:r>
        <w:rPr>
          <w:rFonts w:ascii="Arial" w:hAnsi="Arial" w:cs="Arial"/>
        </w:rPr>
        <w:t xml:space="preserve"> </w:t>
      </w:r>
    </w:p>
    <w:p w14:paraId="548EC991" w14:textId="77777777" w:rsidR="005A2BB0" w:rsidRDefault="005A2BB0" w:rsidP="005A2BB0">
      <w:pPr>
        <w:spacing w:line="360" w:lineRule="auto"/>
        <w:jc w:val="both"/>
        <w:rPr>
          <w:rFonts w:ascii="Arial" w:hAnsi="Arial" w:cs="Arial"/>
          <w:b/>
          <w:bCs/>
        </w:rPr>
      </w:pPr>
    </w:p>
    <w:p w14:paraId="04D7B0D2" w14:textId="77777777" w:rsidR="005A2BB0" w:rsidRDefault="005A2BB0" w:rsidP="005A2BB0">
      <w:pPr>
        <w:spacing w:line="360" w:lineRule="auto"/>
        <w:jc w:val="both"/>
        <w:rPr>
          <w:rFonts w:ascii="Arial" w:hAnsi="Arial" w:cs="Arial"/>
          <w:b/>
          <w:bCs/>
        </w:rPr>
      </w:pPr>
    </w:p>
    <w:p w14:paraId="61A72667" w14:textId="77777777" w:rsidR="005A2BB0" w:rsidRDefault="005A2BB0" w:rsidP="005A2BB0">
      <w:pPr>
        <w:spacing w:line="360" w:lineRule="auto"/>
        <w:jc w:val="both"/>
        <w:rPr>
          <w:rFonts w:ascii="Arial" w:hAnsi="Arial" w:cs="Arial"/>
          <w:b/>
          <w:bCs/>
        </w:rPr>
      </w:pPr>
    </w:p>
    <w:p w14:paraId="64792D82" w14:textId="77777777" w:rsidR="005A2BB0" w:rsidRDefault="005A2BB0" w:rsidP="005A2BB0">
      <w:pPr>
        <w:spacing w:line="360" w:lineRule="auto"/>
        <w:jc w:val="both"/>
        <w:rPr>
          <w:rFonts w:ascii="Arial" w:hAnsi="Arial" w:cs="Arial"/>
          <w:b/>
          <w:bCs/>
        </w:rPr>
      </w:pPr>
    </w:p>
    <w:p w14:paraId="17D3CA3E" w14:textId="77777777" w:rsidR="005A2BB0" w:rsidRDefault="005A2BB0" w:rsidP="005A2BB0">
      <w:pPr>
        <w:spacing w:line="360" w:lineRule="auto"/>
        <w:jc w:val="both"/>
        <w:rPr>
          <w:rFonts w:ascii="Arial" w:hAnsi="Arial" w:cs="Arial"/>
          <w:b/>
          <w:bCs/>
        </w:rPr>
      </w:pPr>
    </w:p>
    <w:p w14:paraId="33026339" w14:textId="77777777" w:rsidR="005A2BB0" w:rsidRDefault="005A2BB0" w:rsidP="005A2BB0">
      <w:pPr>
        <w:spacing w:line="360" w:lineRule="auto"/>
        <w:jc w:val="both"/>
        <w:rPr>
          <w:rFonts w:ascii="Arial" w:hAnsi="Arial" w:cs="Arial"/>
          <w:b/>
          <w:bCs/>
        </w:rPr>
      </w:pPr>
    </w:p>
    <w:p w14:paraId="7DA54C1B" w14:textId="77777777" w:rsidR="005A2BB0" w:rsidRDefault="005A2BB0" w:rsidP="005A2BB0">
      <w:pPr>
        <w:spacing w:line="360" w:lineRule="auto"/>
        <w:jc w:val="both"/>
        <w:rPr>
          <w:rFonts w:ascii="Arial" w:hAnsi="Arial" w:cs="Arial"/>
          <w:b/>
          <w:bCs/>
        </w:rPr>
      </w:pPr>
    </w:p>
    <w:p w14:paraId="4965B62C" w14:textId="77777777" w:rsidR="005A2BB0" w:rsidRDefault="005A2BB0" w:rsidP="005A2BB0">
      <w:pPr>
        <w:spacing w:line="360" w:lineRule="auto"/>
        <w:jc w:val="both"/>
        <w:rPr>
          <w:rFonts w:ascii="Arial" w:hAnsi="Arial" w:cs="Arial"/>
          <w:b/>
          <w:bCs/>
        </w:rPr>
      </w:pPr>
    </w:p>
    <w:p w14:paraId="5E0A9451" w14:textId="77777777" w:rsidR="005A2BB0" w:rsidRDefault="005A2BB0" w:rsidP="005A2BB0">
      <w:pPr>
        <w:spacing w:line="360" w:lineRule="auto"/>
        <w:jc w:val="both"/>
        <w:rPr>
          <w:rFonts w:ascii="Arial" w:hAnsi="Arial" w:cs="Arial"/>
          <w:b/>
          <w:bCs/>
        </w:rPr>
      </w:pPr>
    </w:p>
    <w:p w14:paraId="56E8DB90" w14:textId="77777777" w:rsidR="005A2BB0" w:rsidRDefault="005A2BB0" w:rsidP="005A2BB0">
      <w:pPr>
        <w:spacing w:line="360" w:lineRule="auto"/>
        <w:jc w:val="both"/>
        <w:rPr>
          <w:rFonts w:ascii="Arial" w:hAnsi="Arial" w:cs="Arial"/>
          <w:b/>
          <w:bCs/>
        </w:rPr>
      </w:pPr>
    </w:p>
    <w:p w14:paraId="3E3C11FB" w14:textId="77777777" w:rsidR="005A2BB0" w:rsidRDefault="005A2BB0" w:rsidP="005A2BB0">
      <w:pPr>
        <w:spacing w:line="360" w:lineRule="auto"/>
        <w:jc w:val="both"/>
        <w:rPr>
          <w:rFonts w:ascii="Arial" w:hAnsi="Arial" w:cs="Arial"/>
          <w:b/>
          <w:bCs/>
        </w:rPr>
      </w:pPr>
    </w:p>
    <w:p w14:paraId="218AAEE4" w14:textId="77777777" w:rsidR="005A2BB0" w:rsidRDefault="005A2BB0" w:rsidP="005A2BB0">
      <w:pPr>
        <w:spacing w:line="360" w:lineRule="auto"/>
        <w:jc w:val="both"/>
        <w:rPr>
          <w:rFonts w:ascii="Arial" w:hAnsi="Arial" w:cs="Arial"/>
          <w:b/>
          <w:bCs/>
        </w:rPr>
      </w:pPr>
    </w:p>
    <w:p w14:paraId="02425A32" w14:textId="77777777" w:rsidR="005A2BB0" w:rsidRDefault="005A2BB0" w:rsidP="005A2BB0">
      <w:pPr>
        <w:spacing w:line="360" w:lineRule="auto"/>
        <w:jc w:val="both"/>
        <w:rPr>
          <w:rFonts w:ascii="Arial" w:hAnsi="Arial" w:cs="Arial"/>
          <w:b/>
          <w:bCs/>
        </w:rPr>
      </w:pPr>
    </w:p>
    <w:p w14:paraId="60641919" w14:textId="67E61F0E" w:rsidR="005A2BB0" w:rsidRPr="009668F8" w:rsidRDefault="005A2BB0" w:rsidP="005A2BB0">
      <w:pPr>
        <w:spacing w:line="360" w:lineRule="auto"/>
        <w:jc w:val="both"/>
        <w:rPr>
          <w:rFonts w:ascii="Arial" w:hAnsi="Arial" w:cs="Arial"/>
          <w:b/>
          <w:bCs/>
        </w:rPr>
      </w:pPr>
      <w:r w:rsidRPr="009668F8">
        <w:rPr>
          <w:rFonts w:ascii="Arial" w:hAnsi="Arial" w:cs="Arial"/>
          <w:b/>
          <w:bCs/>
        </w:rPr>
        <w:t>Introduction</w:t>
      </w:r>
    </w:p>
    <w:p w14:paraId="7B23BDBA" w14:textId="77777777" w:rsidR="005A2BB0" w:rsidRPr="009668F8" w:rsidRDefault="005A2BB0" w:rsidP="005A2BB0">
      <w:pPr>
        <w:spacing w:line="360" w:lineRule="auto"/>
        <w:jc w:val="both"/>
        <w:rPr>
          <w:rFonts w:ascii="Arial" w:hAnsi="Arial" w:cs="Arial"/>
        </w:rPr>
      </w:pPr>
      <w:r w:rsidRPr="008F0426">
        <w:rPr>
          <w:rFonts w:ascii="Arial" w:hAnsi="Arial" w:cs="Arial"/>
        </w:rPr>
        <w:t>Margins used to rise with occupancy; now, they argue about who should move first</w:t>
      </w:r>
      <w:r w:rsidRPr="009668F8">
        <w:rPr>
          <w:rFonts w:ascii="Arial" w:hAnsi="Arial" w:cs="Arial"/>
        </w:rPr>
        <w:t>. Rooms can be full while profits thin out. Operators face a narrow channel of higher labour and energy costs, supply frictions, additional compliance, and more expensive borrowing, a combination that erodes confidence in long-run returns (Baum and Hai, 2020). Lenders see the same arithmetic and ask for cleaner balance sheets or charge for the risk, a stance that shapes near-term investment and refinancing behaviour, especially in mid-market assets, as industry outlooks note (CBRE, 2025; Deloitte, 2025).</w:t>
      </w:r>
    </w:p>
    <w:p w14:paraId="25328D1F"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The sector’s structure magnifies the shock. Hotels carry fixed assets, brand standards and staffing baselines that do not shrink on command. After the pandemic, debt costs rose, teams </w:t>
      </w:r>
      <w:r>
        <w:rPr>
          <w:rFonts w:ascii="Arial" w:hAnsi="Arial" w:cs="Arial"/>
        </w:rPr>
        <w:t>became smaller</w:t>
      </w:r>
      <w:r w:rsidRPr="009668F8">
        <w:rPr>
          <w:rFonts w:ascii="Arial" w:hAnsi="Arial" w:cs="Arial"/>
        </w:rPr>
        <w:t xml:space="preserve">, and some demand shifted format, exposing how little room many properties </w:t>
      </w:r>
      <w:proofErr w:type="gramStart"/>
      <w:r w:rsidRPr="009668F8">
        <w:rPr>
          <w:rFonts w:ascii="Arial" w:hAnsi="Arial" w:cs="Arial"/>
        </w:rPr>
        <w:t>have to</w:t>
      </w:r>
      <w:proofErr w:type="gramEnd"/>
      <w:r w:rsidRPr="009668F8">
        <w:rPr>
          <w:rFonts w:ascii="Arial" w:hAnsi="Arial" w:cs="Arial"/>
        </w:rPr>
        <w:t xml:space="preserve"> manoeuvre. Asset-light chains continued to book fee income from management and franchising while franchisees and independents stood in front of operational volatility, a split observed across studies and trade analysis (Mulet-Forteza et al., 2024; PwC, 2024). Patience is limited. The task </w:t>
      </w:r>
      <w:r>
        <w:rPr>
          <w:rFonts w:ascii="Arial" w:hAnsi="Arial" w:cs="Arial"/>
        </w:rPr>
        <w:t xml:space="preserve">in </w:t>
      </w:r>
      <w:proofErr w:type="spellStart"/>
      <w:r>
        <w:rPr>
          <w:rFonts w:ascii="Arial" w:hAnsi="Arial" w:cs="Arial"/>
        </w:rPr>
        <w:t>thi</w:t>
      </w:r>
      <w:proofErr w:type="spellEnd"/>
      <w:r>
        <w:rPr>
          <w:rFonts w:ascii="Arial" w:hAnsi="Arial" w:cs="Arial"/>
        </w:rPr>
        <w:t xml:space="preserve"> paper</w:t>
      </w:r>
      <w:r w:rsidRPr="009668F8">
        <w:rPr>
          <w:rFonts w:ascii="Arial" w:hAnsi="Arial" w:cs="Arial"/>
        </w:rPr>
        <w:t xml:space="preserve"> is to trace how these pressures play out by segment and to test what resilience looks like in practice through a PESTLE and segmental framework.</w:t>
      </w:r>
    </w:p>
    <w:p w14:paraId="1F5C9E2E" w14:textId="77777777" w:rsidR="005A2BB0" w:rsidRDefault="005A2BB0" w:rsidP="005A2BB0">
      <w:pPr>
        <w:spacing w:line="360" w:lineRule="auto"/>
        <w:jc w:val="both"/>
        <w:rPr>
          <w:rFonts w:ascii="Arial" w:hAnsi="Arial" w:cs="Arial"/>
          <w:b/>
          <w:bCs/>
        </w:rPr>
      </w:pPr>
    </w:p>
    <w:p w14:paraId="3F2CFBDD"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Literature Review</w:t>
      </w:r>
    </w:p>
    <w:p w14:paraId="3BC72D1E"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1. Conceptualising financial pressure in hospitality</w:t>
      </w:r>
    </w:p>
    <w:p w14:paraId="631ABDF3"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Financial pressure, in this field, is the ongoing difficulty of meeting day-to-day obligations, debt service and planned investment when costs rise faster than income. The mechanism is not mysterious: internal and external expenses outrun revenue growth and liquidity weakens, as defined in earlier work on sector performance under macro shocks (Chen, 2010). Hotels are particularly sensitive because labour and fixed assets dominate the cost </w:t>
      </w:r>
      <w:proofErr w:type="gramStart"/>
      <w:r w:rsidRPr="009668F8">
        <w:rPr>
          <w:rFonts w:ascii="Arial" w:hAnsi="Arial" w:cs="Arial"/>
        </w:rPr>
        <w:t>base</w:t>
      </w:r>
      <w:proofErr w:type="gramEnd"/>
      <w:r w:rsidRPr="009668F8">
        <w:rPr>
          <w:rFonts w:ascii="Arial" w:hAnsi="Arial" w:cs="Arial"/>
        </w:rPr>
        <w:t xml:space="preserve"> and prices cannot be reset with each invoice. Flexibility often exists on paper. Exposure to these shocks is repeatedly linked to asset intensity and capacity to pass costs through to guests during downturns, which Singal frames in the context of sector structure and cyclicality (Singal, 2015).</w:t>
      </w:r>
    </w:p>
    <w:p w14:paraId="13F5FC41"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lastRenderedPageBreak/>
        <w:t>2. Rising operational costs and labour shortages</w:t>
      </w:r>
    </w:p>
    <w:p w14:paraId="5EDB0F72" w14:textId="5225D58A" w:rsidR="005A2BB0" w:rsidRPr="009668F8" w:rsidRDefault="005A2BB0" w:rsidP="005A2BB0">
      <w:pPr>
        <w:spacing w:line="360" w:lineRule="auto"/>
        <w:jc w:val="both"/>
        <w:rPr>
          <w:rFonts w:ascii="Arial" w:hAnsi="Arial" w:cs="Arial"/>
        </w:rPr>
      </w:pPr>
      <w:r w:rsidRPr="009668F8">
        <w:rPr>
          <w:rFonts w:ascii="Arial" w:hAnsi="Arial" w:cs="Arial"/>
        </w:rPr>
        <w:t>Staffing shortfalls have settled in as a global feature. The pattern moved from temporary to structural, carried by demographics, migration changes and altered career preferences, a point made forcefully across comparative workforce research (Baum et al., 2021). Th</w:t>
      </w:r>
      <w:r w:rsidR="0055393F">
        <w:rPr>
          <w:rFonts w:ascii="Arial" w:hAnsi="Arial" w:cs="Arial"/>
        </w:rPr>
        <w:t>e</w:t>
      </w:r>
      <w:r w:rsidRPr="009668F8">
        <w:rPr>
          <w:rFonts w:ascii="Arial" w:hAnsi="Arial" w:cs="Arial"/>
        </w:rPr>
        <w:t xml:space="preserve"> America</w:t>
      </w:r>
      <w:r w:rsidR="0055393F">
        <w:rPr>
          <w:rFonts w:ascii="Arial" w:hAnsi="Arial" w:cs="Arial"/>
        </w:rPr>
        <w:t>n</w:t>
      </w:r>
      <w:r w:rsidRPr="009668F8">
        <w:rPr>
          <w:rFonts w:ascii="Arial" w:hAnsi="Arial" w:cs="Arial"/>
        </w:rPr>
        <w:t xml:space="preserve"> Hote</w:t>
      </w:r>
      <w:r w:rsidR="0055393F">
        <w:rPr>
          <w:rFonts w:ascii="Arial" w:hAnsi="Arial" w:cs="Arial"/>
        </w:rPr>
        <w:t>l</w:t>
      </w:r>
      <w:r w:rsidRPr="009668F8">
        <w:rPr>
          <w:rFonts w:ascii="Arial" w:hAnsi="Arial" w:cs="Arial"/>
        </w:rPr>
        <w:t xml:space="preserve"> and Lodgin</w:t>
      </w:r>
      <w:r w:rsidR="0055393F">
        <w:rPr>
          <w:rFonts w:ascii="Arial" w:hAnsi="Arial" w:cs="Arial"/>
        </w:rPr>
        <w:t>g</w:t>
      </w:r>
      <w:r w:rsidRPr="009668F8">
        <w:rPr>
          <w:rFonts w:ascii="Arial" w:hAnsi="Arial" w:cs="Arial"/>
        </w:rPr>
        <w:t xml:space="preserve"> Associatio</w:t>
      </w:r>
      <w:r w:rsidR="0055393F">
        <w:rPr>
          <w:rFonts w:ascii="Arial" w:hAnsi="Arial" w:cs="Arial"/>
        </w:rPr>
        <w:t>n</w:t>
      </w:r>
      <w:r w:rsidRPr="009668F8">
        <w:rPr>
          <w:rFonts w:ascii="Arial" w:hAnsi="Arial" w:cs="Arial"/>
        </w:rPr>
        <w:t xml:space="preserve"> reports tha</w:t>
      </w:r>
      <w:r w:rsidR="00710918">
        <w:rPr>
          <w:rFonts w:ascii="Arial" w:hAnsi="Arial" w:cs="Arial"/>
        </w:rPr>
        <w:t>t</w:t>
      </w:r>
      <w:r w:rsidRPr="009668F8">
        <w:rPr>
          <w:rFonts w:ascii="Arial" w:hAnsi="Arial" w:cs="Arial"/>
        </w:rPr>
        <w:t xml:space="preserve"> two-thirds o</w:t>
      </w:r>
      <w:r w:rsidR="00710918">
        <w:rPr>
          <w:rFonts w:ascii="Arial" w:hAnsi="Arial" w:cs="Arial"/>
        </w:rPr>
        <w:t xml:space="preserve">f </w:t>
      </w:r>
      <w:r w:rsidRPr="009668F8">
        <w:rPr>
          <w:rFonts w:ascii="Arial" w:hAnsi="Arial" w:cs="Arial"/>
        </w:rPr>
        <w:t>U</w:t>
      </w:r>
      <w:r w:rsidR="00B531E4">
        <w:rPr>
          <w:rFonts w:ascii="Arial" w:hAnsi="Arial" w:cs="Arial"/>
        </w:rPr>
        <w:t>.</w:t>
      </w:r>
      <w:r w:rsidRPr="009668F8">
        <w:rPr>
          <w:rFonts w:ascii="Arial" w:hAnsi="Arial" w:cs="Arial"/>
        </w:rPr>
        <w:t xml:space="preserve">S. hotels remain understaffed even after wage increases, a signal that wage alone does not clear the market (AHLA, 2025). Similar strains show across the UK and Europe where energy, insurance and wage bills rise together, which compresses margins when rates and length of stay are flat or noisy (Baum and Hai, 2020). Energy efficiency projects can relieve the pressure over time, yet capital cycles and long paybacks </w:t>
      </w:r>
      <w:r>
        <w:rPr>
          <w:rFonts w:ascii="Arial" w:hAnsi="Arial" w:cs="Arial"/>
        </w:rPr>
        <w:t>discourage</w:t>
      </w:r>
      <w:r w:rsidRPr="009668F8">
        <w:rPr>
          <w:rFonts w:ascii="Arial" w:hAnsi="Arial" w:cs="Arial"/>
        </w:rPr>
        <w:t xml:space="preserve"> smaller owners, as case evidence from Kenya illustrates (Kariuki and Odhiambo, 2021). The loop is familiar: fewer people carry more tasks, service quality </w:t>
      </w:r>
      <w:r w:rsidRPr="002B6C93">
        <w:rPr>
          <w:rFonts w:ascii="Arial" w:hAnsi="Arial" w:cs="Arial"/>
        </w:rPr>
        <w:t>deteriorates</w:t>
      </w:r>
      <w:r w:rsidRPr="009668F8">
        <w:rPr>
          <w:rFonts w:ascii="Arial" w:hAnsi="Arial" w:cs="Arial"/>
        </w:rPr>
        <w:t>, and turnover grows, increasing recruitment spend and the risk of revenue loss, which Salama et al. detail in turnover-intention modelling (Salama et al., 2022). The arithmetic rarely forgives.</w:t>
      </w:r>
    </w:p>
    <w:p w14:paraId="14EC6D58"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3. Credit tightening and financing constraints</w:t>
      </w:r>
      <w:r>
        <w:rPr>
          <w:rFonts w:ascii="Arial" w:hAnsi="Arial" w:cs="Arial"/>
          <w:b/>
          <w:bCs/>
        </w:rPr>
        <w:t xml:space="preserve"> </w:t>
      </w:r>
    </w:p>
    <w:p w14:paraId="4D2B9625" w14:textId="77777777" w:rsidR="005A2BB0" w:rsidRPr="009668F8" w:rsidRDefault="005A2BB0" w:rsidP="005A2BB0">
      <w:pPr>
        <w:spacing w:line="360" w:lineRule="auto"/>
        <w:jc w:val="both"/>
        <w:rPr>
          <w:rFonts w:ascii="Arial" w:hAnsi="Arial" w:cs="Arial"/>
        </w:rPr>
      </w:pPr>
      <w:r w:rsidRPr="009668F8">
        <w:rPr>
          <w:rFonts w:ascii="Arial" w:hAnsi="Arial" w:cs="Arial"/>
        </w:rPr>
        <w:t>A cautious lending climate sharpens selection</w:t>
      </w:r>
      <w:r>
        <w:rPr>
          <w:rFonts w:ascii="Arial" w:hAnsi="Arial" w:cs="Arial"/>
        </w:rPr>
        <w:t xml:space="preserve">. </w:t>
      </w:r>
      <w:r w:rsidRPr="00E24807">
        <w:rPr>
          <w:rFonts w:ascii="Arial" w:hAnsi="Arial" w:cs="Arial"/>
        </w:rPr>
        <w:t>Banks have tightened standards and kept rates higher for longer, making financing tougher and more discriminating, and pushing refinancing further out of reach, as the European Central Bank’s survey shows (European Central Bank, 2025)</w:t>
      </w:r>
      <w:r w:rsidRPr="009668F8">
        <w:rPr>
          <w:rFonts w:ascii="Arial" w:hAnsi="Arial" w:cs="Arial"/>
        </w:rPr>
        <w:t xml:space="preserve">. Where debt was already high and liquidity </w:t>
      </w:r>
      <w:r w:rsidRPr="00BA3321">
        <w:rPr>
          <w:rFonts w:ascii="Arial" w:hAnsi="Arial" w:cs="Arial"/>
        </w:rPr>
        <w:t>reserves low</w:t>
      </w:r>
      <w:r w:rsidRPr="009668F8">
        <w:rPr>
          <w:rFonts w:ascii="Arial" w:hAnsi="Arial" w:cs="Arial"/>
        </w:rPr>
        <w:t>, resilience fell</w:t>
      </w:r>
      <w:r>
        <w:rPr>
          <w:rFonts w:ascii="Arial" w:hAnsi="Arial" w:cs="Arial"/>
        </w:rPr>
        <w:t xml:space="preserve"> </w:t>
      </w:r>
      <w:r w:rsidRPr="009668F8">
        <w:rPr>
          <w:rFonts w:ascii="Arial" w:hAnsi="Arial" w:cs="Arial"/>
        </w:rPr>
        <w:t>during recent shocks across the European hospitality cohort (</w:t>
      </w:r>
      <w:proofErr w:type="spellStart"/>
      <w:r w:rsidRPr="009668F8">
        <w:rPr>
          <w:rFonts w:ascii="Arial" w:hAnsi="Arial" w:cs="Arial"/>
        </w:rPr>
        <w:t>Tascón</w:t>
      </w:r>
      <w:proofErr w:type="spellEnd"/>
      <w:r w:rsidRPr="009668F8">
        <w:rPr>
          <w:rFonts w:ascii="Arial" w:hAnsi="Arial" w:cs="Arial"/>
        </w:rPr>
        <w:t xml:space="preserve"> et al., 2024). Capital structure predicts survival prospects: heavy </w:t>
      </w:r>
      <w:r w:rsidRPr="00964F47">
        <w:rPr>
          <w:rFonts w:ascii="Arial" w:hAnsi="Arial" w:cs="Arial"/>
        </w:rPr>
        <w:t>debt load</w:t>
      </w:r>
      <w:r>
        <w:rPr>
          <w:rFonts w:ascii="Arial" w:hAnsi="Arial" w:cs="Arial"/>
        </w:rPr>
        <w:t xml:space="preserve"> </w:t>
      </w:r>
      <w:r w:rsidRPr="009668F8">
        <w:rPr>
          <w:rFonts w:ascii="Arial" w:hAnsi="Arial" w:cs="Arial"/>
        </w:rPr>
        <w:t xml:space="preserve">with volatile cash flow is the wrong pairing in a cost-up environment, a relationship explored in earlier hospitality finance studies (Park and Jang, 2013; </w:t>
      </w:r>
      <w:proofErr w:type="spellStart"/>
      <w:r w:rsidRPr="009668F8">
        <w:rPr>
          <w:rFonts w:ascii="Arial" w:hAnsi="Arial" w:cs="Arial"/>
        </w:rPr>
        <w:t>Kizildag</w:t>
      </w:r>
      <w:proofErr w:type="spellEnd"/>
      <w:r w:rsidRPr="009668F8">
        <w:rPr>
          <w:rFonts w:ascii="Arial" w:hAnsi="Arial" w:cs="Arial"/>
        </w:rPr>
        <w:t>, 2015). Debt behaves like gravity. Full-service and luxury assets with large plant and property are exposed when borrowing costs rise and income does not move fast enough to meet covenants, which forces cuts or distressed sales at the margin.</w:t>
      </w:r>
    </w:p>
    <w:p w14:paraId="1C2BE6BB"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4. Demand compression and consumer behaviour</w:t>
      </w:r>
    </w:p>
    <w:p w14:paraId="5B3F4CE1"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Demand returned, but with new habits. Inflation trimmed discretionary budgets and encouraged shorter trips, cheaper brands and last-minute decisions, softening revenue even when occupancy looks decent on a calendar view (Deloitte, 2025). </w:t>
      </w:r>
      <w:r w:rsidRPr="007A433E">
        <w:rPr>
          <w:rFonts w:ascii="Arial" w:hAnsi="Arial" w:cs="Arial"/>
        </w:rPr>
        <w:t xml:space="preserve">Revenue </w:t>
      </w:r>
      <w:r w:rsidRPr="009668F8">
        <w:rPr>
          <w:rFonts w:ascii="Arial" w:hAnsi="Arial" w:cs="Arial"/>
        </w:rPr>
        <w:t xml:space="preserve">per guest strains when confidence falls and price increases meet resistance, </w:t>
      </w:r>
      <w:r w:rsidRPr="009668F8">
        <w:rPr>
          <w:rFonts w:ascii="Arial" w:hAnsi="Arial" w:cs="Arial"/>
        </w:rPr>
        <w:lastRenderedPageBreak/>
        <w:t xml:space="preserve">a dynamic described in both macro- and firm-level analyses (Chen, 2010; PwC, 2024). The distribution layer adds another </w:t>
      </w:r>
      <w:r w:rsidRPr="00961C2A">
        <w:rPr>
          <w:rFonts w:ascii="Arial" w:hAnsi="Arial" w:cs="Arial"/>
        </w:rPr>
        <w:t>cut</w:t>
      </w:r>
      <w:r w:rsidRPr="009668F8">
        <w:rPr>
          <w:rFonts w:ascii="Arial" w:hAnsi="Arial" w:cs="Arial"/>
        </w:rPr>
        <w:t>. Over-reliance on online travel agencies increases fee load and reduces net revenue, a vulnerability that is sharper for small properties without direct digital capability, as industry guidance repeatedly notes (</w:t>
      </w:r>
      <w:proofErr w:type="spellStart"/>
      <w:r w:rsidRPr="009668F8">
        <w:rPr>
          <w:rFonts w:ascii="Arial" w:hAnsi="Arial" w:cs="Arial"/>
        </w:rPr>
        <w:t>Kovly</w:t>
      </w:r>
      <w:proofErr w:type="spellEnd"/>
      <w:r w:rsidRPr="009668F8">
        <w:rPr>
          <w:rFonts w:ascii="Arial" w:hAnsi="Arial" w:cs="Arial"/>
        </w:rPr>
        <w:t xml:space="preserve"> Studio Website, 2025). In many properties, </w:t>
      </w:r>
      <w:r w:rsidRPr="002478F8">
        <w:rPr>
          <w:rFonts w:ascii="Arial" w:hAnsi="Arial" w:cs="Arial"/>
        </w:rPr>
        <w:t>the market mix changed</w:t>
      </w:r>
      <w:r w:rsidRPr="009668F8">
        <w:rPr>
          <w:rFonts w:ascii="Arial" w:hAnsi="Arial" w:cs="Arial"/>
        </w:rPr>
        <w:t>; pricing power did not.</w:t>
      </w:r>
      <w:r>
        <w:rPr>
          <w:rFonts w:ascii="Arial" w:hAnsi="Arial" w:cs="Arial"/>
        </w:rPr>
        <w:t xml:space="preserve"> </w:t>
      </w:r>
    </w:p>
    <w:p w14:paraId="26752F61"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5. Regulatory, ESG and technological pressures</w:t>
      </w:r>
    </w:p>
    <w:p w14:paraId="78A75555"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Rules accumulated and so did the cost of keeping them. In the United States, greater transparency on add-on fees constrains revenue strategies that relied on </w:t>
      </w:r>
      <w:r w:rsidRPr="00F328FA">
        <w:rPr>
          <w:rFonts w:ascii="Arial" w:hAnsi="Arial" w:cs="Arial"/>
        </w:rPr>
        <w:t>secondary revenue streams</w:t>
      </w:r>
      <w:r w:rsidRPr="009668F8">
        <w:rPr>
          <w:rFonts w:ascii="Arial" w:hAnsi="Arial" w:cs="Arial"/>
        </w:rPr>
        <w:t xml:space="preserve">, a rebalancing intended for consumer clarity but paid for by hotels through system updates and staff training (Federal Trade Commission, 2025). In Europe, the Corporate Sustainability Reporting Directive expands disclosure scope and assurance requirements, which builds administrative and audit expense into budgets even as it promises investor confidence over time (European Commission, 2025; Kim and Han, 2023). Compliance is affordable for chains because somebody already paid for </w:t>
      </w:r>
      <w:r>
        <w:rPr>
          <w:rFonts w:ascii="Arial" w:hAnsi="Arial" w:cs="Arial"/>
        </w:rPr>
        <w:t xml:space="preserve">the </w:t>
      </w:r>
      <w:r w:rsidRPr="009668F8">
        <w:rPr>
          <w:rFonts w:ascii="Arial" w:hAnsi="Arial" w:cs="Arial"/>
        </w:rPr>
        <w:t>scale.</w:t>
      </w:r>
      <w:r>
        <w:rPr>
          <w:rFonts w:ascii="Arial" w:hAnsi="Arial" w:cs="Arial"/>
        </w:rPr>
        <w:t xml:space="preserve"> </w:t>
      </w:r>
    </w:p>
    <w:p w14:paraId="46818774"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Technology is the usual reply. Automation and AI can lift productivity and lower selected labour needs, although adoption costs, training and trust stand in the way, particularly where teams fear displacement or systems arrive without change support (Zahidi, </w:t>
      </w:r>
      <w:proofErr w:type="spellStart"/>
      <w:r w:rsidRPr="009668F8">
        <w:rPr>
          <w:rFonts w:ascii="Arial" w:hAnsi="Arial" w:cs="Arial"/>
        </w:rPr>
        <w:t>Kaluvilla</w:t>
      </w:r>
      <w:proofErr w:type="spellEnd"/>
      <w:r w:rsidRPr="009668F8">
        <w:rPr>
          <w:rFonts w:ascii="Arial" w:hAnsi="Arial" w:cs="Arial"/>
        </w:rPr>
        <w:t xml:space="preserve"> and Mulla, 2024; </w:t>
      </w:r>
      <w:proofErr w:type="spellStart"/>
      <w:r w:rsidRPr="009668F8">
        <w:rPr>
          <w:rFonts w:ascii="Arial" w:hAnsi="Arial" w:cs="Arial"/>
        </w:rPr>
        <w:t>Golgeci</w:t>
      </w:r>
      <w:proofErr w:type="spellEnd"/>
      <w:r w:rsidRPr="009668F8">
        <w:rPr>
          <w:rFonts w:ascii="Arial" w:hAnsi="Arial" w:cs="Arial"/>
        </w:rPr>
        <w:t xml:space="preserve"> et al., 2025). Evidence on service automation and cost</w:t>
      </w:r>
      <w:r>
        <w:rPr>
          <w:rFonts w:ascii="Arial" w:hAnsi="Arial" w:cs="Arial"/>
        </w:rPr>
        <w:t>-</w:t>
      </w:r>
      <w:r w:rsidRPr="009668F8">
        <w:rPr>
          <w:rFonts w:ascii="Arial" w:hAnsi="Arial" w:cs="Arial"/>
        </w:rPr>
        <w:t xml:space="preserve">benefit trade-offs remains clear that gains exist, but they require fitting tools to workflows and funding the </w:t>
      </w:r>
      <w:proofErr w:type="spellStart"/>
      <w:r>
        <w:rPr>
          <w:rFonts w:ascii="Arial" w:hAnsi="Arial" w:cs="Arial"/>
        </w:rPr>
        <w:t>imlementation</w:t>
      </w:r>
      <w:proofErr w:type="spellEnd"/>
      <w:r>
        <w:rPr>
          <w:rFonts w:ascii="Arial" w:hAnsi="Arial" w:cs="Arial"/>
        </w:rPr>
        <w:t xml:space="preserve"> phase</w:t>
      </w:r>
      <w:r w:rsidRPr="009668F8">
        <w:rPr>
          <w:rFonts w:ascii="Arial" w:hAnsi="Arial" w:cs="Arial"/>
        </w:rPr>
        <w:t xml:space="preserve"> (Ivanov and Webster, 2019; Lima Santos et al., 2024). Half-digital operations are common. The constraint is structural.</w:t>
      </w:r>
    </w:p>
    <w:p w14:paraId="7236446E"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6. Segmental differences and financial asymmetry</w:t>
      </w:r>
    </w:p>
    <w:p w14:paraId="26EC2141"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Pressure distributes irregularly. The more assets on balance sheet, the more sensitive the firm is to cost and rate shocks, which is why expansion strategies matter for performance under uncertainty (Mulet-Forteza et al., 2024). Independents and boutiques can price on distinctiveness, yet they often overpay for distribution and insurance while absorbing higher financing costs, narrowing the gap their ADR wins back (Jolene, 2023; PWC, 2025). Full-service properties carry labour-intensive F&amp;B and brand requirements that do not scale down </w:t>
      </w:r>
      <w:r>
        <w:rPr>
          <w:rFonts w:ascii="Arial" w:hAnsi="Arial" w:cs="Arial"/>
        </w:rPr>
        <w:t>easily</w:t>
      </w:r>
      <w:r w:rsidRPr="009668F8">
        <w:rPr>
          <w:rFonts w:ascii="Arial" w:hAnsi="Arial" w:cs="Arial"/>
        </w:rPr>
        <w:t xml:space="preserve"> when demand softens, whereas </w:t>
      </w:r>
      <w:r w:rsidRPr="009668F8">
        <w:rPr>
          <w:rFonts w:ascii="Arial" w:hAnsi="Arial" w:cs="Arial"/>
        </w:rPr>
        <w:lastRenderedPageBreak/>
        <w:t>select-service and extended-stay formats maintain simpler staffing models tied to steadier demand</w:t>
      </w:r>
      <w:r>
        <w:rPr>
          <w:rFonts w:ascii="Arial" w:hAnsi="Arial" w:cs="Arial"/>
        </w:rPr>
        <w:t>,</w:t>
      </w:r>
      <w:r w:rsidRPr="009668F8">
        <w:rPr>
          <w:rFonts w:ascii="Arial" w:hAnsi="Arial" w:cs="Arial"/>
        </w:rPr>
        <w:t xml:space="preserve"> such as long-stay guests (PwC, 2024; CBRE, 2025). Luxury has </w:t>
      </w:r>
      <w:r>
        <w:rPr>
          <w:rFonts w:ascii="Arial" w:hAnsi="Arial" w:cs="Arial"/>
        </w:rPr>
        <w:t xml:space="preserve">a </w:t>
      </w:r>
      <w:r w:rsidRPr="009668F8">
        <w:rPr>
          <w:rFonts w:ascii="Arial" w:hAnsi="Arial" w:cs="Arial"/>
        </w:rPr>
        <w:t xml:space="preserve">cushion from wealthier guests but larger energy and wage lines to carry; economy loses occupancy earlier when inflation raises </w:t>
      </w:r>
      <w:r>
        <w:rPr>
          <w:rFonts w:ascii="Arial" w:hAnsi="Arial" w:cs="Arial"/>
        </w:rPr>
        <w:t>price sensitivity</w:t>
      </w:r>
      <w:r w:rsidRPr="009668F8">
        <w:rPr>
          <w:rFonts w:ascii="Arial" w:hAnsi="Arial" w:cs="Arial"/>
        </w:rPr>
        <w:t>, which the volatility and policy uncertainty literature flags for smaller operators with limited pricing room (Deloitte, 2025; Leisten, 2020). Asset-light models appear resilient; the liabilities sit elsewhere.</w:t>
      </w:r>
    </w:p>
    <w:p w14:paraId="4BC486AA"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7. Synthesis</w:t>
      </w:r>
    </w:p>
    <w:p w14:paraId="4D6F0F9C"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Across sources, three themes repeat. Liquidity and debt structure shape survival when rates stay high. Operational efficiency, including labour design and energy discipline, decides whether costs can be absorbed without damaging the offer. Adaptability, through technology adoption and mix management, determines how quickly properties can change cost shape or revenue channels in response to shocks. Independents and franchisees remain the most exposed due to capital limits and fee loads, while brands and asset-light chains keep steadier income from management and franchise lines. Interdependence still </w:t>
      </w:r>
      <w:proofErr w:type="gramStart"/>
      <w:r w:rsidRPr="009668F8">
        <w:rPr>
          <w:rFonts w:ascii="Arial" w:hAnsi="Arial" w:cs="Arial"/>
        </w:rPr>
        <w:t>matters:</w:t>
      </w:r>
      <w:proofErr w:type="gramEnd"/>
      <w:r w:rsidRPr="009668F8">
        <w:rPr>
          <w:rFonts w:ascii="Arial" w:hAnsi="Arial" w:cs="Arial"/>
        </w:rPr>
        <w:t xml:space="preserve"> prolonged franchisee distress feeds back into franchisors through brand performance and unit </w:t>
      </w:r>
      <w:r w:rsidRPr="000231E7">
        <w:rPr>
          <w:rFonts w:ascii="Arial" w:hAnsi="Arial" w:cs="Arial"/>
        </w:rPr>
        <w:t>turnover</w:t>
      </w:r>
      <w:r w:rsidRPr="009668F8">
        <w:rPr>
          <w:rFonts w:ascii="Arial" w:hAnsi="Arial" w:cs="Arial"/>
        </w:rPr>
        <w:t>, a point made explicit in post-pandemic asset-management analysis (Singh and Wang, 2021). The pattern persists. Support up the chain improves stability down the chain.</w:t>
      </w:r>
    </w:p>
    <w:p w14:paraId="38B6A412"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Method</w:t>
      </w:r>
    </w:p>
    <w:p w14:paraId="51C11C8E" w14:textId="318659B6" w:rsidR="005A2BB0" w:rsidRPr="009668F8" w:rsidRDefault="005A2BB0" w:rsidP="005A2BB0">
      <w:pPr>
        <w:spacing w:line="360" w:lineRule="auto"/>
        <w:jc w:val="both"/>
        <w:rPr>
          <w:rFonts w:ascii="Arial" w:hAnsi="Arial" w:cs="Arial"/>
        </w:rPr>
      </w:pPr>
      <w:r w:rsidRPr="009668F8">
        <w:rPr>
          <w:rFonts w:ascii="Arial" w:hAnsi="Arial" w:cs="Arial"/>
        </w:rPr>
        <w:t>The study applies qualitative secondary analysis to map how financial pressures translate across hotel types, combining academic sources, industry outlooks and policy materials to triangulate recurring mechanisms. The source base includes journals such as Tourism</w:t>
      </w:r>
      <w:r w:rsidR="00BC2F7F">
        <w:rPr>
          <w:rFonts w:ascii="Arial" w:hAnsi="Arial" w:cs="Arial"/>
        </w:rPr>
        <w:t xml:space="preserve"> </w:t>
      </w:r>
      <w:r w:rsidRPr="009668F8">
        <w:rPr>
          <w:rFonts w:ascii="Arial" w:hAnsi="Arial" w:cs="Arial"/>
        </w:rPr>
        <w:t>Managemen</w:t>
      </w:r>
      <w:r w:rsidR="003F3830">
        <w:rPr>
          <w:rFonts w:ascii="Arial" w:hAnsi="Arial" w:cs="Arial"/>
        </w:rPr>
        <w:t xml:space="preserve">t </w:t>
      </w:r>
      <w:r w:rsidRPr="009668F8">
        <w:rPr>
          <w:rFonts w:ascii="Arial" w:hAnsi="Arial" w:cs="Arial"/>
        </w:rPr>
        <w:t>and the</w:t>
      </w:r>
      <w:r w:rsidR="004649A9">
        <w:rPr>
          <w:rFonts w:ascii="Arial" w:hAnsi="Arial" w:cs="Arial"/>
        </w:rPr>
        <w:t xml:space="preserve"> </w:t>
      </w:r>
      <w:r w:rsidRPr="009668F8">
        <w:rPr>
          <w:rFonts w:ascii="Arial" w:hAnsi="Arial" w:cs="Arial"/>
        </w:rPr>
        <w:t>Internationa</w:t>
      </w:r>
      <w:r w:rsidR="003F3830">
        <w:rPr>
          <w:rFonts w:ascii="Arial" w:hAnsi="Arial" w:cs="Arial"/>
        </w:rPr>
        <w:t>l</w:t>
      </w:r>
      <w:r w:rsidRPr="009668F8">
        <w:rPr>
          <w:rFonts w:ascii="Arial" w:hAnsi="Arial" w:cs="Arial"/>
        </w:rPr>
        <w:t xml:space="preserve"> </w:t>
      </w:r>
      <w:r w:rsidR="006B261B">
        <w:rPr>
          <w:rFonts w:ascii="Arial" w:hAnsi="Arial" w:cs="Arial"/>
        </w:rPr>
        <w:t>J</w:t>
      </w:r>
      <w:r w:rsidRPr="009668F8">
        <w:rPr>
          <w:rFonts w:ascii="Arial" w:hAnsi="Arial" w:cs="Arial"/>
        </w:rPr>
        <w:t>ourna</w:t>
      </w:r>
      <w:r w:rsidR="003F3830">
        <w:rPr>
          <w:rFonts w:ascii="Arial" w:hAnsi="Arial" w:cs="Arial"/>
        </w:rPr>
        <w:t>l</w:t>
      </w:r>
      <w:r w:rsidR="006B261B">
        <w:rPr>
          <w:rFonts w:ascii="Arial" w:hAnsi="Arial" w:cs="Arial"/>
        </w:rPr>
        <w:t xml:space="preserve"> </w:t>
      </w:r>
      <w:r w:rsidRPr="009668F8">
        <w:rPr>
          <w:rFonts w:ascii="Arial" w:hAnsi="Arial" w:cs="Arial"/>
        </w:rPr>
        <w:t>o</w:t>
      </w:r>
      <w:r w:rsidR="003F3830">
        <w:rPr>
          <w:rFonts w:ascii="Arial" w:hAnsi="Arial" w:cs="Arial"/>
        </w:rPr>
        <w:t xml:space="preserve">f </w:t>
      </w:r>
      <w:r w:rsidR="006B261B">
        <w:rPr>
          <w:rFonts w:ascii="Arial" w:hAnsi="Arial" w:cs="Arial"/>
        </w:rPr>
        <w:t>H</w:t>
      </w:r>
      <w:r w:rsidRPr="009668F8">
        <w:rPr>
          <w:rFonts w:ascii="Arial" w:hAnsi="Arial" w:cs="Arial"/>
        </w:rPr>
        <w:t>ospitalit</w:t>
      </w:r>
      <w:r w:rsidR="003F3830">
        <w:rPr>
          <w:rFonts w:ascii="Arial" w:hAnsi="Arial" w:cs="Arial"/>
        </w:rPr>
        <w:t>y</w:t>
      </w:r>
      <w:r w:rsidRPr="009668F8">
        <w:rPr>
          <w:rFonts w:ascii="Arial" w:hAnsi="Arial" w:cs="Arial"/>
        </w:rPr>
        <w:t xml:space="preserve"> </w:t>
      </w:r>
      <w:r w:rsidR="003F3830">
        <w:rPr>
          <w:rFonts w:ascii="Arial" w:hAnsi="Arial" w:cs="Arial"/>
        </w:rPr>
        <w:t>M</w:t>
      </w:r>
      <w:r w:rsidRPr="009668F8">
        <w:rPr>
          <w:rFonts w:ascii="Arial" w:hAnsi="Arial" w:cs="Arial"/>
        </w:rPr>
        <w:t>anageme</w:t>
      </w:r>
      <w:r w:rsidR="00B213E2">
        <w:rPr>
          <w:rFonts w:ascii="Arial" w:hAnsi="Arial" w:cs="Arial"/>
        </w:rPr>
        <w:t>n</w:t>
      </w:r>
      <w:r w:rsidRPr="009668F8">
        <w:rPr>
          <w:rFonts w:ascii="Arial" w:hAnsi="Arial" w:cs="Arial"/>
        </w:rPr>
        <w:t xml:space="preserve">t, alongside reports from CBRE, HVS, PwC and Deloitte, with additional regulatory and workforce materials where needed (CBRE, 2025; HVS, 2025; PwC, 2024; Deloitte, 2025). Evidence is organised under a PESTLE frame to separate external forces before comparing segmental exposure among franchise, chain-managed, independent and select-service hotels. It maps patterns rather than tests a model. Analytical coding identified repeated themes around cost escalation, credit restriction, compliance load and technology adoption barriers. The approach accepts </w:t>
      </w:r>
      <w:r w:rsidRPr="009668F8">
        <w:rPr>
          <w:rFonts w:ascii="Arial" w:hAnsi="Arial" w:cs="Arial"/>
        </w:rPr>
        <w:lastRenderedPageBreak/>
        <w:t>the limits of secondary data yet aims for a clear synthesis that connects theory with operational practice.</w:t>
      </w:r>
    </w:p>
    <w:p w14:paraId="78716181" w14:textId="77777777" w:rsidR="005A2BB0" w:rsidRDefault="005A2BB0" w:rsidP="005A2BB0">
      <w:pPr>
        <w:spacing w:line="360" w:lineRule="auto"/>
        <w:jc w:val="both"/>
        <w:rPr>
          <w:rFonts w:ascii="Arial" w:hAnsi="Arial" w:cs="Arial"/>
          <w:b/>
          <w:bCs/>
        </w:rPr>
      </w:pPr>
    </w:p>
    <w:p w14:paraId="30B67D9D"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Theme Impact Analysis</w:t>
      </w:r>
    </w:p>
    <w:p w14:paraId="63FDAB4D"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1. PESTLE dimensions and industry pressures</w:t>
      </w:r>
    </w:p>
    <w:p w14:paraId="15A19CD1" w14:textId="77777777" w:rsidR="005A2BB0" w:rsidRPr="009668F8" w:rsidRDefault="005A2BB0" w:rsidP="005A2BB0">
      <w:pPr>
        <w:spacing w:line="360" w:lineRule="auto"/>
        <w:jc w:val="both"/>
        <w:rPr>
          <w:rFonts w:ascii="Arial" w:hAnsi="Arial" w:cs="Arial"/>
        </w:rPr>
      </w:pPr>
      <w:r w:rsidRPr="009668F8">
        <w:rPr>
          <w:rFonts w:ascii="Arial" w:hAnsi="Arial" w:cs="Arial"/>
          <w:b/>
          <w:bCs/>
        </w:rPr>
        <w:t>Political and legal.</w:t>
      </w:r>
      <w:r w:rsidRPr="009668F8">
        <w:rPr>
          <w:rFonts w:ascii="Arial" w:hAnsi="Arial" w:cs="Arial"/>
        </w:rPr>
        <w:t xml:space="preserve"> New and upgraded rules re-price compliance. The U.S. transparency rule on fees requires systems work and staff retraining; the European CSRD adds scope and assurance cost to reporting, which lands hardest on small portfolios unable to spread the work across many properties (Federal Trade Commission, 2025; European Commission, 2025). Insurance premiums have climbed in higher-risk regions, which tightens cash flow and imposes a new planning line for some markets, as sector commentary notes (PWC, 2025). A late rota forces a close-then-breakfast sequence. Well-intended policies can produce uneven burdens where scale determines feasibility.</w:t>
      </w:r>
    </w:p>
    <w:p w14:paraId="7409AA5B" w14:textId="77777777" w:rsidR="005A2BB0" w:rsidRPr="009668F8" w:rsidRDefault="005A2BB0" w:rsidP="005A2BB0">
      <w:pPr>
        <w:spacing w:line="360" w:lineRule="auto"/>
        <w:jc w:val="both"/>
        <w:rPr>
          <w:rFonts w:ascii="Arial" w:hAnsi="Arial" w:cs="Arial"/>
        </w:rPr>
      </w:pPr>
      <w:r w:rsidRPr="009668F8">
        <w:rPr>
          <w:rFonts w:ascii="Arial" w:hAnsi="Arial" w:cs="Arial"/>
          <w:b/>
          <w:bCs/>
        </w:rPr>
        <w:t>Economic.</w:t>
      </w:r>
      <w:r w:rsidRPr="009668F8">
        <w:rPr>
          <w:rFonts w:ascii="Arial" w:hAnsi="Arial" w:cs="Arial"/>
        </w:rPr>
        <w:t xml:space="preserve"> Inflation raises input prices while interest rates re-price debt and defer upgrades; together they impair RevPAR translation into earnings if topline growth is flat. Credit constraints reduce resilience for firms with high debt and thin cash buffers, an effect documented in recent European data (</w:t>
      </w:r>
      <w:proofErr w:type="spellStart"/>
      <w:r w:rsidRPr="009668F8">
        <w:rPr>
          <w:rFonts w:ascii="Arial" w:hAnsi="Arial" w:cs="Arial"/>
        </w:rPr>
        <w:t>Tascón</w:t>
      </w:r>
      <w:proofErr w:type="spellEnd"/>
      <w:r w:rsidRPr="009668F8">
        <w:rPr>
          <w:rFonts w:ascii="Arial" w:hAnsi="Arial" w:cs="Arial"/>
        </w:rPr>
        <w:t xml:space="preserve"> et al., 2024). Forecasts warn of marginal RevPAR growth, which implies cost rises run ahead of revenue for many operators, especially full-service owners facing refinancing</w:t>
      </w:r>
      <w:r>
        <w:rPr>
          <w:rFonts w:ascii="Arial" w:hAnsi="Arial" w:cs="Arial"/>
        </w:rPr>
        <w:t>,</w:t>
      </w:r>
      <w:r w:rsidRPr="009668F8">
        <w:rPr>
          <w:rFonts w:ascii="Arial" w:hAnsi="Arial" w:cs="Arial"/>
        </w:rPr>
        <w:t xml:space="preserve"> while fee-based models show more room to absorb shocks (CBRE, 2025; HVS, 2025). The constraint is structural.</w:t>
      </w:r>
    </w:p>
    <w:p w14:paraId="31D95A3F" w14:textId="77777777" w:rsidR="005A2BB0" w:rsidRPr="009668F8" w:rsidRDefault="005A2BB0" w:rsidP="005A2BB0">
      <w:pPr>
        <w:spacing w:line="360" w:lineRule="auto"/>
        <w:jc w:val="both"/>
        <w:rPr>
          <w:rFonts w:ascii="Arial" w:hAnsi="Arial" w:cs="Arial"/>
        </w:rPr>
      </w:pPr>
      <w:r w:rsidRPr="009668F8">
        <w:rPr>
          <w:rFonts w:ascii="Arial" w:hAnsi="Arial" w:cs="Arial"/>
          <w:b/>
          <w:bCs/>
        </w:rPr>
        <w:t>Social.</w:t>
      </w:r>
      <w:r w:rsidRPr="009668F8">
        <w:rPr>
          <w:rFonts w:ascii="Arial" w:hAnsi="Arial" w:cs="Arial"/>
        </w:rPr>
        <w:t xml:space="preserve"> Staffing shortfalls continue to restrict service quality and increase wage pressure, with large chains recruiting more easily due to career ladders and training signals while smaller hotels pay more for each hire and see faster churn (AHLA, 2025; Baum et al., 2021). Financial stress erodes job satisfaction, which feeds directly into service performance and local reputation, as survey-based work shows (Elshaer et al., 2025). Turnover becomes a financial variable.</w:t>
      </w:r>
    </w:p>
    <w:p w14:paraId="7A680005" w14:textId="77777777" w:rsidR="005A2BB0" w:rsidRPr="009668F8" w:rsidRDefault="005A2BB0" w:rsidP="005A2BB0">
      <w:pPr>
        <w:spacing w:line="360" w:lineRule="auto"/>
        <w:jc w:val="both"/>
        <w:rPr>
          <w:rFonts w:ascii="Arial" w:hAnsi="Arial" w:cs="Arial"/>
        </w:rPr>
      </w:pPr>
      <w:r w:rsidRPr="009668F8">
        <w:rPr>
          <w:rFonts w:ascii="Arial" w:hAnsi="Arial" w:cs="Arial"/>
          <w:b/>
          <w:bCs/>
        </w:rPr>
        <w:t>Technological.</w:t>
      </w:r>
      <w:r w:rsidRPr="009668F8">
        <w:rPr>
          <w:rFonts w:ascii="Arial" w:hAnsi="Arial" w:cs="Arial"/>
        </w:rPr>
        <w:t xml:space="preserve"> Automation improves productivity and stabilises service in repetitive flows, and AI tools lift pricing and allocation, yet costs of adoption, system integration and trust emerge as non-trivial barriers, especially for independents without internal </w:t>
      </w:r>
      <w:r w:rsidRPr="009668F8">
        <w:rPr>
          <w:rFonts w:ascii="Arial" w:hAnsi="Arial" w:cs="Arial"/>
        </w:rPr>
        <w:lastRenderedPageBreak/>
        <w:t xml:space="preserve">capability (Ivanov and Webster, 2019; Zahidi, </w:t>
      </w:r>
      <w:proofErr w:type="spellStart"/>
      <w:r w:rsidRPr="009668F8">
        <w:rPr>
          <w:rFonts w:ascii="Arial" w:hAnsi="Arial" w:cs="Arial"/>
        </w:rPr>
        <w:t>Kaluvilla</w:t>
      </w:r>
      <w:proofErr w:type="spellEnd"/>
      <w:r w:rsidRPr="009668F8">
        <w:rPr>
          <w:rFonts w:ascii="Arial" w:hAnsi="Arial" w:cs="Arial"/>
        </w:rPr>
        <w:t xml:space="preserve"> and Mulla, 2024). Employee resistance is rational when introduction is rushed or training is shallow, which slows benefit capture (</w:t>
      </w:r>
      <w:proofErr w:type="spellStart"/>
      <w:r w:rsidRPr="009668F8">
        <w:rPr>
          <w:rFonts w:ascii="Arial" w:hAnsi="Arial" w:cs="Arial"/>
        </w:rPr>
        <w:t>Golgeci</w:t>
      </w:r>
      <w:proofErr w:type="spellEnd"/>
      <w:r w:rsidRPr="009668F8">
        <w:rPr>
          <w:rFonts w:ascii="Arial" w:hAnsi="Arial" w:cs="Arial"/>
        </w:rPr>
        <w:t xml:space="preserve"> et al., 2025). Many operations sit halfway between manual and digital, at a cost.</w:t>
      </w:r>
    </w:p>
    <w:p w14:paraId="02D5B78E" w14:textId="77777777" w:rsidR="005A2BB0" w:rsidRPr="009668F8" w:rsidRDefault="005A2BB0" w:rsidP="005A2BB0">
      <w:pPr>
        <w:spacing w:line="360" w:lineRule="auto"/>
        <w:jc w:val="both"/>
        <w:rPr>
          <w:rFonts w:ascii="Arial" w:hAnsi="Arial" w:cs="Arial"/>
        </w:rPr>
      </w:pPr>
      <w:r w:rsidRPr="009668F8">
        <w:rPr>
          <w:rFonts w:ascii="Arial" w:hAnsi="Arial" w:cs="Arial"/>
          <w:b/>
          <w:bCs/>
        </w:rPr>
        <w:t>Environmental.</w:t>
      </w:r>
      <w:r w:rsidRPr="009668F8">
        <w:rPr>
          <w:rFonts w:ascii="Arial" w:hAnsi="Arial" w:cs="Arial"/>
        </w:rPr>
        <w:t xml:space="preserve"> Energy prices and climate risk keep volatility in P</w:t>
      </w:r>
      <w:r>
        <w:rPr>
          <w:rFonts w:ascii="Arial" w:hAnsi="Arial" w:cs="Arial"/>
        </w:rPr>
        <w:t>&amp;</w:t>
      </w:r>
      <w:r w:rsidRPr="009668F8">
        <w:rPr>
          <w:rFonts w:ascii="Arial" w:hAnsi="Arial" w:cs="Arial"/>
        </w:rPr>
        <w:t xml:space="preserve">L lines. Efficiency investments reduce long-run costs, and retrofits pay back, but initial capital is </w:t>
      </w:r>
      <w:proofErr w:type="gramStart"/>
      <w:r w:rsidRPr="009668F8">
        <w:rPr>
          <w:rFonts w:ascii="Arial" w:hAnsi="Arial" w:cs="Arial"/>
        </w:rPr>
        <w:t>significant</w:t>
      </w:r>
      <w:proofErr w:type="gramEnd"/>
      <w:r w:rsidRPr="009668F8">
        <w:rPr>
          <w:rFonts w:ascii="Arial" w:hAnsi="Arial" w:cs="Arial"/>
        </w:rPr>
        <w:t xml:space="preserve"> and project management absorbs scarce time, which delays action for small owners (Salami et al., 2024). High-consumption formats such as resorts and full-service hotels are more exposed to cost spikes than leaner models, as comparative studies show (</w:t>
      </w:r>
      <w:proofErr w:type="spellStart"/>
      <w:r w:rsidRPr="009668F8">
        <w:rPr>
          <w:rFonts w:ascii="Arial" w:hAnsi="Arial" w:cs="Arial"/>
        </w:rPr>
        <w:t>Nižić</w:t>
      </w:r>
      <w:proofErr w:type="spellEnd"/>
      <w:r w:rsidRPr="009668F8">
        <w:rPr>
          <w:rFonts w:ascii="Arial" w:hAnsi="Arial" w:cs="Arial"/>
        </w:rPr>
        <w:t xml:space="preserve"> et al., 2017). Operators want greener systems and often need external support to sequence them effectively, which recent property research supports (Belarmino et al., 2022). Capital chooses pace.</w:t>
      </w:r>
    </w:p>
    <w:p w14:paraId="5BEF8040"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2. Segmental comparison and debate</w:t>
      </w:r>
    </w:p>
    <w:p w14:paraId="0E1803E7" w14:textId="77777777" w:rsidR="005A2BB0" w:rsidRPr="009668F8" w:rsidRDefault="005A2BB0" w:rsidP="005A2BB0">
      <w:pPr>
        <w:spacing w:line="360" w:lineRule="auto"/>
        <w:jc w:val="both"/>
        <w:rPr>
          <w:rFonts w:ascii="Arial" w:hAnsi="Arial" w:cs="Arial"/>
        </w:rPr>
      </w:pPr>
      <w:r w:rsidRPr="009668F8">
        <w:rPr>
          <w:rFonts w:ascii="Arial" w:hAnsi="Arial" w:cs="Arial"/>
          <w:b/>
          <w:bCs/>
        </w:rPr>
        <w:t>Franchisees and franchisors.</w:t>
      </w:r>
      <w:r w:rsidRPr="009668F8">
        <w:rPr>
          <w:rFonts w:ascii="Arial" w:hAnsi="Arial" w:cs="Arial"/>
        </w:rPr>
        <w:t xml:space="preserve"> Fee loads for royalties, marketing and technology sit around 8</w:t>
      </w:r>
      <w:r>
        <w:rPr>
          <w:rFonts w:ascii="Arial" w:hAnsi="Arial" w:cs="Arial"/>
        </w:rPr>
        <w:t>-</w:t>
      </w:r>
      <w:r w:rsidRPr="009668F8">
        <w:rPr>
          <w:rFonts w:ascii="Arial" w:hAnsi="Arial" w:cs="Arial"/>
        </w:rPr>
        <w:t xml:space="preserve">12 percent of room revenue and persist even when occupancy falls, which gives franchisors steady income while transferring operating risk to franchisees (CBRE, 2025; Mulet-Forteza et al., 2024). </w:t>
      </w:r>
      <w:proofErr w:type="spellStart"/>
      <w:r w:rsidRPr="009668F8">
        <w:rPr>
          <w:rFonts w:ascii="Arial" w:hAnsi="Arial" w:cs="Arial"/>
        </w:rPr>
        <w:t>Kizildag</w:t>
      </w:r>
      <w:proofErr w:type="spellEnd"/>
      <w:r w:rsidRPr="009668F8">
        <w:rPr>
          <w:rFonts w:ascii="Arial" w:hAnsi="Arial" w:cs="Arial"/>
        </w:rPr>
        <w:t xml:space="preserve"> describes the result as a double squeeze when debt service and brand fees meet flat revenue (</w:t>
      </w:r>
      <w:proofErr w:type="spellStart"/>
      <w:r w:rsidRPr="009668F8">
        <w:rPr>
          <w:rFonts w:ascii="Arial" w:hAnsi="Arial" w:cs="Arial"/>
        </w:rPr>
        <w:t>Kizildag</w:t>
      </w:r>
      <w:proofErr w:type="spellEnd"/>
      <w:r w:rsidRPr="009668F8">
        <w:rPr>
          <w:rFonts w:ascii="Arial" w:hAnsi="Arial" w:cs="Arial"/>
        </w:rPr>
        <w:t>, 2015). Asset-light resilience depends on someone else’s balance sheet.</w:t>
      </w:r>
    </w:p>
    <w:p w14:paraId="4A5A6792" w14:textId="77777777" w:rsidR="005A2BB0" w:rsidRPr="009668F8" w:rsidRDefault="005A2BB0" w:rsidP="005A2BB0">
      <w:pPr>
        <w:spacing w:line="360" w:lineRule="auto"/>
        <w:jc w:val="both"/>
        <w:rPr>
          <w:rFonts w:ascii="Arial" w:hAnsi="Arial" w:cs="Arial"/>
        </w:rPr>
      </w:pPr>
      <w:r w:rsidRPr="009668F8">
        <w:rPr>
          <w:rFonts w:ascii="Arial" w:hAnsi="Arial" w:cs="Arial"/>
          <w:b/>
          <w:bCs/>
        </w:rPr>
        <w:t>Independents and boutiques.</w:t>
      </w:r>
      <w:r w:rsidRPr="009668F8">
        <w:rPr>
          <w:rFonts w:ascii="Arial" w:hAnsi="Arial" w:cs="Arial"/>
        </w:rPr>
        <w:t xml:space="preserve"> Distinctiveness supports rate, yet OTA commissions take up to a quarter of gross booking value for some channels and digital capability is expensive to build from scratch (</w:t>
      </w:r>
      <w:proofErr w:type="spellStart"/>
      <w:r w:rsidRPr="009668F8">
        <w:rPr>
          <w:rFonts w:ascii="Arial" w:hAnsi="Arial" w:cs="Arial"/>
        </w:rPr>
        <w:t>Kovly</w:t>
      </w:r>
      <w:proofErr w:type="spellEnd"/>
      <w:r w:rsidRPr="009668F8">
        <w:rPr>
          <w:rFonts w:ascii="Arial" w:hAnsi="Arial" w:cs="Arial"/>
        </w:rPr>
        <w:t xml:space="preserve"> Studio Website, 2025). Financing and insurance costs have risen and are felt more acutely without portfolio scale, which further narrows margin (PWC, 2025). Boutique appeal remains real; agility has limits when teams are small and absences cascade into service gaps (</w:t>
      </w:r>
      <w:proofErr w:type="spellStart"/>
      <w:r w:rsidRPr="009668F8">
        <w:rPr>
          <w:rFonts w:ascii="Arial" w:hAnsi="Arial" w:cs="Arial"/>
        </w:rPr>
        <w:t>Rabontu</w:t>
      </w:r>
      <w:proofErr w:type="spellEnd"/>
      <w:r w:rsidRPr="009668F8">
        <w:rPr>
          <w:rFonts w:ascii="Arial" w:hAnsi="Arial" w:cs="Arial"/>
        </w:rPr>
        <w:t xml:space="preserve"> and Niculescu, 2009; Baum et al., 2021). The pattern persists.</w:t>
      </w:r>
    </w:p>
    <w:p w14:paraId="09441DCA" w14:textId="77777777" w:rsidR="005A2BB0" w:rsidRPr="009668F8" w:rsidRDefault="005A2BB0" w:rsidP="005A2BB0">
      <w:pPr>
        <w:spacing w:line="360" w:lineRule="auto"/>
        <w:jc w:val="both"/>
        <w:rPr>
          <w:rFonts w:ascii="Arial" w:hAnsi="Arial" w:cs="Arial"/>
        </w:rPr>
      </w:pPr>
      <w:r w:rsidRPr="009668F8">
        <w:rPr>
          <w:rFonts w:ascii="Arial" w:hAnsi="Arial" w:cs="Arial"/>
          <w:b/>
          <w:bCs/>
        </w:rPr>
        <w:t>Full-service and select-service.</w:t>
      </w:r>
      <w:r w:rsidRPr="009668F8">
        <w:rPr>
          <w:rFonts w:ascii="Arial" w:hAnsi="Arial" w:cs="Arial"/>
        </w:rPr>
        <w:t xml:space="preserve"> Staffing and capital intensity define the contrast. Full-service properties carry F&amp;B, meetings space and brand standards that increase fixed costs and require traffic to justify them; recovery in business and group segments took time to normalise (PwC, 2024). Select-service formats profit from simpler housekeeping and steadier long-stay demand that cushions shocks, as recent market reads confirm (CBRE, 2025; Singh and Wang, 2021).</w:t>
      </w:r>
    </w:p>
    <w:p w14:paraId="15378861" w14:textId="77777777" w:rsidR="005A2BB0" w:rsidRPr="009668F8" w:rsidRDefault="005A2BB0" w:rsidP="005A2BB0">
      <w:pPr>
        <w:spacing w:line="360" w:lineRule="auto"/>
        <w:jc w:val="both"/>
        <w:rPr>
          <w:rFonts w:ascii="Arial" w:hAnsi="Arial" w:cs="Arial"/>
        </w:rPr>
      </w:pPr>
      <w:r w:rsidRPr="009668F8">
        <w:rPr>
          <w:rFonts w:ascii="Arial" w:hAnsi="Arial" w:cs="Arial"/>
          <w:b/>
          <w:bCs/>
        </w:rPr>
        <w:lastRenderedPageBreak/>
        <w:t>Luxury and economy.</w:t>
      </w:r>
      <w:r w:rsidRPr="009668F8">
        <w:rPr>
          <w:rFonts w:ascii="Arial" w:hAnsi="Arial" w:cs="Arial"/>
        </w:rPr>
        <w:t xml:space="preserve"> Luxury segments benefit from guests less sensitive to inflation yet face large energy and labour costs that must be covered; economy hotels feel demand loss quicker as price sensitivity rises during inflationary periods (Deloitte, 2025; PwC, 2024). Policy uncertainty adds variance to the lower tiers where pricing flexibility is limited (Leisten, 2020). Each segment trades one risk for another.</w:t>
      </w:r>
    </w:p>
    <w:p w14:paraId="0E77BB59" w14:textId="77777777" w:rsidR="005A2BB0" w:rsidRDefault="005A2BB0" w:rsidP="005A2BB0">
      <w:pPr>
        <w:spacing w:line="360" w:lineRule="auto"/>
        <w:jc w:val="both"/>
        <w:rPr>
          <w:rFonts w:ascii="Arial" w:hAnsi="Arial" w:cs="Arial"/>
          <w:b/>
          <w:bCs/>
        </w:rPr>
      </w:pPr>
    </w:p>
    <w:p w14:paraId="225AEB19"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Reflection</w:t>
      </w:r>
    </w:p>
    <w:p w14:paraId="14F9E68A"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A calm conclusion emerges from uneven evidence. Asset-light franchisors display financial resilience through predictable fees, but that stability presumes viable franchisees and </w:t>
      </w:r>
      <w:proofErr w:type="gramStart"/>
      <w:r w:rsidRPr="009668F8">
        <w:rPr>
          <w:rFonts w:ascii="Arial" w:hAnsi="Arial" w:cs="Arial"/>
        </w:rPr>
        <w:t>owners</w:t>
      </w:r>
      <w:proofErr w:type="gramEnd"/>
      <w:r w:rsidRPr="009668F8">
        <w:rPr>
          <w:rFonts w:ascii="Arial" w:hAnsi="Arial" w:cs="Arial"/>
        </w:rPr>
        <w:t xml:space="preserve"> underneath. When fee loads collide with expensive debt and mild RevPAR, the operating partner carries the stress until the brand carries the </w:t>
      </w:r>
      <w:proofErr w:type="spellStart"/>
      <w:r>
        <w:rPr>
          <w:rFonts w:ascii="Arial" w:hAnsi="Arial" w:cs="Arial"/>
        </w:rPr>
        <w:t>turover</w:t>
      </w:r>
      <w:proofErr w:type="spellEnd"/>
      <w:r w:rsidRPr="009668F8">
        <w:rPr>
          <w:rFonts w:ascii="Arial" w:hAnsi="Arial" w:cs="Arial"/>
        </w:rPr>
        <w:t xml:space="preserve">. Patience looks like strategy. Independents remain the most exposed; yet their authenticity advantage sustains local competitive space that large systems cannot easily replicate, which keeps market diversity alive (Buhagiar, Pace and Dingli, 2024). Consolidation pressures will continue. Cooperation on digital, energy and training can soften the split, as workforce and technology studies keep implying (Baum et al., 2021; Zahidi, </w:t>
      </w:r>
      <w:proofErr w:type="spellStart"/>
      <w:r w:rsidRPr="009668F8">
        <w:rPr>
          <w:rFonts w:ascii="Arial" w:hAnsi="Arial" w:cs="Arial"/>
        </w:rPr>
        <w:t>Kaluvilla</w:t>
      </w:r>
      <w:proofErr w:type="spellEnd"/>
      <w:r w:rsidRPr="009668F8">
        <w:rPr>
          <w:rFonts w:ascii="Arial" w:hAnsi="Arial" w:cs="Arial"/>
        </w:rPr>
        <w:t xml:space="preserve"> and Mulla, 2024).</w:t>
      </w:r>
    </w:p>
    <w:p w14:paraId="520E0869" w14:textId="77777777" w:rsidR="005A2BB0" w:rsidRDefault="005A2BB0" w:rsidP="005A2BB0">
      <w:pPr>
        <w:spacing w:line="360" w:lineRule="auto"/>
        <w:jc w:val="both"/>
        <w:rPr>
          <w:rFonts w:ascii="Arial" w:hAnsi="Arial" w:cs="Arial"/>
          <w:b/>
          <w:bCs/>
        </w:rPr>
      </w:pPr>
    </w:p>
    <w:p w14:paraId="7F657A89"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Conclusion</w:t>
      </w:r>
    </w:p>
    <w:p w14:paraId="731AC42A"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The industry works through a disciplined squeeze: higher costs, tighter credit and additional rules, with demand that returns in different shapes. The pressure is asymmetric. Franchisees, independents and full-service owners stand closer to the fire; franchisors and select-service models stand a step back. Scale, fee income and simpler formats explain much of the gap. Long-term resilience turns on three habits: organise debt and liquidity, design labour and energy for thrift, and adopt technology at a pace teams can absorb. Policy can help when it recognises small-owner constraints. Without that mix, the gap </w:t>
      </w:r>
      <w:proofErr w:type="gramStart"/>
      <w:r w:rsidRPr="009668F8">
        <w:rPr>
          <w:rFonts w:ascii="Arial" w:hAnsi="Arial" w:cs="Arial"/>
        </w:rPr>
        <w:t>widens</w:t>
      </w:r>
      <w:proofErr w:type="gramEnd"/>
      <w:r w:rsidRPr="009668F8">
        <w:rPr>
          <w:rFonts w:ascii="Arial" w:hAnsi="Arial" w:cs="Arial"/>
        </w:rPr>
        <w:t xml:space="preserve"> and the system grows more fragile.</w:t>
      </w:r>
    </w:p>
    <w:p w14:paraId="64E47CC3" w14:textId="77777777" w:rsidR="005A2BB0" w:rsidRDefault="005A2BB0" w:rsidP="005A2BB0">
      <w:pPr>
        <w:spacing w:line="360" w:lineRule="auto"/>
        <w:jc w:val="both"/>
        <w:rPr>
          <w:rFonts w:ascii="Arial" w:hAnsi="Arial" w:cs="Arial"/>
          <w:b/>
          <w:bCs/>
        </w:rPr>
      </w:pPr>
    </w:p>
    <w:p w14:paraId="2C932845"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Recommendations</w:t>
      </w:r>
    </w:p>
    <w:p w14:paraId="247CBA55"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1) Strengthen financial control and liquidity planning</w:t>
      </w:r>
    </w:p>
    <w:p w14:paraId="60050B7F" w14:textId="77777777" w:rsidR="005A2BB0" w:rsidRPr="009668F8" w:rsidRDefault="005A2BB0" w:rsidP="005A2BB0">
      <w:pPr>
        <w:spacing w:line="360" w:lineRule="auto"/>
        <w:jc w:val="both"/>
        <w:rPr>
          <w:rFonts w:ascii="Arial" w:hAnsi="Arial" w:cs="Arial"/>
        </w:rPr>
      </w:pPr>
      <w:r w:rsidRPr="009668F8">
        <w:rPr>
          <w:rFonts w:ascii="Arial" w:hAnsi="Arial" w:cs="Arial"/>
        </w:rPr>
        <w:lastRenderedPageBreak/>
        <w:t>Plan for refinancing early and model downside scenarios quarterly, with triggers to cut non-essential capital spending when rates or energy costs breach thresholds. Keep debt service coverage buffers above policy floors where lenders allow, a practice associated with higher shock resilience in recent analyses (</w:t>
      </w:r>
      <w:proofErr w:type="spellStart"/>
      <w:r w:rsidRPr="009668F8">
        <w:rPr>
          <w:rFonts w:ascii="Arial" w:hAnsi="Arial" w:cs="Arial"/>
        </w:rPr>
        <w:t>Tascón</w:t>
      </w:r>
      <w:proofErr w:type="spellEnd"/>
      <w:r w:rsidRPr="009668F8">
        <w:rPr>
          <w:rFonts w:ascii="Arial" w:hAnsi="Arial" w:cs="Arial"/>
        </w:rPr>
        <w:t xml:space="preserve"> et al., 2024). Publish a rolling 18-month cash map. Diversify funding where possible through green bonds, co-investment partnerships or structured finance that matches retrofit cycles to savings streams. In practice, hold more cash than the spreadsheet suggests.</w:t>
      </w:r>
    </w:p>
    <w:p w14:paraId="3C96DEF4"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2) Redesign workforce for flexibility that works</w:t>
      </w:r>
    </w:p>
    <w:p w14:paraId="02F40BFD" w14:textId="77777777" w:rsidR="005A2BB0" w:rsidRPr="009668F8" w:rsidRDefault="005A2BB0" w:rsidP="005A2BB0">
      <w:pPr>
        <w:spacing w:line="360" w:lineRule="auto"/>
        <w:jc w:val="both"/>
        <w:rPr>
          <w:rFonts w:ascii="Arial" w:hAnsi="Arial" w:cs="Arial"/>
        </w:rPr>
      </w:pPr>
      <w:proofErr w:type="gramStart"/>
      <w:r w:rsidRPr="009668F8">
        <w:rPr>
          <w:rFonts w:ascii="Arial" w:hAnsi="Arial" w:cs="Arial"/>
        </w:rPr>
        <w:t>Cross-train</w:t>
      </w:r>
      <w:proofErr w:type="gramEnd"/>
      <w:r w:rsidRPr="009668F8">
        <w:rPr>
          <w:rFonts w:ascii="Arial" w:hAnsi="Arial" w:cs="Arial"/>
        </w:rPr>
        <w:t xml:space="preserve"> teams and formalise multi-skill rosters so small absences do not pull service apart; align this with clear progression steps so retention improves. Target one measurable relief per department, such as automating a repetitive admin task or shifting a non-guest-facing duty out of peak windows. Training and development raise motivation and performance, which the recent hospitality studies reinforce (Elshaer et al., 2025). Scheduling should be genuinely flexible for staff yet predictable enough for life planning, supported by modest automation in low-value tasks where appropriate, as industry tracking suggests (AHLA, 2025). The aim is thrift without fatigue.</w:t>
      </w:r>
    </w:p>
    <w:p w14:paraId="677C981D"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3) Adopt technology in sequenced blocks</w:t>
      </w:r>
    </w:p>
    <w:p w14:paraId="31E47B03"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Run digital adoption in small, funded pilots with explicit workflow redesign and time for training. Prioritise tools with quick payback: energy management, mobile check-in and dynamic pricing modules that integrate with current systems. AI-enabled decision support can improve allocation and reduce waste, provided teams trust the output, as recent reviews argue (Zahidi, </w:t>
      </w:r>
      <w:proofErr w:type="spellStart"/>
      <w:r w:rsidRPr="009668F8">
        <w:rPr>
          <w:rFonts w:ascii="Arial" w:hAnsi="Arial" w:cs="Arial"/>
        </w:rPr>
        <w:t>Kaluvilla</w:t>
      </w:r>
      <w:proofErr w:type="spellEnd"/>
      <w:r w:rsidRPr="009668F8">
        <w:rPr>
          <w:rFonts w:ascii="Arial" w:hAnsi="Arial" w:cs="Arial"/>
        </w:rPr>
        <w:t xml:space="preserve"> and Mulla, 2024). For independents, start with a low-cost stack and upgrade as returns arrive, a staged path consistent with advisory evidence on cost</w:t>
      </w:r>
      <w:r>
        <w:rPr>
          <w:rFonts w:ascii="Arial" w:hAnsi="Arial" w:cs="Arial"/>
        </w:rPr>
        <w:t>-</w:t>
      </w:r>
      <w:r w:rsidRPr="009668F8">
        <w:rPr>
          <w:rFonts w:ascii="Arial" w:hAnsi="Arial" w:cs="Arial"/>
        </w:rPr>
        <w:t>benefit balance (Ivanov and Webster, 2019; Lima Santos et al., 2024). Document the savings and publish them internally.</w:t>
      </w:r>
    </w:p>
    <w:p w14:paraId="254FF0D7"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4) Treat ESG as capital access and cost control</w:t>
      </w:r>
    </w:p>
    <w:p w14:paraId="06D73E47" w14:textId="77777777" w:rsidR="005A2BB0" w:rsidRPr="009668F8" w:rsidRDefault="005A2BB0" w:rsidP="005A2BB0">
      <w:pPr>
        <w:spacing w:line="360" w:lineRule="auto"/>
        <w:jc w:val="both"/>
        <w:rPr>
          <w:rFonts w:ascii="Arial" w:hAnsi="Arial" w:cs="Arial"/>
        </w:rPr>
      </w:pPr>
      <w:r w:rsidRPr="009668F8">
        <w:rPr>
          <w:rFonts w:ascii="Arial" w:hAnsi="Arial" w:cs="Arial"/>
        </w:rPr>
        <w:t xml:space="preserve">Sequence energy audits, quick-win retrofits and longer projects to smooth cash outflow. Tie major upgrades to sustainability-linked finance once reporting systems meet CSRD standards, which improves access and reduces the cost of capital over time, according to current guidance (European Commission, 2025). Building fabric, HVAC optimisation and on-site generation reduce operating costs and hedge volatility; </w:t>
      </w:r>
      <w:r w:rsidRPr="009668F8">
        <w:rPr>
          <w:rFonts w:ascii="Arial" w:hAnsi="Arial" w:cs="Arial"/>
        </w:rPr>
        <w:lastRenderedPageBreak/>
        <w:t xml:space="preserve">the literature on retrofit economics and brand value supports the long-run case (González-Ramírez and Nebra, 2024; </w:t>
      </w:r>
      <w:proofErr w:type="spellStart"/>
      <w:r w:rsidRPr="009668F8">
        <w:rPr>
          <w:rFonts w:ascii="Arial" w:hAnsi="Arial" w:cs="Arial"/>
        </w:rPr>
        <w:t>Oluokun</w:t>
      </w:r>
      <w:proofErr w:type="spellEnd"/>
      <w:r w:rsidRPr="009668F8">
        <w:rPr>
          <w:rFonts w:ascii="Arial" w:hAnsi="Arial" w:cs="Arial"/>
        </w:rPr>
        <w:t xml:space="preserve"> et al., 2024). Keep the narrative operational: “less waste, lower bills, cleaner books.”</w:t>
      </w:r>
    </w:p>
    <w:p w14:paraId="0A7CD8ED"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5) Rebalance franchise relationships in stress periods</w:t>
      </w:r>
    </w:p>
    <w:p w14:paraId="729AB93D" w14:textId="77777777" w:rsidR="005A2BB0" w:rsidRPr="009668F8" w:rsidRDefault="005A2BB0" w:rsidP="005A2BB0">
      <w:pPr>
        <w:spacing w:line="360" w:lineRule="auto"/>
        <w:jc w:val="both"/>
        <w:rPr>
          <w:rFonts w:ascii="Arial" w:hAnsi="Arial" w:cs="Arial"/>
        </w:rPr>
      </w:pPr>
      <w:r w:rsidRPr="009668F8">
        <w:rPr>
          <w:rFonts w:ascii="Arial" w:hAnsi="Arial" w:cs="Arial"/>
        </w:rPr>
        <w:t>When fee loads collide with debt service, unit health deteriorates</w:t>
      </w:r>
      <w:r>
        <w:rPr>
          <w:rFonts w:ascii="Arial" w:hAnsi="Arial" w:cs="Arial"/>
        </w:rPr>
        <w:t>,</w:t>
      </w:r>
      <w:r w:rsidRPr="009668F8">
        <w:rPr>
          <w:rFonts w:ascii="Arial" w:hAnsi="Arial" w:cs="Arial"/>
        </w:rPr>
        <w:t xml:space="preserve"> and brands suffer delayed damage. Offer temporary relief or fee deferrals tied to operational reforms, coupled with brand-level support for digital direct and procurement efficiency. Where cash is tight, co-finance energy or systems upgrades that safeguard unit survival and protect the network, an approach aligned with the interdependence logic in post-pandemic asset management (Mulet-Forteza et al., 2024; Singh and Wang, 2021). Publish the criteria so help feels principled, not ad hoc.</w:t>
      </w:r>
    </w:p>
    <w:p w14:paraId="34C13B64"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6) Reconfigure operations for yield per square metre</w:t>
      </w:r>
    </w:p>
    <w:p w14:paraId="74104A42" w14:textId="77777777" w:rsidR="005A2BB0" w:rsidRPr="001E743F" w:rsidRDefault="005A2BB0" w:rsidP="005A2BB0">
      <w:pPr>
        <w:spacing w:line="360" w:lineRule="auto"/>
        <w:jc w:val="both"/>
        <w:rPr>
          <w:rFonts w:ascii="Arial" w:hAnsi="Arial" w:cs="Arial"/>
        </w:rPr>
      </w:pPr>
      <w:r w:rsidRPr="009668F8">
        <w:rPr>
          <w:rFonts w:ascii="Arial" w:hAnsi="Arial" w:cs="Arial"/>
        </w:rPr>
        <w:t>Audit F&amp;B for under-performing dayparts and rationalise menus toward higher-margin, lower-complexity items; use quiet spaces for coworking or community events when appropriate to raise non-room yield, a direction endorsed by recent operational commentary (PwC, 2024). Select-service properties should resist bloat and defend the simplicity that makes them resilient. Boutique hotels can lean into narrative and local partnerships to justify price and cut OTA dependence over time through direct channels and membership mechanics (CBRE, 2025). One change at a time, measured.</w:t>
      </w:r>
    </w:p>
    <w:p w14:paraId="2FFDCB80" w14:textId="77777777" w:rsidR="005A2BB0" w:rsidRPr="009668F8" w:rsidRDefault="005A2BB0" w:rsidP="005A2BB0">
      <w:pPr>
        <w:spacing w:line="360" w:lineRule="auto"/>
        <w:jc w:val="both"/>
        <w:rPr>
          <w:rFonts w:ascii="Arial" w:hAnsi="Arial" w:cs="Arial"/>
          <w:b/>
          <w:bCs/>
        </w:rPr>
      </w:pPr>
      <w:r w:rsidRPr="009668F8">
        <w:rPr>
          <w:rFonts w:ascii="Arial" w:hAnsi="Arial" w:cs="Arial"/>
          <w:b/>
          <w:bCs/>
        </w:rPr>
        <w:t>7) Targeted policy and industry support</w:t>
      </w:r>
    </w:p>
    <w:p w14:paraId="3674BB5A" w14:textId="77777777" w:rsidR="005A2BB0" w:rsidRPr="009668F8" w:rsidRDefault="005A2BB0" w:rsidP="005A2BB0">
      <w:pPr>
        <w:spacing w:line="360" w:lineRule="auto"/>
        <w:jc w:val="both"/>
        <w:rPr>
          <w:rFonts w:ascii="Arial" w:hAnsi="Arial" w:cs="Arial"/>
        </w:rPr>
      </w:pPr>
      <w:r w:rsidRPr="009668F8">
        <w:rPr>
          <w:rFonts w:ascii="Arial" w:hAnsi="Arial" w:cs="Arial"/>
        </w:rPr>
        <w:t>Encourage fair tax treatment for efficiency investments through accelerated depreciation on energy retrofits, training subsidies that support multi-skill labour models, and simplified ESG reporting templates for small portfolios. Where compliance costs rise, phase-in periods help smaller owners adapt without compromising intent, a point consistent with sector policy notes (PwC, 2024). Industry bodies should provide shared digital resources for independents and route access to pooled procurement. The market stays diverse only if its smallest firms can afford to comply.</w:t>
      </w:r>
    </w:p>
    <w:p w14:paraId="37443AF8" w14:textId="77777777" w:rsidR="005A2BB0" w:rsidRDefault="005A2BB0" w:rsidP="005A2BB0">
      <w:pPr>
        <w:spacing w:line="360" w:lineRule="auto"/>
        <w:jc w:val="both"/>
      </w:pPr>
    </w:p>
    <w:p w14:paraId="4F971CAD" w14:textId="77777777" w:rsidR="005A2BB0" w:rsidRDefault="005A2BB0" w:rsidP="005A2BB0">
      <w:pPr>
        <w:spacing w:line="360" w:lineRule="auto"/>
        <w:jc w:val="both"/>
      </w:pPr>
    </w:p>
    <w:p w14:paraId="7333F7DB" w14:textId="77777777" w:rsidR="005A2BB0" w:rsidRDefault="005A2BB0" w:rsidP="005A2BB0">
      <w:pPr>
        <w:spacing w:line="360" w:lineRule="auto"/>
        <w:jc w:val="both"/>
      </w:pPr>
    </w:p>
    <w:p w14:paraId="2BB872B0" w14:textId="77777777" w:rsidR="005A2BB0" w:rsidRDefault="005A2BB0" w:rsidP="005A2BB0">
      <w:pPr>
        <w:spacing w:line="360" w:lineRule="auto"/>
        <w:jc w:val="both"/>
      </w:pPr>
    </w:p>
    <w:p w14:paraId="5E149397" w14:textId="77777777" w:rsidR="005A2BB0" w:rsidRDefault="005A2BB0" w:rsidP="005A2BB0">
      <w:pPr>
        <w:spacing w:line="360" w:lineRule="auto"/>
        <w:jc w:val="both"/>
      </w:pPr>
    </w:p>
    <w:p w14:paraId="566EF6E6" w14:textId="77777777" w:rsidR="005A2BB0" w:rsidRDefault="005A2BB0" w:rsidP="005A2BB0">
      <w:pPr>
        <w:spacing w:line="360" w:lineRule="auto"/>
        <w:jc w:val="both"/>
      </w:pPr>
    </w:p>
    <w:p w14:paraId="7A02B6BC" w14:textId="77777777" w:rsidR="005A2BB0" w:rsidRDefault="005A2BB0" w:rsidP="005A2BB0">
      <w:pPr>
        <w:spacing w:line="360" w:lineRule="auto"/>
        <w:jc w:val="both"/>
      </w:pPr>
    </w:p>
    <w:p w14:paraId="55293AB0" w14:textId="77777777" w:rsidR="005A2BB0" w:rsidRDefault="005A2BB0" w:rsidP="005A2BB0">
      <w:pPr>
        <w:spacing w:line="360" w:lineRule="auto"/>
        <w:jc w:val="both"/>
      </w:pPr>
    </w:p>
    <w:p w14:paraId="29BD5D76" w14:textId="77777777" w:rsidR="005A2BB0" w:rsidRDefault="005A2BB0" w:rsidP="005A2BB0">
      <w:pPr>
        <w:spacing w:line="360" w:lineRule="auto"/>
        <w:jc w:val="both"/>
      </w:pPr>
    </w:p>
    <w:p w14:paraId="60B74471" w14:textId="77777777" w:rsidR="005A2BB0" w:rsidRDefault="005A2BB0" w:rsidP="005A2BB0">
      <w:pPr>
        <w:spacing w:line="360" w:lineRule="auto"/>
        <w:jc w:val="both"/>
      </w:pPr>
    </w:p>
    <w:p w14:paraId="71C99550" w14:textId="77777777" w:rsidR="005A2BB0" w:rsidRDefault="005A2BB0" w:rsidP="005A2BB0">
      <w:pPr>
        <w:spacing w:line="360" w:lineRule="auto"/>
        <w:jc w:val="both"/>
      </w:pPr>
    </w:p>
    <w:p w14:paraId="5D721E57" w14:textId="77777777" w:rsidR="005A2BB0" w:rsidRDefault="005A2BB0" w:rsidP="005A2BB0">
      <w:pPr>
        <w:spacing w:line="360" w:lineRule="auto"/>
        <w:jc w:val="both"/>
      </w:pPr>
    </w:p>
    <w:p w14:paraId="7E02C83E" w14:textId="77777777" w:rsidR="005A2BB0" w:rsidRDefault="005A2BB0" w:rsidP="005A2BB0">
      <w:pPr>
        <w:spacing w:line="360" w:lineRule="auto"/>
        <w:jc w:val="both"/>
      </w:pPr>
    </w:p>
    <w:p w14:paraId="4BC8EE28" w14:textId="77777777" w:rsidR="005A2BB0" w:rsidRDefault="005A2BB0" w:rsidP="005A2BB0">
      <w:pPr>
        <w:spacing w:line="360" w:lineRule="auto"/>
        <w:jc w:val="both"/>
      </w:pPr>
    </w:p>
    <w:p w14:paraId="56C89941" w14:textId="77777777" w:rsidR="004F2154" w:rsidRDefault="004F2154" w:rsidP="005A2BB0">
      <w:pPr>
        <w:spacing w:line="360" w:lineRule="auto"/>
        <w:jc w:val="both"/>
        <w:rPr>
          <w:rFonts w:ascii="Arial" w:hAnsi="Arial" w:cs="Arial"/>
          <w:b/>
          <w:bCs/>
        </w:rPr>
      </w:pPr>
    </w:p>
    <w:p w14:paraId="339648C2" w14:textId="77777777" w:rsidR="004F2154" w:rsidRDefault="004F2154" w:rsidP="005A2BB0">
      <w:pPr>
        <w:spacing w:line="360" w:lineRule="auto"/>
        <w:jc w:val="both"/>
        <w:rPr>
          <w:rFonts w:ascii="Arial" w:hAnsi="Arial" w:cs="Arial"/>
          <w:b/>
          <w:bCs/>
        </w:rPr>
      </w:pPr>
    </w:p>
    <w:p w14:paraId="5BE7571A" w14:textId="77777777" w:rsidR="004F2154" w:rsidRDefault="004F2154" w:rsidP="005A2BB0">
      <w:pPr>
        <w:spacing w:line="360" w:lineRule="auto"/>
        <w:jc w:val="both"/>
        <w:rPr>
          <w:rFonts w:ascii="Arial" w:hAnsi="Arial" w:cs="Arial"/>
          <w:b/>
          <w:bCs/>
        </w:rPr>
      </w:pPr>
    </w:p>
    <w:p w14:paraId="48E13A24" w14:textId="77777777" w:rsidR="004F2154" w:rsidRDefault="004F2154" w:rsidP="005A2BB0">
      <w:pPr>
        <w:spacing w:line="360" w:lineRule="auto"/>
        <w:jc w:val="both"/>
        <w:rPr>
          <w:rFonts w:ascii="Arial" w:hAnsi="Arial" w:cs="Arial"/>
          <w:b/>
          <w:bCs/>
        </w:rPr>
      </w:pPr>
    </w:p>
    <w:p w14:paraId="6C459DB2" w14:textId="77777777" w:rsidR="004F2154" w:rsidRDefault="004F2154" w:rsidP="005A2BB0">
      <w:pPr>
        <w:spacing w:line="360" w:lineRule="auto"/>
        <w:jc w:val="both"/>
        <w:rPr>
          <w:rFonts w:ascii="Arial" w:hAnsi="Arial" w:cs="Arial"/>
          <w:b/>
          <w:bCs/>
        </w:rPr>
      </w:pPr>
    </w:p>
    <w:p w14:paraId="65DC20F7" w14:textId="77777777" w:rsidR="004F2154" w:rsidRDefault="004F2154" w:rsidP="005A2BB0">
      <w:pPr>
        <w:spacing w:line="360" w:lineRule="auto"/>
        <w:jc w:val="both"/>
        <w:rPr>
          <w:rFonts w:ascii="Arial" w:hAnsi="Arial" w:cs="Arial"/>
          <w:b/>
          <w:bCs/>
        </w:rPr>
      </w:pPr>
    </w:p>
    <w:p w14:paraId="413273D3" w14:textId="77777777" w:rsidR="004F2154" w:rsidRDefault="004F2154" w:rsidP="005A2BB0">
      <w:pPr>
        <w:spacing w:line="360" w:lineRule="auto"/>
        <w:jc w:val="both"/>
        <w:rPr>
          <w:rFonts w:ascii="Arial" w:hAnsi="Arial" w:cs="Arial"/>
          <w:b/>
          <w:bCs/>
        </w:rPr>
      </w:pPr>
    </w:p>
    <w:p w14:paraId="4D5BDBD2" w14:textId="77777777" w:rsidR="004F2154" w:rsidRDefault="004F2154" w:rsidP="005A2BB0">
      <w:pPr>
        <w:spacing w:line="360" w:lineRule="auto"/>
        <w:jc w:val="both"/>
        <w:rPr>
          <w:rFonts w:ascii="Arial" w:hAnsi="Arial" w:cs="Arial"/>
          <w:b/>
          <w:bCs/>
        </w:rPr>
      </w:pPr>
    </w:p>
    <w:p w14:paraId="01565E77" w14:textId="77777777" w:rsidR="004F2154" w:rsidRDefault="004F2154" w:rsidP="005A2BB0">
      <w:pPr>
        <w:spacing w:line="360" w:lineRule="auto"/>
        <w:jc w:val="both"/>
        <w:rPr>
          <w:rFonts w:ascii="Arial" w:hAnsi="Arial" w:cs="Arial"/>
          <w:b/>
          <w:bCs/>
        </w:rPr>
      </w:pPr>
    </w:p>
    <w:p w14:paraId="7093BCB1" w14:textId="77777777" w:rsidR="004F2154" w:rsidRDefault="004F2154" w:rsidP="005A2BB0">
      <w:pPr>
        <w:spacing w:line="360" w:lineRule="auto"/>
        <w:jc w:val="both"/>
        <w:rPr>
          <w:rFonts w:ascii="Arial" w:hAnsi="Arial" w:cs="Arial"/>
          <w:b/>
          <w:bCs/>
        </w:rPr>
      </w:pPr>
    </w:p>
    <w:p w14:paraId="0C8CDA42" w14:textId="77777777" w:rsidR="004F2154" w:rsidRDefault="004F2154" w:rsidP="005A2BB0">
      <w:pPr>
        <w:spacing w:line="360" w:lineRule="auto"/>
        <w:jc w:val="both"/>
        <w:rPr>
          <w:rFonts w:ascii="Arial" w:hAnsi="Arial" w:cs="Arial"/>
          <w:b/>
          <w:bCs/>
        </w:rPr>
      </w:pPr>
    </w:p>
    <w:p w14:paraId="76654347" w14:textId="58DD8690" w:rsidR="005A2BB0" w:rsidRPr="00745171" w:rsidRDefault="005A2BB0" w:rsidP="005A2BB0">
      <w:pPr>
        <w:spacing w:line="360" w:lineRule="auto"/>
        <w:jc w:val="both"/>
        <w:rPr>
          <w:rFonts w:ascii="Arial" w:hAnsi="Arial" w:cs="Arial"/>
          <w:b/>
          <w:bCs/>
        </w:rPr>
      </w:pPr>
      <w:r w:rsidRPr="00745171">
        <w:rPr>
          <w:rFonts w:ascii="Arial" w:hAnsi="Arial" w:cs="Arial"/>
          <w:b/>
          <w:bCs/>
        </w:rPr>
        <w:lastRenderedPageBreak/>
        <w:t>Referenc</w:t>
      </w:r>
      <w:r w:rsidR="00304640">
        <w:rPr>
          <w:rFonts w:ascii="Arial" w:hAnsi="Arial" w:cs="Arial"/>
          <w:b/>
          <w:bCs/>
        </w:rPr>
        <w:t>es</w:t>
      </w:r>
    </w:p>
    <w:p w14:paraId="25D2F753" w14:textId="071F4A24" w:rsidR="005A2BB0" w:rsidRPr="0048375C" w:rsidRDefault="005A2BB0" w:rsidP="0048375C">
      <w:pPr>
        <w:pStyle w:val="ListParagraph"/>
        <w:numPr>
          <w:ilvl w:val="0"/>
          <w:numId w:val="9"/>
        </w:numPr>
        <w:spacing w:line="360" w:lineRule="auto"/>
        <w:jc w:val="both"/>
        <w:rPr>
          <w:rFonts w:ascii="Arial" w:hAnsi="Arial" w:cs="Arial"/>
        </w:rPr>
      </w:pPr>
      <w:r w:rsidRPr="0048375C">
        <w:rPr>
          <w:rFonts w:ascii="Arial" w:hAnsi="Arial" w:cs="Arial"/>
        </w:rPr>
        <w:t xml:space="preserve">AHLA, 2025. 2025 State of The Industry Report, In Collaboration with Accenture. </w:t>
      </w:r>
      <w:hyperlink r:id="rId8" w:history="1">
        <w:r w:rsidRPr="0048375C">
          <w:rPr>
            <w:rStyle w:val="Hyperlink"/>
            <w:rFonts w:ascii="Arial" w:hAnsi="Arial" w:cs="Arial"/>
          </w:rPr>
          <w:t>https://www.ahla.com/sites/default/files/25_SOTI.pdf</w:t>
        </w:r>
      </w:hyperlink>
      <w:r w:rsidRPr="0048375C">
        <w:rPr>
          <w:rFonts w:ascii="Arial" w:hAnsi="Arial" w:cs="Arial"/>
        </w:rPr>
        <w:t xml:space="preserve"> </w:t>
      </w:r>
    </w:p>
    <w:p w14:paraId="296700CC" w14:textId="4E0C28E5" w:rsidR="005A2BB0" w:rsidRPr="0048375C" w:rsidRDefault="005A2BB0" w:rsidP="0048375C">
      <w:pPr>
        <w:pStyle w:val="ListParagraph"/>
        <w:numPr>
          <w:ilvl w:val="0"/>
          <w:numId w:val="9"/>
        </w:numPr>
        <w:spacing w:line="360" w:lineRule="auto"/>
        <w:jc w:val="both"/>
        <w:rPr>
          <w:rFonts w:ascii="Arial" w:hAnsi="Arial" w:cs="Arial"/>
        </w:rPr>
      </w:pPr>
      <w:r w:rsidRPr="0048375C">
        <w:rPr>
          <w:rFonts w:ascii="Arial" w:hAnsi="Arial" w:cs="Arial"/>
        </w:rPr>
        <w:t xml:space="preserve">Baum, T. and Hai, N.T.T., 2020. Hospitality, tourism, human rights and the impact of COVID-19. International Journal of Contemporary Hospitality Management, 32(7), pp.2397-2407. </w:t>
      </w:r>
      <w:hyperlink r:id="rId9" w:history="1">
        <w:r w:rsidRPr="0048375C">
          <w:rPr>
            <w:rStyle w:val="Hyperlink"/>
            <w:rFonts w:ascii="Arial" w:hAnsi="Arial" w:cs="Arial"/>
          </w:rPr>
          <w:t>https://doi.org/10.1108/IJCHM-03-2020-0242</w:t>
        </w:r>
      </w:hyperlink>
      <w:r w:rsidRPr="0048375C">
        <w:rPr>
          <w:rFonts w:ascii="Arial" w:hAnsi="Arial" w:cs="Arial"/>
        </w:rPr>
        <w:t xml:space="preserve"> </w:t>
      </w:r>
    </w:p>
    <w:p w14:paraId="6F965D2F" w14:textId="3A0F0D61" w:rsidR="005A2BB0" w:rsidRPr="0048375C" w:rsidRDefault="005A2BB0" w:rsidP="0048375C">
      <w:pPr>
        <w:pStyle w:val="ListParagraph"/>
        <w:numPr>
          <w:ilvl w:val="0"/>
          <w:numId w:val="9"/>
        </w:numPr>
        <w:spacing w:line="360" w:lineRule="auto"/>
        <w:jc w:val="both"/>
        <w:rPr>
          <w:rFonts w:ascii="Arial" w:hAnsi="Arial" w:cs="Arial"/>
        </w:rPr>
      </w:pPr>
      <w:r w:rsidRPr="0048375C">
        <w:rPr>
          <w:rFonts w:ascii="Arial" w:hAnsi="Arial" w:cs="Arial"/>
        </w:rPr>
        <w:t xml:space="preserve">Baum, T., Mooney, S.K., Robinson, R.N. and </w:t>
      </w:r>
      <w:proofErr w:type="spellStart"/>
      <w:r w:rsidRPr="0048375C">
        <w:rPr>
          <w:rFonts w:ascii="Arial" w:hAnsi="Arial" w:cs="Arial"/>
        </w:rPr>
        <w:t>Solnet</w:t>
      </w:r>
      <w:proofErr w:type="spellEnd"/>
      <w:r w:rsidRPr="0048375C">
        <w:rPr>
          <w:rFonts w:ascii="Arial" w:hAnsi="Arial" w:cs="Arial"/>
        </w:rPr>
        <w:t xml:space="preserve">, D., 2020. COVID-19’s impact on the hospitality workforce–new crisis or amplification of the </w:t>
      </w:r>
      <w:proofErr w:type="gramStart"/>
      <w:r w:rsidRPr="0048375C">
        <w:rPr>
          <w:rFonts w:ascii="Arial" w:hAnsi="Arial" w:cs="Arial"/>
        </w:rPr>
        <w:t>norm?.</w:t>
      </w:r>
      <w:proofErr w:type="gramEnd"/>
      <w:r w:rsidRPr="0048375C">
        <w:rPr>
          <w:rFonts w:ascii="Arial" w:hAnsi="Arial" w:cs="Arial"/>
        </w:rPr>
        <w:t xml:space="preserve"> International Journal of Contemporary Hospitality Management, 32(9), pp.2813-2829. </w:t>
      </w:r>
      <w:hyperlink r:id="rId10" w:history="1">
        <w:r w:rsidRPr="0048375C">
          <w:rPr>
            <w:rStyle w:val="Hyperlink"/>
            <w:rFonts w:ascii="Arial" w:hAnsi="Arial" w:cs="Arial"/>
          </w:rPr>
          <w:t>https://strathprints.strath.ac.uk/73031/1/Baum_etal_IJCHM_2020_COVID_19s_impact_on_the_hospitality_workforce.pdf</w:t>
        </w:r>
      </w:hyperlink>
      <w:r w:rsidRPr="0048375C">
        <w:rPr>
          <w:rFonts w:ascii="Arial" w:hAnsi="Arial" w:cs="Arial"/>
        </w:rPr>
        <w:t xml:space="preserve"> </w:t>
      </w:r>
    </w:p>
    <w:p w14:paraId="7681D46C" w14:textId="3B4B9F9B" w:rsidR="005A2BB0" w:rsidRPr="0048375C" w:rsidRDefault="005A2BB0" w:rsidP="0048375C">
      <w:pPr>
        <w:pStyle w:val="ListParagraph"/>
        <w:numPr>
          <w:ilvl w:val="0"/>
          <w:numId w:val="9"/>
        </w:numPr>
        <w:spacing w:line="360" w:lineRule="auto"/>
        <w:jc w:val="both"/>
        <w:rPr>
          <w:rFonts w:ascii="Arial" w:hAnsi="Arial" w:cs="Arial"/>
        </w:rPr>
      </w:pPr>
      <w:r w:rsidRPr="0048375C">
        <w:rPr>
          <w:rFonts w:ascii="Arial" w:hAnsi="Arial" w:cs="Arial"/>
        </w:rPr>
        <w:t xml:space="preserve">Belarmino, A., Koh, Y. and Shin, H.H., 2022. Blurred lines: Comparing room rates, star-ratings, and user-generated contents for full-service and select-service hotels. Service Business, 16(3), pp.721-742. </w:t>
      </w:r>
      <w:hyperlink r:id="rId11" w:history="1">
        <w:r w:rsidRPr="0048375C">
          <w:rPr>
            <w:rStyle w:val="Hyperlink"/>
            <w:rFonts w:ascii="Arial" w:hAnsi="Arial" w:cs="Arial"/>
          </w:rPr>
          <w:t>https://doi.org/10.1007/s11628-021-00477-2</w:t>
        </w:r>
      </w:hyperlink>
      <w:r w:rsidRPr="0048375C">
        <w:rPr>
          <w:rFonts w:ascii="Arial" w:hAnsi="Arial" w:cs="Arial"/>
        </w:rPr>
        <w:t xml:space="preserve"> </w:t>
      </w:r>
    </w:p>
    <w:p w14:paraId="6DBF3947" w14:textId="328CCEA0" w:rsidR="005A2BB0" w:rsidRPr="0048375C" w:rsidRDefault="005A2BB0" w:rsidP="0048375C">
      <w:pPr>
        <w:pStyle w:val="ListParagraph"/>
        <w:numPr>
          <w:ilvl w:val="0"/>
          <w:numId w:val="9"/>
        </w:numPr>
        <w:spacing w:line="360" w:lineRule="auto"/>
        <w:jc w:val="both"/>
        <w:rPr>
          <w:rFonts w:ascii="Arial" w:hAnsi="Arial" w:cs="Arial"/>
        </w:rPr>
      </w:pPr>
      <w:r w:rsidRPr="0048375C">
        <w:rPr>
          <w:rFonts w:ascii="Arial" w:hAnsi="Arial" w:cs="Arial"/>
        </w:rPr>
        <w:t xml:space="preserve">Buhagiar, K., Pace, L.A. and Dingli, S.M., 2024. Defining attributes of boutique hotels: a systematic literature review. Journal of Hospitality and Tourism Insights, 7(1), pp.207-226. </w:t>
      </w:r>
      <w:hyperlink r:id="rId12" w:history="1">
        <w:r w:rsidRPr="0048375C">
          <w:rPr>
            <w:rStyle w:val="Hyperlink"/>
            <w:rFonts w:ascii="Arial" w:hAnsi="Arial" w:cs="Arial"/>
          </w:rPr>
          <w:t>https://doi.org/10.1108/JHTI-09-2022-0435</w:t>
        </w:r>
      </w:hyperlink>
      <w:r w:rsidRPr="0048375C">
        <w:rPr>
          <w:rFonts w:ascii="Arial" w:hAnsi="Arial" w:cs="Arial"/>
        </w:rPr>
        <w:t xml:space="preserve"> </w:t>
      </w:r>
    </w:p>
    <w:p w14:paraId="5C055758" w14:textId="13D7D620" w:rsidR="005A2BB0" w:rsidRPr="00493249" w:rsidRDefault="005A2BB0" w:rsidP="00493249">
      <w:pPr>
        <w:pStyle w:val="ListParagraph"/>
        <w:numPr>
          <w:ilvl w:val="0"/>
          <w:numId w:val="9"/>
        </w:numPr>
        <w:spacing w:line="360" w:lineRule="auto"/>
        <w:jc w:val="both"/>
        <w:rPr>
          <w:rFonts w:ascii="Arial" w:hAnsi="Arial" w:cs="Arial"/>
          <w:lang w:val="de-DE"/>
        </w:rPr>
      </w:pPr>
      <w:r w:rsidRPr="00493249">
        <w:rPr>
          <w:rFonts w:ascii="Arial" w:hAnsi="Arial" w:cs="Arial"/>
        </w:rPr>
        <w:t xml:space="preserve">CBRE, 2025. H2 2025 Global Hotel Outlook. Hotel Performance to Vary by Region. </w:t>
      </w:r>
      <w:hyperlink r:id="rId13" w:history="1">
        <w:r w:rsidRPr="00493249">
          <w:rPr>
            <w:rStyle w:val="Hyperlink"/>
            <w:rFonts w:ascii="Arial" w:hAnsi="Arial" w:cs="Arial"/>
            <w:lang w:val="de-DE"/>
          </w:rPr>
          <w:t>https://www.cbre.com/insights/reports/h2-2025-global-hotel-outlook</w:t>
        </w:r>
      </w:hyperlink>
      <w:r w:rsidRPr="00493249">
        <w:rPr>
          <w:rFonts w:ascii="Arial" w:hAnsi="Arial" w:cs="Arial"/>
          <w:lang w:val="de-DE"/>
        </w:rPr>
        <w:t xml:space="preserve"> </w:t>
      </w:r>
    </w:p>
    <w:p w14:paraId="53F4C33A" w14:textId="495AA948"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lang w:val="de-DE"/>
        </w:rPr>
        <w:t xml:space="preserve">Chen, M.H., 2010. </w:t>
      </w:r>
      <w:r w:rsidRPr="00493249">
        <w:rPr>
          <w:rFonts w:ascii="Arial" w:hAnsi="Arial" w:cs="Arial"/>
        </w:rPr>
        <w:t xml:space="preserve">The economy, tourism growth and corporate performance in the Taiwanese hotel industry. Tourism Management, 31(5), pp.665-675. </w:t>
      </w:r>
      <w:hyperlink r:id="rId14" w:history="1">
        <w:r w:rsidRPr="00493249">
          <w:rPr>
            <w:rStyle w:val="Hyperlink"/>
            <w:rFonts w:ascii="Arial" w:hAnsi="Arial" w:cs="Arial"/>
          </w:rPr>
          <w:t>https://doi.org/10.1016/j.tourman.2009.07.011</w:t>
        </w:r>
      </w:hyperlink>
      <w:r w:rsidRPr="00493249">
        <w:rPr>
          <w:rFonts w:ascii="Arial" w:hAnsi="Arial" w:cs="Arial"/>
        </w:rPr>
        <w:t xml:space="preserve"> </w:t>
      </w:r>
    </w:p>
    <w:p w14:paraId="6FF2765D" w14:textId="292C1BD5"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Deloitte, 2025. Travel industry outlook. </w:t>
      </w:r>
      <w:hyperlink r:id="rId15" w:history="1">
        <w:r w:rsidRPr="00493249">
          <w:rPr>
            <w:rStyle w:val="Hyperlink"/>
            <w:rFonts w:ascii="Arial" w:hAnsi="Arial" w:cs="Arial"/>
          </w:rPr>
          <w:t>https://www.deloitte.com/content/dam/assets-zone3/us/en/docs/industries/consumer/2024/us-cnsr-2025-travel-industry-outlook.pdf</w:t>
        </w:r>
      </w:hyperlink>
      <w:r w:rsidRPr="00493249">
        <w:rPr>
          <w:rFonts w:ascii="Arial" w:hAnsi="Arial" w:cs="Arial"/>
        </w:rPr>
        <w:t xml:space="preserve"> </w:t>
      </w:r>
    </w:p>
    <w:p w14:paraId="43B3B603" w14:textId="40449FB6"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Elshaer, I.A., Azazz, A.M., Alyahya, M., Mohammad, A.A., Fayyad, S. and Elsawy, O., 2025. Emotional contagion in the hospitality industry: </w:t>
      </w:r>
      <w:proofErr w:type="spellStart"/>
      <w:r w:rsidRPr="00493249">
        <w:rPr>
          <w:rFonts w:ascii="Arial" w:hAnsi="Arial" w:cs="Arial"/>
        </w:rPr>
        <w:t>Unraveling</w:t>
      </w:r>
      <w:proofErr w:type="spellEnd"/>
      <w:r w:rsidRPr="00493249">
        <w:rPr>
          <w:rFonts w:ascii="Arial" w:hAnsi="Arial" w:cs="Arial"/>
        </w:rPr>
        <w:t xml:space="preserve"> its impacts and mitigation strategies through a moderated mediated PLS-SEM </w:t>
      </w:r>
      <w:r w:rsidRPr="00493249">
        <w:rPr>
          <w:rFonts w:ascii="Arial" w:hAnsi="Arial" w:cs="Arial"/>
        </w:rPr>
        <w:lastRenderedPageBreak/>
        <w:t xml:space="preserve">approach. Tourism and Hospitality, 6(1), p.46. </w:t>
      </w:r>
      <w:hyperlink r:id="rId16" w:history="1">
        <w:r w:rsidRPr="00493249">
          <w:rPr>
            <w:rStyle w:val="Hyperlink"/>
            <w:rFonts w:ascii="Arial" w:hAnsi="Arial" w:cs="Arial"/>
          </w:rPr>
          <w:t>https://doi.org/10.3390/tourhosp6010046</w:t>
        </w:r>
      </w:hyperlink>
      <w:r w:rsidRPr="00493249">
        <w:rPr>
          <w:rFonts w:ascii="Arial" w:hAnsi="Arial" w:cs="Arial"/>
        </w:rPr>
        <w:t xml:space="preserve"> </w:t>
      </w:r>
    </w:p>
    <w:p w14:paraId="605A5E0A" w14:textId="37B262F4"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European Central Bank, 2025. Statistics. Credit standards showed renewed net tightening. </w:t>
      </w:r>
      <w:hyperlink r:id="rId17" w:anchor="toc4" w:history="1">
        <w:r w:rsidRPr="00493249">
          <w:rPr>
            <w:rStyle w:val="Hyperlink"/>
            <w:rFonts w:ascii="Arial" w:hAnsi="Arial" w:cs="Arial"/>
          </w:rPr>
          <w:t>https://www.ecb.europa.eu/stats/ecb_surveys/bank_lending_survey/html/ecb.blssurvey2024q4~e1ddae0f19.en.html#toc4</w:t>
        </w:r>
      </w:hyperlink>
      <w:r w:rsidRPr="00493249">
        <w:rPr>
          <w:rFonts w:ascii="Arial" w:hAnsi="Arial" w:cs="Arial"/>
        </w:rPr>
        <w:t xml:space="preserve"> </w:t>
      </w:r>
    </w:p>
    <w:p w14:paraId="05D69461" w14:textId="527DCC82"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European Commission, 2025. Commission adopts “quick fix” for companies already conducting corporate sustainability reporting. </w:t>
      </w:r>
      <w:hyperlink r:id="rId18" w:history="1">
        <w:r w:rsidRPr="00493249">
          <w:rPr>
            <w:rStyle w:val="Hyperlink"/>
            <w:rFonts w:ascii="Arial" w:hAnsi="Arial" w:cs="Arial"/>
          </w:rPr>
          <w:t>https://finance.ec.europa.eu/publications/commission-adopts-quick-fix-companies-already-conducting-corporate-sustainability-reporting_en</w:t>
        </w:r>
      </w:hyperlink>
      <w:r w:rsidRPr="00493249">
        <w:rPr>
          <w:rFonts w:ascii="Arial" w:hAnsi="Arial" w:cs="Arial"/>
        </w:rPr>
        <w:t xml:space="preserve"> </w:t>
      </w:r>
    </w:p>
    <w:p w14:paraId="1407128D" w14:textId="0148469C"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Federal Trade Commission (FTC), 2025. Federal Trade Commission Announces Bipartisan Rule Banning Junk Ticket and Hotel Fees. </w:t>
      </w:r>
      <w:hyperlink r:id="rId19" w:history="1">
        <w:r w:rsidRPr="00493249">
          <w:rPr>
            <w:rStyle w:val="Hyperlink"/>
            <w:rFonts w:ascii="Arial" w:hAnsi="Arial" w:cs="Arial"/>
          </w:rPr>
          <w:t>http://ftc.gov/news-events/news/press-releases/2024/12/federal-trade-commission-announces-bipartisan-rule-banning-junk-ticket-hotel-fees</w:t>
        </w:r>
      </w:hyperlink>
      <w:r w:rsidRPr="00493249">
        <w:rPr>
          <w:rFonts w:ascii="Arial" w:hAnsi="Arial" w:cs="Arial"/>
        </w:rPr>
        <w:t xml:space="preserve"> </w:t>
      </w:r>
    </w:p>
    <w:p w14:paraId="6E5F5F5F" w14:textId="68936E23" w:rsidR="005A2BB0" w:rsidRPr="00493249" w:rsidRDefault="005A2BB0" w:rsidP="00493249">
      <w:pPr>
        <w:pStyle w:val="ListParagraph"/>
        <w:numPr>
          <w:ilvl w:val="0"/>
          <w:numId w:val="9"/>
        </w:numPr>
        <w:spacing w:line="360" w:lineRule="auto"/>
        <w:jc w:val="both"/>
        <w:rPr>
          <w:rFonts w:ascii="Arial" w:hAnsi="Arial" w:cs="Arial"/>
        </w:rPr>
      </w:pPr>
      <w:proofErr w:type="spellStart"/>
      <w:r w:rsidRPr="00493249">
        <w:rPr>
          <w:rFonts w:ascii="Arial" w:hAnsi="Arial" w:cs="Arial"/>
        </w:rPr>
        <w:t>Golgeci</w:t>
      </w:r>
      <w:proofErr w:type="spellEnd"/>
      <w:r w:rsidRPr="00493249">
        <w:rPr>
          <w:rFonts w:ascii="Arial" w:hAnsi="Arial" w:cs="Arial"/>
        </w:rPr>
        <w:t xml:space="preserve">, I., </w:t>
      </w:r>
      <w:proofErr w:type="spellStart"/>
      <w:r w:rsidRPr="00493249">
        <w:rPr>
          <w:rFonts w:ascii="Arial" w:hAnsi="Arial" w:cs="Arial"/>
        </w:rPr>
        <w:t>Ritala</w:t>
      </w:r>
      <w:proofErr w:type="spellEnd"/>
      <w:r w:rsidRPr="00493249">
        <w:rPr>
          <w:rFonts w:ascii="Arial" w:hAnsi="Arial" w:cs="Arial"/>
        </w:rPr>
        <w:t xml:space="preserve">, P., Arslan, A., McKenna, B. and Ali, I., 2025. Confronting and alleviating AI resistance in the workplace: An integrative review and a process framework. Human Resource Management Review, 35(2), p.101075. </w:t>
      </w:r>
      <w:hyperlink r:id="rId20" w:history="1">
        <w:r w:rsidRPr="00493249">
          <w:rPr>
            <w:rStyle w:val="Hyperlink"/>
            <w:rFonts w:ascii="Arial" w:hAnsi="Arial" w:cs="Arial"/>
          </w:rPr>
          <w:t>https://doi.org/10.1016/j.hrmr.2024.101075</w:t>
        </w:r>
      </w:hyperlink>
      <w:r w:rsidRPr="00493249">
        <w:rPr>
          <w:rFonts w:ascii="Arial" w:hAnsi="Arial" w:cs="Arial"/>
        </w:rPr>
        <w:t xml:space="preserve"> </w:t>
      </w:r>
    </w:p>
    <w:p w14:paraId="5BDAA989" w14:textId="7B87EC14"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HVS, 2025. European hotel valuation index 2025. </w:t>
      </w:r>
      <w:hyperlink r:id="rId21" w:history="1">
        <w:r w:rsidRPr="00493249">
          <w:rPr>
            <w:rStyle w:val="Hyperlink"/>
            <w:rFonts w:ascii="Arial" w:hAnsi="Arial" w:cs="Arial"/>
          </w:rPr>
          <w:t>https://www.hvs.com/article/10120/hvs-2025-european-hotel-valuation-index</w:t>
        </w:r>
      </w:hyperlink>
      <w:r w:rsidRPr="00493249">
        <w:rPr>
          <w:rFonts w:ascii="Arial" w:hAnsi="Arial" w:cs="Arial"/>
        </w:rPr>
        <w:t xml:space="preserve"> </w:t>
      </w:r>
    </w:p>
    <w:p w14:paraId="6EA6C781" w14:textId="082342B3" w:rsidR="005A2BB0" w:rsidRPr="00493249" w:rsidRDefault="005A2BB0" w:rsidP="00493249">
      <w:pPr>
        <w:pStyle w:val="ListParagraph"/>
        <w:numPr>
          <w:ilvl w:val="0"/>
          <w:numId w:val="9"/>
        </w:numPr>
        <w:spacing w:line="360" w:lineRule="auto"/>
        <w:jc w:val="both"/>
        <w:rPr>
          <w:rFonts w:ascii="Arial" w:hAnsi="Arial" w:cs="Arial"/>
          <w:lang w:val="de-DE"/>
        </w:rPr>
      </w:pPr>
      <w:r w:rsidRPr="00493249">
        <w:rPr>
          <w:rFonts w:ascii="Arial" w:hAnsi="Arial" w:cs="Arial"/>
        </w:rPr>
        <w:t xml:space="preserve">Ivanov, S.H. and Webster, C., 2017. Adoption of robots, artificial intelligence and service automation by travel, tourism and hospitality companies–a cost-benefit analysis. Artificial intelligence and service automation by travel, tourism and hospitality companies–a cost-benefit analysis. </w:t>
      </w:r>
      <w:hyperlink r:id="rId22" w:history="1">
        <w:r w:rsidRPr="00493249">
          <w:rPr>
            <w:rStyle w:val="Hyperlink"/>
            <w:rFonts w:ascii="Arial" w:hAnsi="Arial" w:cs="Arial"/>
            <w:lang w:val="de-DE"/>
          </w:rPr>
          <w:t>https://papers.ssrn.com/sol3/Delivery.cfm?abstractid=3007577</w:t>
        </w:r>
      </w:hyperlink>
      <w:r w:rsidRPr="00493249">
        <w:rPr>
          <w:rFonts w:ascii="Arial" w:hAnsi="Arial" w:cs="Arial"/>
          <w:lang w:val="de-DE"/>
        </w:rPr>
        <w:t xml:space="preserve"> </w:t>
      </w:r>
    </w:p>
    <w:p w14:paraId="0F409ECC" w14:textId="2EB93F44"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lang w:val="de-DE"/>
        </w:rPr>
        <w:t xml:space="preserve">Jolene, K., 2023. </w:t>
      </w:r>
      <w:r w:rsidRPr="00493249">
        <w:rPr>
          <w:rFonts w:ascii="Arial" w:hAnsi="Arial" w:cs="Arial"/>
        </w:rPr>
        <w:t xml:space="preserve">The Influence of Online Travel Agencies (OTAs) on Hotel Revenue and Distribution Strategies. Journal of Modern Hospitality. 2(1): 14-25. </w:t>
      </w:r>
      <w:hyperlink r:id="rId23" w:history="1">
        <w:r w:rsidRPr="00493249">
          <w:rPr>
            <w:rStyle w:val="Hyperlink"/>
            <w:rFonts w:ascii="Arial" w:hAnsi="Arial" w:cs="Arial"/>
          </w:rPr>
          <w:t>https://doi.org/10.47941/jmh.1557</w:t>
        </w:r>
      </w:hyperlink>
      <w:r w:rsidRPr="00493249">
        <w:rPr>
          <w:rFonts w:ascii="Arial" w:hAnsi="Arial" w:cs="Arial"/>
        </w:rPr>
        <w:t xml:space="preserve"> </w:t>
      </w:r>
    </w:p>
    <w:p w14:paraId="3D18A032" w14:textId="3DC3EC77"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t xml:space="preserve">Kariuki, A. and Odhiambo, E., 2021. Assessment of implementation of energy efficiency measures, savings achieved and barriers to implementation at various firms in the hospitality industry in Kenya. International Journal of Engineering and Advanced Technology, 10(4), pp.10-23. </w:t>
      </w:r>
      <w:hyperlink r:id="rId24" w:history="1">
        <w:r w:rsidRPr="00493249">
          <w:rPr>
            <w:rStyle w:val="Hyperlink"/>
            <w:rFonts w:ascii="Arial" w:hAnsi="Arial" w:cs="Arial"/>
          </w:rPr>
          <w:t>https://www.academia.edu/download/124522906/C22260210321.pdf</w:t>
        </w:r>
      </w:hyperlink>
      <w:r w:rsidRPr="00493249">
        <w:rPr>
          <w:rFonts w:ascii="Arial" w:hAnsi="Arial" w:cs="Arial"/>
        </w:rPr>
        <w:t xml:space="preserve"> </w:t>
      </w:r>
    </w:p>
    <w:p w14:paraId="74C67ED2" w14:textId="63B264CC" w:rsidR="005A2BB0" w:rsidRPr="00493249" w:rsidRDefault="005A2BB0" w:rsidP="00493249">
      <w:pPr>
        <w:pStyle w:val="ListParagraph"/>
        <w:numPr>
          <w:ilvl w:val="0"/>
          <w:numId w:val="9"/>
        </w:numPr>
        <w:spacing w:line="360" w:lineRule="auto"/>
        <w:jc w:val="both"/>
        <w:rPr>
          <w:rFonts w:ascii="Arial" w:hAnsi="Arial" w:cs="Arial"/>
        </w:rPr>
      </w:pPr>
      <w:r w:rsidRPr="00493249">
        <w:rPr>
          <w:rFonts w:ascii="Arial" w:hAnsi="Arial" w:cs="Arial"/>
        </w:rPr>
        <w:lastRenderedPageBreak/>
        <w:t xml:space="preserve">Kimes, S.E., 2016. The evolution of hotel revenue management. Journal of Revenue and Pricing Management, 15(3), pp.247-251. </w:t>
      </w:r>
      <w:hyperlink r:id="rId25" w:history="1">
        <w:r w:rsidRPr="00493249">
          <w:rPr>
            <w:rStyle w:val="Hyperlink"/>
            <w:rFonts w:ascii="Arial" w:hAnsi="Arial" w:cs="Arial"/>
          </w:rPr>
          <w:t>https://doi.org/10.1057/rpm.2016.27</w:t>
        </w:r>
      </w:hyperlink>
      <w:r w:rsidRPr="00493249">
        <w:rPr>
          <w:rFonts w:ascii="Arial" w:hAnsi="Arial" w:cs="Arial"/>
        </w:rPr>
        <w:t xml:space="preserve"> </w:t>
      </w:r>
    </w:p>
    <w:p w14:paraId="7DFC2443" w14:textId="13592BC7" w:rsidR="005A2BB0" w:rsidRPr="005C0F65" w:rsidRDefault="005A2BB0" w:rsidP="005C0F65">
      <w:pPr>
        <w:pStyle w:val="ListParagraph"/>
        <w:numPr>
          <w:ilvl w:val="0"/>
          <w:numId w:val="9"/>
        </w:numPr>
        <w:spacing w:line="360" w:lineRule="auto"/>
        <w:jc w:val="both"/>
        <w:rPr>
          <w:rFonts w:ascii="Arial" w:hAnsi="Arial" w:cs="Arial"/>
        </w:rPr>
      </w:pPr>
      <w:proofErr w:type="spellStart"/>
      <w:r w:rsidRPr="005C0F65">
        <w:rPr>
          <w:rFonts w:ascii="Arial" w:hAnsi="Arial" w:cs="Arial"/>
        </w:rPr>
        <w:t>Kizildag</w:t>
      </w:r>
      <w:proofErr w:type="spellEnd"/>
      <w:r w:rsidRPr="005C0F65">
        <w:rPr>
          <w:rFonts w:ascii="Arial" w:hAnsi="Arial" w:cs="Arial"/>
        </w:rPr>
        <w:t xml:space="preserve">, M., 2015. Financial leverage phenomenon in hospitality industry sub-sector portfolios. International Journal of Contemporary Hospitality Management, 27(8), pp.1949-1978. </w:t>
      </w:r>
      <w:hyperlink r:id="rId26" w:history="1">
        <w:r w:rsidRPr="005C0F65">
          <w:rPr>
            <w:rStyle w:val="Hyperlink"/>
            <w:rFonts w:ascii="Arial" w:hAnsi="Arial" w:cs="Arial"/>
          </w:rPr>
          <w:t>https://doi.org/10.1108/IJCHM-07-2014-0347</w:t>
        </w:r>
      </w:hyperlink>
      <w:r w:rsidRPr="005C0F65">
        <w:rPr>
          <w:rFonts w:ascii="Arial" w:hAnsi="Arial" w:cs="Arial"/>
        </w:rPr>
        <w:t xml:space="preserve"> </w:t>
      </w:r>
    </w:p>
    <w:p w14:paraId="4D0826C9" w14:textId="1871F531" w:rsidR="005A2BB0" w:rsidRPr="005C0F65" w:rsidRDefault="005A2BB0" w:rsidP="005C0F65">
      <w:pPr>
        <w:pStyle w:val="ListParagraph"/>
        <w:numPr>
          <w:ilvl w:val="0"/>
          <w:numId w:val="9"/>
        </w:numPr>
        <w:spacing w:line="360" w:lineRule="auto"/>
        <w:jc w:val="both"/>
        <w:rPr>
          <w:rFonts w:ascii="Arial" w:hAnsi="Arial" w:cs="Arial"/>
        </w:rPr>
      </w:pPr>
      <w:proofErr w:type="spellStart"/>
      <w:r w:rsidRPr="005C0F65">
        <w:rPr>
          <w:rFonts w:ascii="Arial" w:hAnsi="Arial" w:cs="Arial"/>
        </w:rPr>
        <w:t>Kovly</w:t>
      </w:r>
      <w:proofErr w:type="spellEnd"/>
      <w:r w:rsidRPr="005C0F65">
        <w:rPr>
          <w:rFonts w:ascii="Arial" w:hAnsi="Arial" w:cs="Arial"/>
        </w:rPr>
        <w:t xml:space="preserve"> Studio Website, 2025. Hotel Marketing Strategy: How to Drive Direct Booking and reduce OTA Dependence. </w:t>
      </w:r>
      <w:hyperlink r:id="rId27" w:anchor=":~:text=Every%20online%20booking%20platform%20charges,direct%20referrals%20from%20satisfied%20guests" w:history="1">
        <w:r w:rsidRPr="005C0F65">
          <w:rPr>
            <w:rStyle w:val="Hyperlink"/>
            <w:rFonts w:ascii="Arial" w:hAnsi="Arial" w:cs="Arial"/>
          </w:rPr>
          <w:t>https://www.kovlystudio.com/journal/hotel-marketing-strategy-how-to-drive-direct-bookings-and-reduce-ota-dependence#:~:text=Every%20online%20booking%20platform%20charges,direct%20referrals%20from%20satisfied%20guests</w:t>
        </w:r>
      </w:hyperlink>
      <w:r w:rsidRPr="005C0F65">
        <w:rPr>
          <w:rFonts w:ascii="Arial" w:hAnsi="Arial" w:cs="Arial"/>
        </w:rPr>
        <w:t xml:space="preserve"> </w:t>
      </w:r>
    </w:p>
    <w:p w14:paraId="4CC4BE04" w14:textId="6C6A3A19" w:rsidR="005A2BB0" w:rsidRPr="005C0F65" w:rsidRDefault="005A2BB0" w:rsidP="005C0F65">
      <w:pPr>
        <w:pStyle w:val="ListParagraph"/>
        <w:numPr>
          <w:ilvl w:val="0"/>
          <w:numId w:val="9"/>
        </w:numPr>
        <w:spacing w:line="360" w:lineRule="auto"/>
        <w:jc w:val="both"/>
        <w:rPr>
          <w:rFonts w:ascii="Arial" w:hAnsi="Arial" w:cs="Arial"/>
        </w:rPr>
      </w:pPr>
      <w:r w:rsidRPr="005C0F65">
        <w:rPr>
          <w:rFonts w:ascii="Arial" w:hAnsi="Arial" w:cs="Arial"/>
        </w:rPr>
        <w:t xml:space="preserve">Leisten, M., 2020. Volatility, uncertainty, and hotel capacity. </w:t>
      </w:r>
      <w:hyperlink r:id="rId28" w:history="1">
        <w:r w:rsidRPr="005C0F65">
          <w:rPr>
            <w:rStyle w:val="Hyperlink"/>
            <w:rFonts w:ascii="Arial" w:hAnsi="Arial" w:cs="Arial"/>
          </w:rPr>
          <w:t>https://www.researchgate.net/publication/341945595_Volatility_Uncertainty_and_Hotel_Capacity</w:t>
        </w:r>
      </w:hyperlink>
      <w:r w:rsidRPr="005C0F65">
        <w:rPr>
          <w:rFonts w:ascii="Arial" w:hAnsi="Arial" w:cs="Arial"/>
        </w:rPr>
        <w:t xml:space="preserve"> </w:t>
      </w:r>
    </w:p>
    <w:p w14:paraId="32BA86DB" w14:textId="2E0947C9" w:rsidR="005A2BB0" w:rsidRPr="005C0F65" w:rsidRDefault="005A2BB0" w:rsidP="005C0F65">
      <w:pPr>
        <w:pStyle w:val="ListParagraph"/>
        <w:numPr>
          <w:ilvl w:val="0"/>
          <w:numId w:val="9"/>
        </w:numPr>
        <w:spacing w:line="360" w:lineRule="auto"/>
        <w:jc w:val="both"/>
        <w:rPr>
          <w:rFonts w:ascii="Arial" w:hAnsi="Arial" w:cs="Arial"/>
        </w:rPr>
      </w:pPr>
      <w:r w:rsidRPr="005C0F65">
        <w:rPr>
          <w:rFonts w:ascii="Arial" w:hAnsi="Arial" w:cs="Arial"/>
        </w:rPr>
        <w:t xml:space="preserve">Lima Santos, L., Gomes, C., Malheiros, C., Crespo, C. and Bento, C., 2024. Factors influencing hotel revenue management in times of crisis: Towards financial sustainability. International Journal of Financial Studies, 12(4), p.112. </w:t>
      </w:r>
      <w:hyperlink r:id="rId29" w:history="1">
        <w:r w:rsidRPr="005C0F65">
          <w:rPr>
            <w:rStyle w:val="Hyperlink"/>
            <w:rFonts w:ascii="Arial" w:hAnsi="Arial" w:cs="Arial"/>
          </w:rPr>
          <w:t>https://doi.org/10.3390/ijfs12040112</w:t>
        </w:r>
      </w:hyperlink>
      <w:r w:rsidRPr="005C0F65">
        <w:rPr>
          <w:rFonts w:ascii="Arial" w:hAnsi="Arial" w:cs="Arial"/>
        </w:rPr>
        <w:t xml:space="preserve"> </w:t>
      </w:r>
    </w:p>
    <w:p w14:paraId="38D44C83" w14:textId="63501E06" w:rsidR="005A2BB0" w:rsidRPr="005C0F65" w:rsidRDefault="005A2BB0" w:rsidP="005C0F65">
      <w:pPr>
        <w:pStyle w:val="ListParagraph"/>
        <w:numPr>
          <w:ilvl w:val="0"/>
          <w:numId w:val="9"/>
        </w:numPr>
        <w:spacing w:line="360" w:lineRule="auto"/>
        <w:jc w:val="both"/>
        <w:rPr>
          <w:rFonts w:ascii="Arial" w:hAnsi="Arial" w:cs="Arial"/>
        </w:rPr>
      </w:pPr>
      <w:r w:rsidRPr="005C0F65">
        <w:rPr>
          <w:rFonts w:ascii="Arial" w:hAnsi="Arial" w:cs="Arial"/>
        </w:rPr>
        <w:t>Mulet-Forteza, C., Ferrer-Rosell, B., Cunill, O.M. and Linares-</w:t>
      </w:r>
      <w:proofErr w:type="spellStart"/>
      <w:r w:rsidRPr="005C0F65">
        <w:rPr>
          <w:rFonts w:ascii="Arial" w:hAnsi="Arial" w:cs="Arial"/>
        </w:rPr>
        <w:t>Mustarós</w:t>
      </w:r>
      <w:proofErr w:type="spellEnd"/>
      <w:r w:rsidRPr="005C0F65">
        <w:rPr>
          <w:rFonts w:ascii="Arial" w:hAnsi="Arial" w:cs="Arial"/>
        </w:rPr>
        <w:t>, S., 2024. The role of expansion strategies and operational attributes on hotel performance: a compositional approach. </w:t>
      </w:r>
      <w:proofErr w:type="spellStart"/>
      <w:r w:rsidRPr="005C0F65">
        <w:rPr>
          <w:rFonts w:ascii="Arial" w:hAnsi="Arial" w:cs="Arial"/>
        </w:rPr>
        <w:t>arXiv</w:t>
      </w:r>
      <w:proofErr w:type="spellEnd"/>
      <w:r w:rsidRPr="005C0F65">
        <w:rPr>
          <w:rFonts w:ascii="Arial" w:hAnsi="Arial" w:cs="Arial"/>
        </w:rPr>
        <w:t xml:space="preserve"> preprint arXiv:2411.04640. </w:t>
      </w:r>
      <w:hyperlink r:id="rId30" w:history="1">
        <w:r w:rsidRPr="005C0F65">
          <w:rPr>
            <w:rStyle w:val="Hyperlink"/>
            <w:rFonts w:ascii="Arial" w:hAnsi="Arial" w:cs="Arial"/>
          </w:rPr>
          <w:t>https://arxiv.org/pdf/2411.04640</w:t>
        </w:r>
      </w:hyperlink>
      <w:r w:rsidRPr="005C0F65">
        <w:rPr>
          <w:rFonts w:ascii="Arial" w:hAnsi="Arial" w:cs="Arial"/>
        </w:rPr>
        <w:t xml:space="preserve"> </w:t>
      </w:r>
    </w:p>
    <w:p w14:paraId="438805F8" w14:textId="16B8CDD6" w:rsidR="005A2BB0" w:rsidRPr="005C0F65" w:rsidRDefault="005A2BB0" w:rsidP="005C0F65">
      <w:pPr>
        <w:pStyle w:val="ListParagraph"/>
        <w:numPr>
          <w:ilvl w:val="0"/>
          <w:numId w:val="9"/>
        </w:numPr>
        <w:spacing w:line="360" w:lineRule="auto"/>
        <w:jc w:val="both"/>
        <w:rPr>
          <w:rFonts w:ascii="Arial" w:hAnsi="Arial" w:cs="Arial"/>
        </w:rPr>
      </w:pPr>
      <w:proofErr w:type="spellStart"/>
      <w:r w:rsidRPr="005C0F65">
        <w:rPr>
          <w:rFonts w:ascii="Arial" w:hAnsi="Arial" w:cs="Arial"/>
        </w:rPr>
        <w:t>Netsuite</w:t>
      </w:r>
      <w:proofErr w:type="spellEnd"/>
      <w:r w:rsidRPr="005C0F65">
        <w:rPr>
          <w:rFonts w:ascii="Arial" w:hAnsi="Arial" w:cs="Arial"/>
        </w:rPr>
        <w:t xml:space="preserve">, 2025. 13 common challenges in the hospitality industry in 2025. Oracle </w:t>
      </w:r>
      <w:proofErr w:type="spellStart"/>
      <w:r w:rsidRPr="005C0F65">
        <w:rPr>
          <w:rFonts w:ascii="Arial" w:hAnsi="Arial" w:cs="Arial"/>
        </w:rPr>
        <w:t>Netsuite</w:t>
      </w:r>
      <w:proofErr w:type="spellEnd"/>
      <w:r w:rsidRPr="005C0F65">
        <w:rPr>
          <w:rFonts w:ascii="Arial" w:hAnsi="Arial" w:cs="Arial"/>
        </w:rPr>
        <w:t xml:space="preserve"> Industry Insights. </w:t>
      </w:r>
      <w:hyperlink r:id="rId31" w:history="1">
        <w:r w:rsidRPr="005C0F65">
          <w:rPr>
            <w:rStyle w:val="Hyperlink"/>
            <w:rFonts w:ascii="Arial" w:hAnsi="Arial" w:cs="Arial"/>
          </w:rPr>
          <w:t>https://www.netsuite.com/portal/resource/articles/erp/hospitality-industry-challenges.shtml</w:t>
        </w:r>
      </w:hyperlink>
      <w:r w:rsidRPr="005C0F65">
        <w:rPr>
          <w:rFonts w:ascii="Arial" w:hAnsi="Arial" w:cs="Arial"/>
        </w:rPr>
        <w:t xml:space="preserve"> </w:t>
      </w:r>
    </w:p>
    <w:p w14:paraId="5459E6C4" w14:textId="3856D634" w:rsidR="005A2BB0" w:rsidRPr="005C0F65" w:rsidRDefault="005A2BB0" w:rsidP="005C0F65">
      <w:pPr>
        <w:pStyle w:val="ListParagraph"/>
        <w:numPr>
          <w:ilvl w:val="0"/>
          <w:numId w:val="9"/>
        </w:numPr>
        <w:spacing w:line="360" w:lineRule="auto"/>
        <w:jc w:val="both"/>
        <w:rPr>
          <w:rFonts w:ascii="Arial" w:hAnsi="Arial" w:cs="Arial"/>
        </w:rPr>
      </w:pPr>
      <w:proofErr w:type="spellStart"/>
      <w:r w:rsidRPr="005C0F65">
        <w:rPr>
          <w:rFonts w:ascii="Arial" w:hAnsi="Arial" w:cs="Arial"/>
        </w:rPr>
        <w:t>Nižić</w:t>
      </w:r>
      <w:proofErr w:type="spellEnd"/>
      <w:r w:rsidRPr="005C0F65">
        <w:rPr>
          <w:rFonts w:ascii="Arial" w:hAnsi="Arial" w:cs="Arial"/>
        </w:rPr>
        <w:t xml:space="preserve">, M.K., </w:t>
      </w:r>
      <w:proofErr w:type="spellStart"/>
      <w:r w:rsidRPr="005C0F65">
        <w:rPr>
          <w:rFonts w:ascii="Arial" w:hAnsi="Arial" w:cs="Arial"/>
        </w:rPr>
        <w:t>Trinajstić</w:t>
      </w:r>
      <w:proofErr w:type="spellEnd"/>
      <w:r w:rsidRPr="005C0F65">
        <w:rPr>
          <w:rFonts w:ascii="Arial" w:hAnsi="Arial" w:cs="Arial"/>
        </w:rPr>
        <w:t xml:space="preserve">, M. and Blažević, B., 2017. NEW ENERGY MEASURES FOR SUSTAINABLE LOCAL DEVELOPMENT–A CHALLENGE FOR HOTEL INDUSTRY. Tourism in Southern and Eastern Europe..., 4, pp.279-290. </w:t>
      </w:r>
      <w:hyperlink r:id="rId32" w:history="1">
        <w:r w:rsidRPr="005C0F65">
          <w:rPr>
            <w:rStyle w:val="Hyperlink"/>
            <w:rFonts w:ascii="Arial" w:hAnsi="Arial" w:cs="Arial"/>
          </w:rPr>
          <w:t>https://tosee.fthm.hr/images/proceedings/2017/21_KrstinicNizic_Trinajstic_Blazevic.pdf</w:t>
        </w:r>
      </w:hyperlink>
      <w:r w:rsidRPr="005C0F65">
        <w:rPr>
          <w:rFonts w:ascii="Arial" w:hAnsi="Arial" w:cs="Arial"/>
        </w:rPr>
        <w:t xml:space="preserve"> </w:t>
      </w:r>
    </w:p>
    <w:p w14:paraId="17F6C7B8" w14:textId="0809AA14" w:rsidR="005A2BB0" w:rsidRPr="007F18A7" w:rsidRDefault="005A2BB0" w:rsidP="007F18A7">
      <w:pPr>
        <w:pStyle w:val="ListParagraph"/>
        <w:numPr>
          <w:ilvl w:val="0"/>
          <w:numId w:val="9"/>
        </w:numPr>
        <w:spacing w:line="360" w:lineRule="auto"/>
        <w:jc w:val="both"/>
        <w:rPr>
          <w:rFonts w:ascii="Arial" w:hAnsi="Arial" w:cs="Arial"/>
        </w:rPr>
      </w:pPr>
      <w:proofErr w:type="spellStart"/>
      <w:r w:rsidRPr="007F18A7">
        <w:rPr>
          <w:rFonts w:ascii="Arial" w:hAnsi="Arial" w:cs="Arial"/>
        </w:rPr>
        <w:lastRenderedPageBreak/>
        <w:t>Oluokun</w:t>
      </w:r>
      <w:proofErr w:type="spellEnd"/>
      <w:r w:rsidRPr="007F18A7">
        <w:rPr>
          <w:rFonts w:ascii="Arial" w:hAnsi="Arial" w:cs="Arial"/>
        </w:rPr>
        <w:t xml:space="preserve">, O.A., Akinsooto, O., Ogundipe, O.B. and Ikemba, S., 2024. Enhancing energy efficiency in retail through </w:t>
      </w:r>
      <w:proofErr w:type="spellStart"/>
      <w:r w:rsidRPr="007F18A7">
        <w:rPr>
          <w:rFonts w:ascii="Arial" w:hAnsi="Arial" w:cs="Arial"/>
        </w:rPr>
        <w:t>policydriven</w:t>
      </w:r>
      <w:proofErr w:type="spellEnd"/>
      <w:r w:rsidRPr="007F18A7">
        <w:rPr>
          <w:rFonts w:ascii="Arial" w:hAnsi="Arial" w:cs="Arial"/>
        </w:rPr>
        <w:t xml:space="preserve"> energy audits and conservation measures. Journal Name Missing. </w:t>
      </w:r>
      <w:hyperlink r:id="rId33" w:history="1">
        <w:r w:rsidRPr="007F18A7">
          <w:rPr>
            <w:rStyle w:val="Hyperlink"/>
            <w:rFonts w:ascii="Arial" w:hAnsi="Arial" w:cs="Arial"/>
          </w:rPr>
          <w:t>https://www.researchgate.net</w:t>
        </w:r>
      </w:hyperlink>
      <w:r w:rsidRPr="007F18A7">
        <w:rPr>
          <w:rFonts w:ascii="Arial" w:hAnsi="Arial" w:cs="Arial"/>
        </w:rPr>
        <w:t xml:space="preserve"> </w:t>
      </w:r>
    </w:p>
    <w:p w14:paraId="7158A180" w14:textId="1962A36C" w:rsidR="005A2BB0" w:rsidRPr="007F18A7" w:rsidRDefault="005A2BB0" w:rsidP="007F18A7">
      <w:pPr>
        <w:pStyle w:val="ListParagraph"/>
        <w:numPr>
          <w:ilvl w:val="0"/>
          <w:numId w:val="9"/>
        </w:numPr>
        <w:spacing w:line="360" w:lineRule="auto"/>
        <w:jc w:val="both"/>
        <w:rPr>
          <w:rFonts w:ascii="Arial" w:hAnsi="Arial" w:cs="Arial"/>
        </w:rPr>
      </w:pPr>
      <w:r w:rsidRPr="007F18A7">
        <w:rPr>
          <w:rFonts w:ascii="Arial" w:hAnsi="Arial" w:cs="Arial"/>
        </w:rPr>
        <w:t xml:space="preserve">Park, K. and Jang, S.S., 2013. Capital structure, free cash flow, diversification and firm performance: A holistic analysis. International journal of hospitality management, 33, pp.51-63. </w:t>
      </w:r>
      <w:hyperlink r:id="rId34" w:history="1">
        <w:r w:rsidRPr="007F18A7">
          <w:rPr>
            <w:rStyle w:val="Hyperlink"/>
            <w:rFonts w:ascii="Arial" w:hAnsi="Arial" w:cs="Arial"/>
          </w:rPr>
          <w:t>https://doi.org/10.1016/j.ijhm.2013.01.007</w:t>
        </w:r>
      </w:hyperlink>
      <w:r w:rsidRPr="007F18A7">
        <w:rPr>
          <w:rFonts w:ascii="Arial" w:hAnsi="Arial" w:cs="Arial"/>
        </w:rPr>
        <w:t xml:space="preserve"> </w:t>
      </w:r>
    </w:p>
    <w:p w14:paraId="7038AC86" w14:textId="0D9BD58D" w:rsidR="005A2BB0" w:rsidRPr="007F18A7" w:rsidRDefault="005A2BB0" w:rsidP="007F18A7">
      <w:pPr>
        <w:pStyle w:val="ListParagraph"/>
        <w:numPr>
          <w:ilvl w:val="0"/>
          <w:numId w:val="9"/>
        </w:numPr>
        <w:spacing w:line="360" w:lineRule="auto"/>
        <w:jc w:val="both"/>
        <w:rPr>
          <w:rFonts w:ascii="Arial" w:hAnsi="Arial" w:cs="Arial"/>
        </w:rPr>
      </w:pPr>
      <w:r w:rsidRPr="007F18A7">
        <w:rPr>
          <w:rFonts w:ascii="Arial" w:hAnsi="Arial" w:cs="Arial"/>
        </w:rPr>
        <w:t xml:space="preserve">PwC, 2024. Hospitality companies leverage near-term stability for long-term success. </w:t>
      </w:r>
      <w:hyperlink r:id="rId35" w:history="1">
        <w:r w:rsidRPr="007F18A7">
          <w:rPr>
            <w:rStyle w:val="Hyperlink"/>
            <w:rFonts w:ascii="Arial" w:hAnsi="Arial" w:cs="Arial"/>
          </w:rPr>
          <w:t>https://www.pwc.com/us/en/industries/consumer-markets/library/hospitality-stability-and-growth.html</w:t>
        </w:r>
      </w:hyperlink>
      <w:r w:rsidRPr="007F18A7">
        <w:rPr>
          <w:rFonts w:ascii="Arial" w:hAnsi="Arial" w:cs="Arial"/>
        </w:rPr>
        <w:t xml:space="preserve"> </w:t>
      </w:r>
    </w:p>
    <w:p w14:paraId="493F88CA" w14:textId="116C56FB" w:rsidR="005A2BB0" w:rsidRPr="007F18A7" w:rsidRDefault="005A2BB0" w:rsidP="007F18A7">
      <w:pPr>
        <w:pStyle w:val="ListParagraph"/>
        <w:numPr>
          <w:ilvl w:val="0"/>
          <w:numId w:val="9"/>
        </w:numPr>
        <w:spacing w:line="360" w:lineRule="auto"/>
        <w:jc w:val="both"/>
        <w:rPr>
          <w:rFonts w:ascii="Arial" w:hAnsi="Arial" w:cs="Arial"/>
        </w:rPr>
      </w:pPr>
      <w:r w:rsidRPr="007F18A7">
        <w:rPr>
          <w:rFonts w:ascii="Arial" w:hAnsi="Arial" w:cs="Arial"/>
        </w:rPr>
        <w:t xml:space="preserve">PWC, 2025. How rising insurance costs affect financial service-and what the industry can do about it. </w:t>
      </w:r>
      <w:hyperlink r:id="rId36" w:anchor=":~:text=Higher%20insurance%20costs%20and%20declining,becoming%20a%20strategic%20risk%20consideration" w:history="1">
        <w:r w:rsidRPr="007F18A7">
          <w:rPr>
            <w:rStyle w:val="Hyperlink"/>
            <w:rFonts w:ascii="Arial" w:hAnsi="Arial" w:cs="Arial"/>
          </w:rPr>
          <w:t>https://www.pwc.com/us/en/industries/financial-services/library/implications-of-rising-insurance-costs.html#:~:text=Higher%20insurance%20costs%20and%20declining,becoming%20a%20strategic%20risk%20consideration</w:t>
        </w:r>
      </w:hyperlink>
      <w:r w:rsidRPr="007F18A7">
        <w:rPr>
          <w:rFonts w:ascii="Arial" w:hAnsi="Arial" w:cs="Arial"/>
        </w:rPr>
        <w:t xml:space="preserve">. </w:t>
      </w:r>
    </w:p>
    <w:p w14:paraId="256F8DD1" w14:textId="707406BF" w:rsidR="005A2BB0" w:rsidRPr="007F18A7" w:rsidRDefault="005A2BB0" w:rsidP="007F18A7">
      <w:pPr>
        <w:pStyle w:val="ListParagraph"/>
        <w:numPr>
          <w:ilvl w:val="0"/>
          <w:numId w:val="9"/>
        </w:numPr>
        <w:spacing w:line="360" w:lineRule="auto"/>
        <w:jc w:val="both"/>
        <w:rPr>
          <w:rFonts w:ascii="Arial" w:hAnsi="Arial" w:cs="Arial"/>
        </w:rPr>
      </w:pPr>
      <w:proofErr w:type="spellStart"/>
      <w:r w:rsidRPr="007F18A7">
        <w:rPr>
          <w:rFonts w:ascii="Arial" w:hAnsi="Arial" w:cs="Arial"/>
        </w:rPr>
        <w:t>Rabontu</w:t>
      </w:r>
      <w:proofErr w:type="spellEnd"/>
      <w:r w:rsidRPr="007F18A7">
        <w:rPr>
          <w:rFonts w:ascii="Arial" w:hAnsi="Arial" w:cs="Arial"/>
        </w:rPr>
        <w:t>, C.I. and Niculescu, G., 2009. Boutique hotels-new appearances in hotel industry in Romania. OF THE UNIVERSITY OF PETROŞANI</w:t>
      </w:r>
      <w:r w:rsidRPr="007F18A7">
        <w:rPr>
          <w:rFonts w:ascii="Cambria Math" w:hAnsi="Cambria Math" w:cs="Cambria Math"/>
        </w:rPr>
        <w:t>∼</w:t>
      </w:r>
      <w:r w:rsidRPr="007F18A7">
        <w:rPr>
          <w:rFonts w:ascii="Arial" w:hAnsi="Arial" w:cs="Arial"/>
        </w:rPr>
        <w:t xml:space="preserve"> ECONOMICS</w:t>
      </w:r>
      <w:r w:rsidRPr="007F18A7">
        <w:rPr>
          <w:rFonts w:ascii="Cambria Math" w:hAnsi="Cambria Math" w:cs="Cambria Math"/>
        </w:rPr>
        <w:t>∼</w:t>
      </w:r>
      <w:r w:rsidRPr="007F18A7">
        <w:rPr>
          <w:rFonts w:ascii="Arial" w:hAnsi="Arial" w:cs="Arial"/>
        </w:rPr>
        <w:t xml:space="preserve">, 9(2), pp.209-214. </w:t>
      </w:r>
      <w:hyperlink r:id="rId37" w:anchor="page=209" w:history="1">
        <w:r w:rsidRPr="007F18A7">
          <w:rPr>
            <w:rStyle w:val="Hyperlink"/>
            <w:rFonts w:ascii="Arial" w:hAnsi="Arial" w:cs="Arial"/>
          </w:rPr>
          <w:t>https://www.academia.edu/download/111706185/annals-2009-part2.pdf#page=209</w:t>
        </w:r>
      </w:hyperlink>
      <w:r w:rsidRPr="007F18A7">
        <w:rPr>
          <w:rFonts w:ascii="Arial" w:hAnsi="Arial" w:cs="Arial"/>
        </w:rPr>
        <w:t xml:space="preserve"> </w:t>
      </w:r>
    </w:p>
    <w:p w14:paraId="43A05C00" w14:textId="2C68FEDA"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Salama, W., Abdou, A.H., Mohamed, S.A.K. and Shehata, H.S., 2022. Impact of work stress and job burnout on turnover intentions among hotel employees. International Journal of Environmental Research and Public Health, 19(15), p.9724. </w:t>
      </w:r>
      <w:hyperlink r:id="rId38" w:history="1">
        <w:r w:rsidRPr="00AA39C4">
          <w:rPr>
            <w:rStyle w:val="Hyperlink"/>
            <w:rFonts w:ascii="Arial" w:hAnsi="Arial" w:cs="Arial"/>
          </w:rPr>
          <w:t>https://doi.org/10.3390/ijerph19159724</w:t>
        </w:r>
      </w:hyperlink>
      <w:r w:rsidRPr="00AA39C4">
        <w:rPr>
          <w:rFonts w:ascii="Arial" w:hAnsi="Arial" w:cs="Arial"/>
        </w:rPr>
        <w:t xml:space="preserve"> </w:t>
      </w:r>
    </w:p>
    <w:p w14:paraId="79F63401" w14:textId="515E1C9E"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Salami, O., Taiwo, A.A., </w:t>
      </w:r>
      <w:proofErr w:type="spellStart"/>
      <w:r w:rsidRPr="00AA39C4">
        <w:rPr>
          <w:rFonts w:ascii="Arial" w:hAnsi="Arial" w:cs="Arial"/>
        </w:rPr>
        <w:t>Ibem</w:t>
      </w:r>
      <w:proofErr w:type="spellEnd"/>
      <w:r w:rsidRPr="00AA39C4">
        <w:rPr>
          <w:rFonts w:ascii="Arial" w:hAnsi="Arial" w:cs="Arial"/>
        </w:rPr>
        <w:t xml:space="preserve">, E.O. and Ajayi, O.O., 2024. Integrating Energy-Efficient Systems and Technologies in Hotel Design Strategies in Lagos: Assessing Cost Implications. African Journal of Environmental Sciences and Renewable Energy, 15(1), pp.69-87. </w:t>
      </w:r>
      <w:hyperlink r:id="rId39" w:history="1">
        <w:r w:rsidRPr="00AA39C4">
          <w:rPr>
            <w:rStyle w:val="Hyperlink"/>
            <w:rFonts w:ascii="Arial" w:hAnsi="Arial" w:cs="Arial"/>
          </w:rPr>
          <w:t>https://doi.org/10.62154/mrc8sg85</w:t>
        </w:r>
      </w:hyperlink>
      <w:r w:rsidRPr="00AA39C4">
        <w:rPr>
          <w:rFonts w:ascii="Arial" w:hAnsi="Arial" w:cs="Arial"/>
        </w:rPr>
        <w:t xml:space="preserve"> </w:t>
      </w:r>
    </w:p>
    <w:p w14:paraId="7535F98E" w14:textId="07D612C5"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Sampaio, C., </w:t>
      </w:r>
      <w:proofErr w:type="spellStart"/>
      <w:r w:rsidRPr="00AA39C4">
        <w:rPr>
          <w:rFonts w:ascii="Arial" w:hAnsi="Arial" w:cs="Arial"/>
        </w:rPr>
        <w:t>Régio</w:t>
      </w:r>
      <w:proofErr w:type="spellEnd"/>
      <w:r w:rsidRPr="00AA39C4">
        <w:rPr>
          <w:rFonts w:ascii="Arial" w:hAnsi="Arial" w:cs="Arial"/>
        </w:rPr>
        <w:t xml:space="preserve">, M. and Sebastião, J.R., 2025. Beyond Financial Metrics: A Systematic and Bibliometric Review of Hotel Business Performance. Administrative Sciences, 15(5), p.179. </w:t>
      </w:r>
      <w:hyperlink r:id="rId40" w:history="1">
        <w:r w:rsidRPr="00AA39C4">
          <w:rPr>
            <w:rStyle w:val="Hyperlink"/>
            <w:rFonts w:ascii="Arial" w:hAnsi="Arial" w:cs="Arial"/>
          </w:rPr>
          <w:t>https://doi.org/10.3390/admsci15050179</w:t>
        </w:r>
      </w:hyperlink>
      <w:r w:rsidRPr="00AA39C4">
        <w:rPr>
          <w:rFonts w:ascii="Arial" w:hAnsi="Arial" w:cs="Arial"/>
        </w:rPr>
        <w:t xml:space="preserve"> </w:t>
      </w:r>
    </w:p>
    <w:p w14:paraId="32B3ABB5" w14:textId="711616BF"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Singh, A.J. and Wang, B., 2021. Impact of COVID-19 on the hospitality industry and implication for operations and asset management. Accounting &amp; Finance. </w:t>
      </w:r>
      <w:hyperlink r:id="rId41" w:history="1">
        <w:r w:rsidRPr="00AA39C4">
          <w:rPr>
            <w:rStyle w:val="Hyperlink"/>
            <w:rFonts w:ascii="Arial" w:hAnsi="Arial" w:cs="Arial"/>
          </w:rPr>
          <w:t>https://www.bu.edu/bhr/files/2021/05/Singh_Impact-of-COVID_BHR-PDF-TEMPLATE-July-2021.docx.pdf</w:t>
        </w:r>
      </w:hyperlink>
      <w:r w:rsidRPr="00AA39C4">
        <w:rPr>
          <w:rFonts w:ascii="Arial" w:hAnsi="Arial" w:cs="Arial"/>
        </w:rPr>
        <w:t xml:space="preserve"> </w:t>
      </w:r>
    </w:p>
    <w:p w14:paraId="31CF009E" w14:textId="174CA74B"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Tascón, M.T., Castro, P. and </w:t>
      </w:r>
      <w:proofErr w:type="spellStart"/>
      <w:r w:rsidRPr="00AA39C4">
        <w:rPr>
          <w:rFonts w:ascii="Arial" w:hAnsi="Arial" w:cs="Arial"/>
        </w:rPr>
        <w:t>Valdunciel</w:t>
      </w:r>
      <w:proofErr w:type="spellEnd"/>
      <w:r w:rsidRPr="00AA39C4">
        <w:rPr>
          <w:rFonts w:ascii="Arial" w:hAnsi="Arial" w:cs="Arial"/>
        </w:rPr>
        <w:t xml:space="preserve">, L., 2024. Effects of financial restrictions on firms’ financial resilience against the COVID-19 pandemic: evidence from the European hospitality industry. Applied Economics, 56(58), pp.8226-8241. </w:t>
      </w:r>
      <w:hyperlink r:id="rId42" w:history="1">
        <w:r w:rsidRPr="00AA39C4">
          <w:rPr>
            <w:rStyle w:val="Hyperlink"/>
            <w:rFonts w:ascii="Arial" w:hAnsi="Arial" w:cs="Arial"/>
          </w:rPr>
          <w:t>https://doi.org/10.1080/00036846.2023.2289951</w:t>
        </w:r>
      </w:hyperlink>
      <w:r w:rsidRPr="00AA39C4">
        <w:rPr>
          <w:rFonts w:ascii="Arial" w:hAnsi="Arial" w:cs="Arial"/>
        </w:rPr>
        <w:t xml:space="preserve"> </w:t>
      </w:r>
    </w:p>
    <w:p w14:paraId="6D577A46" w14:textId="1525439C" w:rsidR="005A2BB0" w:rsidRPr="00AA39C4" w:rsidRDefault="005A2BB0" w:rsidP="00AA39C4">
      <w:pPr>
        <w:pStyle w:val="ListParagraph"/>
        <w:numPr>
          <w:ilvl w:val="0"/>
          <w:numId w:val="9"/>
        </w:numPr>
        <w:spacing w:line="360" w:lineRule="auto"/>
        <w:jc w:val="both"/>
        <w:rPr>
          <w:rFonts w:ascii="Arial" w:hAnsi="Arial" w:cs="Arial"/>
        </w:rPr>
      </w:pPr>
      <w:r w:rsidRPr="00AA39C4">
        <w:rPr>
          <w:rFonts w:ascii="Arial" w:hAnsi="Arial" w:cs="Arial"/>
        </w:rPr>
        <w:t xml:space="preserve">Zahidi, F., </w:t>
      </w:r>
      <w:proofErr w:type="spellStart"/>
      <w:r w:rsidRPr="00AA39C4">
        <w:rPr>
          <w:rFonts w:ascii="Arial" w:hAnsi="Arial" w:cs="Arial"/>
        </w:rPr>
        <w:t>Kaluvilla</w:t>
      </w:r>
      <w:proofErr w:type="spellEnd"/>
      <w:r w:rsidRPr="00AA39C4">
        <w:rPr>
          <w:rFonts w:ascii="Arial" w:hAnsi="Arial" w:cs="Arial"/>
        </w:rPr>
        <w:t xml:space="preserve">, B.B. and Mulla, T., 2024. Embracing the new era: Artificial intelligence and its multifaceted impact on the hospitality industry. Journal of Open Innovation: Technology, Market, and Complexity, 10(4), p.100390. </w:t>
      </w:r>
      <w:hyperlink r:id="rId43" w:history="1">
        <w:r w:rsidRPr="00AA39C4">
          <w:rPr>
            <w:rStyle w:val="Hyperlink"/>
            <w:rFonts w:ascii="Arial" w:hAnsi="Arial" w:cs="Arial"/>
          </w:rPr>
          <w:t>https://doi.org/10.1016/j.joitmc.2024.100390</w:t>
        </w:r>
      </w:hyperlink>
      <w:r w:rsidRPr="00AA39C4">
        <w:rPr>
          <w:rFonts w:ascii="Arial" w:hAnsi="Arial" w:cs="Arial"/>
        </w:rPr>
        <w:t xml:space="preserve"> </w:t>
      </w:r>
    </w:p>
    <w:p w14:paraId="1E9B36F4" w14:textId="77777777" w:rsidR="00ED1531" w:rsidRDefault="00ED1531" w:rsidP="002033B2">
      <w:pPr>
        <w:spacing w:line="360" w:lineRule="auto"/>
        <w:jc w:val="both"/>
        <w:rPr>
          <w:rFonts w:ascii="Arial" w:eastAsia="Aptos" w:hAnsi="Arial" w:cs="Arial"/>
          <w:b/>
          <w:bCs/>
          <w:kern w:val="0"/>
          <w:sz w:val="22"/>
          <w:szCs w:val="22"/>
          <w:u w:val="single"/>
        </w:rPr>
      </w:pPr>
    </w:p>
    <w:sectPr w:rsidR="00ED15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BCCC6" w14:textId="77777777" w:rsidR="00BC1769" w:rsidRDefault="00BC1769" w:rsidP="0061278F">
      <w:pPr>
        <w:spacing w:after="0" w:line="240" w:lineRule="auto"/>
      </w:pPr>
      <w:r>
        <w:separator/>
      </w:r>
    </w:p>
  </w:endnote>
  <w:endnote w:type="continuationSeparator" w:id="0">
    <w:p w14:paraId="48A19A60" w14:textId="77777777" w:rsidR="00BC1769" w:rsidRDefault="00BC1769"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9310D" w14:textId="77777777" w:rsidR="00BC1769" w:rsidRDefault="00BC1769" w:rsidP="0061278F">
      <w:pPr>
        <w:spacing w:after="0" w:line="240" w:lineRule="auto"/>
      </w:pPr>
      <w:r>
        <w:separator/>
      </w:r>
    </w:p>
  </w:footnote>
  <w:footnote w:type="continuationSeparator" w:id="0">
    <w:p w14:paraId="663F7136" w14:textId="77777777" w:rsidR="00BC1769" w:rsidRDefault="00BC1769"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98F"/>
    <w:multiLevelType w:val="hybridMultilevel"/>
    <w:tmpl w:val="A29EF834"/>
    <w:lvl w:ilvl="0" w:tplc="362A3F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91D90"/>
    <w:multiLevelType w:val="hybridMultilevel"/>
    <w:tmpl w:val="C0E24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3"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6" w15:restartNumberingAfterBreak="0">
    <w:nsid w:val="41DF4C0F"/>
    <w:multiLevelType w:val="hybridMultilevel"/>
    <w:tmpl w:val="AE6E56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839209">
    <w:abstractNumId w:val="3"/>
  </w:num>
  <w:num w:numId="2" w16cid:durableId="2033800840">
    <w:abstractNumId w:val="8"/>
  </w:num>
  <w:num w:numId="3" w16cid:durableId="354770558">
    <w:abstractNumId w:val="7"/>
  </w:num>
  <w:num w:numId="4" w16cid:durableId="291056622">
    <w:abstractNumId w:val="5"/>
  </w:num>
  <w:num w:numId="5" w16cid:durableId="1482846321">
    <w:abstractNumId w:val="2"/>
  </w:num>
  <w:num w:numId="6" w16cid:durableId="522132462">
    <w:abstractNumId w:val="4"/>
  </w:num>
  <w:num w:numId="7" w16cid:durableId="557908113">
    <w:abstractNumId w:val="6"/>
  </w:num>
  <w:num w:numId="8" w16cid:durableId="1075279869">
    <w:abstractNumId w:val="0"/>
  </w:num>
  <w:num w:numId="9" w16cid:durableId="1643733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026E6"/>
    <w:rsid w:val="000307B4"/>
    <w:rsid w:val="00044305"/>
    <w:rsid w:val="00045C45"/>
    <w:rsid w:val="0006278B"/>
    <w:rsid w:val="000653FC"/>
    <w:rsid w:val="000673F0"/>
    <w:rsid w:val="000732C0"/>
    <w:rsid w:val="000A5E82"/>
    <w:rsid w:val="000E0921"/>
    <w:rsid w:val="001145AB"/>
    <w:rsid w:val="00187CEC"/>
    <w:rsid w:val="00192E81"/>
    <w:rsid w:val="001A70B3"/>
    <w:rsid w:val="002033B2"/>
    <w:rsid w:val="00205908"/>
    <w:rsid w:val="00210E5E"/>
    <w:rsid w:val="0021614A"/>
    <w:rsid w:val="00217FEE"/>
    <w:rsid w:val="002B6FAD"/>
    <w:rsid w:val="002C119C"/>
    <w:rsid w:val="00304640"/>
    <w:rsid w:val="0032669F"/>
    <w:rsid w:val="00334E3C"/>
    <w:rsid w:val="003455A2"/>
    <w:rsid w:val="003478E9"/>
    <w:rsid w:val="00387C5F"/>
    <w:rsid w:val="00392152"/>
    <w:rsid w:val="003C6873"/>
    <w:rsid w:val="003D5B70"/>
    <w:rsid w:val="003F3830"/>
    <w:rsid w:val="003F4804"/>
    <w:rsid w:val="004124FC"/>
    <w:rsid w:val="00425AE7"/>
    <w:rsid w:val="0043232D"/>
    <w:rsid w:val="00463F09"/>
    <w:rsid w:val="004649A9"/>
    <w:rsid w:val="0048375C"/>
    <w:rsid w:val="00485FBA"/>
    <w:rsid w:val="00493249"/>
    <w:rsid w:val="004961B9"/>
    <w:rsid w:val="004C1A06"/>
    <w:rsid w:val="004D76F6"/>
    <w:rsid w:val="004F2154"/>
    <w:rsid w:val="00551FD5"/>
    <w:rsid w:val="0055393F"/>
    <w:rsid w:val="00563253"/>
    <w:rsid w:val="005948EE"/>
    <w:rsid w:val="005A2BB0"/>
    <w:rsid w:val="005A6508"/>
    <w:rsid w:val="005C0F65"/>
    <w:rsid w:val="005C2239"/>
    <w:rsid w:val="005D6A42"/>
    <w:rsid w:val="005E4366"/>
    <w:rsid w:val="005E6D0E"/>
    <w:rsid w:val="005E761C"/>
    <w:rsid w:val="005F0A9E"/>
    <w:rsid w:val="0061278F"/>
    <w:rsid w:val="006160AE"/>
    <w:rsid w:val="0064638E"/>
    <w:rsid w:val="00654E22"/>
    <w:rsid w:val="0068200E"/>
    <w:rsid w:val="006823AC"/>
    <w:rsid w:val="0069747D"/>
    <w:rsid w:val="006B261B"/>
    <w:rsid w:val="006C710F"/>
    <w:rsid w:val="00710918"/>
    <w:rsid w:val="00726794"/>
    <w:rsid w:val="00730821"/>
    <w:rsid w:val="00742877"/>
    <w:rsid w:val="00755B4D"/>
    <w:rsid w:val="007709B8"/>
    <w:rsid w:val="007D2F58"/>
    <w:rsid w:val="007E3DA6"/>
    <w:rsid w:val="007F18A7"/>
    <w:rsid w:val="007F2D0A"/>
    <w:rsid w:val="00874574"/>
    <w:rsid w:val="008B4A94"/>
    <w:rsid w:val="008E3E93"/>
    <w:rsid w:val="0090090C"/>
    <w:rsid w:val="00927769"/>
    <w:rsid w:val="0093025E"/>
    <w:rsid w:val="00942C55"/>
    <w:rsid w:val="009F2DDF"/>
    <w:rsid w:val="00A02515"/>
    <w:rsid w:val="00A053B9"/>
    <w:rsid w:val="00A1146B"/>
    <w:rsid w:val="00A54504"/>
    <w:rsid w:val="00A62955"/>
    <w:rsid w:val="00A718E2"/>
    <w:rsid w:val="00AA39C4"/>
    <w:rsid w:val="00AB375F"/>
    <w:rsid w:val="00AE3898"/>
    <w:rsid w:val="00AF32F5"/>
    <w:rsid w:val="00AF42D2"/>
    <w:rsid w:val="00B16495"/>
    <w:rsid w:val="00B213E2"/>
    <w:rsid w:val="00B229A0"/>
    <w:rsid w:val="00B34549"/>
    <w:rsid w:val="00B475FE"/>
    <w:rsid w:val="00B51427"/>
    <w:rsid w:val="00B531E4"/>
    <w:rsid w:val="00B54392"/>
    <w:rsid w:val="00B7324C"/>
    <w:rsid w:val="00B744F7"/>
    <w:rsid w:val="00B85878"/>
    <w:rsid w:val="00BC1769"/>
    <w:rsid w:val="00BC2F7F"/>
    <w:rsid w:val="00C3186B"/>
    <w:rsid w:val="00C76909"/>
    <w:rsid w:val="00CA0AD0"/>
    <w:rsid w:val="00CA6843"/>
    <w:rsid w:val="00CB5DB1"/>
    <w:rsid w:val="00CC3CA3"/>
    <w:rsid w:val="00CE5721"/>
    <w:rsid w:val="00CF694D"/>
    <w:rsid w:val="00D063FF"/>
    <w:rsid w:val="00D1378C"/>
    <w:rsid w:val="00D217F4"/>
    <w:rsid w:val="00D84D68"/>
    <w:rsid w:val="00D933E0"/>
    <w:rsid w:val="00D95E74"/>
    <w:rsid w:val="00DC185E"/>
    <w:rsid w:val="00DC2473"/>
    <w:rsid w:val="00DD5A4A"/>
    <w:rsid w:val="00DE1B6C"/>
    <w:rsid w:val="00E7339E"/>
    <w:rsid w:val="00E77868"/>
    <w:rsid w:val="00E90171"/>
    <w:rsid w:val="00EB031D"/>
    <w:rsid w:val="00EC22DD"/>
    <w:rsid w:val="00ED1531"/>
    <w:rsid w:val="00EF0632"/>
    <w:rsid w:val="00F10A0D"/>
    <w:rsid w:val="00F45612"/>
    <w:rsid w:val="00F56EF4"/>
    <w:rsid w:val="00F72CBB"/>
    <w:rsid w:val="00F765F7"/>
    <w:rsid w:val="00F81F2C"/>
    <w:rsid w:val="00F82B5B"/>
    <w:rsid w:val="00F95E1A"/>
    <w:rsid w:val="00FC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 w:type="paragraph" w:styleId="NormalWeb">
    <w:name w:val="Normal (Web)"/>
    <w:basedOn w:val="Normal"/>
    <w:uiPriority w:val="99"/>
    <w:semiHidden/>
    <w:unhideWhenUsed/>
    <w:rsid w:val="00217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5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bre.com/insights/reports/h2-2025-global-hotel-outlook" TargetMode="External"/><Relationship Id="rId18" Type="http://schemas.openxmlformats.org/officeDocument/2006/relationships/hyperlink" Target="https://finance.ec.europa.eu/publications/commission-adopts-quick-fix-companies-already-conducting-corporate-sustainability-reporting_en" TargetMode="External"/><Relationship Id="rId26" Type="http://schemas.openxmlformats.org/officeDocument/2006/relationships/hyperlink" Target="https://doi.org/10.1108/IJCHM-07-2014-0347" TargetMode="External"/><Relationship Id="rId39" Type="http://schemas.openxmlformats.org/officeDocument/2006/relationships/hyperlink" Target="https://doi.org/10.62154/mrc8sg85" TargetMode="External"/><Relationship Id="rId21" Type="http://schemas.openxmlformats.org/officeDocument/2006/relationships/hyperlink" Target="https://www.hvs.com/article/10120/hvs-2025-european-hotel-valuation-index" TargetMode="External"/><Relationship Id="rId34" Type="http://schemas.openxmlformats.org/officeDocument/2006/relationships/hyperlink" Target="https://doi.org/10.1016/j.ijhm.2013.01.007" TargetMode="External"/><Relationship Id="rId42" Type="http://schemas.openxmlformats.org/officeDocument/2006/relationships/hyperlink" Target="https://doi.org/10.1080/00036846.2023.2289951"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390/tourhosp6010046" TargetMode="External"/><Relationship Id="rId29" Type="http://schemas.openxmlformats.org/officeDocument/2006/relationships/hyperlink" Target="https://doi.org/10.3390/ijfs120401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628-021-00477-2" TargetMode="External"/><Relationship Id="rId24" Type="http://schemas.openxmlformats.org/officeDocument/2006/relationships/hyperlink" Target="https://www.academia.edu/download/124522906/C22260210321.pdf" TargetMode="External"/><Relationship Id="rId32" Type="http://schemas.openxmlformats.org/officeDocument/2006/relationships/hyperlink" Target="https://tosee.fthm.hr/images/proceedings/2017/21_KrstinicNizic_Trinajstic_Blazevic.pdf" TargetMode="External"/><Relationship Id="rId37" Type="http://schemas.openxmlformats.org/officeDocument/2006/relationships/hyperlink" Target="https://www.academia.edu/download/111706185/annals-2009-part2.pdf" TargetMode="External"/><Relationship Id="rId40" Type="http://schemas.openxmlformats.org/officeDocument/2006/relationships/hyperlink" Target="https://doi.org/10.3390/admsci15050179"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loitte.com/content/dam/assets-zone3/us/en/docs/industries/consumer/2024/us-cnsr-2025-travel-industry-outlook.pdf" TargetMode="External"/><Relationship Id="rId23" Type="http://schemas.openxmlformats.org/officeDocument/2006/relationships/hyperlink" Target="https://doi.org/10.47941/jmh.1557" TargetMode="External"/><Relationship Id="rId28" Type="http://schemas.openxmlformats.org/officeDocument/2006/relationships/hyperlink" Target="https://www.researchgate.net/publication/341945595_Volatility_Uncertainty_and_Hotel_Capacity" TargetMode="External"/><Relationship Id="rId36" Type="http://schemas.openxmlformats.org/officeDocument/2006/relationships/hyperlink" Target="https://www.pwc.com/us/en/industries/financial-services/library/implications-of-rising-insurance-costs.html" TargetMode="External"/><Relationship Id="rId10" Type="http://schemas.openxmlformats.org/officeDocument/2006/relationships/hyperlink" Target="https://strathprints.strath.ac.uk/73031/1/Baum_etal_IJCHM_2020_COVID_19s_impact_on_the_hospitality_workforce.pdf" TargetMode="External"/><Relationship Id="rId19" Type="http://schemas.openxmlformats.org/officeDocument/2006/relationships/hyperlink" Target="http://ftc.gov/news-events/news/press-releases/2024/12/federal-trade-commission-announces-bipartisan-rule-banning-junk-ticket-hotel-fees" TargetMode="External"/><Relationship Id="rId31" Type="http://schemas.openxmlformats.org/officeDocument/2006/relationships/hyperlink" Target="https://www.netsuite.com/portal/resource/articles/erp/hospitality-industry-challenges.s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IJCHM-03-2020-0242" TargetMode="External"/><Relationship Id="rId14" Type="http://schemas.openxmlformats.org/officeDocument/2006/relationships/hyperlink" Target="https://doi.org/10.1016/j.tourman.2009.07.011" TargetMode="External"/><Relationship Id="rId22" Type="http://schemas.openxmlformats.org/officeDocument/2006/relationships/hyperlink" Target="https://papers.ssrn.com/sol3/Delivery.cfm?abstractid=3007577" TargetMode="External"/><Relationship Id="rId27" Type="http://schemas.openxmlformats.org/officeDocument/2006/relationships/hyperlink" Target="https://www.kovlystudio.com/journal/hotel-marketing-strategy-how-to-drive-direct-bookings-and-reduce-ota-dependence" TargetMode="External"/><Relationship Id="rId30" Type="http://schemas.openxmlformats.org/officeDocument/2006/relationships/hyperlink" Target="https://arxiv.org/pdf/2411.04640" TargetMode="External"/><Relationship Id="rId35" Type="http://schemas.openxmlformats.org/officeDocument/2006/relationships/hyperlink" Target="https://www.pwc.com/us/en/industries/consumer-markets/library/hospitality-stability-and-growth.html" TargetMode="External"/><Relationship Id="rId43" Type="http://schemas.openxmlformats.org/officeDocument/2006/relationships/hyperlink" Target="https://doi.org/10.1016/j.joitmc.2024.100390" TargetMode="External"/><Relationship Id="rId8" Type="http://schemas.openxmlformats.org/officeDocument/2006/relationships/hyperlink" Target="https://www.ahla.com/sites/default/files/25_SOTI.pdf" TargetMode="External"/><Relationship Id="rId3" Type="http://schemas.openxmlformats.org/officeDocument/2006/relationships/settings" Target="settings.xml"/><Relationship Id="rId12" Type="http://schemas.openxmlformats.org/officeDocument/2006/relationships/hyperlink" Target="https://doi.org/10.1108/JHTI-09-2022-0435" TargetMode="External"/><Relationship Id="rId17" Type="http://schemas.openxmlformats.org/officeDocument/2006/relationships/hyperlink" Target="https://www.ecb.europa.eu/stats/ecb_surveys/bank_lending_survey/html/ecb.blssurvey2024q4~e1ddae0f19.en.html" TargetMode="External"/><Relationship Id="rId25" Type="http://schemas.openxmlformats.org/officeDocument/2006/relationships/hyperlink" Target="https://doi.org/10.1057/rpm.2016.27" TargetMode="External"/><Relationship Id="rId33" Type="http://schemas.openxmlformats.org/officeDocument/2006/relationships/hyperlink" Target="https://www.researchgate.net/profile/Anfo-Pub-2/publication/387998064_Enhancing_Energy_Efficiency_in_Retail_through_Policy-Driven_Energy_Audits_and_Conservation_Measures/links/678666bc55274940f126ae87/Enhancing-Energy-Efficiency-in-Retail-through-Policy-Driven-Energy-Audits-and-Conservation-Measures.pdf" TargetMode="External"/><Relationship Id="rId38" Type="http://schemas.openxmlformats.org/officeDocument/2006/relationships/hyperlink" Target="https://doi.org/10.3390/ijerph19159724" TargetMode="External"/><Relationship Id="rId20" Type="http://schemas.openxmlformats.org/officeDocument/2006/relationships/hyperlink" Target="https://doi.org/10.1016/j.hrmr.2024.101075" TargetMode="External"/><Relationship Id="rId41" Type="http://schemas.openxmlformats.org/officeDocument/2006/relationships/hyperlink" Target="https://www.bu.edu/bhr/files/2021/05/Singh_Impact-of-COVID_BHR-PDF-TEMPLATE-July-2021.doc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TotalTime>
  <Pages>18</Pages>
  <Words>5118</Words>
  <Characters>29175</Characters>
  <Application>Microsoft Office Word</Application>
  <DocSecurity>0</DocSecurity>
  <Lines>243</Lines>
  <Paragraphs>68</Paragraphs>
  <ScaleCrop>false</ScaleCrop>
  <Company/>
  <LinksUpToDate>false</LinksUpToDate>
  <CharactersWithSpaces>34225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133</cp:revision>
  <dcterms:created xsi:type="dcterms:W3CDTF">2024-11-07T21:22:00Z</dcterms:created>
  <dcterms:modified xsi:type="dcterms:W3CDTF">2025-10-30T13:59:00Z</dcterms:modified>
</cp:coreProperties>
</file>