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2669" w:rsidRDefault="00541552" w:rsidP="004A2669">
      <w:pPr>
        <w:pStyle w:val="Title"/>
        <w:rPr>
          <w:rFonts w:ascii="Times New Roman" w:hAnsi="Times New Roman" w:cs="Times New Roman"/>
          <w:color w:val="000000" w:themeColor="text1"/>
          <w:sz w:val="24"/>
        </w:rPr>
      </w:pPr>
      <w:r>
        <w:rPr>
          <w:noProof/>
          <w:lang w:val="en-US"/>
        </w:rPr>
        <w:drawing>
          <wp:inline distT="0" distB="0" distL="0" distR="0" wp14:anchorId="569C2507" wp14:editId="3F4572A8">
            <wp:extent cx="1047750" cy="638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47750" cy="638175"/>
                    </a:xfrm>
                    <a:prstGeom prst="rect">
                      <a:avLst/>
                    </a:prstGeom>
                  </pic:spPr>
                </pic:pic>
              </a:graphicData>
            </a:graphic>
          </wp:inline>
        </w:drawing>
      </w:r>
    </w:p>
    <w:p w:rsidR="00541552" w:rsidRPr="00541552" w:rsidRDefault="00541552" w:rsidP="00541552"/>
    <w:p w:rsidR="004A2669" w:rsidRDefault="004A2669" w:rsidP="004A2669">
      <w:pPr>
        <w:pStyle w:val="Title"/>
        <w:jc w:val="center"/>
        <w:rPr>
          <w:color w:val="000000" w:themeColor="text1"/>
        </w:rPr>
      </w:pPr>
    </w:p>
    <w:p w:rsidR="004A2669" w:rsidRDefault="004A2669" w:rsidP="004A2669">
      <w:pPr>
        <w:pStyle w:val="Title"/>
        <w:jc w:val="center"/>
        <w:rPr>
          <w:color w:val="000000" w:themeColor="text1"/>
        </w:rPr>
      </w:pPr>
    </w:p>
    <w:p w:rsidR="00541552" w:rsidRDefault="00541552" w:rsidP="004A2669">
      <w:pPr>
        <w:pStyle w:val="Title"/>
        <w:jc w:val="center"/>
        <w:rPr>
          <w:rFonts w:ascii="Times New Roman" w:hAnsi="Times New Roman" w:cs="Times New Roman"/>
          <w:color w:val="000000" w:themeColor="text1"/>
        </w:rPr>
      </w:pPr>
    </w:p>
    <w:p w:rsidR="004A2669" w:rsidRPr="00490718" w:rsidRDefault="004A2669" w:rsidP="004A2669">
      <w:pPr>
        <w:pStyle w:val="Title"/>
        <w:jc w:val="center"/>
        <w:rPr>
          <w:rFonts w:ascii="Times New Roman" w:hAnsi="Times New Roman" w:cs="Times New Roman"/>
          <w:color w:val="000000" w:themeColor="text1"/>
        </w:rPr>
      </w:pPr>
      <w:r w:rsidRPr="00490718">
        <w:rPr>
          <w:rFonts w:ascii="Times New Roman" w:hAnsi="Times New Roman" w:cs="Times New Roman"/>
          <w:color w:val="000000" w:themeColor="text1"/>
        </w:rPr>
        <w:t>BA Business Management</w:t>
      </w:r>
    </w:p>
    <w:p w:rsidR="004A2669" w:rsidRDefault="004A2669" w:rsidP="004A2669">
      <w:pPr>
        <w:pStyle w:val="Title"/>
        <w:jc w:val="center"/>
        <w:rPr>
          <w:rFonts w:ascii="Times New Roman" w:hAnsi="Times New Roman" w:cs="Times New Roman"/>
          <w:color w:val="000000" w:themeColor="text1"/>
        </w:rPr>
      </w:pPr>
      <w:r w:rsidRPr="00490718">
        <w:rPr>
          <w:rFonts w:ascii="Times New Roman" w:hAnsi="Times New Roman" w:cs="Times New Roman"/>
          <w:color w:val="000000" w:themeColor="text1"/>
        </w:rPr>
        <w:t>Community Engagement</w:t>
      </w:r>
    </w:p>
    <w:p w:rsidR="004A2669" w:rsidRPr="00490718" w:rsidRDefault="004A2669" w:rsidP="004A2669">
      <w:pPr>
        <w:jc w:val="center"/>
        <w:rPr>
          <w:sz w:val="52"/>
        </w:rPr>
      </w:pPr>
      <w:r w:rsidRPr="00490718">
        <w:rPr>
          <w:sz w:val="52"/>
        </w:rPr>
        <w:t>LCBB4002</w:t>
      </w:r>
    </w:p>
    <w:p w:rsidR="00C37AD3" w:rsidRDefault="00C37AD3" w:rsidP="00C37AD3">
      <w:pPr>
        <w:jc w:val="center"/>
        <w:rPr>
          <w:rFonts w:asciiTheme="majorHAnsi" w:eastAsiaTheme="majorEastAsia" w:hAnsiTheme="majorHAnsi" w:cstheme="majorBidi"/>
          <w:color w:val="auto"/>
          <w:spacing w:val="-10"/>
          <w:kern w:val="28"/>
          <w:sz w:val="56"/>
          <w:szCs w:val="56"/>
        </w:rPr>
      </w:pPr>
    </w:p>
    <w:p w:rsidR="00541552" w:rsidRDefault="00541552" w:rsidP="00C37AD3">
      <w:pPr>
        <w:jc w:val="center"/>
        <w:rPr>
          <w:rFonts w:asciiTheme="majorHAnsi" w:eastAsiaTheme="majorEastAsia" w:hAnsiTheme="majorHAnsi" w:cstheme="majorBidi"/>
          <w:color w:val="auto"/>
          <w:spacing w:val="-10"/>
          <w:kern w:val="28"/>
          <w:sz w:val="56"/>
          <w:szCs w:val="56"/>
        </w:rPr>
      </w:pPr>
    </w:p>
    <w:p w:rsidR="00541552" w:rsidRDefault="00541552" w:rsidP="00C37AD3">
      <w:pPr>
        <w:jc w:val="center"/>
        <w:rPr>
          <w:rFonts w:asciiTheme="majorHAnsi" w:eastAsiaTheme="majorEastAsia" w:hAnsiTheme="majorHAnsi" w:cstheme="majorBidi"/>
          <w:color w:val="auto"/>
          <w:spacing w:val="-10"/>
          <w:kern w:val="28"/>
          <w:sz w:val="56"/>
          <w:szCs w:val="56"/>
        </w:rPr>
      </w:pPr>
    </w:p>
    <w:p w:rsidR="00541552" w:rsidRDefault="00541552" w:rsidP="00C37AD3">
      <w:pPr>
        <w:jc w:val="center"/>
        <w:rPr>
          <w:rFonts w:asciiTheme="majorHAnsi" w:eastAsiaTheme="majorEastAsia" w:hAnsiTheme="majorHAnsi" w:cstheme="majorBidi"/>
          <w:color w:val="auto"/>
          <w:spacing w:val="-10"/>
          <w:kern w:val="28"/>
          <w:szCs w:val="24"/>
        </w:rPr>
      </w:pPr>
    </w:p>
    <w:p w:rsidR="00541552" w:rsidRDefault="00541552" w:rsidP="00C37AD3">
      <w:pPr>
        <w:jc w:val="center"/>
        <w:rPr>
          <w:rFonts w:asciiTheme="majorHAnsi" w:eastAsiaTheme="majorEastAsia" w:hAnsiTheme="majorHAnsi" w:cstheme="majorBidi"/>
          <w:color w:val="auto"/>
          <w:spacing w:val="-10"/>
          <w:kern w:val="28"/>
          <w:szCs w:val="24"/>
        </w:rPr>
      </w:pPr>
    </w:p>
    <w:p w:rsidR="00541552" w:rsidRDefault="00541552" w:rsidP="00C37AD3">
      <w:pPr>
        <w:jc w:val="center"/>
        <w:rPr>
          <w:rFonts w:asciiTheme="majorHAnsi" w:eastAsiaTheme="majorEastAsia" w:hAnsiTheme="majorHAnsi" w:cstheme="majorBidi"/>
          <w:color w:val="auto"/>
          <w:spacing w:val="-10"/>
          <w:kern w:val="28"/>
          <w:szCs w:val="24"/>
        </w:rPr>
      </w:pPr>
    </w:p>
    <w:p w:rsidR="00541552" w:rsidRPr="001A3D8F" w:rsidRDefault="00541552" w:rsidP="00541552">
      <w:pPr>
        <w:pStyle w:val="NoSpacing"/>
        <w:rPr>
          <w:b/>
          <w:sz w:val="28"/>
          <w:szCs w:val="28"/>
        </w:rPr>
      </w:pPr>
      <w:r>
        <w:rPr>
          <w:rFonts w:asciiTheme="majorHAnsi" w:eastAsiaTheme="majorEastAsia" w:hAnsiTheme="majorHAnsi" w:cstheme="majorBidi"/>
          <w:spacing w:val="-10"/>
          <w:kern w:val="28"/>
          <w:szCs w:val="24"/>
        </w:rPr>
        <w:t xml:space="preserve">               </w:t>
      </w:r>
      <w:r>
        <w:rPr>
          <w:b/>
          <w:sz w:val="32"/>
          <w:szCs w:val="32"/>
        </w:rPr>
        <w:t xml:space="preserve">                                  </w:t>
      </w:r>
      <w:r>
        <w:rPr>
          <w:b/>
          <w:sz w:val="32"/>
          <w:szCs w:val="32"/>
        </w:rPr>
        <w:t xml:space="preserve">                     </w:t>
      </w:r>
      <w:r>
        <w:rPr>
          <w:b/>
          <w:sz w:val="32"/>
          <w:szCs w:val="32"/>
        </w:rPr>
        <w:t xml:space="preserve">   </w:t>
      </w:r>
      <w:r w:rsidRPr="001A3D8F">
        <w:rPr>
          <w:b/>
          <w:sz w:val="28"/>
          <w:szCs w:val="28"/>
        </w:rPr>
        <w:t>Student name- Bianca Cristina Petre</w:t>
      </w:r>
    </w:p>
    <w:p w:rsidR="00541552" w:rsidRPr="001A3D8F" w:rsidRDefault="00541552" w:rsidP="00541552">
      <w:pPr>
        <w:pStyle w:val="NoSpacing"/>
        <w:rPr>
          <w:b/>
          <w:sz w:val="28"/>
          <w:szCs w:val="28"/>
        </w:rPr>
      </w:pPr>
      <w:r w:rsidRPr="001A3D8F">
        <w:rPr>
          <w:b/>
          <w:sz w:val="28"/>
          <w:szCs w:val="28"/>
        </w:rPr>
        <w:t xml:space="preserve">                            </w:t>
      </w:r>
      <w:r>
        <w:rPr>
          <w:b/>
          <w:sz w:val="28"/>
          <w:szCs w:val="28"/>
        </w:rPr>
        <w:t xml:space="preserve">                                                            </w:t>
      </w:r>
      <w:r w:rsidRPr="001A3D8F">
        <w:rPr>
          <w:b/>
          <w:sz w:val="28"/>
          <w:szCs w:val="28"/>
        </w:rPr>
        <w:t>Student number-</w:t>
      </w:r>
      <w:r>
        <w:rPr>
          <w:b/>
          <w:sz w:val="28"/>
          <w:szCs w:val="28"/>
        </w:rPr>
        <w:t>2029609</w:t>
      </w:r>
    </w:p>
    <w:p w:rsidR="00541552" w:rsidRDefault="008B7FCA" w:rsidP="00541552">
      <w:pPr>
        <w:pStyle w:val="TOCHeading"/>
      </w:pPr>
      <w:bookmarkStart w:id="0" w:name="_GoBack"/>
      <w:bookmarkEnd w:id="0"/>
      <w:r>
        <w:br w:type="page"/>
      </w:r>
    </w:p>
    <w:sdt>
      <w:sdtPr>
        <w:rPr>
          <w:rFonts w:eastAsiaTheme="minorHAnsi" w:cstheme="minorBidi"/>
          <w:color w:val="000000" w:themeColor="text1"/>
          <w:sz w:val="24"/>
          <w:szCs w:val="22"/>
          <w:lang w:val="en-GB"/>
        </w:rPr>
        <w:id w:val="1042171579"/>
        <w:docPartObj>
          <w:docPartGallery w:val="Table of Contents"/>
          <w:docPartUnique/>
        </w:docPartObj>
      </w:sdtPr>
      <w:sdtEndPr>
        <w:rPr>
          <w:b/>
          <w:bCs/>
          <w:noProof/>
        </w:rPr>
      </w:sdtEndPr>
      <w:sdtContent>
        <w:p w:rsidR="001834FC" w:rsidRDefault="008B7FCA" w:rsidP="00541552">
          <w:pPr>
            <w:pStyle w:val="TOCHeading"/>
          </w:pPr>
          <w:r>
            <w:t>Table of Contents</w:t>
          </w:r>
        </w:p>
        <w:p w:rsidR="00DF33D0" w:rsidRDefault="008B7FCA">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sidR="001834FC">
            <w:rPr>
              <w:b/>
              <w:bCs/>
              <w:noProof/>
            </w:rPr>
            <w:instrText xml:space="preserve"> TOC \o "1-3" \h \z \u </w:instrText>
          </w:r>
          <w:r>
            <w:rPr>
              <w:b/>
              <w:bCs/>
              <w:noProof/>
            </w:rPr>
            <w:fldChar w:fldCharType="separate"/>
          </w:r>
          <w:hyperlink w:anchor="_Toc79589207" w:history="1">
            <w:r w:rsidRPr="003836BF">
              <w:rPr>
                <w:rStyle w:val="Hyperlink"/>
                <w:noProof/>
              </w:rPr>
              <w:t>Introduction</w:t>
            </w:r>
            <w:r>
              <w:rPr>
                <w:noProof/>
                <w:webHidden/>
              </w:rPr>
              <w:tab/>
            </w:r>
            <w:r>
              <w:rPr>
                <w:noProof/>
                <w:webHidden/>
              </w:rPr>
              <w:fldChar w:fldCharType="begin"/>
            </w:r>
            <w:r>
              <w:rPr>
                <w:noProof/>
                <w:webHidden/>
              </w:rPr>
              <w:instrText xml:space="preserve"> PAGEREF _Toc79589207 \h </w:instrText>
            </w:r>
            <w:r>
              <w:rPr>
                <w:noProof/>
                <w:webHidden/>
              </w:rPr>
            </w:r>
            <w:r>
              <w:rPr>
                <w:noProof/>
                <w:webHidden/>
              </w:rPr>
              <w:fldChar w:fldCharType="separate"/>
            </w:r>
            <w:r>
              <w:rPr>
                <w:noProof/>
                <w:webHidden/>
              </w:rPr>
              <w:t>1</w:t>
            </w:r>
            <w:r>
              <w:rPr>
                <w:noProof/>
                <w:webHidden/>
              </w:rPr>
              <w:fldChar w:fldCharType="end"/>
            </w:r>
          </w:hyperlink>
        </w:p>
        <w:p w:rsidR="00DF33D0" w:rsidRDefault="00710FF2">
          <w:pPr>
            <w:pStyle w:val="TOC1"/>
            <w:tabs>
              <w:tab w:val="right" w:leader="dot" w:pos="9350"/>
            </w:tabs>
            <w:rPr>
              <w:rFonts w:asciiTheme="minorHAnsi" w:eastAsiaTheme="minorEastAsia" w:hAnsiTheme="minorHAnsi"/>
              <w:noProof/>
              <w:color w:val="auto"/>
              <w:sz w:val="22"/>
              <w:lang w:val="en-US"/>
            </w:rPr>
          </w:pPr>
          <w:hyperlink w:anchor="_Toc79589208" w:history="1">
            <w:r w:rsidR="008B7FCA" w:rsidRPr="003836BF">
              <w:rPr>
                <w:rStyle w:val="Hyperlink"/>
                <w:noProof/>
              </w:rPr>
              <w:t>1. Difference between two programs related to community engagement</w:t>
            </w:r>
            <w:r w:rsidR="008B7FCA">
              <w:rPr>
                <w:noProof/>
                <w:webHidden/>
              </w:rPr>
              <w:tab/>
            </w:r>
            <w:r w:rsidR="008B7FCA">
              <w:rPr>
                <w:noProof/>
                <w:webHidden/>
              </w:rPr>
              <w:fldChar w:fldCharType="begin"/>
            </w:r>
            <w:r w:rsidR="008B7FCA">
              <w:rPr>
                <w:noProof/>
                <w:webHidden/>
              </w:rPr>
              <w:instrText xml:space="preserve"> PAGEREF _Toc79589208 \h </w:instrText>
            </w:r>
            <w:r w:rsidR="008B7FCA">
              <w:rPr>
                <w:noProof/>
                <w:webHidden/>
              </w:rPr>
            </w:r>
            <w:r w:rsidR="008B7FCA">
              <w:rPr>
                <w:noProof/>
                <w:webHidden/>
              </w:rPr>
              <w:fldChar w:fldCharType="separate"/>
            </w:r>
            <w:r w:rsidR="008B7FCA">
              <w:rPr>
                <w:noProof/>
                <w:webHidden/>
              </w:rPr>
              <w:t>2</w:t>
            </w:r>
            <w:r w:rsidR="008B7FCA">
              <w:rPr>
                <w:noProof/>
                <w:webHidden/>
              </w:rPr>
              <w:fldChar w:fldCharType="end"/>
            </w:r>
          </w:hyperlink>
        </w:p>
        <w:p w:rsidR="00DF33D0" w:rsidRDefault="00710FF2">
          <w:pPr>
            <w:pStyle w:val="TOC2"/>
            <w:tabs>
              <w:tab w:val="right" w:leader="dot" w:pos="9350"/>
            </w:tabs>
            <w:rPr>
              <w:rFonts w:asciiTheme="minorHAnsi" w:eastAsiaTheme="minorEastAsia" w:hAnsiTheme="minorHAnsi"/>
              <w:noProof/>
              <w:color w:val="auto"/>
              <w:sz w:val="22"/>
              <w:lang w:val="en-US"/>
            </w:rPr>
          </w:pPr>
          <w:hyperlink w:anchor="_Toc79589209" w:history="1">
            <w:r w:rsidR="008B7FCA" w:rsidRPr="003836BF">
              <w:rPr>
                <w:rStyle w:val="Hyperlink"/>
                <w:noProof/>
              </w:rPr>
              <w:t>1.1 SpenditWell Program</w:t>
            </w:r>
            <w:r w:rsidR="008B7FCA">
              <w:rPr>
                <w:noProof/>
                <w:webHidden/>
              </w:rPr>
              <w:tab/>
            </w:r>
            <w:r w:rsidR="008B7FCA">
              <w:rPr>
                <w:noProof/>
                <w:webHidden/>
              </w:rPr>
              <w:fldChar w:fldCharType="begin"/>
            </w:r>
            <w:r w:rsidR="008B7FCA">
              <w:rPr>
                <w:noProof/>
                <w:webHidden/>
              </w:rPr>
              <w:instrText xml:space="preserve"> PAGEREF _Toc79589209 \h </w:instrText>
            </w:r>
            <w:r w:rsidR="008B7FCA">
              <w:rPr>
                <w:noProof/>
                <w:webHidden/>
              </w:rPr>
            </w:r>
            <w:r w:rsidR="008B7FCA">
              <w:rPr>
                <w:noProof/>
                <w:webHidden/>
              </w:rPr>
              <w:fldChar w:fldCharType="separate"/>
            </w:r>
            <w:r w:rsidR="008B7FCA">
              <w:rPr>
                <w:noProof/>
                <w:webHidden/>
              </w:rPr>
              <w:t>2</w:t>
            </w:r>
            <w:r w:rsidR="008B7FCA">
              <w:rPr>
                <w:noProof/>
                <w:webHidden/>
              </w:rPr>
              <w:fldChar w:fldCharType="end"/>
            </w:r>
          </w:hyperlink>
        </w:p>
        <w:p w:rsidR="00DF33D0" w:rsidRDefault="00710FF2">
          <w:pPr>
            <w:pStyle w:val="TOC2"/>
            <w:tabs>
              <w:tab w:val="right" w:leader="dot" w:pos="9350"/>
            </w:tabs>
            <w:rPr>
              <w:rFonts w:asciiTheme="minorHAnsi" w:eastAsiaTheme="minorEastAsia" w:hAnsiTheme="minorHAnsi"/>
              <w:noProof/>
              <w:color w:val="auto"/>
              <w:sz w:val="22"/>
              <w:lang w:val="en-US"/>
            </w:rPr>
          </w:pPr>
          <w:hyperlink w:anchor="_Toc79589210" w:history="1">
            <w:r w:rsidR="008B7FCA" w:rsidRPr="003836BF">
              <w:rPr>
                <w:rStyle w:val="Hyperlink"/>
                <w:noProof/>
              </w:rPr>
              <w:t>1.2 Health Promotional Program</w:t>
            </w:r>
            <w:r w:rsidR="008B7FCA">
              <w:rPr>
                <w:noProof/>
                <w:webHidden/>
              </w:rPr>
              <w:tab/>
            </w:r>
            <w:r w:rsidR="008B7FCA">
              <w:rPr>
                <w:noProof/>
                <w:webHidden/>
              </w:rPr>
              <w:fldChar w:fldCharType="begin"/>
            </w:r>
            <w:r w:rsidR="008B7FCA">
              <w:rPr>
                <w:noProof/>
                <w:webHidden/>
              </w:rPr>
              <w:instrText xml:space="preserve"> PAGEREF _Toc79589210 \h </w:instrText>
            </w:r>
            <w:r w:rsidR="008B7FCA">
              <w:rPr>
                <w:noProof/>
                <w:webHidden/>
              </w:rPr>
            </w:r>
            <w:r w:rsidR="008B7FCA">
              <w:rPr>
                <w:noProof/>
                <w:webHidden/>
              </w:rPr>
              <w:fldChar w:fldCharType="separate"/>
            </w:r>
            <w:r w:rsidR="008B7FCA">
              <w:rPr>
                <w:noProof/>
                <w:webHidden/>
              </w:rPr>
              <w:t>2</w:t>
            </w:r>
            <w:r w:rsidR="008B7FCA">
              <w:rPr>
                <w:noProof/>
                <w:webHidden/>
              </w:rPr>
              <w:fldChar w:fldCharType="end"/>
            </w:r>
          </w:hyperlink>
        </w:p>
        <w:p w:rsidR="00DF33D0" w:rsidRDefault="00710FF2">
          <w:pPr>
            <w:pStyle w:val="TOC2"/>
            <w:tabs>
              <w:tab w:val="right" w:leader="dot" w:pos="9350"/>
            </w:tabs>
            <w:rPr>
              <w:rFonts w:asciiTheme="minorHAnsi" w:eastAsiaTheme="minorEastAsia" w:hAnsiTheme="minorHAnsi"/>
              <w:noProof/>
              <w:color w:val="auto"/>
              <w:sz w:val="22"/>
              <w:lang w:val="en-US"/>
            </w:rPr>
          </w:pPr>
          <w:hyperlink w:anchor="_Toc79589211" w:history="1">
            <w:r w:rsidR="008B7FCA" w:rsidRPr="003836BF">
              <w:rPr>
                <w:rStyle w:val="Hyperlink"/>
                <w:noProof/>
              </w:rPr>
              <w:t>1.3 Major difference between the two projects</w:t>
            </w:r>
            <w:r w:rsidR="008B7FCA">
              <w:rPr>
                <w:noProof/>
                <w:webHidden/>
              </w:rPr>
              <w:tab/>
            </w:r>
            <w:r w:rsidR="008B7FCA">
              <w:rPr>
                <w:noProof/>
                <w:webHidden/>
              </w:rPr>
              <w:fldChar w:fldCharType="begin"/>
            </w:r>
            <w:r w:rsidR="008B7FCA">
              <w:rPr>
                <w:noProof/>
                <w:webHidden/>
              </w:rPr>
              <w:instrText xml:space="preserve"> PAGEREF _Toc79589211 \h </w:instrText>
            </w:r>
            <w:r w:rsidR="008B7FCA">
              <w:rPr>
                <w:noProof/>
                <w:webHidden/>
              </w:rPr>
            </w:r>
            <w:r w:rsidR="008B7FCA">
              <w:rPr>
                <w:noProof/>
                <w:webHidden/>
              </w:rPr>
              <w:fldChar w:fldCharType="separate"/>
            </w:r>
            <w:r w:rsidR="008B7FCA">
              <w:rPr>
                <w:noProof/>
                <w:webHidden/>
              </w:rPr>
              <w:t>3</w:t>
            </w:r>
            <w:r w:rsidR="008B7FCA">
              <w:rPr>
                <w:noProof/>
                <w:webHidden/>
              </w:rPr>
              <w:fldChar w:fldCharType="end"/>
            </w:r>
          </w:hyperlink>
        </w:p>
        <w:p w:rsidR="00DF33D0" w:rsidRDefault="00710FF2">
          <w:pPr>
            <w:pStyle w:val="TOC1"/>
            <w:tabs>
              <w:tab w:val="right" w:leader="dot" w:pos="9350"/>
            </w:tabs>
            <w:rPr>
              <w:rFonts w:asciiTheme="minorHAnsi" w:eastAsiaTheme="minorEastAsia" w:hAnsiTheme="minorHAnsi"/>
              <w:noProof/>
              <w:color w:val="auto"/>
              <w:sz w:val="22"/>
              <w:lang w:val="en-US"/>
            </w:rPr>
          </w:pPr>
          <w:hyperlink w:anchor="_Toc79589212" w:history="1">
            <w:r w:rsidR="008B7FCA" w:rsidRPr="003836BF">
              <w:rPr>
                <w:rStyle w:val="Hyperlink"/>
                <w:noProof/>
              </w:rPr>
              <w:t>2. Efficient communication, involvement and inclusion by engaged stakeholders can contribute to effective community participation</w:t>
            </w:r>
            <w:r w:rsidR="008B7FCA">
              <w:rPr>
                <w:noProof/>
                <w:webHidden/>
              </w:rPr>
              <w:tab/>
            </w:r>
            <w:r w:rsidR="008B7FCA">
              <w:rPr>
                <w:noProof/>
                <w:webHidden/>
              </w:rPr>
              <w:fldChar w:fldCharType="begin"/>
            </w:r>
            <w:r w:rsidR="008B7FCA">
              <w:rPr>
                <w:noProof/>
                <w:webHidden/>
              </w:rPr>
              <w:instrText xml:space="preserve"> PAGEREF _Toc79589212 \h </w:instrText>
            </w:r>
            <w:r w:rsidR="008B7FCA">
              <w:rPr>
                <w:noProof/>
                <w:webHidden/>
              </w:rPr>
            </w:r>
            <w:r w:rsidR="008B7FCA">
              <w:rPr>
                <w:noProof/>
                <w:webHidden/>
              </w:rPr>
              <w:fldChar w:fldCharType="separate"/>
            </w:r>
            <w:r w:rsidR="008B7FCA">
              <w:rPr>
                <w:noProof/>
                <w:webHidden/>
              </w:rPr>
              <w:t>4</w:t>
            </w:r>
            <w:r w:rsidR="008B7FCA">
              <w:rPr>
                <w:noProof/>
                <w:webHidden/>
              </w:rPr>
              <w:fldChar w:fldCharType="end"/>
            </w:r>
          </w:hyperlink>
        </w:p>
        <w:p w:rsidR="00DF33D0" w:rsidRDefault="00710FF2">
          <w:pPr>
            <w:pStyle w:val="TOC2"/>
            <w:tabs>
              <w:tab w:val="right" w:leader="dot" w:pos="9350"/>
            </w:tabs>
            <w:rPr>
              <w:rFonts w:asciiTheme="minorHAnsi" w:eastAsiaTheme="minorEastAsia" w:hAnsiTheme="minorHAnsi"/>
              <w:noProof/>
              <w:color w:val="auto"/>
              <w:sz w:val="22"/>
              <w:lang w:val="en-US"/>
            </w:rPr>
          </w:pPr>
          <w:hyperlink w:anchor="_Toc79589213" w:history="1">
            <w:r w:rsidR="008B7FCA" w:rsidRPr="003836BF">
              <w:rPr>
                <w:rStyle w:val="Hyperlink"/>
                <w:noProof/>
              </w:rPr>
              <w:t>2.1 Efficient Communication to effective community participation</w:t>
            </w:r>
            <w:r w:rsidR="008B7FCA">
              <w:rPr>
                <w:noProof/>
                <w:webHidden/>
              </w:rPr>
              <w:tab/>
            </w:r>
            <w:r w:rsidR="008B7FCA">
              <w:rPr>
                <w:noProof/>
                <w:webHidden/>
              </w:rPr>
              <w:fldChar w:fldCharType="begin"/>
            </w:r>
            <w:r w:rsidR="008B7FCA">
              <w:rPr>
                <w:noProof/>
                <w:webHidden/>
              </w:rPr>
              <w:instrText xml:space="preserve"> PAGEREF _Toc79589213 \h </w:instrText>
            </w:r>
            <w:r w:rsidR="008B7FCA">
              <w:rPr>
                <w:noProof/>
                <w:webHidden/>
              </w:rPr>
            </w:r>
            <w:r w:rsidR="008B7FCA">
              <w:rPr>
                <w:noProof/>
                <w:webHidden/>
              </w:rPr>
              <w:fldChar w:fldCharType="separate"/>
            </w:r>
            <w:r w:rsidR="008B7FCA">
              <w:rPr>
                <w:noProof/>
                <w:webHidden/>
              </w:rPr>
              <w:t>4</w:t>
            </w:r>
            <w:r w:rsidR="008B7FCA">
              <w:rPr>
                <w:noProof/>
                <w:webHidden/>
              </w:rPr>
              <w:fldChar w:fldCharType="end"/>
            </w:r>
          </w:hyperlink>
        </w:p>
        <w:p w:rsidR="00DF33D0" w:rsidRDefault="00710FF2">
          <w:pPr>
            <w:pStyle w:val="TOC2"/>
            <w:tabs>
              <w:tab w:val="right" w:leader="dot" w:pos="9350"/>
            </w:tabs>
            <w:rPr>
              <w:rFonts w:asciiTheme="minorHAnsi" w:eastAsiaTheme="minorEastAsia" w:hAnsiTheme="minorHAnsi"/>
              <w:noProof/>
              <w:color w:val="auto"/>
              <w:sz w:val="22"/>
              <w:lang w:val="en-US"/>
            </w:rPr>
          </w:pPr>
          <w:hyperlink w:anchor="_Toc79589214" w:history="1">
            <w:r w:rsidR="008B7FCA" w:rsidRPr="003836BF">
              <w:rPr>
                <w:rStyle w:val="Hyperlink"/>
                <w:noProof/>
              </w:rPr>
              <w:t>2.2 involvement and inclusion by engaged stakeholders to effective community participation</w:t>
            </w:r>
            <w:r w:rsidR="008B7FCA">
              <w:rPr>
                <w:noProof/>
                <w:webHidden/>
              </w:rPr>
              <w:tab/>
            </w:r>
            <w:r w:rsidR="008B7FCA">
              <w:rPr>
                <w:noProof/>
                <w:webHidden/>
              </w:rPr>
              <w:fldChar w:fldCharType="begin"/>
            </w:r>
            <w:r w:rsidR="008B7FCA">
              <w:rPr>
                <w:noProof/>
                <w:webHidden/>
              </w:rPr>
              <w:instrText xml:space="preserve"> PAGEREF _Toc79589214 \h </w:instrText>
            </w:r>
            <w:r w:rsidR="008B7FCA">
              <w:rPr>
                <w:noProof/>
                <w:webHidden/>
              </w:rPr>
            </w:r>
            <w:r w:rsidR="008B7FCA">
              <w:rPr>
                <w:noProof/>
                <w:webHidden/>
              </w:rPr>
              <w:fldChar w:fldCharType="separate"/>
            </w:r>
            <w:r w:rsidR="008B7FCA">
              <w:rPr>
                <w:noProof/>
                <w:webHidden/>
              </w:rPr>
              <w:t>5</w:t>
            </w:r>
            <w:r w:rsidR="008B7FCA">
              <w:rPr>
                <w:noProof/>
                <w:webHidden/>
              </w:rPr>
              <w:fldChar w:fldCharType="end"/>
            </w:r>
          </w:hyperlink>
        </w:p>
        <w:p w:rsidR="00DF33D0" w:rsidRDefault="00710FF2">
          <w:pPr>
            <w:pStyle w:val="TOC1"/>
            <w:tabs>
              <w:tab w:val="right" w:leader="dot" w:pos="9350"/>
            </w:tabs>
            <w:rPr>
              <w:rFonts w:asciiTheme="minorHAnsi" w:eastAsiaTheme="minorEastAsia" w:hAnsiTheme="minorHAnsi"/>
              <w:noProof/>
              <w:color w:val="auto"/>
              <w:sz w:val="22"/>
              <w:lang w:val="en-US"/>
            </w:rPr>
          </w:pPr>
          <w:hyperlink w:anchor="_Toc79589215" w:history="1">
            <w:r w:rsidR="008B7FCA" w:rsidRPr="003836BF">
              <w:rPr>
                <w:rStyle w:val="Hyperlink"/>
                <w:noProof/>
              </w:rPr>
              <w:t>Conclusion</w:t>
            </w:r>
            <w:r w:rsidR="008B7FCA">
              <w:rPr>
                <w:noProof/>
                <w:webHidden/>
              </w:rPr>
              <w:tab/>
            </w:r>
            <w:r w:rsidR="008B7FCA">
              <w:rPr>
                <w:noProof/>
                <w:webHidden/>
              </w:rPr>
              <w:fldChar w:fldCharType="begin"/>
            </w:r>
            <w:r w:rsidR="008B7FCA">
              <w:rPr>
                <w:noProof/>
                <w:webHidden/>
              </w:rPr>
              <w:instrText xml:space="preserve"> PAGEREF _Toc79589215 \h </w:instrText>
            </w:r>
            <w:r w:rsidR="008B7FCA">
              <w:rPr>
                <w:noProof/>
                <w:webHidden/>
              </w:rPr>
            </w:r>
            <w:r w:rsidR="008B7FCA">
              <w:rPr>
                <w:noProof/>
                <w:webHidden/>
              </w:rPr>
              <w:fldChar w:fldCharType="separate"/>
            </w:r>
            <w:r w:rsidR="008B7FCA">
              <w:rPr>
                <w:noProof/>
                <w:webHidden/>
              </w:rPr>
              <w:t>7</w:t>
            </w:r>
            <w:r w:rsidR="008B7FCA">
              <w:rPr>
                <w:noProof/>
                <w:webHidden/>
              </w:rPr>
              <w:fldChar w:fldCharType="end"/>
            </w:r>
          </w:hyperlink>
        </w:p>
        <w:p w:rsidR="00DF33D0" w:rsidRDefault="00710FF2">
          <w:pPr>
            <w:pStyle w:val="TOC1"/>
            <w:tabs>
              <w:tab w:val="right" w:leader="dot" w:pos="9350"/>
            </w:tabs>
            <w:rPr>
              <w:rFonts w:asciiTheme="minorHAnsi" w:eastAsiaTheme="minorEastAsia" w:hAnsiTheme="minorHAnsi"/>
              <w:noProof/>
              <w:color w:val="auto"/>
              <w:sz w:val="22"/>
              <w:lang w:val="en-US"/>
            </w:rPr>
          </w:pPr>
          <w:hyperlink w:anchor="_Toc79589216" w:history="1">
            <w:r w:rsidR="008B7FCA" w:rsidRPr="003836BF">
              <w:rPr>
                <w:rStyle w:val="Hyperlink"/>
                <w:noProof/>
              </w:rPr>
              <w:t>Reference</w:t>
            </w:r>
            <w:r w:rsidR="008B7FCA">
              <w:rPr>
                <w:noProof/>
                <w:webHidden/>
              </w:rPr>
              <w:tab/>
            </w:r>
            <w:r w:rsidR="008B7FCA">
              <w:rPr>
                <w:noProof/>
                <w:webHidden/>
              </w:rPr>
              <w:fldChar w:fldCharType="begin"/>
            </w:r>
            <w:r w:rsidR="008B7FCA">
              <w:rPr>
                <w:noProof/>
                <w:webHidden/>
              </w:rPr>
              <w:instrText xml:space="preserve"> PAGEREF _Toc79589216 \h </w:instrText>
            </w:r>
            <w:r w:rsidR="008B7FCA">
              <w:rPr>
                <w:noProof/>
                <w:webHidden/>
              </w:rPr>
            </w:r>
            <w:r w:rsidR="008B7FCA">
              <w:rPr>
                <w:noProof/>
                <w:webHidden/>
              </w:rPr>
              <w:fldChar w:fldCharType="separate"/>
            </w:r>
            <w:r w:rsidR="008B7FCA">
              <w:rPr>
                <w:noProof/>
                <w:webHidden/>
              </w:rPr>
              <w:t>8</w:t>
            </w:r>
            <w:r w:rsidR="008B7FCA">
              <w:rPr>
                <w:noProof/>
                <w:webHidden/>
              </w:rPr>
              <w:fldChar w:fldCharType="end"/>
            </w:r>
          </w:hyperlink>
        </w:p>
        <w:p w:rsidR="001834FC" w:rsidRDefault="008B7FCA">
          <w:r>
            <w:rPr>
              <w:b/>
              <w:bCs/>
              <w:noProof/>
            </w:rPr>
            <w:fldChar w:fldCharType="end"/>
          </w:r>
        </w:p>
      </w:sdtContent>
    </w:sdt>
    <w:p w:rsidR="001834FC" w:rsidRDefault="001834FC"/>
    <w:p w:rsidR="001834FC" w:rsidRDefault="008B7FCA">
      <w:r>
        <w:br w:type="page"/>
      </w:r>
    </w:p>
    <w:p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rsidR="001834FC" w:rsidRDefault="008B7FCA" w:rsidP="001834FC">
      <w:pPr>
        <w:pStyle w:val="Heading1"/>
      </w:pPr>
      <w:bookmarkStart w:id="1" w:name="_Toc79589207"/>
      <w:r>
        <w:lastRenderedPageBreak/>
        <w:t>Introduction</w:t>
      </w:r>
      <w:bookmarkEnd w:id="1"/>
    </w:p>
    <w:p w:rsidR="001F1345" w:rsidRDefault="008B7FCA" w:rsidP="00DE5465">
      <w:r w:rsidRPr="00DE5465">
        <w:t>Community involvement is not a word most individuals use on a constant schedule, it is termed civic involvement. Nevertheless, many of us know about t</w:t>
      </w:r>
      <w:r w:rsidR="00DF33D0">
        <w:t xml:space="preserve">he involvement of the community </w:t>
      </w:r>
      <w:r w:rsidR="00DF33D0" w:rsidRPr="00DF33D0">
        <w:t>(Dostilio and Welch, 2019)</w:t>
      </w:r>
      <w:r w:rsidR="00DF33D0">
        <w:t>.</w:t>
      </w:r>
      <w:r w:rsidRPr="00DE5465">
        <w:t xml:space="preserve"> Community involvement involves active neighbourhood participation and investments in what occurs in the public. Community outreach Direction, legislation and administration, community organization and advocacy, community-based education and inquiry as well as a social enterprise and civic conscience are all included.</w:t>
      </w:r>
      <w:r>
        <w:t xml:space="preserve"> </w:t>
      </w:r>
      <w:r w:rsidRPr="00DE5465">
        <w:t>This report is going to show reflection on the differentiation between two community engagement programs first one is selected from the previous report which is Mark &amp; Spencer's "Spendit Well" and another one is Croydo</w:t>
      </w:r>
      <w:r w:rsidR="008F6706">
        <w:t>n' "Health Promotional Program"</w:t>
      </w:r>
      <w:r w:rsidR="00DF33D0">
        <w:t xml:space="preserve"> </w:t>
      </w:r>
      <w:r w:rsidR="008F6706">
        <w:t xml:space="preserve">by </w:t>
      </w:r>
      <w:r w:rsidR="00DF33D0">
        <w:t>C</w:t>
      </w:r>
      <w:r w:rsidR="008F6706" w:rsidRPr="008F6706">
        <w:t>roydon health services NHS trust</w:t>
      </w:r>
      <w:r w:rsidR="008F6706">
        <w:t xml:space="preserve">. </w:t>
      </w:r>
      <w:r w:rsidR="008F6706" w:rsidRPr="008F6706">
        <w:t xml:space="preserve">In the clothing, food and household goods department of Marks &amp; Spencer Co. </w:t>
      </w:r>
      <w:r w:rsidR="00DF33D0">
        <w:t>Ltd, i</w:t>
      </w:r>
      <w:r w:rsidR="008F6706" w:rsidRPr="008F6706">
        <w:t>t works in Britain and the geographic sector internationally. Throughout the British, the commerce and franchising module involves the UK</w:t>
      </w:r>
      <w:r w:rsidR="00DF33D0">
        <w:t xml:space="preserve"> (Marks.com</w:t>
      </w:r>
      <w:r w:rsidR="00DF33D0" w:rsidRPr="00DF33D0">
        <w:t>, 2021)</w:t>
      </w:r>
      <w:r w:rsidR="008F6706" w:rsidRPr="008F6706">
        <w:t>. They run many organizations of charity. CH Services of Croydon NHS Trust provides support in the Stratford War Memorial Hospital and many nearby clinics</w:t>
      </w:r>
      <w:r w:rsidR="00DF33D0">
        <w:t xml:space="preserve"> </w:t>
      </w:r>
      <w:r w:rsidR="00DF33D0" w:rsidRPr="00DF33D0">
        <w:t>(Croydon Health Services NHS Trust, 2021)</w:t>
      </w:r>
      <w:r w:rsidR="008F6706" w:rsidRPr="008F6706">
        <w:t xml:space="preserve">. The Trust offers all acute hospital categories, such as the Croydon region basic medicine. The trust in the Croydon Medical </w:t>
      </w:r>
      <w:r w:rsidR="005B45B7" w:rsidRPr="008F6706">
        <w:t>Centre</w:t>
      </w:r>
      <w:r w:rsidR="008F6706" w:rsidRPr="008F6706">
        <w:t xml:space="preserve"> performs urgent care and trauma-free surgery. </w:t>
      </w:r>
      <w:r>
        <w:br w:type="page"/>
      </w:r>
    </w:p>
    <w:p w:rsidR="001F1345" w:rsidRDefault="008B7FCA" w:rsidP="008F6706">
      <w:pPr>
        <w:pStyle w:val="Heading1"/>
      </w:pPr>
      <w:bookmarkStart w:id="2" w:name="_Toc79589208"/>
      <w:r>
        <w:lastRenderedPageBreak/>
        <w:t>1.</w:t>
      </w:r>
      <w:r w:rsidR="008F6706">
        <w:t xml:space="preserve"> Difference between two programs related to community engagement</w:t>
      </w:r>
      <w:bookmarkEnd w:id="2"/>
    </w:p>
    <w:p w:rsidR="00786BC5" w:rsidRPr="00786BC5" w:rsidRDefault="008B7FCA" w:rsidP="008F6706">
      <w:pPr>
        <w:pStyle w:val="Heading2"/>
      </w:pPr>
      <w:bookmarkStart w:id="3" w:name="_Toc79589209"/>
      <w:r>
        <w:t xml:space="preserve">1.1 </w:t>
      </w:r>
      <w:r w:rsidRPr="00786BC5">
        <w:t>SpenditWell Program</w:t>
      </w:r>
      <w:bookmarkEnd w:id="3"/>
    </w:p>
    <w:p w:rsidR="00712DFD" w:rsidRDefault="008B7FCA" w:rsidP="00786BC5">
      <w:r w:rsidRPr="00712DFD">
        <w:t>A civic engagement project has been established by Marks &amp; Spencer. M&amp;S shall work with local governments and charitable support to make neighbourhoods make significant, concrete changes. It starts on 'Making it Happen Day,' as M&amp;S urges the UK to take account of all choices and SpenditWell</w:t>
      </w:r>
      <w:r w:rsidR="00DF33D0">
        <w:t xml:space="preserve"> </w:t>
      </w:r>
      <w:r w:rsidR="00DF33D0" w:rsidRPr="00DF33D0">
        <w:t>(Whitehead, 2020)</w:t>
      </w:r>
      <w:r w:rsidRPr="00712DFD">
        <w:t>.  M&amp;S will trial several initiatives to tackle the major challenges confronting communities – including insecurity, resource deficits, joblessness, inequity and psychological well-being.</w:t>
      </w:r>
    </w:p>
    <w:p w:rsidR="00712DFD" w:rsidRDefault="008B7FCA" w:rsidP="00786BC5">
      <w:r w:rsidRPr="00712DFD">
        <w:t>They chose to collaborate with Rising Entrepreneurs, an organization that has offered professional development to over 50,000 of their chain management employees in various areas of the world. The participants embark on an extraordinary trip to a fresh outlook, which equips them to guide others with the same experience as community leaders. They work with communities to help employees with leadership training, money management, and overall well-being</w:t>
      </w:r>
      <w:r w:rsidR="00DF33D0">
        <w:t xml:space="preserve"> </w:t>
      </w:r>
      <w:r w:rsidR="00DF33D0" w:rsidRPr="00DF33D0">
        <w:t>(Underwood and Frey, 2018)</w:t>
      </w:r>
      <w:r w:rsidRPr="00712DFD">
        <w:t>. They opted to collaborate with Emerging Entrepreneurship, a non-profit organization that has provided leadership training with around 50,000 workers from over 50 nations.</w:t>
      </w:r>
      <w:r>
        <w:t xml:space="preserve"> </w:t>
      </w:r>
      <w:r w:rsidRPr="00712DFD">
        <w:t>The accelerator would be a wonderful trip for them to acquire a new mindset and empower them to bring them along the same road as civic leaders. Marks &amp; Spencer uses external communication to reach business constituents, including customers, the community, and the government</w:t>
      </w:r>
      <w:r w:rsidR="00DF33D0">
        <w:t xml:space="preserve"> </w:t>
      </w:r>
      <w:r w:rsidR="00DF33D0" w:rsidRPr="00DF33D0">
        <w:t>(Whitehead, 2020)</w:t>
      </w:r>
      <w:r w:rsidRPr="00712DFD">
        <w:t>. Its public relations function allows it to successfully communicate its positive image to the right audience. Furthermore, through newsgroups, advertisements, promotional activities, and email, the firm communicates with its outside relevant stakeholders.</w:t>
      </w:r>
    </w:p>
    <w:p w:rsidR="00786BC5" w:rsidRPr="00786BC5" w:rsidRDefault="008B7FCA" w:rsidP="008F6706">
      <w:pPr>
        <w:pStyle w:val="Heading2"/>
      </w:pPr>
      <w:bookmarkStart w:id="4" w:name="_Toc79589210"/>
      <w:r>
        <w:t xml:space="preserve">1.2 </w:t>
      </w:r>
      <w:r w:rsidRPr="00786BC5">
        <w:t>Health Promotional Program</w:t>
      </w:r>
      <w:bookmarkEnd w:id="4"/>
    </w:p>
    <w:p w:rsidR="00712DFD" w:rsidRDefault="008B7FCA" w:rsidP="00712DFD">
      <w:r>
        <w:t xml:space="preserve">Croydon's societal disadvantage will be addressed by this initiative by </w:t>
      </w:r>
      <w:r w:rsidR="00242300">
        <w:t>C</w:t>
      </w:r>
      <w:r w:rsidRPr="008F6706">
        <w:t>roydon health services NHS trust</w:t>
      </w:r>
      <w:r>
        <w:t xml:space="preserve">. As a consequence of authenticated users to collective assets, Croydon's </w:t>
      </w:r>
      <w:r w:rsidR="00DF33D0">
        <w:t>neighbourhoods</w:t>
      </w:r>
      <w:r>
        <w:t xml:space="preserve"> suffer from social hardship. Prejudice, unemployment, and socioeconomic health determinants have all contributed to this deprivation</w:t>
      </w:r>
      <w:r w:rsidR="00DF33D0">
        <w:t xml:space="preserve"> </w:t>
      </w:r>
      <w:r w:rsidR="00DF33D0" w:rsidRPr="00DF33D0">
        <w:t>(Purshouse, 2018)</w:t>
      </w:r>
      <w:r>
        <w:t>. Overall, the community would be consulted in order to have a comprehensive picture of the current situation.</w:t>
      </w:r>
    </w:p>
    <w:p w:rsidR="00786BC5" w:rsidRDefault="008B7FCA" w:rsidP="00712DFD">
      <w:r>
        <w:lastRenderedPageBreak/>
        <w:t xml:space="preserve">The first stage in this initiative will be extensive study and community evaluation. The community assessment would be useful in determining public needs that have an impact on quality of life. </w:t>
      </w:r>
    </w:p>
    <w:p w:rsidR="007A3A41" w:rsidRDefault="008B7FCA" w:rsidP="007A3A41">
      <w:r w:rsidRPr="007A3A41">
        <w:t xml:space="preserve">Cooperation and partnership will become the most critical factors promoting stakeholder participation. As a result, One Croydon shall tailor their social media platforms and accounts, such as Facebook, Tumblr, Insta, and </w:t>
      </w:r>
      <w:r w:rsidR="00EE51AC" w:rsidRPr="007A3A41">
        <w:t>YouTube</w:t>
      </w:r>
      <w:r w:rsidRPr="007A3A41">
        <w:t>, to reflect the subject of eliminating health disparities in Croydon. These forums will also serve as a forum for users to express their opinions, issues, and frustrations. Most importantly, the entire key stakeholder's approach will be guided by strong moral concepts such as kindness, liberty, fairness, nonmaleficence, and proper care</w:t>
      </w:r>
      <w:r w:rsidR="00DF33D0">
        <w:t xml:space="preserve"> </w:t>
      </w:r>
      <w:r w:rsidR="00DF33D0" w:rsidRPr="00DF33D0">
        <w:t>(Croydon Health Services NHS Trust, 2021)</w:t>
      </w:r>
      <w:r w:rsidRPr="007A3A41">
        <w:t>.</w:t>
      </w:r>
      <w:r>
        <w:t xml:space="preserve"> Furthermore, a code of practice will govern how employees conduct themselves in matters of privacy, confidentiality, and honesty.</w:t>
      </w:r>
    </w:p>
    <w:p w:rsidR="008F6706" w:rsidRDefault="008B7FCA" w:rsidP="007A3A41">
      <w:r>
        <w:t>Taking that into consideration, social skills will be employed to facilitate efficient communication throughout participation in order to foster synergy. Good communication promotes socio-cultural inclusion by enabling people of various ethnicities and backgrounds to express themselves. Thru the implementation of the forward strategy, all participants would be taught and taught on different variables that impact community growth</w:t>
      </w:r>
      <w:r w:rsidR="00DF33D0">
        <w:t xml:space="preserve"> </w:t>
      </w:r>
      <w:r w:rsidR="00DF33D0" w:rsidRPr="00DF33D0">
        <w:t>(England-Joseph, 2017)</w:t>
      </w:r>
      <w:r w:rsidR="00786BC5">
        <w:t xml:space="preserve">. </w:t>
      </w:r>
      <w:r w:rsidRPr="007A3A41">
        <w:t>The goal of this strategy is to uncover all possible dangers to community engagement and use risk management approaches to mitigate them. As a consequence, the final product will be a combination of all possible actions for dealing with Croydon's health problems.</w:t>
      </w:r>
    </w:p>
    <w:p w:rsidR="00242300" w:rsidRDefault="008B7FCA" w:rsidP="008F6706">
      <w:pPr>
        <w:pStyle w:val="Heading2"/>
      </w:pPr>
      <w:bookmarkStart w:id="5" w:name="_Toc79589211"/>
      <w:r>
        <w:t xml:space="preserve">1.3 </w:t>
      </w:r>
      <w:r w:rsidR="008F6706">
        <w:t>Major difference between the two projects</w:t>
      </w:r>
      <w:bookmarkEnd w:id="5"/>
    </w:p>
    <w:p w:rsidR="00242300" w:rsidRDefault="008B7FCA" w:rsidP="00242300">
      <w:r>
        <w:t xml:space="preserve">The Mark &amp; Spencer’s SpenditWell program is mainly focused on helping and developing individuals overall situations and issues like inequalities, homelessness, environmental issues all over the United Kingdom. On the other hand, </w:t>
      </w:r>
      <w:r w:rsidRPr="00242300">
        <w:t xml:space="preserve">Croydon health services NHS trust </w:t>
      </w:r>
      <w:r>
        <w:t xml:space="preserve">is focusing on only </w:t>
      </w:r>
      <w:r w:rsidRPr="00242300">
        <w:t>Croydon‘s</w:t>
      </w:r>
      <w:r>
        <w:t xml:space="preserve"> people health and wellness related issues. </w:t>
      </w:r>
    </w:p>
    <w:p w:rsidR="001F1345" w:rsidRDefault="008B7FCA" w:rsidP="00242300">
      <w:r>
        <w:t>Mark &amp; Spencer is going to utilize all of the social media platforms to get a good reach for their initiative and try to engage every stakeholder necessary to engage. As Croydon is focusing on one part of the country they won't get as much coverage and stakeholder's support and social media coverage like Mark &amp; Spencer.</w:t>
      </w:r>
      <w:r>
        <w:br w:type="page"/>
      </w:r>
    </w:p>
    <w:p w:rsidR="001F1345" w:rsidRDefault="008B7FCA" w:rsidP="00242300">
      <w:pPr>
        <w:pStyle w:val="Heading1"/>
      </w:pPr>
      <w:bookmarkStart w:id="6" w:name="_Toc79589212"/>
      <w:r>
        <w:lastRenderedPageBreak/>
        <w:t>2.</w:t>
      </w:r>
      <w:r w:rsidR="00242300">
        <w:t xml:space="preserve"> </w:t>
      </w:r>
      <w:r w:rsidR="00242300" w:rsidRPr="00242300">
        <w:t>Efficient communication, involvement and inclusion by engaged stakeholders can contribute to effec</w:t>
      </w:r>
      <w:r w:rsidR="00242300">
        <w:t>tive community participation</w:t>
      </w:r>
      <w:bookmarkEnd w:id="6"/>
    </w:p>
    <w:p w:rsidR="00242300" w:rsidRPr="00242300" w:rsidRDefault="008B7FCA" w:rsidP="00242300">
      <w:pPr>
        <w:pStyle w:val="Heading2"/>
      </w:pPr>
      <w:bookmarkStart w:id="7" w:name="_Toc79589213"/>
      <w:r>
        <w:t>2.1 Efficient Communication to effective community participation</w:t>
      </w:r>
      <w:bookmarkEnd w:id="7"/>
    </w:p>
    <w:p w:rsidR="007A3A41" w:rsidRDefault="008B7FCA" w:rsidP="007A3A41">
      <w:r w:rsidRPr="007A3A41">
        <w:t>The practice of assisting a community towards strengthening and developing to its maximum potential is known as community improvement. Communication is an important part of long-term growth. Mobilisation concerned citizens for the local process is necessary, and only when communications are successful can individuals of societies be motivated</w:t>
      </w:r>
      <w:r w:rsidR="00DF33D0">
        <w:t xml:space="preserve"> </w:t>
      </w:r>
      <w:r w:rsidR="00DF33D0" w:rsidRPr="00DF33D0">
        <w:t>(Greenberger and McNaughton, 2019)</w:t>
      </w:r>
      <w:r w:rsidRPr="007A3A41">
        <w:t>. Appropriate community approach refers to productive joint developmental activities. People will be more engaged in progress if communications are improved. Involvement should be promoted via communication to contribute to the society among disadvantaged and disadvantaged demographic groupings; as a result, the society will indeed be transformed.</w:t>
      </w:r>
      <w:r>
        <w:t xml:space="preserve"> That would be to state, communication has been a fundamental or intermediary component in social organizational change, enabling and helping it</w:t>
      </w:r>
      <w:r w:rsidR="00DF33D0">
        <w:t xml:space="preserve"> </w:t>
      </w:r>
      <w:r w:rsidR="00DF33D0" w:rsidRPr="00DF33D0">
        <w:t>(Hatcher and Bringle, 2020)</w:t>
      </w:r>
      <w:r>
        <w:t>. Users will be able to transition from an individual-centred deficits style of innovation, behaviour growth, and transformation to a communal as well as community-focused one of involvement, respect, and fairness through communicating effectively.</w:t>
      </w:r>
    </w:p>
    <w:p w:rsidR="007A3A41" w:rsidRDefault="008B7FCA" w:rsidP="007A3A41">
      <w:r>
        <w:t>People who are able to communicate well are more likely to participate actively in community engagement. Communities who are intimately engaged in strategic direction are more likely to take responsibility for developmental initiatives rather than seeing themselves as receivers of progress</w:t>
      </w:r>
      <w:r w:rsidR="00DF33D0">
        <w:t xml:space="preserve"> </w:t>
      </w:r>
      <w:r w:rsidR="00DF33D0" w:rsidRPr="00DF33D0">
        <w:t>(Syamsuar Abbas and Reflianto, 2018)</w:t>
      </w:r>
      <w:r>
        <w:t>. Excellent communication abilities allow people across the community to come collaboratively to accomplish the objectives of the society and to advance it on the road of improvement and growth. In addition to making conflicts and solve issues viably, efficient Communication ensures individuals of the society are given facts, discipline, understanding and a good atmosphere.</w:t>
      </w:r>
    </w:p>
    <w:p w:rsidR="007A3A41" w:rsidRDefault="008B7FCA" w:rsidP="001F1345">
      <w:r>
        <w:t xml:space="preserve">For those in a society, carefully evaluated are expressed about the influence of their behaviour on the society or what it is necessary to be doing to build and expand the society. </w:t>
      </w:r>
      <w:r w:rsidRPr="007A3A41">
        <w:t>We can serve such folks and enable them to better their social circumstances and lives via communication. We could get an understanding of their living difficulties and that we can strive to improve their existence</w:t>
      </w:r>
      <w:r w:rsidR="00DF33D0">
        <w:t xml:space="preserve"> </w:t>
      </w:r>
      <w:r w:rsidR="00DF33D0" w:rsidRPr="00DF33D0">
        <w:t>(Underwood and Frey, 2018)</w:t>
      </w:r>
      <w:r w:rsidRPr="007A3A41">
        <w:t>. This is also part of the growth of the community.</w:t>
      </w:r>
    </w:p>
    <w:p w:rsidR="00620379" w:rsidRPr="00242300" w:rsidRDefault="008B7FCA" w:rsidP="00620379">
      <w:pPr>
        <w:rPr>
          <w:b/>
        </w:rPr>
      </w:pPr>
      <w:r w:rsidRPr="00242300">
        <w:rPr>
          <w:b/>
        </w:rPr>
        <w:lastRenderedPageBreak/>
        <w:t>Conflict Resolution</w:t>
      </w:r>
    </w:p>
    <w:p w:rsidR="00620379" w:rsidRDefault="008B7FCA" w:rsidP="00620379">
      <w:r>
        <w:t>There really is no room for misreading or altering data whenever communication is good, which reduces the chance of confrontation. Good communication promotes polite resolution of the problem in instances where conflict arises</w:t>
      </w:r>
      <w:r w:rsidR="00DF33D0">
        <w:t xml:space="preserve"> </w:t>
      </w:r>
      <w:r w:rsidR="00DF33D0" w:rsidRPr="00DF33D0">
        <w:t>(Syamsuar Abbas and Reflianto, 2018)</w:t>
      </w:r>
      <w:r>
        <w:t>. Thus the collectivity flourishes in all spheres of knowledge when disagreements are addressed within a society and via excellent communication abilities.</w:t>
      </w:r>
    </w:p>
    <w:p w:rsidR="00620379" w:rsidRPr="00242300" w:rsidRDefault="008B7FCA" w:rsidP="00620379">
      <w:pPr>
        <w:rPr>
          <w:b/>
        </w:rPr>
      </w:pPr>
      <w:r w:rsidRPr="00242300">
        <w:rPr>
          <w:b/>
        </w:rPr>
        <w:t>Assistance to people in the community</w:t>
      </w:r>
    </w:p>
    <w:p w:rsidR="00620379" w:rsidRDefault="008B7FCA" w:rsidP="00620379">
      <w:r>
        <w:t>Individuals are essential to the communities. They are those that build and succeed in developing culture. It is therefore extremely vital to express their wants and problems in a way to construct a good society</w:t>
      </w:r>
      <w:r w:rsidR="00DF33D0">
        <w:t xml:space="preserve"> </w:t>
      </w:r>
      <w:r w:rsidR="00DF33D0" w:rsidRPr="00DF33D0">
        <w:t>(Underwood and Frey, 2018)</w:t>
      </w:r>
      <w:r>
        <w:t>. In this respect, the abilities in interaction are extremely effective. The civic leaders may, via communication, understand what the public wants, what difficulties the society has and how to deal with issues in the area.</w:t>
      </w:r>
    </w:p>
    <w:p w:rsidR="00786BC5" w:rsidRDefault="008B7FCA" w:rsidP="00242300">
      <w:pPr>
        <w:pStyle w:val="Heading2"/>
      </w:pPr>
      <w:bookmarkStart w:id="8" w:name="_Toc79589214"/>
      <w:r>
        <w:t>2.2</w:t>
      </w:r>
      <w:r w:rsidR="00242300">
        <w:t xml:space="preserve"> i</w:t>
      </w:r>
      <w:r w:rsidR="00242300" w:rsidRPr="00242300">
        <w:t>nvolvement and inclusion by engaged stakeholders</w:t>
      </w:r>
      <w:r w:rsidR="00242300">
        <w:t xml:space="preserve"> </w:t>
      </w:r>
      <w:r w:rsidR="00242300" w:rsidRPr="00242300">
        <w:t>to effective community participation</w:t>
      </w:r>
      <w:bookmarkEnd w:id="8"/>
    </w:p>
    <w:p w:rsidR="00620379" w:rsidRDefault="008B7FCA" w:rsidP="00786BC5">
      <w:r w:rsidRPr="00620379">
        <w:t>Partnership and public participation is a crucial approach that can have a long-term influence on organizations. The partnership calls on a diversity of views on enhanced investment impacts and returns from many stakeholders</w:t>
      </w:r>
      <w:r w:rsidR="00DF33D0">
        <w:t xml:space="preserve"> </w:t>
      </w:r>
      <w:r w:rsidR="00DF33D0" w:rsidRPr="00DF33D0">
        <w:t>(Hatcher and Bringle, 2020)</w:t>
      </w:r>
      <w:r w:rsidRPr="00620379">
        <w:t>. It is also very beneficial for firms to recognize all stakeholders involved which can have a positive influence by adopting the views of various parties. Moreover, stakeholder perspectives not only minimize the risk but assist in enhancing sustainable development.</w:t>
      </w:r>
    </w:p>
    <w:p w:rsidR="00620379" w:rsidRPr="00620379" w:rsidRDefault="008B7FCA" w:rsidP="00620379">
      <w:pPr>
        <w:rPr>
          <w:b/>
        </w:rPr>
      </w:pPr>
      <w:r w:rsidRPr="00620379">
        <w:rPr>
          <w:b/>
        </w:rPr>
        <w:t>They are significant in their view</w:t>
      </w:r>
    </w:p>
    <w:p w:rsidR="00620379" w:rsidRDefault="008B7FCA" w:rsidP="00620379">
      <w:r>
        <w:t xml:space="preserve">Community involvement is a crucial element of some initiatives, and the advantages are widely established, such as improving the outcome for all participants, effective governance </w:t>
      </w:r>
      <w:r w:rsidR="00DF33D0">
        <w:t xml:space="preserve">and reducing construction costs </w:t>
      </w:r>
      <w:r w:rsidR="00DF33D0" w:rsidRPr="00DF33D0">
        <w:t>(Greenberger and McNaughton, 2019)</w:t>
      </w:r>
      <w:r w:rsidR="00DF33D0">
        <w:t>.</w:t>
      </w:r>
      <w:r>
        <w:t xml:space="preserve"> The majority of community involvement these days is no primarily about data or what is accomplished, but just a two-way road among judgement calls and users. Everybody knows whatever they enjoy and detest, irrespective of their </w:t>
      </w:r>
      <w:r w:rsidR="00DF33D0">
        <w:t>credentials that</w:t>
      </w:r>
      <w:r>
        <w:t xml:space="preserve"> are of the view that they must do where the priority ought to be.</w:t>
      </w:r>
    </w:p>
    <w:p w:rsidR="00620379" w:rsidRPr="00620379" w:rsidRDefault="008B7FCA" w:rsidP="00620379">
      <w:pPr>
        <w:rPr>
          <w:b/>
        </w:rPr>
      </w:pPr>
      <w:r w:rsidRPr="00620379">
        <w:rPr>
          <w:b/>
        </w:rPr>
        <w:lastRenderedPageBreak/>
        <w:t>More insights</w:t>
      </w:r>
    </w:p>
    <w:p w:rsidR="00620379" w:rsidRDefault="008B7FCA" w:rsidP="00620379">
      <w:r>
        <w:t>Community participation is frequently very unilateral and involvement programs may be flooded with feedback only from the people of the community who seem to have a clear stance. Without exposed alternative viewpoints, the judgment could not decide the society in its whole finest because of a fringe element.</w:t>
      </w:r>
      <w:r w:rsidR="00DF33D0">
        <w:t xml:space="preserve"> </w:t>
      </w:r>
      <w:r>
        <w:t>If their views are different from those of the most popular, policymakers want to learn from them because that they can comprehend the feedback from the stakeholders in a fair manner and increase the worth of the ultimate decision</w:t>
      </w:r>
      <w:r w:rsidR="00DF33D0">
        <w:t xml:space="preserve"> </w:t>
      </w:r>
      <w:r w:rsidR="00DF33D0" w:rsidRPr="00DF33D0">
        <w:t>(England-Joseph, 2017)</w:t>
      </w:r>
      <w:r>
        <w:t>. The more opinions the decision-making process gathers, the more probable the end result will satisfy the demands and handle the greatest potential worries and problems If you are afraid that a vocal ensemble could suffer, the commitment can frequently be discreetly performed.</w:t>
      </w:r>
    </w:p>
    <w:p w:rsidR="00620379" w:rsidRPr="00620379" w:rsidRDefault="008B7FCA" w:rsidP="00620379">
      <w:pPr>
        <w:rPr>
          <w:b/>
        </w:rPr>
      </w:pPr>
      <w:r w:rsidRPr="00620379">
        <w:rPr>
          <w:b/>
        </w:rPr>
        <w:t>Newest Information</w:t>
      </w:r>
    </w:p>
    <w:p w:rsidR="00620379" w:rsidRDefault="008B7FCA" w:rsidP="00620379">
      <w:r>
        <w:t>Policymakers recognize the personal and unique link between the population that utilizes the area they want to have with the region they do not do. This ability enables citizens to offer fresh project information which has yet to be evaluated</w:t>
      </w:r>
      <w:r w:rsidR="00DF33D0">
        <w:t xml:space="preserve">. </w:t>
      </w:r>
      <w:r>
        <w:t>Combining medical and technological expertise, understanding of the environment of decision making, culture and personality, public engagement gives the decision additional information</w:t>
      </w:r>
      <w:r w:rsidR="00DF33D0">
        <w:t xml:space="preserve"> </w:t>
      </w:r>
      <w:r w:rsidR="00DF33D0" w:rsidRPr="00DF33D0">
        <w:t>(Dostilio and Welch, 2019)</w:t>
      </w:r>
      <w:r>
        <w:t>. Additional knowledge helps distinguish between excellent and bad decisions.</w:t>
      </w:r>
    </w:p>
    <w:p w:rsidR="00620379" w:rsidRPr="00620379" w:rsidRDefault="008B7FCA" w:rsidP="00620379">
      <w:pPr>
        <w:rPr>
          <w:b/>
        </w:rPr>
      </w:pPr>
      <w:r w:rsidRPr="00620379">
        <w:rPr>
          <w:b/>
        </w:rPr>
        <w:t>Property of Community</w:t>
      </w:r>
    </w:p>
    <w:p w:rsidR="001834FC" w:rsidRDefault="008B7FCA" w:rsidP="00620379">
      <w:r>
        <w:t>Whenever the community participates in an initiative, it owns the processes and the judicial process that are essential to the effective conclusion of the venture.</w:t>
      </w:r>
      <w:r>
        <w:br w:type="page"/>
      </w:r>
    </w:p>
    <w:p w:rsidR="001834FC" w:rsidRDefault="008B7FCA" w:rsidP="001834FC">
      <w:pPr>
        <w:pStyle w:val="Heading1"/>
      </w:pPr>
      <w:bookmarkStart w:id="9" w:name="_Toc79589215"/>
      <w:r>
        <w:lastRenderedPageBreak/>
        <w:t>Conclusion</w:t>
      </w:r>
      <w:bookmarkEnd w:id="9"/>
    </w:p>
    <w:p w:rsidR="001834FC" w:rsidRDefault="008B7FCA" w:rsidP="00DE5465">
      <w:r>
        <w:t>M&amp;S will trial a number of initiatives to tackle the major challenges confronting communities – including insecurity, resource deficits, joblessness, inequity and psychological well-being. They chose to collaborate with Rising Entrepreneurs, an organization that has offered professional development to over 50,000 of their chain management employees in various areas of the world. They opted to collaborate with Emerging Entrepreneurship, a non-profit organization that has provided leadership training with around 50,000 workers from over 50 nations. The participants embark on an extraordinary trip to a fresh outlook, which equips them to guide others with the same experience as community leaders. They work with communities to help employees with leadership training, money management, and overall well-being. The accelerator would be a wonderful trip for them to acquire a new mindset and empower them to bring them along the same road as civic leaders.</w:t>
      </w:r>
      <w:r w:rsidR="00DE5465">
        <w:t xml:space="preserve"> Taking that into consideration for Croydon's health promotional program, social skills will be employed to facilitate efficient communication throughout participation in order to foster synergy. Thru the implementation of the forward strategy, all participants would be taught and taught on different variables that impact community growth. The goal of this strategy is to uncover all possible dangers to community engagement and use risk management approaches to mitigate them. As a result, One Croydon shall tailor their social media platforms and accounts, such as Facebook, Tumblr, Insta, and </w:t>
      </w:r>
      <w:r w:rsidR="00EE51AC">
        <w:t>YouTube</w:t>
      </w:r>
      <w:r w:rsidR="00DE5465">
        <w:t>, to reflect the subject of eliminating health disparities in Croydon. Most importantly, the entire key stakeholder's approach will be guided by strong moral concepts such as kindness, liberty, fairness, nonmale</w:t>
      </w:r>
      <w:r w:rsidR="0042324A">
        <w:t>fi</w:t>
      </w:r>
      <w:r w:rsidR="00DE5465">
        <w:t>cence, and proper care. The first stage in this initiative will be extensive study and community evaluation. The community assessment would be useful in determining public needs that have an impact on quality of life.</w:t>
      </w:r>
      <w:r>
        <w:br w:type="page"/>
      </w:r>
    </w:p>
    <w:p w:rsidR="00DF33D0" w:rsidRDefault="008B7FCA" w:rsidP="00DF33D0">
      <w:pPr>
        <w:pStyle w:val="Heading1"/>
      </w:pPr>
      <w:r>
        <w:lastRenderedPageBreak/>
        <w:t>References</w:t>
      </w:r>
    </w:p>
    <w:p w:rsidR="00DF33D0" w:rsidRDefault="008B7FCA" w:rsidP="00DF33D0">
      <w:r>
        <w:t>Croydon Health Services NHS Trust. 2021. Croydon Health Services NHS Trust. [online] Available at: &lt;https://www.croydonhealthservices.nhs.uk/&gt; [Accessed 11 August 2021].</w:t>
      </w:r>
    </w:p>
    <w:p w:rsidR="00DF33D0" w:rsidRDefault="008B7FCA" w:rsidP="00DF33D0">
      <w:r>
        <w:t>Dostilio, L. and Welch, M., 2019. The Community Engagement Professional's Guidebook. Bloomfield: Campus Compact.</w:t>
      </w:r>
    </w:p>
    <w:p w:rsidR="00DF33D0" w:rsidRDefault="008B7FCA" w:rsidP="00DF33D0">
      <w:r>
        <w:t>England-Joseph, J., 2017. Community development. Washington, D.C.: The Office.</w:t>
      </w:r>
    </w:p>
    <w:p w:rsidR="00DF33D0" w:rsidRDefault="008B7FCA" w:rsidP="00DF33D0">
      <w:r>
        <w:t>Greenberger, S. and McNaughton, M., 2019. The Community Engagement Portfolio: Documenting Faculty Community Engagement. Journal of Scholarly Engagement, 2(1), p.23.</w:t>
      </w:r>
    </w:p>
    <w:p w:rsidR="00DF33D0" w:rsidRDefault="008B7FCA" w:rsidP="00DF33D0">
      <w:r>
        <w:t>Hatcher, J. and Bringle, R., 2020. Understanding service-learning and community engagement. Charlotte, N.C.: Information Age Pub.</w:t>
      </w:r>
    </w:p>
    <w:p w:rsidR="00DF33D0" w:rsidRDefault="008B7FCA" w:rsidP="00DF33D0">
      <w:r>
        <w:t>Marks.com. 2021. Mark's. [online] Available at: &lt;https://www.marks.com/&gt; [Accessed 11 August 2021].</w:t>
      </w:r>
    </w:p>
    <w:p w:rsidR="00DF33D0" w:rsidRDefault="008B7FCA" w:rsidP="00DF33D0">
      <w:r>
        <w:t>Purshouse, C., 2018. The Impatient Patient and the Unreceptive Receptionist: Darnley v Croydon Health Services NHS Trust [2018] UKSC 50. Medical Law Review, 27(2), pp.318-329.</w:t>
      </w:r>
    </w:p>
    <w:p w:rsidR="00DF33D0" w:rsidRDefault="008B7FCA" w:rsidP="00DF33D0">
      <w:r>
        <w:t>Syamsuar Abbas and Reflianto, 2018. A Community Based Research: Building Healthy Living Community. Engagement : Jurnal Pengabdian Kepada Masyarakat, 2(2), pp.191-203.</w:t>
      </w:r>
    </w:p>
    <w:p w:rsidR="00DF33D0" w:rsidRDefault="008B7FCA" w:rsidP="00DF33D0">
      <w:r>
        <w:t>Underwood, E. and Frey, L., 2018. Communication and Community: Clarifying the Connection Across the Communication Community. Annals of the International Communication Association, 31(1), pp.370-418.</w:t>
      </w:r>
    </w:p>
    <w:p w:rsidR="000F02BF" w:rsidRPr="000F02BF" w:rsidRDefault="008B7FCA" w:rsidP="00DF33D0">
      <w:r>
        <w:t>Whitehead, M., 2020. Marks &amp; Spencer –. Management Decision, 32(3), pp.38-41.</w:t>
      </w:r>
    </w:p>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0FF2" w:rsidRDefault="00710FF2">
      <w:pPr>
        <w:spacing w:after="0" w:line="240" w:lineRule="auto"/>
      </w:pPr>
      <w:r>
        <w:separator/>
      </w:r>
    </w:p>
  </w:endnote>
  <w:endnote w:type="continuationSeparator" w:id="0">
    <w:p w:rsidR="00710FF2" w:rsidRDefault="00710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0564993"/>
      <w:docPartObj>
        <w:docPartGallery w:val="Page Numbers (Bottom of Page)"/>
        <w:docPartUnique/>
      </w:docPartObj>
    </w:sdtPr>
    <w:sdtEndPr>
      <w:rPr>
        <w:noProof/>
      </w:rPr>
    </w:sdtEndPr>
    <w:sdtContent>
      <w:p w:rsidR="001834FC" w:rsidRDefault="008B7FCA">
        <w:pPr>
          <w:pStyle w:val="Footer"/>
          <w:jc w:val="right"/>
        </w:pPr>
        <w:r>
          <w:fldChar w:fldCharType="begin"/>
        </w:r>
        <w:r>
          <w:instrText xml:space="preserve"> PAGE   \* MERGEFORMAT </w:instrText>
        </w:r>
        <w:r>
          <w:fldChar w:fldCharType="separate"/>
        </w:r>
        <w:r w:rsidR="00541552">
          <w:rPr>
            <w:noProof/>
          </w:rPr>
          <w:t>i</w:t>
        </w:r>
        <w:r>
          <w:rPr>
            <w:noProof/>
          </w:rPr>
          <w:fldChar w:fldCharType="end"/>
        </w:r>
      </w:p>
    </w:sdtContent>
  </w:sdt>
  <w:p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0FF2" w:rsidRDefault="00710FF2">
      <w:pPr>
        <w:spacing w:after="0" w:line="240" w:lineRule="auto"/>
      </w:pPr>
      <w:r>
        <w:separator/>
      </w:r>
    </w:p>
  </w:footnote>
  <w:footnote w:type="continuationSeparator" w:id="0">
    <w:p w:rsidR="00710FF2" w:rsidRDefault="00710F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sDAyNTY1NDexNLEwNzJQ0lEKTi0uzszPAykwqwUAzy9IRywAAAA="/>
  </w:docVars>
  <w:rsids>
    <w:rsidRoot w:val="00A60069"/>
    <w:rsid w:val="000E047C"/>
    <w:rsid w:val="000F02BF"/>
    <w:rsid w:val="001834FC"/>
    <w:rsid w:val="001D16F6"/>
    <w:rsid w:val="001F1345"/>
    <w:rsid w:val="0022399E"/>
    <w:rsid w:val="00242300"/>
    <w:rsid w:val="00252195"/>
    <w:rsid w:val="002A20EC"/>
    <w:rsid w:val="003836BF"/>
    <w:rsid w:val="00387612"/>
    <w:rsid w:val="0042324A"/>
    <w:rsid w:val="004A256D"/>
    <w:rsid w:val="004A2669"/>
    <w:rsid w:val="00541552"/>
    <w:rsid w:val="005B45B7"/>
    <w:rsid w:val="00620379"/>
    <w:rsid w:val="006F3E7B"/>
    <w:rsid w:val="00710FF2"/>
    <w:rsid w:val="00712DFD"/>
    <w:rsid w:val="00786BC5"/>
    <w:rsid w:val="007A3A41"/>
    <w:rsid w:val="007B4A1D"/>
    <w:rsid w:val="00825641"/>
    <w:rsid w:val="008B7FCA"/>
    <w:rsid w:val="008F6706"/>
    <w:rsid w:val="00913C8F"/>
    <w:rsid w:val="00975554"/>
    <w:rsid w:val="009C5383"/>
    <w:rsid w:val="00A30F28"/>
    <w:rsid w:val="00A60069"/>
    <w:rsid w:val="00B97F48"/>
    <w:rsid w:val="00BB6D54"/>
    <w:rsid w:val="00C21078"/>
    <w:rsid w:val="00C37AD3"/>
    <w:rsid w:val="00DE5465"/>
    <w:rsid w:val="00DF33D0"/>
    <w:rsid w:val="00E26C07"/>
    <w:rsid w:val="00EB7A2D"/>
    <w:rsid w:val="00EC16C3"/>
    <w:rsid w:val="00EE51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8D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E26C0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E26C07"/>
    <w:rPr>
      <w:rFonts w:ascii="Times New Roman" w:eastAsiaTheme="majorEastAsia" w:hAnsi="Times New Roman"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1F1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345"/>
    <w:rPr>
      <w:rFonts w:ascii="Tahoma" w:hAnsi="Tahoma" w:cs="Tahoma"/>
      <w:color w:val="000000" w:themeColor="text1"/>
      <w:sz w:val="16"/>
      <w:szCs w:val="16"/>
      <w:lang w:val="en-GB"/>
    </w:rPr>
  </w:style>
  <w:style w:type="paragraph" w:styleId="TOC2">
    <w:name w:val="toc 2"/>
    <w:basedOn w:val="Normal"/>
    <w:next w:val="Normal"/>
    <w:autoRedefine/>
    <w:uiPriority w:val="39"/>
    <w:unhideWhenUsed/>
    <w:rsid w:val="00DF33D0"/>
    <w:pPr>
      <w:spacing w:after="100"/>
      <w:ind w:left="240"/>
    </w:pPr>
  </w:style>
  <w:style w:type="paragraph" w:styleId="NoSpacing">
    <w:name w:val="No Spacing"/>
    <w:link w:val="NoSpacingChar"/>
    <w:uiPriority w:val="1"/>
    <w:qFormat/>
    <w:rsid w:val="00541552"/>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41552"/>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FF7006-389C-4B7C-936F-EA753953E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2566</Words>
  <Characters>14631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2020-06-20T09:46:00Z</dcterms:created>
  <dcterms:modified xsi:type="dcterms:W3CDTF">2021-09-01T18:23:00Z</dcterms:modified>
</cp:coreProperties>
</file>