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05D3852" w14:textId="77777777" w:rsidR="00F735D4" w:rsidRPr="00A85BFE" w:rsidRDefault="00F735D4" w:rsidP="00F735D4">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9264" behindDoc="0" locked="0" layoutInCell="1" allowOverlap="1" wp14:anchorId="2458F7A8" wp14:editId="0421AD0B">
            <wp:simplePos x="0" y="0"/>
            <wp:positionH relativeFrom="column">
              <wp:posOffset>57150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6D4D0207">
        <w:rPr>
          <w:rFonts w:ascii="Arial" w:hAnsi="Arial" w:cs="Arial"/>
          <w:b/>
          <w:bCs/>
          <w:sz w:val="28"/>
          <w:szCs w:val="28"/>
        </w:rPr>
        <w:t>APPENDIX GA36c</w:t>
      </w:r>
    </w:p>
    <w:p w14:paraId="63465291" w14:textId="77777777" w:rsidR="00F735D4" w:rsidRPr="00A406E5" w:rsidRDefault="00F735D4" w:rsidP="00F735D4">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F735D4" w:rsidRPr="00A406E5" w14:paraId="24D5CF34" w14:textId="77777777" w:rsidTr="00303A63">
        <w:tc>
          <w:tcPr>
            <w:tcW w:w="9922" w:type="dxa"/>
            <w:shd w:val="clear" w:color="auto" w:fill="C0C0C0"/>
          </w:tcPr>
          <w:p w14:paraId="1BDA6809" w14:textId="77777777" w:rsidR="00F735D4" w:rsidRPr="00A406E5" w:rsidRDefault="00F735D4" w:rsidP="00303A63">
            <w:pPr>
              <w:pStyle w:val="Heading4"/>
              <w:rPr>
                <w:rFonts w:ascii="Arial" w:hAnsi="Arial" w:cs="Arial"/>
                <w:b/>
                <w:bCs/>
              </w:rPr>
            </w:pPr>
            <w:r w:rsidRPr="6D4D0207">
              <w:rPr>
                <w:rFonts w:ascii="Arial" w:hAnsi="Arial" w:cs="Arial"/>
                <w:b/>
                <w:bCs/>
              </w:rPr>
              <w:t xml:space="preserve">LEVEL 6 ASSESSMENT SPECIFICATION </w:t>
            </w:r>
          </w:p>
        </w:tc>
      </w:tr>
    </w:tbl>
    <w:p w14:paraId="397ABEA1" w14:textId="77777777" w:rsidR="00F735D4" w:rsidRPr="00A406E5" w:rsidRDefault="00F735D4" w:rsidP="00F735D4">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F735D4" w:rsidRPr="00A406E5" w14:paraId="28CE5357" w14:textId="77777777" w:rsidTr="00303A63">
        <w:tc>
          <w:tcPr>
            <w:tcW w:w="2093" w:type="dxa"/>
            <w:shd w:val="clear" w:color="auto" w:fill="auto"/>
          </w:tcPr>
          <w:p w14:paraId="34EFFDEE" w14:textId="77777777"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Student name:</w:t>
            </w:r>
          </w:p>
        </w:tc>
        <w:tc>
          <w:tcPr>
            <w:tcW w:w="3293" w:type="dxa"/>
          </w:tcPr>
          <w:p w14:paraId="75ED6C53" w14:textId="0E2D11C1" w:rsidR="00F735D4" w:rsidRPr="00A406E5" w:rsidRDefault="006545A8" w:rsidP="00303A63">
            <w:pPr>
              <w:spacing w:before="120" w:after="120"/>
              <w:jc w:val="both"/>
              <w:rPr>
                <w:rFonts w:ascii="Arial" w:hAnsi="Arial" w:cs="Arial"/>
                <w:b/>
                <w:sz w:val="22"/>
                <w:szCs w:val="22"/>
              </w:rPr>
            </w:pPr>
            <w:r>
              <w:rPr>
                <w:rFonts w:ascii="Arial" w:hAnsi="Arial" w:cs="Arial"/>
                <w:b/>
                <w:sz w:val="22"/>
                <w:szCs w:val="22"/>
              </w:rPr>
              <w:t>Siobhan Rowlands</w:t>
            </w:r>
          </w:p>
        </w:tc>
        <w:tc>
          <w:tcPr>
            <w:tcW w:w="2268" w:type="dxa"/>
            <w:shd w:val="clear" w:color="auto" w:fill="D9D9D9" w:themeFill="background1" w:themeFillShade="D9"/>
          </w:tcPr>
          <w:p w14:paraId="30619654" w14:textId="77777777"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Student ID number:</w:t>
            </w:r>
          </w:p>
        </w:tc>
        <w:tc>
          <w:tcPr>
            <w:tcW w:w="2268" w:type="dxa"/>
          </w:tcPr>
          <w:p w14:paraId="2AD0D6D4" w14:textId="0C028591" w:rsidR="00F735D4" w:rsidRPr="00A406E5" w:rsidRDefault="006545A8" w:rsidP="00303A63">
            <w:pPr>
              <w:spacing w:before="120" w:after="120"/>
              <w:jc w:val="both"/>
              <w:rPr>
                <w:rFonts w:ascii="Arial" w:hAnsi="Arial" w:cs="Arial"/>
                <w:b/>
                <w:sz w:val="22"/>
                <w:szCs w:val="22"/>
              </w:rPr>
            </w:pPr>
            <w:r>
              <w:rPr>
                <w:rFonts w:ascii="Arial" w:hAnsi="Arial" w:cs="Arial"/>
                <w:b/>
                <w:sz w:val="22"/>
                <w:szCs w:val="22"/>
              </w:rPr>
              <w:t>1805004</w:t>
            </w:r>
          </w:p>
        </w:tc>
      </w:tr>
      <w:tr w:rsidR="00F735D4" w:rsidRPr="00A406E5" w14:paraId="04655A21" w14:textId="77777777" w:rsidTr="00303A63">
        <w:tc>
          <w:tcPr>
            <w:tcW w:w="2093" w:type="dxa"/>
            <w:shd w:val="clear" w:color="auto" w:fill="auto"/>
          </w:tcPr>
          <w:p w14:paraId="0E5FFFA8" w14:textId="77777777"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Programme:</w:t>
            </w:r>
          </w:p>
        </w:tc>
        <w:tc>
          <w:tcPr>
            <w:tcW w:w="7829" w:type="dxa"/>
            <w:gridSpan w:val="3"/>
          </w:tcPr>
          <w:p w14:paraId="13DF9BB6" w14:textId="77777777" w:rsidR="00F735D4" w:rsidRPr="00A406E5" w:rsidRDefault="00F735D4" w:rsidP="00303A63">
            <w:pPr>
              <w:spacing w:before="120" w:after="120"/>
              <w:jc w:val="both"/>
              <w:rPr>
                <w:rFonts w:ascii="Arial" w:hAnsi="Arial" w:cs="Arial"/>
                <w:b/>
                <w:sz w:val="22"/>
                <w:szCs w:val="22"/>
              </w:rPr>
            </w:pPr>
            <w:r>
              <w:rPr>
                <w:rFonts w:ascii="Arial" w:hAnsi="Arial" w:cs="Arial"/>
                <w:b/>
                <w:sz w:val="22"/>
                <w:szCs w:val="22"/>
              </w:rPr>
              <w:t>Secondary PGCE</w:t>
            </w:r>
          </w:p>
        </w:tc>
      </w:tr>
      <w:tr w:rsidR="00F735D4" w:rsidRPr="00A406E5" w14:paraId="05E7B605" w14:textId="77777777" w:rsidTr="00303A63">
        <w:tc>
          <w:tcPr>
            <w:tcW w:w="2093" w:type="dxa"/>
            <w:shd w:val="clear" w:color="auto" w:fill="auto"/>
          </w:tcPr>
          <w:p w14:paraId="3F3F62A1" w14:textId="77777777"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Module:</w:t>
            </w:r>
          </w:p>
        </w:tc>
        <w:tc>
          <w:tcPr>
            <w:tcW w:w="7829" w:type="dxa"/>
            <w:gridSpan w:val="3"/>
            <w:shd w:val="clear" w:color="auto" w:fill="auto"/>
          </w:tcPr>
          <w:p w14:paraId="7DB78EA1" w14:textId="77777777" w:rsidR="00F735D4" w:rsidRPr="00A406E5" w:rsidRDefault="00F735D4" w:rsidP="00303A63">
            <w:pPr>
              <w:spacing w:before="120" w:after="120"/>
              <w:jc w:val="both"/>
              <w:rPr>
                <w:rFonts w:ascii="Arial" w:hAnsi="Arial" w:cs="Arial"/>
                <w:b/>
                <w:sz w:val="22"/>
                <w:szCs w:val="22"/>
              </w:rPr>
            </w:pPr>
            <w:r>
              <w:rPr>
                <w:rFonts w:ascii="Arial" w:hAnsi="Arial" w:cs="Arial"/>
                <w:b/>
                <w:sz w:val="22"/>
                <w:szCs w:val="22"/>
              </w:rPr>
              <w:t xml:space="preserve">Principles of Teaching, Learning and Pedagogy in the Secondary Sector </w:t>
            </w:r>
          </w:p>
        </w:tc>
      </w:tr>
      <w:tr w:rsidR="00F735D4" w:rsidRPr="00A406E5" w14:paraId="1E044752" w14:textId="77777777" w:rsidTr="00303A63">
        <w:tc>
          <w:tcPr>
            <w:tcW w:w="2093" w:type="dxa"/>
            <w:shd w:val="clear" w:color="auto" w:fill="auto"/>
          </w:tcPr>
          <w:p w14:paraId="253E974A" w14:textId="77777777"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Module code:</w:t>
            </w:r>
          </w:p>
        </w:tc>
        <w:tc>
          <w:tcPr>
            <w:tcW w:w="3293" w:type="dxa"/>
          </w:tcPr>
          <w:p w14:paraId="6D3EB192" w14:textId="77777777" w:rsidR="00F735D4" w:rsidRPr="00A406E5" w:rsidRDefault="00F735D4" w:rsidP="00303A63">
            <w:pPr>
              <w:spacing w:before="120" w:after="120"/>
              <w:jc w:val="both"/>
              <w:rPr>
                <w:rFonts w:ascii="Arial" w:hAnsi="Arial" w:cs="Arial"/>
                <w:b/>
                <w:sz w:val="22"/>
                <w:szCs w:val="22"/>
              </w:rPr>
            </w:pPr>
            <w:r>
              <w:rPr>
                <w:rFonts w:ascii="Arial" w:hAnsi="Arial" w:cs="Arial"/>
                <w:b/>
                <w:sz w:val="22"/>
                <w:szCs w:val="22"/>
              </w:rPr>
              <w:t>ECSP6001</w:t>
            </w:r>
          </w:p>
        </w:tc>
        <w:tc>
          <w:tcPr>
            <w:tcW w:w="2268" w:type="dxa"/>
            <w:shd w:val="clear" w:color="auto" w:fill="D9D9D9" w:themeFill="background1" w:themeFillShade="D9"/>
          </w:tcPr>
          <w:p w14:paraId="192F1704" w14:textId="77777777" w:rsidR="00F735D4" w:rsidRPr="004D5E9B" w:rsidRDefault="00F735D4" w:rsidP="00303A63">
            <w:pPr>
              <w:pStyle w:val="Heading2"/>
              <w:rPr>
                <w:rFonts w:ascii="Arial" w:hAnsi="Arial" w:cs="Arial"/>
                <w:sz w:val="22"/>
                <w:szCs w:val="22"/>
              </w:rPr>
            </w:pPr>
            <w:r w:rsidRPr="6D4D0207">
              <w:rPr>
                <w:rFonts w:ascii="Arial" w:hAnsi="Arial" w:cs="Arial"/>
                <w:sz w:val="22"/>
                <w:szCs w:val="22"/>
              </w:rPr>
              <w:t>Contribution to Overall Module Assessment (%):</w:t>
            </w:r>
          </w:p>
        </w:tc>
        <w:tc>
          <w:tcPr>
            <w:tcW w:w="2268" w:type="dxa"/>
          </w:tcPr>
          <w:p w14:paraId="3E92BA5D" w14:textId="77777777" w:rsidR="00F735D4" w:rsidRPr="00A406E5" w:rsidRDefault="00F735D4" w:rsidP="00303A63">
            <w:pPr>
              <w:spacing w:before="120" w:after="120"/>
              <w:jc w:val="both"/>
              <w:rPr>
                <w:rFonts w:ascii="Arial" w:hAnsi="Arial" w:cs="Arial"/>
                <w:b/>
                <w:sz w:val="22"/>
                <w:szCs w:val="22"/>
              </w:rPr>
            </w:pPr>
            <w:r>
              <w:rPr>
                <w:rFonts w:ascii="Arial" w:hAnsi="Arial" w:cs="Arial"/>
                <w:b/>
                <w:sz w:val="22"/>
                <w:szCs w:val="22"/>
              </w:rPr>
              <w:t>50%</w:t>
            </w:r>
          </w:p>
        </w:tc>
      </w:tr>
      <w:tr w:rsidR="00F735D4" w:rsidRPr="00A406E5" w14:paraId="1D2D747D" w14:textId="77777777" w:rsidTr="00303A63">
        <w:tc>
          <w:tcPr>
            <w:tcW w:w="2093" w:type="dxa"/>
            <w:shd w:val="clear" w:color="auto" w:fill="auto"/>
          </w:tcPr>
          <w:p w14:paraId="2530DDD9" w14:textId="77777777"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Lecturer:</w:t>
            </w:r>
          </w:p>
        </w:tc>
        <w:tc>
          <w:tcPr>
            <w:tcW w:w="3293" w:type="dxa"/>
          </w:tcPr>
          <w:p w14:paraId="5EBB8521" w14:textId="77777777" w:rsidR="00F735D4" w:rsidRPr="00A406E5" w:rsidRDefault="00F735D4" w:rsidP="00303A63">
            <w:pPr>
              <w:spacing w:before="120" w:after="120"/>
              <w:jc w:val="both"/>
              <w:rPr>
                <w:rFonts w:ascii="Arial" w:hAnsi="Arial" w:cs="Arial"/>
                <w:b/>
                <w:sz w:val="22"/>
                <w:szCs w:val="22"/>
              </w:rPr>
            </w:pPr>
            <w:r>
              <w:rPr>
                <w:rFonts w:ascii="Arial" w:hAnsi="Arial" w:cs="Arial"/>
                <w:b/>
                <w:sz w:val="22"/>
                <w:szCs w:val="22"/>
              </w:rPr>
              <w:t xml:space="preserve">Alison S Evans </w:t>
            </w:r>
          </w:p>
        </w:tc>
        <w:tc>
          <w:tcPr>
            <w:tcW w:w="2268" w:type="dxa"/>
            <w:shd w:val="clear" w:color="auto" w:fill="D9D9D9" w:themeFill="background1" w:themeFillShade="D9"/>
          </w:tcPr>
          <w:p w14:paraId="5AEF1EC6" w14:textId="77777777"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Internal Verifier:</w:t>
            </w:r>
          </w:p>
        </w:tc>
        <w:tc>
          <w:tcPr>
            <w:tcW w:w="2268" w:type="dxa"/>
          </w:tcPr>
          <w:p w14:paraId="227C7F54" w14:textId="77777777" w:rsidR="00F735D4" w:rsidRPr="00A406E5" w:rsidRDefault="00F735D4" w:rsidP="00303A63">
            <w:pPr>
              <w:spacing w:before="120" w:after="120"/>
              <w:jc w:val="both"/>
              <w:rPr>
                <w:rFonts w:ascii="Arial" w:hAnsi="Arial" w:cs="Arial"/>
                <w:b/>
                <w:sz w:val="22"/>
                <w:szCs w:val="22"/>
              </w:rPr>
            </w:pPr>
          </w:p>
        </w:tc>
      </w:tr>
      <w:tr w:rsidR="00F735D4" w:rsidRPr="00A406E5" w14:paraId="0D2E6CB4" w14:textId="77777777" w:rsidTr="00303A63">
        <w:tc>
          <w:tcPr>
            <w:tcW w:w="2093" w:type="dxa"/>
            <w:shd w:val="clear" w:color="auto" w:fill="auto"/>
          </w:tcPr>
          <w:p w14:paraId="73DA9103" w14:textId="77777777"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Assignment Title:</w:t>
            </w:r>
          </w:p>
        </w:tc>
        <w:tc>
          <w:tcPr>
            <w:tcW w:w="3293" w:type="dxa"/>
          </w:tcPr>
          <w:p w14:paraId="22FA035F" w14:textId="77777777" w:rsidR="00F735D4" w:rsidRPr="00A406E5" w:rsidRDefault="00F735D4" w:rsidP="00303A63">
            <w:pPr>
              <w:spacing w:before="120" w:after="120"/>
              <w:jc w:val="both"/>
              <w:rPr>
                <w:rFonts w:ascii="Arial" w:hAnsi="Arial" w:cs="Arial"/>
                <w:b/>
                <w:sz w:val="22"/>
                <w:szCs w:val="22"/>
              </w:rPr>
            </w:pPr>
            <w:r>
              <w:rPr>
                <w:rFonts w:ascii="Arial" w:hAnsi="Arial" w:cs="Arial"/>
                <w:b/>
                <w:sz w:val="22"/>
                <w:szCs w:val="22"/>
              </w:rPr>
              <w:t>Part B, (</w:t>
            </w:r>
            <w:proofErr w:type="spellStart"/>
            <w:r>
              <w:rPr>
                <w:rFonts w:ascii="Arial" w:hAnsi="Arial" w:cs="Arial"/>
                <w:b/>
                <w:sz w:val="22"/>
                <w:szCs w:val="22"/>
              </w:rPr>
              <w:t>i</w:t>
            </w:r>
            <w:proofErr w:type="spellEnd"/>
            <w:r>
              <w:rPr>
                <w:rFonts w:ascii="Arial" w:hAnsi="Arial" w:cs="Arial"/>
                <w:b/>
                <w:sz w:val="22"/>
                <w:szCs w:val="22"/>
              </w:rPr>
              <w:t xml:space="preserve">) and (ii) </w:t>
            </w:r>
          </w:p>
        </w:tc>
        <w:tc>
          <w:tcPr>
            <w:tcW w:w="2268" w:type="dxa"/>
            <w:shd w:val="clear" w:color="auto" w:fill="auto"/>
          </w:tcPr>
          <w:p w14:paraId="6C6020E9" w14:textId="77777777"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Word count (or equivalent):</w:t>
            </w:r>
          </w:p>
        </w:tc>
        <w:tc>
          <w:tcPr>
            <w:tcW w:w="2268" w:type="dxa"/>
          </w:tcPr>
          <w:p w14:paraId="3EDB7CD6" w14:textId="77777777" w:rsidR="00F735D4" w:rsidRDefault="00F735D4" w:rsidP="00F735D4">
            <w:pPr>
              <w:pStyle w:val="ListParagraph"/>
              <w:numPr>
                <w:ilvl w:val="0"/>
                <w:numId w:val="1"/>
              </w:numPr>
              <w:spacing w:before="120" w:after="120"/>
              <w:jc w:val="both"/>
              <w:rPr>
                <w:rFonts w:ascii="Arial" w:hAnsi="Arial" w:cs="Arial"/>
                <w:b/>
                <w:sz w:val="22"/>
                <w:szCs w:val="22"/>
              </w:rPr>
            </w:pPr>
            <w:r>
              <w:rPr>
                <w:rFonts w:ascii="Arial" w:hAnsi="Arial" w:cs="Arial"/>
                <w:b/>
                <w:sz w:val="22"/>
                <w:szCs w:val="22"/>
              </w:rPr>
              <w:t>= 1,500</w:t>
            </w:r>
          </w:p>
          <w:p w14:paraId="0550F0B1" w14:textId="77777777" w:rsidR="00F735D4" w:rsidRPr="006E02E8" w:rsidRDefault="00F735D4" w:rsidP="00F735D4">
            <w:pPr>
              <w:pStyle w:val="ListParagraph"/>
              <w:numPr>
                <w:ilvl w:val="0"/>
                <w:numId w:val="1"/>
              </w:numPr>
              <w:spacing w:before="120" w:after="120"/>
              <w:jc w:val="both"/>
              <w:rPr>
                <w:rFonts w:ascii="Arial" w:hAnsi="Arial" w:cs="Arial"/>
                <w:b/>
                <w:sz w:val="22"/>
                <w:szCs w:val="22"/>
              </w:rPr>
            </w:pPr>
            <w:r>
              <w:rPr>
                <w:rFonts w:ascii="Arial" w:hAnsi="Arial" w:cs="Arial"/>
                <w:b/>
                <w:sz w:val="22"/>
                <w:szCs w:val="22"/>
              </w:rPr>
              <w:t>= 2,000</w:t>
            </w:r>
          </w:p>
        </w:tc>
      </w:tr>
      <w:tr w:rsidR="00F735D4" w:rsidRPr="00A406E5" w14:paraId="1AD83797" w14:textId="77777777" w:rsidTr="00303A63">
        <w:tc>
          <w:tcPr>
            <w:tcW w:w="2093" w:type="dxa"/>
            <w:shd w:val="clear" w:color="auto" w:fill="auto"/>
          </w:tcPr>
          <w:p w14:paraId="490CE3EC" w14:textId="77777777"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Submission deadline:</w:t>
            </w:r>
          </w:p>
        </w:tc>
        <w:tc>
          <w:tcPr>
            <w:tcW w:w="3293" w:type="dxa"/>
            <w:shd w:val="clear" w:color="auto" w:fill="auto"/>
          </w:tcPr>
          <w:p w14:paraId="0E90A6DC" w14:textId="77777777" w:rsidR="00F735D4" w:rsidRPr="00A406E5" w:rsidRDefault="00F735D4" w:rsidP="00303A63">
            <w:pPr>
              <w:spacing w:before="120" w:after="120"/>
              <w:jc w:val="both"/>
              <w:rPr>
                <w:rFonts w:ascii="Arial" w:hAnsi="Arial" w:cs="Arial"/>
                <w:b/>
                <w:sz w:val="22"/>
                <w:szCs w:val="22"/>
              </w:rPr>
            </w:pPr>
            <w:r>
              <w:rPr>
                <w:rFonts w:ascii="Arial" w:hAnsi="Arial" w:cs="Arial"/>
                <w:b/>
                <w:sz w:val="22"/>
                <w:szCs w:val="22"/>
              </w:rPr>
              <w:t>26 November 2018</w:t>
            </w:r>
          </w:p>
        </w:tc>
        <w:tc>
          <w:tcPr>
            <w:tcW w:w="2268" w:type="dxa"/>
            <w:shd w:val="clear" w:color="auto" w:fill="auto"/>
          </w:tcPr>
          <w:p w14:paraId="5E5DFC65" w14:textId="77777777"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Return date of provisional marks &amp; written feedback:</w:t>
            </w:r>
          </w:p>
        </w:tc>
        <w:tc>
          <w:tcPr>
            <w:tcW w:w="2268" w:type="dxa"/>
          </w:tcPr>
          <w:p w14:paraId="56A88A8D" w14:textId="77777777" w:rsidR="00F735D4" w:rsidRPr="00A406E5" w:rsidRDefault="00F735D4" w:rsidP="00303A63">
            <w:pPr>
              <w:spacing w:before="120" w:after="120"/>
              <w:jc w:val="both"/>
              <w:rPr>
                <w:rFonts w:ascii="Arial" w:hAnsi="Arial" w:cs="Arial"/>
                <w:b/>
                <w:sz w:val="22"/>
                <w:szCs w:val="22"/>
              </w:rPr>
            </w:pPr>
            <w:r>
              <w:rPr>
                <w:rFonts w:ascii="Arial" w:hAnsi="Arial" w:cs="Arial"/>
                <w:b/>
                <w:sz w:val="22"/>
                <w:szCs w:val="22"/>
              </w:rPr>
              <w:t>17 December 2018</w:t>
            </w:r>
          </w:p>
        </w:tc>
      </w:tr>
      <w:tr w:rsidR="00F735D4" w:rsidRPr="00A406E5" w14:paraId="49586B88" w14:textId="77777777" w:rsidTr="00303A63">
        <w:tc>
          <w:tcPr>
            <w:tcW w:w="2093" w:type="dxa"/>
            <w:shd w:val="clear" w:color="auto" w:fill="auto"/>
          </w:tcPr>
          <w:p w14:paraId="73D952B3" w14:textId="77777777"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Submission method:</w:t>
            </w:r>
          </w:p>
        </w:tc>
        <w:tc>
          <w:tcPr>
            <w:tcW w:w="7829" w:type="dxa"/>
            <w:gridSpan w:val="3"/>
            <w:shd w:val="clear" w:color="auto" w:fill="auto"/>
          </w:tcPr>
          <w:p w14:paraId="73469BBA" w14:textId="77777777" w:rsidR="00F735D4" w:rsidRPr="00A406E5" w:rsidRDefault="00F735D4" w:rsidP="00303A63">
            <w:pPr>
              <w:rPr>
                <w:rFonts w:ascii="Arial" w:hAnsi="Arial" w:cs="Arial"/>
                <w:sz w:val="22"/>
                <w:szCs w:val="22"/>
              </w:rPr>
            </w:pPr>
            <w:r w:rsidRPr="6D4D0207">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6D134C4" w14:textId="77777777"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 xml:space="preserve">Alternative submission method (if applicable): </w:t>
            </w:r>
          </w:p>
          <w:p w14:paraId="52E22954" w14:textId="77777777" w:rsidR="00F735D4" w:rsidRPr="00A406E5" w:rsidRDefault="00F735D4" w:rsidP="00303A63">
            <w:pPr>
              <w:spacing w:before="120" w:after="120"/>
              <w:jc w:val="both"/>
              <w:rPr>
                <w:rFonts w:ascii="Arial" w:hAnsi="Arial" w:cs="Arial"/>
                <w:b/>
                <w:bCs/>
                <w:sz w:val="22"/>
                <w:szCs w:val="22"/>
              </w:rPr>
            </w:pPr>
            <w:r w:rsidRPr="6D4D0207">
              <w:rPr>
                <w:rFonts w:ascii="Arial" w:hAnsi="Arial" w:cs="Arial"/>
                <w:b/>
                <w:bCs/>
                <w:sz w:val="22"/>
                <w:szCs w:val="22"/>
              </w:rPr>
              <w:t xml:space="preserve">Late submission of the assessment will result in a late penalty mark.  </w:t>
            </w:r>
            <w:r w:rsidRPr="6D4D0207">
              <w:rPr>
                <w:rFonts w:ascii="Arial" w:hAnsi="Arial" w:cs="Arial"/>
                <w:sz w:val="22"/>
                <w:szCs w:val="22"/>
              </w:rPr>
              <w:t>Penalties for late submission: Up to one week late, maximum mark of 40%.  Over one week late, 0%.  Only the Extenuating Circumstances Panel may approve a change to submission dates.</w:t>
            </w:r>
          </w:p>
        </w:tc>
      </w:tr>
      <w:tr w:rsidR="00F735D4" w:rsidRPr="00A406E5" w14:paraId="35D3BA66" w14:textId="77777777" w:rsidTr="00303A63">
        <w:tc>
          <w:tcPr>
            <w:tcW w:w="2093" w:type="dxa"/>
            <w:shd w:val="clear" w:color="auto" w:fill="auto"/>
          </w:tcPr>
          <w:p w14:paraId="60222F73" w14:textId="77777777" w:rsidR="00F735D4" w:rsidRPr="00A406E5" w:rsidRDefault="00F735D4" w:rsidP="00303A63">
            <w:pPr>
              <w:spacing w:before="120" w:after="120"/>
              <w:rPr>
                <w:rFonts w:ascii="Arial" w:hAnsi="Arial" w:cs="Arial"/>
                <w:b/>
                <w:bCs/>
                <w:sz w:val="22"/>
                <w:szCs w:val="22"/>
              </w:rPr>
            </w:pPr>
            <w:r w:rsidRPr="6D4D0207">
              <w:rPr>
                <w:rFonts w:ascii="Arial" w:hAnsi="Arial" w:cs="Arial"/>
                <w:b/>
                <w:bCs/>
                <w:sz w:val="22"/>
                <w:szCs w:val="22"/>
              </w:rPr>
              <w:t>Academic honesty / referencing:</w:t>
            </w:r>
          </w:p>
        </w:tc>
        <w:tc>
          <w:tcPr>
            <w:tcW w:w="7829" w:type="dxa"/>
            <w:gridSpan w:val="3"/>
            <w:shd w:val="clear" w:color="auto" w:fill="auto"/>
          </w:tcPr>
          <w:p w14:paraId="1A832FF6" w14:textId="77777777" w:rsidR="00F735D4" w:rsidRPr="00A406E5" w:rsidRDefault="00F735D4" w:rsidP="00303A63">
            <w:pPr>
              <w:spacing w:before="120" w:after="120"/>
              <w:jc w:val="both"/>
              <w:rPr>
                <w:rFonts w:ascii="Arial" w:hAnsi="Arial" w:cs="Arial"/>
                <w:sz w:val="22"/>
                <w:szCs w:val="22"/>
              </w:rPr>
            </w:pPr>
            <w:r w:rsidRPr="6D4D0207">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16A2A037" w14:textId="77777777" w:rsidR="00F735D4" w:rsidRPr="00A406E5" w:rsidRDefault="00F735D4" w:rsidP="00F735D4">
      <w:pPr>
        <w:rPr>
          <w:rFonts w:ascii="Arial" w:hAnsi="Arial" w:cs="Arial"/>
          <w:sz w:val="32"/>
        </w:rPr>
      </w:pPr>
    </w:p>
    <w:p w14:paraId="77E92A8E" w14:textId="77777777" w:rsidR="00F735D4" w:rsidRPr="00A406E5" w:rsidRDefault="00F735D4" w:rsidP="00F735D4">
      <w:pPr>
        <w:rPr>
          <w:rFonts w:ascii="Arial" w:hAnsi="Arial" w:cs="Arial"/>
          <w:sz w:val="32"/>
        </w:rPr>
      </w:pPr>
    </w:p>
    <w:p w14:paraId="47127BDA" w14:textId="77777777" w:rsidR="00F735D4" w:rsidRPr="00A406E5" w:rsidRDefault="00F735D4" w:rsidP="00F735D4">
      <w:pPr>
        <w:rPr>
          <w:rFonts w:ascii="Arial" w:hAnsi="Arial" w:cs="Arial"/>
          <w:sz w:val="32"/>
        </w:rPr>
      </w:pPr>
    </w:p>
    <w:p w14:paraId="2B263430" w14:textId="77777777" w:rsidR="00F735D4" w:rsidRPr="00A406E5" w:rsidRDefault="00F735D4" w:rsidP="00F735D4">
      <w:pPr>
        <w:rPr>
          <w:rFonts w:ascii="Arial" w:hAnsi="Arial" w:cs="Arial"/>
          <w:sz w:val="32"/>
        </w:rPr>
      </w:pPr>
    </w:p>
    <w:p w14:paraId="73ACCEAE" w14:textId="77777777" w:rsidR="00F735D4" w:rsidRPr="00A406E5" w:rsidRDefault="00F735D4" w:rsidP="00F735D4">
      <w:pPr>
        <w:rPr>
          <w:rFonts w:ascii="Arial" w:hAnsi="Arial" w:cs="Arial"/>
          <w:sz w:val="32"/>
        </w:rPr>
      </w:pPr>
    </w:p>
    <w:p w14:paraId="4781E0B9" w14:textId="77777777" w:rsidR="00F735D4" w:rsidRPr="00A406E5" w:rsidRDefault="00F735D4" w:rsidP="00F735D4">
      <w:pPr>
        <w:rPr>
          <w:rFonts w:ascii="Arial" w:hAnsi="Arial" w:cs="Arial"/>
          <w:sz w:val="32"/>
        </w:rPr>
      </w:pPr>
    </w:p>
    <w:p w14:paraId="5C96E841" w14:textId="57CACAC4" w:rsidR="00D10389" w:rsidRDefault="007378CD">
      <w:pPr>
        <w:rPr>
          <w:rFonts w:ascii="Arial" w:hAnsi="Arial" w:cs="Arial"/>
          <w:sz w:val="32"/>
        </w:rPr>
      </w:pPr>
    </w:p>
    <w:p w14:paraId="19D198CC" w14:textId="18DF8A8D" w:rsidR="006545A8" w:rsidRDefault="006545A8">
      <w:pPr>
        <w:rPr>
          <w:rFonts w:ascii="Arial" w:hAnsi="Arial" w:cs="Arial"/>
          <w:sz w:val="32"/>
        </w:rPr>
      </w:pPr>
    </w:p>
    <w:p w14:paraId="3C2A2464" w14:textId="77777777" w:rsidR="00477D9F" w:rsidRPr="00477D9F" w:rsidRDefault="00477D9F" w:rsidP="00477D9F">
      <w:pPr>
        <w:spacing w:after="160" w:line="360" w:lineRule="auto"/>
        <w:rPr>
          <w:rFonts w:ascii="Calibri" w:eastAsia="Calibri" w:hAnsi="Calibri"/>
          <w:sz w:val="28"/>
          <w:szCs w:val="22"/>
          <w:lang w:eastAsia="en-US"/>
        </w:rPr>
      </w:pPr>
      <w:r w:rsidRPr="00477D9F">
        <w:rPr>
          <w:rFonts w:ascii="Calibri" w:eastAsia="Calibri" w:hAnsi="Calibri"/>
          <w:sz w:val="28"/>
          <w:szCs w:val="22"/>
          <w:lang w:eastAsia="en-US"/>
        </w:rPr>
        <w:t>Part B (</w:t>
      </w:r>
      <w:proofErr w:type="spellStart"/>
      <w:r w:rsidRPr="00477D9F">
        <w:rPr>
          <w:rFonts w:ascii="Calibri" w:eastAsia="Calibri" w:hAnsi="Calibri"/>
          <w:sz w:val="28"/>
          <w:szCs w:val="22"/>
          <w:lang w:eastAsia="en-US"/>
        </w:rPr>
        <w:t>i</w:t>
      </w:r>
      <w:proofErr w:type="spellEnd"/>
      <w:r w:rsidRPr="00477D9F">
        <w:rPr>
          <w:rFonts w:ascii="Calibri" w:eastAsia="Calibri" w:hAnsi="Calibri"/>
          <w:sz w:val="28"/>
          <w:szCs w:val="22"/>
          <w:lang w:eastAsia="en-US"/>
        </w:rPr>
        <w:t>)</w:t>
      </w:r>
    </w:p>
    <w:p w14:paraId="37C2F76F" w14:textId="77777777" w:rsidR="00477D9F" w:rsidRPr="00477D9F" w:rsidRDefault="00477D9F" w:rsidP="00477D9F">
      <w:pPr>
        <w:spacing w:after="160" w:line="360" w:lineRule="auto"/>
        <w:rPr>
          <w:rFonts w:ascii="Calibri" w:eastAsia="Calibri" w:hAnsi="Calibri"/>
          <w:sz w:val="28"/>
          <w:szCs w:val="22"/>
          <w:lang w:eastAsia="en-US"/>
        </w:rPr>
      </w:pPr>
      <w:r w:rsidRPr="00477D9F">
        <w:rPr>
          <w:rFonts w:ascii="Calibri" w:eastAsia="Calibri" w:hAnsi="Calibri"/>
          <w:sz w:val="28"/>
          <w:szCs w:val="22"/>
          <w:lang w:eastAsia="en-US"/>
        </w:rPr>
        <w:t>This essay will examine the theory behind my scheme of work, lesson plan and resources for my microteach lesson on probability. It takes into consideration the needs of my pupils, their progress already, what I want them to achieve and how I’m going to help get to where I want them to be and where they should be, to attain the level they deserve. The essay will contain references to pedagogical theory which underpins the reasoning for my lesson, as a part of my scheme of work and where it fits within the National Curriculum.</w:t>
      </w:r>
    </w:p>
    <w:p w14:paraId="4D9B1CCA" w14:textId="77777777" w:rsidR="00477D9F" w:rsidRPr="00477D9F" w:rsidRDefault="00477D9F" w:rsidP="00477D9F">
      <w:pPr>
        <w:spacing w:after="160" w:line="360" w:lineRule="auto"/>
        <w:rPr>
          <w:rFonts w:ascii="Calibri" w:eastAsia="Calibri" w:hAnsi="Calibri"/>
          <w:sz w:val="28"/>
          <w:szCs w:val="22"/>
          <w:lang w:eastAsia="en-US"/>
        </w:rPr>
      </w:pPr>
      <w:r w:rsidRPr="00477D9F">
        <w:rPr>
          <w:rFonts w:ascii="Calibri" w:eastAsia="Calibri" w:hAnsi="Calibri"/>
          <w:sz w:val="28"/>
          <w:szCs w:val="22"/>
          <w:lang w:eastAsia="en-US"/>
        </w:rPr>
        <w:t xml:space="preserve">I am passionate about teaching Maths and I want my pupils to want to learn how things are worked out and how to answer a specific question. I believe this passion is important, as the children you teach need to see that the person teaching them really wants them to succeed and does this with enthusiasm. This concept can be seen in </w:t>
      </w:r>
      <w:proofErr w:type="spellStart"/>
      <w:r w:rsidRPr="00477D9F">
        <w:rPr>
          <w:rFonts w:ascii="Calibri" w:eastAsia="Calibri" w:hAnsi="Calibri"/>
          <w:sz w:val="28"/>
          <w:szCs w:val="22"/>
          <w:lang w:eastAsia="en-US"/>
        </w:rPr>
        <w:t>Biesta’s</w:t>
      </w:r>
      <w:proofErr w:type="spellEnd"/>
      <w:r w:rsidRPr="00477D9F">
        <w:rPr>
          <w:rFonts w:ascii="Calibri" w:eastAsia="Calibri" w:hAnsi="Calibri"/>
          <w:sz w:val="28"/>
          <w:szCs w:val="22"/>
          <w:lang w:eastAsia="en-US"/>
        </w:rPr>
        <w:t xml:space="preserve"> idea of ‘teaching is a gift’: the gift of learning or being taught is something that is given without any expectation an exchange. 1(</w:t>
      </w:r>
      <w:proofErr w:type="spellStart"/>
      <w:r w:rsidRPr="00477D9F">
        <w:rPr>
          <w:rFonts w:ascii="Calibri" w:eastAsia="Calibri" w:hAnsi="Calibri"/>
          <w:sz w:val="28"/>
          <w:szCs w:val="22"/>
          <w:lang w:eastAsia="en-US"/>
        </w:rPr>
        <w:t>Biesta</w:t>
      </w:r>
      <w:proofErr w:type="spellEnd"/>
      <w:r w:rsidRPr="00477D9F">
        <w:rPr>
          <w:rFonts w:ascii="Calibri" w:eastAsia="Calibri" w:hAnsi="Calibri"/>
          <w:sz w:val="28"/>
          <w:szCs w:val="22"/>
          <w:lang w:eastAsia="en-US"/>
        </w:rPr>
        <w:t>, 2012 p.41) My ‘gift’ to my students would be to create a lesson that the learners want to learn and are enthusiastic about doing the tasks I set them within the lesson.</w:t>
      </w:r>
    </w:p>
    <w:p w14:paraId="52AC4574" w14:textId="490088B0" w:rsidR="00477D9F" w:rsidRPr="00477D9F" w:rsidRDefault="00477D9F" w:rsidP="00477D9F">
      <w:pPr>
        <w:spacing w:after="160" w:line="360" w:lineRule="auto"/>
        <w:rPr>
          <w:rFonts w:ascii="Calibri" w:eastAsia="Calibri" w:hAnsi="Calibri" w:cs="Calibri"/>
          <w:color w:val="222222"/>
          <w:sz w:val="28"/>
          <w:szCs w:val="28"/>
          <w:lang w:eastAsia="en-US"/>
        </w:rPr>
      </w:pPr>
      <w:r w:rsidRPr="00477D9F">
        <w:rPr>
          <w:rFonts w:ascii="Calibri" w:eastAsia="Calibri" w:hAnsi="Calibri"/>
          <w:sz w:val="28"/>
          <w:szCs w:val="22"/>
          <w:lang w:eastAsia="en-US"/>
        </w:rPr>
        <w:t xml:space="preserve">Probability is not one of my favourite topics. So, when I was given it, at first, I was annoyed but then I developed a passion for it too. My tutors knew that this topic would stretch me, and I now see that this was done to show me how pupils will see certain topics. As a teacher I need to develop lessons that will to get them to embrace their learning too.  It took me out of my comfort Zone, which according to Vygotsky is the zone of Proximal Development. The only way pupils can move out of their comfort zone is with the help of a more knowledgeable person. This is what I’d like to do when teaching but it needs to </w:t>
      </w:r>
      <w:r w:rsidRPr="00477D9F">
        <w:rPr>
          <w:rFonts w:ascii="Calibri" w:eastAsia="Calibri" w:hAnsi="Calibri"/>
          <w:sz w:val="28"/>
          <w:szCs w:val="22"/>
          <w:lang w:eastAsia="en-US"/>
        </w:rPr>
        <w:lastRenderedPageBreak/>
        <w:t>be used properly - “trying to find that magic balance to create a task that is at just the right level for a child. If a task is too difficult, then children will panic or become disengaged, but if it is too easy then they will become frustrated” 2 (Sarah Wright, 2016). This can be</w:t>
      </w:r>
      <w:r w:rsidRPr="00477D9F">
        <w:rPr>
          <w:rFonts w:ascii="Calibri" w:eastAsia="Calibri" w:hAnsi="Calibri" w:cs="Calibri"/>
          <w:color w:val="222222"/>
          <w:sz w:val="28"/>
          <w:szCs w:val="28"/>
          <w:lang w:eastAsia="en-US"/>
        </w:rPr>
        <w:t xml:space="preserve"> achieved using the Growth mindset, “…intended to help close achievement gaps, not hide them”3 (Carol Dweck, 2015), and Vygotsky believes that the role of a teacher is “… to provide children with experiences which are in their ZPD, thereby encouraging and advancing their individual learning’ and closing the gaps”4 (</w:t>
      </w:r>
      <w:proofErr w:type="spellStart"/>
      <w:r w:rsidRPr="00477D9F">
        <w:rPr>
          <w:rFonts w:ascii="Calibri" w:eastAsia="Calibri" w:hAnsi="Calibri" w:cs="Calibri"/>
          <w:color w:val="222222"/>
          <w:sz w:val="28"/>
          <w:szCs w:val="28"/>
          <w:lang w:eastAsia="en-US"/>
        </w:rPr>
        <w:t>Culatta</w:t>
      </w:r>
      <w:proofErr w:type="spellEnd"/>
      <w:r w:rsidRPr="00477D9F">
        <w:rPr>
          <w:rFonts w:ascii="Calibri" w:eastAsia="Calibri" w:hAnsi="Calibri" w:cs="Calibri"/>
          <w:color w:val="222222"/>
          <w:sz w:val="28"/>
          <w:szCs w:val="28"/>
          <w:lang w:eastAsia="en-US"/>
        </w:rPr>
        <w:t xml:space="preserve">, 2011). Therefore, in my lessons I need to come up with instructions and activities that will stretch my pupils </w:t>
      </w:r>
      <w:r w:rsidRPr="00477D9F">
        <w:rPr>
          <w:rFonts w:ascii="Calibri" w:eastAsia="Calibri" w:hAnsi="Calibri" w:cs="Calibri"/>
          <w:color w:val="222222"/>
          <w:sz w:val="28"/>
          <w:szCs w:val="28"/>
          <w:lang w:eastAsia="en-US"/>
        </w:rPr>
        <w:t>individually,</w:t>
      </w:r>
      <w:r w:rsidRPr="00477D9F">
        <w:rPr>
          <w:rFonts w:ascii="Calibri" w:eastAsia="Calibri" w:hAnsi="Calibri" w:cs="Calibri"/>
          <w:color w:val="222222"/>
          <w:sz w:val="28"/>
          <w:szCs w:val="28"/>
          <w:lang w:eastAsia="en-US"/>
        </w:rPr>
        <w:t xml:space="preserve"> so they can learn.</w:t>
      </w:r>
    </w:p>
    <w:p w14:paraId="35F14557" w14:textId="77777777" w:rsidR="00477D9F" w:rsidRPr="00477D9F" w:rsidRDefault="00477D9F" w:rsidP="00477D9F">
      <w:pPr>
        <w:spacing w:after="160" w:line="360" w:lineRule="auto"/>
        <w:rPr>
          <w:rFonts w:ascii="Calibri" w:eastAsia="Calibri" w:hAnsi="Calibri" w:cs="Calibri"/>
          <w:color w:val="222222"/>
          <w:sz w:val="28"/>
          <w:szCs w:val="28"/>
          <w:lang w:eastAsia="en-US"/>
        </w:rPr>
      </w:pPr>
      <w:r w:rsidRPr="00477D9F">
        <w:rPr>
          <w:rFonts w:ascii="Calibri" w:eastAsia="Calibri" w:hAnsi="Calibri" w:cs="Calibri"/>
          <w:color w:val="222222"/>
          <w:sz w:val="28"/>
          <w:szCs w:val="28"/>
          <w:lang w:eastAsia="en-US"/>
        </w:rPr>
        <w:t>When looking at my topic, I then scrutinised the National Curriculum to find out what objectives my chosen year group needed to achieve by the end of my scheme of work.  They may all have had a different starting point, but I wanted them all to achieve the same goals at the end. Working backwards, I came up with several smaller chunks of learning that were achievable for the students but challenging enough for the pupils to be in the struggle zone or the Zone of proximal development, as mentioned before.  To get the pupils to that struggle zone I would need to ‘Scaffold’ them as Bruner suggests. In Bruner’s view, “the tutor in effect performs the critical function of “scaffolding” the learning task to make it possible for the child, in Vygotsky’s word, to internalise external knowledge’5(Bruner 1988: p.89). The ‘scaffolding’ could be in form of showing them several examples before they do the questions themselves or giving them visual aids to help them experiment with the problem first before answering it. Both my scheme of work and my lessons would have to have several different differentiated ways to help the pupils get to where they needed to be.</w:t>
      </w:r>
    </w:p>
    <w:p w14:paraId="03FDD80D" w14:textId="77777777" w:rsidR="00477D9F" w:rsidRPr="00477D9F" w:rsidRDefault="00477D9F" w:rsidP="00477D9F">
      <w:pPr>
        <w:spacing w:after="160" w:line="360" w:lineRule="auto"/>
        <w:rPr>
          <w:rFonts w:ascii="Calibri" w:eastAsia="Calibri" w:hAnsi="Calibri" w:cs="Calibri"/>
          <w:color w:val="222222"/>
          <w:sz w:val="28"/>
          <w:szCs w:val="28"/>
          <w:lang w:eastAsia="en-US"/>
        </w:rPr>
      </w:pPr>
      <w:r w:rsidRPr="00477D9F">
        <w:rPr>
          <w:rFonts w:ascii="Calibri" w:eastAsia="Calibri" w:hAnsi="Calibri" w:cs="Calibri"/>
          <w:color w:val="222222"/>
          <w:sz w:val="28"/>
          <w:szCs w:val="28"/>
          <w:lang w:eastAsia="en-US"/>
        </w:rPr>
        <w:lastRenderedPageBreak/>
        <w:t>I then selected a section of the topic to focus my microteach lesson on, towards the end of the scheme of work, building on the knowledge they already had and teaching them how to use Probability trees to find the outcomes of a probability question.</w:t>
      </w:r>
    </w:p>
    <w:p w14:paraId="3C561C1A" w14:textId="77777777" w:rsidR="00477D9F" w:rsidRPr="00477D9F" w:rsidRDefault="00477D9F" w:rsidP="00477D9F">
      <w:pPr>
        <w:spacing w:after="160" w:line="360" w:lineRule="auto"/>
        <w:rPr>
          <w:rFonts w:ascii="Calibri" w:eastAsia="Calibri" w:hAnsi="Calibri" w:cs="Calibri"/>
          <w:color w:val="222222"/>
          <w:sz w:val="28"/>
          <w:szCs w:val="28"/>
          <w:lang w:eastAsia="en-US"/>
        </w:rPr>
      </w:pPr>
      <w:r w:rsidRPr="00477D9F">
        <w:rPr>
          <w:rFonts w:ascii="Calibri" w:eastAsia="Calibri" w:hAnsi="Calibri" w:cs="Calibri"/>
          <w:color w:val="222222"/>
          <w:sz w:val="28"/>
          <w:szCs w:val="28"/>
          <w:lang w:eastAsia="en-US"/>
        </w:rPr>
        <w:t xml:space="preserve">Unlike the scheme of work, I started at the beginning, building on what they already knew. To use a probability tree, they need to know how to add and multiply fractions, which is why I used this as a starter. I asked the pupils to do the starter on their own which draws on Piaget’s theory of constructivism that through experimenting they start to learn. But then I asked them to use the white boards and talk to their partner about their answers, which also draws on Vygotsky’s theory that through interacting with their peers they learn more. With the use of the white boards I found out their answers and praised them accordingly, as Skinner suggests this could be defined as behaviourism “An activity or behaviour reinforced by a pleasurable outcome is more likely to be repeated” 6(Capel, Leask and Turner, 1996, p.97) </w:t>
      </w:r>
    </w:p>
    <w:p w14:paraId="4E80DFD2" w14:textId="77777777" w:rsidR="00477D9F" w:rsidRPr="00477D9F" w:rsidRDefault="00477D9F" w:rsidP="00477D9F">
      <w:pPr>
        <w:spacing w:after="160" w:line="360" w:lineRule="auto"/>
        <w:rPr>
          <w:rFonts w:ascii="Calibri" w:eastAsia="Calibri" w:hAnsi="Calibri" w:cs="Calibri"/>
          <w:color w:val="222222"/>
          <w:sz w:val="28"/>
          <w:szCs w:val="28"/>
          <w:lang w:eastAsia="en-US"/>
        </w:rPr>
      </w:pPr>
      <w:r w:rsidRPr="00477D9F">
        <w:rPr>
          <w:rFonts w:ascii="Calibri" w:eastAsia="Calibri" w:hAnsi="Calibri" w:cs="Calibri"/>
          <w:color w:val="222222"/>
          <w:sz w:val="28"/>
          <w:szCs w:val="28"/>
          <w:lang w:eastAsia="en-US"/>
        </w:rPr>
        <w:t>Within my exposition I used Visual aids, I had large playing cards and bags of buttons. I used these to help the children visualise the problem and work it out for themselves, as Vygotsky believes, a child will learn more by experimenting and being actively involved.</w:t>
      </w:r>
    </w:p>
    <w:p w14:paraId="411754FA" w14:textId="77777777" w:rsidR="00477D9F" w:rsidRPr="00477D9F" w:rsidRDefault="00477D9F" w:rsidP="00477D9F">
      <w:pPr>
        <w:spacing w:after="160" w:line="360" w:lineRule="auto"/>
        <w:rPr>
          <w:rFonts w:ascii="Calibri" w:eastAsia="Calibri" w:hAnsi="Calibri" w:cs="Calibri"/>
          <w:color w:val="222222"/>
          <w:sz w:val="28"/>
          <w:szCs w:val="28"/>
          <w:lang w:eastAsia="en-US"/>
        </w:rPr>
      </w:pPr>
      <w:r w:rsidRPr="00477D9F">
        <w:rPr>
          <w:rFonts w:ascii="Calibri" w:eastAsia="Calibri" w:hAnsi="Calibri" w:cs="Calibri"/>
          <w:color w:val="222222"/>
          <w:sz w:val="28"/>
          <w:szCs w:val="28"/>
          <w:lang w:eastAsia="en-US"/>
        </w:rPr>
        <w:t>I started off with using the playing cards to question what they already knew about probability, probing and stretching what they have already told me with more questions. As Burmeister says “The reward for right answers, will be harder questions” 7(</w:t>
      </w:r>
      <w:proofErr w:type="spellStart"/>
      <w:r w:rsidRPr="00477D9F">
        <w:rPr>
          <w:rFonts w:ascii="Calibri" w:eastAsia="Calibri" w:hAnsi="Calibri" w:cs="Calibri"/>
          <w:color w:val="222222"/>
          <w:sz w:val="28"/>
          <w:szCs w:val="28"/>
          <w:lang w:eastAsia="en-US"/>
        </w:rPr>
        <w:t>Lemov</w:t>
      </w:r>
      <w:proofErr w:type="spellEnd"/>
      <w:r w:rsidRPr="00477D9F">
        <w:rPr>
          <w:rFonts w:ascii="Calibri" w:eastAsia="Calibri" w:hAnsi="Calibri" w:cs="Calibri"/>
          <w:color w:val="222222"/>
          <w:sz w:val="28"/>
          <w:szCs w:val="28"/>
          <w:lang w:eastAsia="en-US"/>
        </w:rPr>
        <w:t>, 2015 p.108). I was intending to carry on this activity until I was sure that they knew what probability was.</w:t>
      </w:r>
    </w:p>
    <w:p w14:paraId="3723E4EB" w14:textId="77777777" w:rsidR="00477D9F" w:rsidRPr="00477D9F" w:rsidRDefault="00477D9F" w:rsidP="00477D9F">
      <w:pPr>
        <w:spacing w:after="160" w:line="360" w:lineRule="auto"/>
        <w:rPr>
          <w:rFonts w:ascii="Calibri" w:eastAsia="Calibri" w:hAnsi="Calibri" w:cs="Calibri"/>
          <w:color w:val="222222"/>
          <w:sz w:val="28"/>
          <w:szCs w:val="28"/>
          <w:lang w:eastAsia="en-US"/>
        </w:rPr>
      </w:pPr>
      <w:r w:rsidRPr="00477D9F">
        <w:rPr>
          <w:rFonts w:ascii="Calibri" w:eastAsia="Calibri" w:hAnsi="Calibri" w:cs="Calibri"/>
          <w:color w:val="222222"/>
          <w:sz w:val="28"/>
          <w:szCs w:val="28"/>
          <w:lang w:eastAsia="en-US"/>
        </w:rPr>
        <w:t xml:space="preserve">I wanted to develop my pupils’ literacy skills, as “A crucial element in achieving this aim is to facilitate the development of numerical reasoning: the ability of </w:t>
      </w:r>
      <w:r w:rsidRPr="00477D9F">
        <w:rPr>
          <w:rFonts w:ascii="Calibri" w:eastAsia="Calibri" w:hAnsi="Calibri" w:cs="Calibri"/>
          <w:color w:val="222222"/>
          <w:sz w:val="28"/>
          <w:szCs w:val="28"/>
          <w:lang w:eastAsia="en-US"/>
        </w:rPr>
        <w:lastRenderedPageBreak/>
        <w:t>the learner to apply their numeracy to a multitude of contexts in order to solve problems”8(LNF, 2014, p.1). So, I put a worded question at the start of the exposition slides and posed different questions relating to the worded question for them to think about what’s connected with the probability question.</w:t>
      </w:r>
    </w:p>
    <w:p w14:paraId="7711ED00" w14:textId="77777777" w:rsidR="00477D9F" w:rsidRPr="00477D9F" w:rsidRDefault="00477D9F" w:rsidP="00477D9F">
      <w:pPr>
        <w:spacing w:after="160" w:line="360" w:lineRule="auto"/>
        <w:rPr>
          <w:rFonts w:ascii="Calibri" w:eastAsia="Calibri" w:hAnsi="Calibri" w:cs="Calibri"/>
          <w:color w:val="222222"/>
          <w:sz w:val="28"/>
          <w:szCs w:val="28"/>
          <w:lang w:eastAsia="en-US"/>
        </w:rPr>
      </w:pPr>
      <w:r w:rsidRPr="00477D9F">
        <w:rPr>
          <w:rFonts w:ascii="Calibri" w:eastAsia="Calibri" w:hAnsi="Calibri" w:cs="Calibri"/>
          <w:color w:val="222222"/>
          <w:sz w:val="28"/>
          <w:szCs w:val="28"/>
          <w:lang w:eastAsia="en-US"/>
        </w:rPr>
        <w:t>Following on from that I showed them how to draw a probability tree leaving the figures blank and then asked the pupils to complete the numbers, including the pupils in the process by being interactive, getting them to come up to the board and complete the following probability trees. I did three examples on the board with the help of the pupils, again this could be defined as behaviourism.</w:t>
      </w:r>
    </w:p>
    <w:p w14:paraId="05BE0CD8" w14:textId="77777777" w:rsidR="00477D9F" w:rsidRPr="00477D9F" w:rsidRDefault="00477D9F" w:rsidP="00477D9F">
      <w:pPr>
        <w:spacing w:after="160" w:line="360" w:lineRule="auto"/>
        <w:rPr>
          <w:rFonts w:ascii="Calibri" w:eastAsia="Calibri" w:hAnsi="Calibri" w:cs="Calibri"/>
          <w:color w:val="222222"/>
          <w:sz w:val="28"/>
          <w:szCs w:val="28"/>
          <w:lang w:eastAsia="en-US"/>
        </w:rPr>
      </w:pPr>
      <w:r w:rsidRPr="00477D9F">
        <w:rPr>
          <w:rFonts w:ascii="Calibri" w:eastAsia="Calibri" w:hAnsi="Calibri" w:cs="Calibri"/>
          <w:color w:val="222222"/>
          <w:sz w:val="28"/>
          <w:szCs w:val="28"/>
          <w:lang w:eastAsia="en-US"/>
        </w:rPr>
        <w:t xml:space="preserve">The worksheet I provided for the pupils to practise probability trees, had questions of gradual difficulty thus catering for differentiation within the class “differentiation is about raising the standards of all pupils in a school, not just those underachieving.”9(Capel, Leask and Turner, 1996, p.121) Doug </w:t>
      </w:r>
      <w:proofErr w:type="spellStart"/>
      <w:r w:rsidRPr="00477D9F">
        <w:rPr>
          <w:rFonts w:ascii="Calibri" w:eastAsia="Calibri" w:hAnsi="Calibri" w:cs="Calibri"/>
          <w:color w:val="222222"/>
          <w:sz w:val="28"/>
          <w:szCs w:val="28"/>
          <w:lang w:eastAsia="en-US"/>
        </w:rPr>
        <w:t>Lemov</w:t>
      </w:r>
      <w:proofErr w:type="spellEnd"/>
      <w:r w:rsidRPr="00477D9F">
        <w:rPr>
          <w:rFonts w:ascii="Calibri" w:eastAsia="Calibri" w:hAnsi="Calibri" w:cs="Calibri"/>
          <w:color w:val="222222"/>
          <w:sz w:val="28"/>
          <w:szCs w:val="28"/>
          <w:lang w:eastAsia="en-US"/>
        </w:rPr>
        <w:t xml:space="preserve"> has several different techniques to use in the classroom, one of them being ‘Stretch-it’, I suggest that the GCSE question at the end of the worksheet was a ‘stretch-it’ question, allowing the more able and talented pupils to extend their knowledge by answering this question.</w:t>
      </w:r>
    </w:p>
    <w:p w14:paraId="66FF670D" w14:textId="77777777" w:rsidR="00477D9F" w:rsidRPr="00477D9F" w:rsidRDefault="00477D9F" w:rsidP="00477D9F">
      <w:pPr>
        <w:spacing w:after="160" w:line="360" w:lineRule="auto"/>
        <w:rPr>
          <w:rFonts w:ascii="Calibri" w:eastAsia="Calibri" w:hAnsi="Calibri" w:cs="Calibri"/>
          <w:color w:val="222222"/>
          <w:sz w:val="28"/>
          <w:szCs w:val="28"/>
          <w:lang w:eastAsia="en-US"/>
        </w:rPr>
      </w:pPr>
      <w:r w:rsidRPr="00477D9F">
        <w:rPr>
          <w:rFonts w:ascii="Calibri" w:eastAsia="Calibri" w:hAnsi="Calibri" w:cs="Calibri"/>
          <w:color w:val="222222"/>
          <w:sz w:val="28"/>
          <w:szCs w:val="28"/>
          <w:lang w:eastAsia="en-US"/>
        </w:rPr>
        <w:t>My plenary was designed to find out if the pupils could evaluate themselves to see if they think they understand the lesson. This is important as this is the opportunity for me to learn if they have understood the lesson and to plan for the next lesson. If I find they have not understood, we will need to go over it again next lesson. But if I find they have understood then we can move on to the next topic.</w:t>
      </w:r>
    </w:p>
    <w:p w14:paraId="6F213A7B" w14:textId="77777777" w:rsidR="00477D9F" w:rsidRPr="00477D9F" w:rsidRDefault="00477D9F" w:rsidP="00477D9F">
      <w:pPr>
        <w:spacing w:after="160" w:line="360" w:lineRule="auto"/>
        <w:rPr>
          <w:rFonts w:ascii="Calibri" w:eastAsia="Calibri" w:hAnsi="Calibri" w:cs="Calibri"/>
          <w:color w:val="222222"/>
          <w:sz w:val="28"/>
          <w:szCs w:val="28"/>
          <w:lang w:eastAsia="en-US"/>
        </w:rPr>
      </w:pPr>
    </w:p>
    <w:p w14:paraId="68CD7BF0" w14:textId="77777777" w:rsidR="00477D9F" w:rsidRPr="00477D9F" w:rsidRDefault="00477D9F" w:rsidP="00477D9F">
      <w:pPr>
        <w:spacing w:after="160" w:line="360" w:lineRule="auto"/>
        <w:rPr>
          <w:rFonts w:ascii="Calibri" w:eastAsia="Calibri" w:hAnsi="Calibri" w:cs="Calibri"/>
          <w:color w:val="222222"/>
          <w:sz w:val="28"/>
          <w:szCs w:val="28"/>
          <w:lang w:eastAsia="en-US"/>
        </w:rPr>
      </w:pPr>
      <w:r w:rsidRPr="00477D9F">
        <w:rPr>
          <w:rFonts w:ascii="Calibri" w:eastAsia="Calibri" w:hAnsi="Calibri" w:cs="Calibri"/>
          <w:color w:val="222222"/>
          <w:sz w:val="28"/>
          <w:szCs w:val="28"/>
          <w:lang w:eastAsia="en-US"/>
        </w:rPr>
        <w:lastRenderedPageBreak/>
        <w:t>Part B(ii)</w:t>
      </w:r>
    </w:p>
    <w:p w14:paraId="2E189EC0" w14:textId="77777777" w:rsidR="00477D9F" w:rsidRPr="00477D9F" w:rsidRDefault="00477D9F" w:rsidP="00477D9F">
      <w:pPr>
        <w:spacing w:after="160" w:line="360" w:lineRule="auto"/>
        <w:rPr>
          <w:rFonts w:ascii="Calibri" w:eastAsia="Calibri" w:hAnsi="Calibri" w:cs="Calibri"/>
          <w:color w:val="222222"/>
          <w:sz w:val="28"/>
          <w:szCs w:val="28"/>
          <w:lang w:eastAsia="en-US"/>
        </w:rPr>
      </w:pPr>
      <w:r w:rsidRPr="00477D9F">
        <w:rPr>
          <w:rFonts w:ascii="Calibri" w:eastAsia="Calibri" w:hAnsi="Calibri" w:cs="Calibri"/>
          <w:color w:val="222222"/>
          <w:sz w:val="28"/>
          <w:szCs w:val="28"/>
          <w:lang w:eastAsia="en-US"/>
        </w:rPr>
        <w:t>Having now experienced teaching, with real pupils, I am now going to examine my microteach lesson and critically evaluate what I did right and what improvements I need to make and how this will impact my students’ learning.</w:t>
      </w:r>
    </w:p>
    <w:p w14:paraId="018EE932" w14:textId="77777777" w:rsidR="00477D9F" w:rsidRPr="00477D9F" w:rsidRDefault="00477D9F" w:rsidP="00477D9F">
      <w:pPr>
        <w:spacing w:after="160" w:line="360" w:lineRule="auto"/>
        <w:rPr>
          <w:rFonts w:ascii="Calibri" w:eastAsia="Calibri" w:hAnsi="Calibri" w:cs="Calibri"/>
          <w:color w:val="222222"/>
          <w:sz w:val="28"/>
          <w:szCs w:val="28"/>
          <w:lang w:eastAsia="en-US"/>
        </w:rPr>
      </w:pPr>
      <w:r w:rsidRPr="00477D9F">
        <w:rPr>
          <w:rFonts w:ascii="Calibri" w:eastAsia="Calibri" w:hAnsi="Calibri" w:cs="Calibri"/>
          <w:color w:val="222222"/>
          <w:sz w:val="28"/>
          <w:szCs w:val="28"/>
          <w:lang w:eastAsia="en-US"/>
        </w:rPr>
        <w:t>I can now see that my micro teach lesson was a bit over ambitious.  I think my scheme of work was realistic in the topics that needed to be covered. But the timings in the actual lesson, the amount of work I expected them to do, was too fixed.  I have now discovered that my timings need to be flexible. When you are teaching, you need to be led by your pupils, they dictate the pace of the lesson. It doesn’t matter if the class is a top set and you think they will manage the task, you need to give them enough time to do the task. If this makes your timings wrong, then you will need to create another lesson to continue your first plan so that the pupils have enough time to understand the topic.</w:t>
      </w:r>
    </w:p>
    <w:p w14:paraId="6294D48A" w14:textId="77777777" w:rsidR="00477D9F" w:rsidRPr="00477D9F" w:rsidRDefault="00477D9F" w:rsidP="00477D9F">
      <w:pPr>
        <w:spacing w:after="160" w:line="360" w:lineRule="auto"/>
        <w:rPr>
          <w:rFonts w:ascii="Calibri" w:eastAsia="Calibri" w:hAnsi="Calibri" w:cs="Calibri"/>
          <w:color w:val="222222"/>
          <w:sz w:val="28"/>
          <w:szCs w:val="28"/>
          <w:lang w:eastAsia="en-US"/>
        </w:rPr>
      </w:pPr>
      <w:r w:rsidRPr="00477D9F">
        <w:rPr>
          <w:rFonts w:ascii="Calibri" w:eastAsia="Calibri" w:hAnsi="Calibri" w:cs="Calibri"/>
          <w:color w:val="222222"/>
          <w:sz w:val="28"/>
          <w:szCs w:val="28"/>
          <w:lang w:eastAsia="en-US"/>
        </w:rPr>
        <w:t>As I used a PowerPoint presentation, I delivered most of my lesson utilising ICT. (QTS S3.3.10) This enabled me to control the pace of the lesson and the questioning of the pupils’ knowledge. I used the slides to ask all the questions I needed to, to build on the knowledge the pupils already had and ‘stretch’ their understanding of probability. However, the questions on the slides were not explicit enough, and when asking the questions, I didn’t use the correct terminology, which confused the students.  They weren’t sure what is was that I wanted them to know. Therefore, going forward if I want to use slides to convey the lesson, they need to be more explicit or I use the slides to give me hints and I explain more orally for the pupils to understand.</w:t>
      </w:r>
    </w:p>
    <w:p w14:paraId="02AAA6E0" w14:textId="77777777" w:rsidR="00477D9F" w:rsidRPr="00477D9F" w:rsidRDefault="00477D9F" w:rsidP="00477D9F">
      <w:pPr>
        <w:spacing w:after="160" w:line="360" w:lineRule="auto"/>
        <w:rPr>
          <w:rFonts w:ascii="Calibri" w:eastAsia="Calibri" w:hAnsi="Calibri" w:cs="Calibri"/>
          <w:color w:val="222222"/>
          <w:sz w:val="28"/>
          <w:szCs w:val="28"/>
          <w:lang w:eastAsia="en-US"/>
        </w:rPr>
      </w:pPr>
      <w:r w:rsidRPr="00477D9F">
        <w:rPr>
          <w:rFonts w:ascii="Calibri" w:eastAsia="Calibri" w:hAnsi="Calibri" w:cs="Calibri"/>
          <w:color w:val="222222"/>
          <w:sz w:val="28"/>
          <w:szCs w:val="28"/>
          <w:lang w:eastAsia="en-US"/>
        </w:rPr>
        <w:t xml:space="preserve">I was prepared for my microteach lesson, I had the starter on the board, the visual aids were ready, the PowerPoint was already installed on the PC, the </w:t>
      </w:r>
      <w:r w:rsidRPr="00477D9F">
        <w:rPr>
          <w:rFonts w:ascii="Calibri" w:eastAsia="Calibri" w:hAnsi="Calibri" w:cs="Calibri"/>
          <w:color w:val="222222"/>
          <w:sz w:val="28"/>
          <w:szCs w:val="28"/>
          <w:lang w:eastAsia="en-US"/>
        </w:rPr>
        <w:lastRenderedPageBreak/>
        <w:t>mini whiteboards were already on the desk, the worksheet were all prepared.(QTS S3.1.3)  This is good practice, because if you are not prepared and ready for the lesson, the behaviour of the students from the start of the lesson can deteriorate if they do not start their task after they arrive. If you are prepared this helps the flow of the lesson and therefore leads to more time being spent teaching the students.</w:t>
      </w:r>
    </w:p>
    <w:p w14:paraId="67D09E2A" w14:textId="77777777" w:rsidR="00477D9F" w:rsidRPr="00477D9F" w:rsidRDefault="00477D9F" w:rsidP="00477D9F">
      <w:pPr>
        <w:spacing w:after="160" w:line="360" w:lineRule="auto"/>
        <w:rPr>
          <w:rFonts w:ascii="Calibri" w:eastAsia="Calibri" w:hAnsi="Calibri" w:cs="Calibri"/>
          <w:color w:val="222222"/>
          <w:sz w:val="28"/>
          <w:szCs w:val="28"/>
          <w:lang w:eastAsia="en-US"/>
        </w:rPr>
      </w:pPr>
      <w:r w:rsidRPr="00477D9F">
        <w:rPr>
          <w:rFonts w:ascii="Calibri" w:eastAsia="Calibri" w:hAnsi="Calibri" w:cs="Calibri"/>
          <w:color w:val="222222"/>
          <w:sz w:val="28"/>
          <w:szCs w:val="28"/>
          <w:lang w:eastAsia="en-US"/>
        </w:rPr>
        <w:t xml:space="preserve">Before the students arrived, I had written the date in Welsh, the objective and Key words, on the board. I wrote the date in Welsh to include Y </w:t>
      </w:r>
      <w:proofErr w:type="spellStart"/>
      <w:r w:rsidRPr="00477D9F">
        <w:rPr>
          <w:rFonts w:ascii="Calibri" w:eastAsia="Calibri" w:hAnsi="Calibri" w:cs="Calibri"/>
          <w:color w:val="222222"/>
          <w:sz w:val="28"/>
          <w:szCs w:val="28"/>
          <w:lang w:eastAsia="en-US"/>
        </w:rPr>
        <w:t>Cwricwlwm</w:t>
      </w:r>
      <w:proofErr w:type="spellEnd"/>
      <w:r w:rsidRPr="00477D9F">
        <w:rPr>
          <w:rFonts w:ascii="Calibri" w:eastAsia="Calibri" w:hAnsi="Calibri" w:cs="Calibri"/>
          <w:color w:val="222222"/>
          <w:sz w:val="28"/>
          <w:szCs w:val="28"/>
          <w:lang w:eastAsia="en-US"/>
        </w:rPr>
        <w:t xml:space="preserve"> </w:t>
      </w:r>
      <w:proofErr w:type="spellStart"/>
      <w:r w:rsidRPr="00477D9F">
        <w:rPr>
          <w:rFonts w:ascii="Calibri" w:eastAsia="Calibri" w:hAnsi="Calibri" w:cs="Calibri"/>
          <w:color w:val="222222"/>
          <w:sz w:val="28"/>
          <w:szCs w:val="28"/>
          <w:lang w:eastAsia="en-US"/>
        </w:rPr>
        <w:t>Cymreig</w:t>
      </w:r>
      <w:proofErr w:type="spellEnd"/>
      <w:r w:rsidRPr="00477D9F">
        <w:rPr>
          <w:rFonts w:ascii="Calibri" w:eastAsia="Calibri" w:hAnsi="Calibri" w:cs="Calibri"/>
          <w:color w:val="222222"/>
          <w:sz w:val="28"/>
          <w:szCs w:val="28"/>
          <w:lang w:eastAsia="en-US"/>
        </w:rPr>
        <w:t xml:space="preserve"> in my lesson (QTS S3.3.5) The first thing I asked them to do was to copy down the Date, Title, objective and key words into their books. I used this to settle the class when they first came in, as I have found that there are external factors outside the lesson plan that need to be accounted for e.g. what time of day the lesson is, or whether the pupils have a football/rugby match after school. The key words are scaffolding for their literacy skills and are a link to their previous lessons in the scheme of work. </w:t>
      </w:r>
    </w:p>
    <w:p w14:paraId="49509357" w14:textId="77777777" w:rsidR="00477D9F" w:rsidRPr="00477D9F" w:rsidRDefault="00477D9F" w:rsidP="00477D9F">
      <w:pPr>
        <w:spacing w:after="160" w:line="360" w:lineRule="auto"/>
        <w:rPr>
          <w:rFonts w:ascii="Calibri" w:eastAsia="Calibri" w:hAnsi="Calibri" w:cs="Calibri"/>
          <w:color w:val="222222"/>
          <w:sz w:val="28"/>
          <w:szCs w:val="28"/>
          <w:lang w:eastAsia="en-US"/>
        </w:rPr>
      </w:pPr>
      <w:r w:rsidRPr="00477D9F">
        <w:rPr>
          <w:rFonts w:ascii="Calibri" w:eastAsia="Calibri" w:hAnsi="Calibri" w:cs="Calibri"/>
          <w:color w:val="222222"/>
          <w:sz w:val="28"/>
          <w:szCs w:val="28"/>
          <w:lang w:eastAsia="en-US"/>
        </w:rPr>
        <w:t xml:space="preserve">The starter I used was a good baseline assessment (QTS S3.2.2) for the knowledge the pupils would need for the lesson. I used mini whiteboards to assess their answers. This is a good technique as I was able to see, at a glance, who got the answers right and if anyone needed any additional help or time to complete the task, they could do that.  They also worked in pairs which, as Vygotsky believes, is good for learning as students learn from each other. Unfortunately, I didn’t give them enough praise, they had worked hard on getting the answers and I needed to show them that I appreciated the hard work that had gone into the task. Also, my class management at the stage needed some improvement as there was a pair of pupils holding up the rest of </w:t>
      </w:r>
      <w:r w:rsidRPr="00477D9F">
        <w:rPr>
          <w:rFonts w:ascii="Calibri" w:eastAsia="Calibri" w:hAnsi="Calibri" w:cs="Calibri"/>
          <w:color w:val="222222"/>
          <w:sz w:val="28"/>
          <w:szCs w:val="28"/>
          <w:lang w:eastAsia="en-US"/>
        </w:rPr>
        <w:lastRenderedPageBreak/>
        <w:t>the class finishing the task.  In a normal lesson this could have caused disturbance from the rest of the class.</w:t>
      </w:r>
    </w:p>
    <w:p w14:paraId="33315888" w14:textId="77777777" w:rsidR="00477D9F" w:rsidRPr="00477D9F" w:rsidRDefault="00477D9F" w:rsidP="00477D9F">
      <w:pPr>
        <w:spacing w:after="160" w:line="360" w:lineRule="auto"/>
        <w:rPr>
          <w:rFonts w:ascii="Calibri" w:eastAsia="Calibri" w:hAnsi="Calibri" w:cs="Calibri"/>
          <w:color w:val="222222"/>
          <w:sz w:val="28"/>
          <w:szCs w:val="28"/>
          <w:lang w:eastAsia="en-US"/>
        </w:rPr>
      </w:pPr>
      <w:r w:rsidRPr="00477D9F">
        <w:rPr>
          <w:rFonts w:ascii="Calibri" w:eastAsia="Calibri" w:hAnsi="Calibri" w:cs="Calibri"/>
          <w:color w:val="222222"/>
          <w:sz w:val="28"/>
          <w:szCs w:val="28"/>
          <w:lang w:eastAsia="en-US"/>
        </w:rPr>
        <w:t>In my plan I was supposed to use the large pack of cards to gauge the students understanding, from previous lessons, of probability; asking probing questions to build on what they already knew. I completely forgot to do this task therefore I think the students were a bit confused when I went straight into the worded question on my PowerPoint, after doing the starter.  There was no proper transition from what they had done before and what this lesson was going to teach them. The flow of a lesson is important for the continuity of the pupils learning. If the flow has no continuity, then the pupils may become distracted easily.</w:t>
      </w:r>
    </w:p>
    <w:p w14:paraId="071E30C7" w14:textId="77777777" w:rsidR="00477D9F" w:rsidRPr="00477D9F" w:rsidRDefault="00477D9F" w:rsidP="00477D9F">
      <w:pPr>
        <w:spacing w:after="160" w:line="360" w:lineRule="auto"/>
        <w:rPr>
          <w:rFonts w:ascii="Calibri" w:eastAsia="Calibri" w:hAnsi="Calibri" w:cs="Calibri"/>
          <w:color w:val="222222"/>
          <w:sz w:val="28"/>
          <w:szCs w:val="28"/>
          <w:lang w:eastAsia="en-US"/>
        </w:rPr>
      </w:pPr>
      <w:r w:rsidRPr="00477D9F">
        <w:rPr>
          <w:rFonts w:ascii="Calibri" w:eastAsia="Calibri" w:hAnsi="Calibri" w:cs="Calibri"/>
          <w:color w:val="222222"/>
          <w:sz w:val="28"/>
          <w:szCs w:val="28"/>
          <w:lang w:eastAsia="en-US"/>
        </w:rPr>
        <w:t xml:space="preserve">Although I didn’t use the pack of cards in my microteach lesson, I did distribute the bags of buttons. However, I didn’t give proper instructions on what the class was supposed to do with them. I should have told them not to touch them until I had given them instructions, and I should have given them exact instructions on how we were going to use them. As a result, they were not very effective. If I had shown the class a bag of buttons and demonstrated picking out the buttons as shown in the questions, this would have been a nice practical link to the question on the board. </w:t>
      </w:r>
    </w:p>
    <w:p w14:paraId="2C41EDD4" w14:textId="77777777" w:rsidR="00477D9F" w:rsidRPr="00477D9F" w:rsidRDefault="00477D9F" w:rsidP="00477D9F">
      <w:pPr>
        <w:spacing w:after="160" w:line="360" w:lineRule="auto"/>
        <w:rPr>
          <w:rFonts w:ascii="Calibri" w:eastAsia="Calibri" w:hAnsi="Calibri" w:cs="Calibri"/>
          <w:color w:val="222222"/>
          <w:sz w:val="28"/>
          <w:szCs w:val="28"/>
          <w:lang w:eastAsia="en-US"/>
        </w:rPr>
      </w:pPr>
      <w:r w:rsidRPr="00477D9F">
        <w:rPr>
          <w:rFonts w:ascii="Calibri" w:eastAsia="Calibri" w:hAnsi="Calibri" w:cs="Calibri"/>
          <w:color w:val="222222"/>
          <w:sz w:val="28"/>
          <w:szCs w:val="28"/>
          <w:lang w:eastAsia="en-US"/>
        </w:rPr>
        <w:t>After I read the question on the board, I did not use clear terminology to explain what I was asking them. In future I need to put down the questions I’m going to ask them in my plan so that the class does not get confused. I also must use mathematical terminology correctly. If my language is confused this will further confuse the pupils. I need to write down words I want to use in my explanation on my lesson plan.</w:t>
      </w:r>
    </w:p>
    <w:p w14:paraId="784DA5F2" w14:textId="77777777" w:rsidR="00477D9F" w:rsidRPr="00477D9F" w:rsidRDefault="00477D9F" w:rsidP="00477D9F">
      <w:pPr>
        <w:spacing w:after="160" w:line="360" w:lineRule="auto"/>
        <w:rPr>
          <w:rFonts w:ascii="Calibri" w:eastAsia="Calibri" w:hAnsi="Calibri" w:cs="Calibri"/>
          <w:color w:val="222222"/>
          <w:sz w:val="28"/>
          <w:szCs w:val="28"/>
          <w:lang w:eastAsia="en-US"/>
        </w:rPr>
      </w:pPr>
      <w:r w:rsidRPr="00477D9F">
        <w:rPr>
          <w:rFonts w:ascii="Calibri" w:eastAsia="Calibri" w:hAnsi="Calibri" w:cs="Calibri"/>
          <w:color w:val="222222"/>
          <w:sz w:val="28"/>
          <w:szCs w:val="28"/>
          <w:lang w:eastAsia="en-US"/>
        </w:rPr>
        <w:lastRenderedPageBreak/>
        <w:t>When I was demonstrating how to draw a probability tree on the board to answer the question I didn’t annotate or label the tree correctly. It is imperative that I model good practice on the board, as this is what the students are going to copy down and going forward this may more difficult for them to grasp the method of how to solve the problem, especially when the look back later.</w:t>
      </w:r>
    </w:p>
    <w:p w14:paraId="55E41D23" w14:textId="77777777" w:rsidR="00477D9F" w:rsidRPr="00477D9F" w:rsidRDefault="00477D9F" w:rsidP="00477D9F">
      <w:pPr>
        <w:spacing w:after="160" w:line="360" w:lineRule="auto"/>
        <w:rPr>
          <w:rFonts w:ascii="Calibri" w:eastAsia="Calibri" w:hAnsi="Calibri" w:cs="Calibri"/>
          <w:color w:val="222222"/>
          <w:sz w:val="28"/>
          <w:szCs w:val="28"/>
          <w:lang w:eastAsia="en-US"/>
        </w:rPr>
      </w:pPr>
      <w:r w:rsidRPr="00477D9F">
        <w:rPr>
          <w:rFonts w:ascii="Calibri" w:eastAsia="Calibri" w:hAnsi="Calibri" w:cs="Calibri"/>
          <w:color w:val="222222"/>
          <w:sz w:val="28"/>
          <w:szCs w:val="28"/>
          <w:lang w:eastAsia="en-US"/>
        </w:rPr>
        <w:t>The lesson was interactive, which was good for keeping the class engaged. I got students to come up to the board to do the question on the board. However, it might have been better if the class had been given time to think about the answer first before a person did it on the board. In that way they are learning individually, (as per Piaget’s theory) but also socially, (as per Vygotsky’s theory) if the person at the board had completed the task differently from them then there could have been a class discussion to see which the best practice is.</w:t>
      </w:r>
    </w:p>
    <w:p w14:paraId="2B3EBB08" w14:textId="77777777" w:rsidR="00477D9F" w:rsidRPr="00477D9F" w:rsidRDefault="00477D9F" w:rsidP="00477D9F">
      <w:pPr>
        <w:spacing w:after="160" w:line="360" w:lineRule="auto"/>
        <w:rPr>
          <w:rFonts w:ascii="Calibri" w:eastAsia="Calibri" w:hAnsi="Calibri" w:cs="Calibri"/>
          <w:color w:val="222222"/>
          <w:sz w:val="28"/>
          <w:szCs w:val="28"/>
          <w:lang w:eastAsia="en-US"/>
        </w:rPr>
      </w:pPr>
      <w:r w:rsidRPr="00477D9F">
        <w:rPr>
          <w:rFonts w:ascii="Calibri" w:eastAsia="Calibri" w:hAnsi="Calibri" w:cs="Calibri"/>
          <w:color w:val="222222"/>
          <w:sz w:val="28"/>
          <w:szCs w:val="28"/>
          <w:lang w:eastAsia="en-US"/>
        </w:rPr>
        <w:t>After the examples had been demonstrated I asked the class if they had any questions. You need to be prepared for any difficult questions. In this case I was, I used the pack of cards to give a concrete explanation to a question posed by the student. But if I hadn’t had the pack of cards available, I might not have given him a plausible explanation and that pupil may not have fully understood the reasoning behind the teaching.</w:t>
      </w:r>
    </w:p>
    <w:p w14:paraId="2099EA4A" w14:textId="77777777" w:rsidR="00477D9F" w:rsidRPr="00477D9F" w:rsidRDefault="00477D9F" w:rsidP="00477D9F">
      <w:pPr>
        <w:spacing w:after="160" w:line="360" w:lineRule="auto"/>
        <w:rPr>
          <w:rFonts w:ascii="Calibri" w:eastAsia="Calibri" w:hAnsi="Calibri" w:cs="Calibri"/>
          <w:color w:val="222222"/>
          <w:sz w:val="28"/>
          <w:szCs w:val="28"/>
          <w:lang w:eastAsia="en-US"/>
        </w:rPr>
      </w:pPr>
      <w:r w:rsidRPr="00477D9F">
        <w:rPr>
          <w:rFonts w:ascii="Calibri" w:eastAsia="Calibri" w:hAnsi="Calibri" w:cs="Calibri"/>
          <w:color w:val="222222"/>
          <w:sz w:val="28"/>
          <w:szCs w:val="28"/>
          <w:lang w:eastAsia="en-US"/>
        </w:rPr>
        <w:t>Once the exposition had finished, I asked the class ‘does everyone understand’. This is not a very helpful assessment question because if a pupil does not understand then they are not going to put their hand up in front of the class to say they don’t understand.  My lesson plan should have several questions, that are worded in a way that I can assess how many of the class understand what to do. I can also assess if they understand by circulating the class when they are doing the practice questions.</w:t>
      </w:r>
    </w:p>
    <w:p w14:paraId="4BBDDE31" w14:textId="77777777" w:rsidR="00477D9F" w:rsidRPr="00477D9F" w:rsidRDefault="00477D9F" w:rsidP="00477D9F">
      <w:pPr>
        <w:spacing w:after="160" w:line="360" w:lineRule="auto"/>
        <w:rPr>
          <w:rFonts w:ascii="Calibri" w:eastAsia="Calibri" w:hAnsi="Calibri" w:cs="Calibri"/>
          <w:color w:val="222222"/>
          <w:sz w:val="28"/>
          <w:szCs w:val="28"/>
          <w:lang w:eastAsia="en-US"/>
        </w:rPr>
      </w:pPr>
      <w:r w:rsidRPr="00477D9F">
        <w:rPr>
          <w:rFonts w:ascii="Calibri" w:eastAsia="Calibri" w:hAnsi="Calibri" w:cs="Calibri"/>
          <w:color w:val="222222"/>
          <w:sz w:val="28"/>
          <w:szCs w:val="28"/>
          <w:lang w:eastAsia="en-US"/>
        </w:rPr>
        <w:lastRenderedPageBreak/>
        <w:t>My worksheet was differentiated (QTS S3.2.4), starting with easy questions and ending with a GCSE question, to stretch the more able pupils but still allow the less able to answer the questions they can.  The worksheet however did not have full instructions on it – I didn’t specify how they were to answer the question, whether they needed to use a sample space diagram, probability tree or list. As a result of this, the class could have been disruptive as no clear instructions were given.  The worksheet and slides were coloured so that if there were any people with dyslexia in the class then they could read them. (QTS S3.3.4)</w:t>
      </w:r>
    </w:p>
    <w:p w14:paraId="4E01D850" w14:textId="77777777" w:rsidR="00477D9F" w:rsidRPr="00477D9F" w:rsidRDefault="00477D9F" w:rsidP="00477D9F">
      <w:pPr>
        <w:spacing w:after="160" w:line="360" w:lineRule="auto"/>
        <w:rPr>
          <w:rFonts w:ascii="Calibri" w:eastAsia="Calibri" w:hAnsi="Calibri" w:cs="Calibri"/>
          <w:color w:val="222222"/>
          <w:sz w:val="28"/>
          <w:szCs w:val="28"/>
          <w:lang w:eastAsia="en-US"/>
        </w:rPr>
      </w:pPr>
      <w:r w:rsidRPr="00477D9F">
        <w:rPr>
          <w:rFonts w:ascii="Calibri" w:eastAsia="Calibri" w:hAnsi="Calibri" w:cs="Calibri"/>
          <w:color w:val="222222"/>
          <w:sz w:val="28"/>
          <w:szCs w:val="28"/>
          <w:lang w:eastAsia="en-US"/>
        </w:rPr>
        <w:t>Overall, I finished the 30-minute lesson in 20 minutes. This is because I missed out a whole task from my lesson plan.  If this had happened in a lesson, I was teaching in school, the behaviour in the class would have been bad as the pupils wouldn’t have had anything to do. Going forward to prepare for this eventuality happening again it would be wise to have an extension task so that the class are not sitting doing nothing.</w:t>
      </w:r>
    </w:p>
    <w:p w14:paraId="37D45F16" w14:textId="77777777" w:rsidR="00477D9F" w:rsidRPr="00477D9F" w:rsidRDefault="00477D9F" w:rsidP="00477D9F">
      <w:pPr>
        <w:spacing w:after="160" w:line="360" w:lineRule="auto"/>
        <w:rPr>
          <w:rFonts w:ascii="Calibri" w:eastAsia="Calibri" w:hAnsi="Calibri" w:cs="Calibri"/>
          <w:color w:val="222222"/>
          <w:sz w:val="28"/>
          <w:szCs w:val="28"/>
          <w:lang w:eastAsia="en-US"/>
        </w:rPr>
      </w:pPr>
    </w:p>
    <w:p w14:paraId="6950A9A7" w14:textId="77777777" w:rsidR="00477D9F" w:rsidRPr="00477D9F" w:rsidRDefault="00477D9F" w:rsidP="00477D9F">
      <w:pPr>
        <w:spacing w:after="160" w:line="360" w:lineRule="auto"/>
        <w:rPr>
          <w:rFonts w:ascii="Calibri" w:eastAsia="Calibri" w:hAnsi="Calibri" w:cs="Calibri"/>
          <w:color w:val="222222"/>
          <w:sz w:val="28"/>
          <w:szCs w:val="28"/>
          <w:lang w:eastAsia="en-US"/>
        </w:rPr>
      </w:pPr>
      <w:r w:rsidRPr="00477D9F">
        <w:rPr>
          <w:rFonts w:ascii="Calibri" w:eastAsia="Calibri" w:hAnsi="Calibri" w:cs="Calibri"/>
          <w:color w:val="222222"/>
          <w:sz w:val="28"/>
          <w:szCs w:val="28"/>
          <w:lang w:eastAsia="en-US"/>
        </w:rPr>
        <w:t xml:space="preserve">Although I haven’t done a lesson on probability yet, the feedback and my lessons I’ve taught thus far have shown me that I have some room for improvement. At the beginning I was putting too much into 1 lesson and my expectations were too high. Going forward I will concentrate more on the timings of each task so that the pupils can get the benefits of a completed lesson. It is important to end the lesson with a plenary as this consolidates what they have learnt and gives me an idea of whether the pupils have understood and if I need to plan another lesson on the same topic. I have found that although I put a time on a task it is led by the pupils themselves, they need to assimilate in their own way, which will hopefully lead to better </w:t>
      </w:r>
      <w:r w:rsidRPr="00477D9F">
        <w:rPr>
          <w:rFonts w:ascii="Calibri" w:eastAsia="Calibri" w:hAnsi="Calibri" w:cs="Calibri"/>
          <w:color w:val="222222"/>
          <w:sz w:val="28"/>
          <w:szCs w:val="28"/>
          <w:lang w:eastAsia="en-US"/>
        </w:rPr>
        <w:lastRenderedPageBreak/>
        <w:t>learning. The lessons will have to include time for a starter that is a good baseline for the objectives of the lesson; an exposition which doesn’t involve a lot of teacher time, but more pupil involvement; incorporation of more of a variety of ICT programmes to keep my class interested, e.g. I may have included a quiz for the starter, to create a hook, and then attached worksheets to the results of the quiz to differentiate within the lesson or for a homework task (QTS S3.3.12); a task for the pupils to practise what they’ve learnt and; a plenary to consolidate everything the pupils have learnt in the lesson. That is a lot to get into 1 lesson which is something teachers do all the time.</w:t>
      </w:r>
    </w:p>
    <w:p w14:paraId="568963A1" w14:textId="77777777" w:rsidR="00477D9F" w:rsidRPr="00477D9F" w:rsidRDefault="00477D9F" w:rsidP="00477D9F">
      <w:pPr>
        <w:spacing w:after="160" w:line="360" w:lineRule="auto"/>
        <w:rPr>
          <w:rFonts w:ascii="Calibri" w:eastAsia="Calibri" w:hAnsi="Calibri" w:cs="Calibri"/>
          <w:color w:val="222222"/>
          <w:sz w:val="28"/>
          <w:szCs w:val="28"/>
          <w:lang w:eastAsia="en-US"/>
        </w:rPr>
      </w:pPr>
      <w:r w:rsidRPr="00477D9F">
        <w:rPr>
          <w:rFonts w:ascii="Calibri" w:eastAsia="Calibri" w:hAnsi="Calibri" w:cs="Calibri"/>
          <w:color w:val="222222"/>
          <w:sz w:val="28"/>
          <w:szCs w:val="28"/>
          <w:lang w:eastAsia="en-US"/>
        </w:rPr>
        <w:t>I know I am learning and improving all the time, picking up good habits for my future as a teacher. The more confident I get at the front of the class, getting feedback from my mentors and students, the better a teacher I’ll be.</w:t>
      </w:r>
    </w:p>
    <w:p w14:paraId="6FBFE9E8" w14:textId="77777777" w:rsidR="00477D9F" w:rsidRPr="00477D9F" w:rsidRDefault="00477D9F" w:rsidP="00477D9F">
      <w:pPr>
        <w:spacing w:after="160" w:line="360" w:lineRule="auto"/>
        <w:rPr>
          <w:rFonts w:ascii="Calibri" w:eastAsia="Calibri" w:hAnsi="Calibri" w:cs="Calibri"/>
          <w:color w:val="222222"/>
          <w:sz w:val="28"/>
          <w:szCs w:val="28"/>
          <w:lang w:eastAsia="en-US"/>
        </w:rPr>
      </w:pPr>
    </w:p>
    <w:p w14:paraId="307D61FE" w14:textId="77777777" w:rsidR="00477D9F" w:rsidRPr="00477D9F" w:rsidRDefault="00477D9F" w:rsidP="00477D9F">
      <w:pPr>
        <w:spacing w:after="160" w:line="360" w:lineRule="auto"/>
        <w:rPr>
          <w:rFonts w:ascii="Calibri" w:eastAsia="Calibri" w:hAnsi="Calibri" w:cs="Calibri"/>
          <w:color w:val="222222"/>
          <w:sz w:val="28"/>
          <w:szCs w:val="28"/>
          <w:lang w:eastAsia="en-US"/>
        </w:rPr>
      </w:pPr>
    </w:p>
    <w:p w14:paraId="552518BA" w14:textId="77777777" w:rsidR="00477D9F" w:rsidRPr="00477D9F" w:rsidRDefault="00477D9F" w:rsidP="00477D9F">
      <w:pPr>
        <w:spacing w:after="160" w:line="360" w:lineRule="auto"/>
        <w:rPr>
          <w:rFonts w:ascii="Calibri" w:eastAsia="Calibri" w:hAnsi="Calibri" w:cs="Calibri"/>
          <w:color w:val="222222"/>
          <w:sz w:val="28"/>
          <w:szCs w:val="28"/>
          <w:lang w:eastAsia="en-US"/>
        </w:rPr>
      </w:pPr>
    </w:p>
    <w:p w14:paraId="0B326E0B" w14:textId="77777777" w:rsidR="00477D9F" w:rsidRPr="00477D9F" w:rsidRDefault="00477D9F" w:rsidP="00477D9F">
      <w:pPr>
        <w:spacing w:after="160" w:line="360" w:lineRule="auto"/>
        <w:rPr>
          <w:rFonts w:ascii="Calibri" w:eastAsia="Calibri" w:hAnsi="Calibri" w:cs="Calibri"/>
          <w:color w:val="222222"/>
          <w:sz w:val="28"/>
          <w:szCs w:val="28"/>
          <w:lang w:eastAsia="en-US"/>
        </w:rPr>
      </w:pPr>
    </w:p>
    <w:p w14:paraId="28B440A3" w14:textId="77777777" w:rsidR="00477D9F" w:rsidRPr="00477D9F" w:rsidRDefault="00477D9F" w:rsidP="00477D9F">
      <w:pPr>
        <w:spacing w:after="160" w:line="360" w:lineRule="auto"/>
        <w:rPr>
          <w:rFonts w:ascii="Calibri" w:eastAsia="Calibri" w:hAnsi="Calibri" w:cs="Calibri"/>
          <w:color w:val="222222"/>
          <w:sz w:val="28"/>
          <w:szCs w:val="28"/>
          <w:lang w:eastAsia="en-US"/>
        </w:rPr>
      </w:pPr>
    </w:p>
    <w:p w14:paraId="2620803D" w14:textId="77777777" w:rsidR="00477D9F" w:rsidRPr="00477D9F" w:rsidRDefault="00477D9F" w:rsidP="00477D9F">
      <w:pPr>
        <w:spacing w:after="160" w:line="360" w:lineRule="auto"/>
        <w:rPr>
          <w:rFonts w:ascii="Calibri" w:eastAsia="Calibri" w:hAnsi="Calibri" w:cs="Calibri"/>
          <w:color w:val="222222"/>
          <w:sz w:val="28"/>
          <w:szCs w:val="28"/>
          <w:lang w:eastAsia="en-US"/>
        </w:rPr>
      </w:pPr>
    </w:p>
    <w:p w14:paraId="47E46187" w14:textId="77777777" w:rsidR="00477D9F" w:rsidRPr="00477D9F" w:rsidRDefault="00477D9F" w:rsidP="00477D9F">
      <w:pPr>
        <w:spacing w:after="160" w:line="360" w:lineRule="auto"/>
        <w:rPr>
          <w:rFonts w:ascii="Calibri" w:eastAsia="Calibri" w:hAnsi="Calibri" w:cs="Calibri"/>
          <w:color w:val="222222"/>
          <w:sz w:val="28"/>
          <w:szCs w:val="28"/>
          <w:lang w:eastAsia="en-US"/>
        </w:rPr>
      </w:pPr>
    </w:p>
    <w:p w14:paraId="1F7E48D1" w14:textId="77777777" w:rsidR="00477D9F" w:rsidRPr="00477D9F" w:rsidRDefault="00477D9F" w:rsidP="00477D9F">
      <w:pPr>
        <w:spacing w:after="160" w:line="360" w:lineRule="auto"/>
        <w:rPr>
          <w:rFonts w:ascii="Calibri" w:eastAsia="Calibri" w:hAnsi="Calibri" w:cs="Calibri"/>
          <w:color w:val="222222"/>
          <w:sz w:val="28"/>
          <w:szCs w:val="28"/>
          <w:lang w:eastAsia="en-US"/>
        </w:rPr>
      </w:pPr>
    </w:p>
    <w:p w14:paraId="4ABC4C6C" w14:textId="77777777" w:rsidR="00477D9F" w:rsidRPr="00477D9F" w:rsidRDefault="00477D9F" w:rsidP="00477D9F">
      <w:pPr>
        <w:spacing w:after="160" w:line="259" w:lineRule="auto"/>
        <w:rPr>
          <w:rFonts w:ascii="Calibri" w:eastAsia="Calibri" w:hAnsi="Calibri"/>
          <w:sz w:val="28"/>
          <w:szCs w:val="28"/>
          <w:lang w:eastAsia="en-US"/>
        </w:rPr>
      </w:pPr>
    </w:p>
    <w:p w14:paraId="34CCA48D" w14:textId="77777777" w:rsidR="00477D9F" w:rsidRPr="00477D9F" w:rsidRDefault="00477D9F" w:rsidP="00477D9F">
      <w:pPr>
        <w:spacing w:after="160" w:line="259" w:lineRule="auto"/>
        <w:rPr>
          <w:rFonts w:ascii="Calibri" w:eastAsia="Calibri" w:hAnsi="Calibri"/>
          <w:sz w:val="28"/>
          <w:szCs w:val="28"/>
          <w:lang w:eastAsia="en-US"/>
        </w:rPr>
      </w:pPr>
    </w:p>
    <w:p w14:paraId="29D17C7B" w14:textId="77777777" w:rsidR="00477D9F" w:rsidRPr="00477D9F" w:rsidRDefault="00477D9F" w:rsidP="00477D9F">
      <w:pPr>
        <w:spacing w:after="160" w:line="259" w:lineRule="auto"/>
        <w:rPr>
          <w:rFonts w:ascii="Calibri" w:eastAsia="Calibri" w:hAnsi="Calibri"/>
          <w:sz w:val="28"/>
          <w:szCs w:val="28"/>
          <w:lang w:eastAsia="en-US"/>
        </w:rPr>
      </w:pPr>
    </w:p>
    <w:p w14:paraId="64A14A8E" w14:textId="77777777" w:rsidR="00477D9F" w:rsidRPr="00477D9F" w:rsidRDefault="00477D9F" w:rsidP="00477D9F">
      <w:pPr>
        <w:spacing w:after="160" w:line="259" w:lineRule="auto"/>
        <w:rPr>
          <w:rFonts w:ascii="Calibri" w:eastAsia="Calibri" w:hAnsi="Calibri"/>
          <w:sz w:val="28"/>
          <w:szCs w:val="28"/>
          <w:lang w:eastAsia="en-US"/>
        </w:rPr>
      </w:pPr>
    </w:p>
    <w:p w14:paraId="1AB61B8E" w14:textId="77777777" w:rsidR="00477D9F" w:rsidRPr="00477D9F" w:rsidRDefault="00477D9F" w:rsidP="00477D9F">
      <w:pPr>
        <w:spacing w:after="160" w:line="259" w:lineRule="auto"/>
        <w:rPr>
          <w:rFonts w:ascii="Calibri" w:eastAsia="Calibri" w:hAnsi="Calibri"/>
          <w:sz w:val="28"/>
          <w:szCs w:val="28"/>
          <w:lang w:eastAsia="en-US"/>
        </w:rPr>
      </w:pPr>
      <w:r w:rsidRPr="00477D9F">
        <w:rPr>
          <w:rFonts w:ascii="Calibri" w:eastAsia="Calibri" w:hAnsi="Calibri"/>
          <w:sz w:val="28"/>
          <w:szCs w:val="28"/>
          <w:lang w:eastAsia="en-US"/>
        </w:rPr>
        <w:lastRenderedPageBreak/>
        <w:t>References Bibliography</w:t>
      </w:r>
    </w:p>
    <w:p w14:paraId="574BD4A0" w14:textId="77777777" w:rsidR="00477D9F" w:rsidRPr="00477D9F" w:rsidRDefault="00477D9F" w:rsidP="00477D9F">
      <w:pPr>
        <w:spacing w:after="160" w:line="259" w:lineRule="auto"/>
        <w:rPr>
          <w:rFonts w:ascii="Calibri" w:eastAsia="Calibri" w:hAnsi="Calibri"/>
          <w:sz w:val="28"/>
          <w:szCs w:val="28"/>
          <w:lang w:eastAsia="en-US"/>
        </w:rPr>
      </w:pPr>
    </w:p>
    <w:p w14:paraId="1328E741" w14:textId="77777777" w:rsidR="00477D9F" w:rsidRPr="00477D9F" w:rsidRDefault="00477D9F" w:rsidP="00477D9F">
      <w:pPr>
        <w:numPr>
          <w:ilvl w:val="0"/>
          <w:numId w:val="2"/>
        </w:numPr>
        <w:spacing w:after="160" w:line="259" w:lineRule="auto"/>
        <w:contextualSpacing/>
        <w:rPr>
          <w:rFonts w:ascii="Calibri" w:eastAsia="Calibri" w:hAnsi="Calibri"/>
          <w:sz w:val="28"/>
          <w:szCs w:val="28"/>
          <w:lang w:eastAsia="en-US"/>
        </w:rPr>
      </w:pPr>
      <w:proofErr w:type="spellStart"/>
      <w:r w:rsidRPr="00477D9F">
        <w:rPr>
          <w:rFonts w:ascii="Calibri" w:eastAsia="Calibri" w:hAnsi="Calibri"/>
          <w:sz w:val="28"/>
          <w:szCs w:val="28"/>
          <w:lang w:eastAsia="en-US"/>
        </w:rPr>
        <w:t>Biesta</w:t>
      </w:r>
      <w:proofErr w:type="spellEnd"/>
      <w:r w:rsidRPr="00477D9F">
        <w:rPr>
          <w:rFonts w:ascii="Calibri" w:eastAsia="Calibri" w:hAnsi="Calibri"/>
          <w:sz w:val="28"/>
          <w:szCs w:val="28"/>
          <w:lang w:eastAsia="en-US"/>
        </w:rPr>
        <w:t xml:space="preserve"> G (2012)</w:t>
      </w:r>
      <w:r w:rsidRPr="00477D9F">
        <w:rPr>
          <w:rFonts w:ascii="Calibri" w:eastAsia="Calibri" w:hAnsi="Calibri"/>
          <w:sz w:val="22"/>
          <w:szCs w:val="22"/>
          <w:lang w:eastAsia="en-US"/>
        </w:rPr>
        <w:t xml:space="preserve"> </w:t>
      </w:r>
      <w:r w:rsidRPr="00477D9F">
        <w:rPr>
          <w:rFonts w:ascii="Calibri" w:eastAsia="Calibri" w:hAnsi="Calibri"/>
          <w:sz w:val="28"/>
          <w:szCs w:val="28"/>
          <w:lang w:eastAsia="en-US"/>
        </w:rPr>
        <w:t xml:space="preserve">Giving Teaching Back to Education:  Responding to the Disappearance of the Teacher </w:t>
      </w:r>
      <w:hyperlink r:id="rId7" w:history="1">
        <w:r w:rsidRPr="00477D9F">
          <w:rPr>
            <w:rFonts w:ascii="Calibri" w:eastAsia="Calibri" w:hAnsi="Calibri"/>
            <w:color w:val="0000FF"/>
            <w:sz w:val="28"/>
            <w:szCs w:val="28"/>
            <w:u w:val="single"/>
            <w:lang w:eastAsia="en-US"/>
          </w:rPr>
          <w:t>https://orbilu.uni.lu/bitstream/10993/7836/1/155%20OA%20Giving%20teaching%20back%20to%20education.pdf</w:t>
        </w:r>
      </w:hyperlink>
      <w:r w:rsidRPr="00477D9F">
        <w:rPr>
          <w:rFonts w:ascii="Calibri" w:eastAsia="Calibri" w:hAnsi="Calibri"/>
          <w:sz w:val="28"/>
          <w:szCs w:val="28"/>
          <w:lang w:eastAsia="en-US"/>
        </w:rPr>
        <w:t xml:space="preserve"> (24/11/18)</w:t>
      </w:r>
    </w:p>
    <w:p w14:paraId="233C5606" w14:textId="77777777" w:rsidR="00477D9F" w:rsidRPr="00477D9F" w:rsidRDefault="00477D9F" w:rsidP="00477D9F">
      <w:pPr>
        <w:numPr>
          <w:ilvl w:val="0"/>
          <w:numId w:val="2"/>
        </w:numPr>
        <w:spacing w:after="160" w:line="259" w:lineRule="auto"/>
        <w:contextualSpacing/>
        <w:rPr>
          <w:rFonts w:ascii="Calibri" w:eastAsia="Calibri" w:hAnsi="Calibri"/>
          <w:sz w:val="28"/>
          <w:szCs w:val="28"/>
          <w:lang w:eastAsia="en-US"/>
        </w:rPr>
      </w:pPr>
      <w:r w:rsidRPr="00477D9F">
        <w:rPr>
          <w:rFonts w:ascii="Calibri" w:eastAsia="Calibri" w:hAnsi="Calibri"/>
          <w:sz w:val="28"/>
          <w:szCs w:val="28"/>
          <w:lang w:eastAsia="en-US"/>
        </w:rPr>
        <w:t>Wright S, (2016)</w:t>
      </w:r>
      <w:r w:rsidRPr="00477D9F">
        <w:rPr>
          <w:rFonts w:ascii="Calibri" w:eastAsia="Calibri" w:hAnsi="Calibri" w:cs="Calibri"/>
          <w:color w:val="222222"/>
          <w:sz w:val="57"/>
          <w:szCs w:val="57"/>
          <w:lang w:eastAsia="en-US"/>
        </w:rPr>
        <w:t xml:space="preserve"> </w:t>
      </w:r>
      <w:r w:rsidRPr="00477D9F">
        <w:rPr>
          <w:rFonts w:ascii="Calibri" w:eastAsia="Calibri" w:hAnsi="Calibri"/>
          <w:sz w:val="28"/>
          <w:szCs w:val="28"/>
          <w:lang w:eastAsia="en-US"/>
        </w:rPr>
        <w:t xml:space="preserve">The 30-second briefing: What is the zone of proximal development?  </w:t>
      </w:r>
      <w:hyperlink r:id="rId8" w:history="1">
        <w:r w:rsidRPr="00477D9F">
          <w:rPr>
            <w:rFonts w:ascii="Calibri" w:eastAsia="Calibri" w:hAnsi="Calibri"/>
            <w:color w:val="0563C1"/>
            <w:sz w:val="28"/>
            <w:szCs w:val="28"/>
            <w:u w:val="single"/>
            <w:lang w:eastAsia="en-US"/>
          </w:rPr>
          <w:t>https://w</w:t>
        </w:r>
        <w:r w:rsidRPr="00477D9F">
          <w:rPr>
            <w:rFonts w:ascii="Calibri" w:eastAsia="Calibri" w:hAnsi="Calibri"/>
            <w:color w:val="0563C1"/>
            <w:sz w:val="28"/>
            <w:szCs w:val="28"/>
            <w:u w:val="single"/>
            <w:lang w:eastAsia="en-US"/>
          </w:rPr>
          <w:t>w</w:t>
        </w:r>
        <w:r w:rsidRPr="00477D9F">
          <w:rPr>
            <w:rFonts w:ascii="Calibri" w:eastAsia="Calibri" w:hAnsi="Calibri"/>
            <w:color w:val="0563C1"/>
            <w:sz w:val="28"/>
            <w:szCs w:val="28"/>
            <w:u w:val="single"/>
            <w:lang w:eastAsia="en-US"/>
          </w:rPr>
          <w:t>w.tes.com/news/30-second-briefing-what-zone-proximal-development</w:t>
        </w:r>
      </w:hyperlink>
      <w:r w:rsidRPr="00477D9F">
        <w:rPr>
          <w:rFonts w:ascii="Calibri" w:eastAsia="Calibri" w:hAnsi="Calibri"/>
          <w:sz w:val="28"/>
          <w:szCs w:val="28"/>
          <w:lang w:eastAsia="en-US"/>
        </w:rPr>
        <w:t xml:space="preserve"> (24/11/18)</w:t>
      </w:r>
    </w:p>
    <w:p w14:paraId="5CBCDA80" w14:textId="77777777" w:rsidR="00477D9F" w:rsidRPr="00477D9F" w:rsidRDefault="00477D9F" w:rsidP="00477D9F">
      <w:pPr>
        <w:numPr>
          <w:ilvl w:val="0"/>
          <w:numId w:val="2"/>
        </w:numPr>
        <w:spacing w:after="160" w:line="259" w:lineRule="auto"/>
        <w:contextualSpacing/>
        <w:rPr>
          <w:rFonts w:ascii="Calibri" w:eastAsia="Calibri" w:hAnsi="Calibri"/>
          <w:sz w:val="28"/>
          <w:szCs w:val="28"/>
          <w:lang w:eastAsia="en-US"/>
        </w:rPr>
      </w:pPr>
      <w:r w:rsidRPr="00477D9F">
        <w:rPr>
          <w:rFonts w:ascii="Calibri" w:eastAsia="Calibri" w:hAnsi="Calibri"/>
          <w:sz w:val="28"/>
          <w:szCs w:val="28"/>
          <w:lang w:eastAsia="en-US"/>
        </w:rPr>
        <w:t xml:space="preserve">Dweck C, (2015) Carol Dweck Revisits the 'Growth Mindset' </w:t>
      </w:r>
      <w:hyperlink r:id="rId9" w:history="1">
        <w:r w:rsidRPr="00477D9F">
          <w:rPr>
            <w:rFonts w:ascii="Calibri" w:eastAsia="Calibri" w:hAnsi="Calibri"/>
            <w:color w:val="0000FF"/>
            <w:sz w:val="28"/>
            <w:szCs w:val="28"/>
            <w:u w:val="single"/>
            <w:lang w:eastAsia="en-US"/>
          </w:rPr>
          <w:t>htt</w:t>
        </w:r>
        <w:r w:rsidRPr="00477D9F">
          <w:rPr>
            <w:rFonts w:ascii="Calibri" w:eastAsia="Calibri" w:hAnsi="Calibri"/>
            <w:color w:val="0000FF"/>
            <w:sz w:val="28"/>
            <w:szCs w:val="28"/>
            <w:u w:val="single"/>
            <w:lang w:eastAsia="en-US"/>
          </w:rPr>
          <w:t>p</w:t>
        </w:r>
        <w:r w:rsidRPr="00477D9F">
          <w:rPr>
            <w:rFonts w:ascii="Calibri" w:eastAsia="Calibri" w:hAnsi="Calibri"/>
            <w:color w:val="0000FF"/>
            <w:sz w:val="28"/>
            <w:szCs w:val="28"/>
            <w:u w:val="single"/>
            <w:lang w:eastAsia="en-US"/>
          </w:rPr>
          <w:t>s://www.edweek.org/ew/articles/2015/09/23/carol-dweck-revisits-the-growth-mindset.html</w:t>
        </w:r>
      </w:hyperlink>
      <w:r w:rsidRPr="00477D9F">
        <w:rPr>
          <w:rFonts w:ascii="Calibri" w:eastAsia="Calibri" w:hAnsi="Calibri"/>
          <w:color w:val="0563C1"/>
          <w:sz w:val="28"/>
          <w:szCs w:val="28"/>
          <w:u w:val="single"/>
          <w:lang w:eastAsia="en-US"/>
        </w:rPr>
        <w:t xml:space="preserve">  </w:t>
      </w:r>
      <w:r w:rsidRPr="00477D9F">
        <w:rPr>
          <w:rFonts w:ascii="Calibri" w:eastAsia="Calibri" w:hAnsi="Calibri"/>
          <w:color w:val="0563C1"/>
          <w:sz w:val="28"/>
          <w:szCs w:val="28"/>
          <w:lang w:eastAsia="en-US"/>
        </w:rPr>
        <w:t>(24/11/18)</w:t>
      </w:r>
    </w:p>
    <w:p w14:paraId="541754CA" w14:textId="77777777" w:rsidR="00477D9F" w:rsidRPr="00477D9F" w:rsidRDefault="00477D9F" w:rsidP="00477D9F">
      <w:pPr>
        <w:numPr>
          <w:ilvl w:val="0"/>
          <w:numId w:val="2"/>
        </w:numPr>
        <w:spacing w:after="160" w:line="259" w:lineRule="auto"/>
        <w:contextualSpacing/>
        <w:rPr>
          <w:rFonts w:ascii="Calibri" w:eastAsia="Calibri" w:hAnsi="Calibri"/>
          <w:sz w:val="28"/>
          <w:szCs w:val="28"/>
          <w:lang w:eastAsia="en-US"/>
        </w:rPr>
      </w:pPr>
      <w:proofErr w:type="spellStart"/>
      <w:r w:rsidRPr="00477D9F">
        <w:rPr>
          <w:rFonts w:ascii="Calibri" w:eastAsia="Calibri" w:hAnsi="Calibri"/>
          <w:sz w:val="28"/>
          <w:szCs w:val="28"/>
          <w:lang w:eastAsia="en-US"/>
        </w:rPr>
        <w:t>Culatta</w:t>
      </w:r>
      <w:proofErr w:type="spellEnd"/>
      <w:r w:rsidRPr="00477D9F">
        <w:rPr>
          <w:rFonts w:ascii="Calibri" w:eastAsia="Calibri" w:hAnsi="Calibri"/>
          <w:sz w:val="28"/>
          <w:szCs w:val="28"/>
          <w:lang w:eastAsia="en-US"/>
        </w:rPr>
        <w:t xml:space="preserve"> R, 2011, Zone of Proximal Development </w:t>
      </w:r>
      <w:hyperlink r:id="rId10" w:history="1">
        <w:r w:rsidRPr="00477D9F">
          <w:rPr>
            <w:rFonts w:ascii="Calibri" w:eastAsia="Calibri" w:hAnsi="Calibri"/>
            <w:color w:val="0563C1"/>
            <w:sz w:val="28"/>
            <w:szCs w:val="28"/>
            <w:u w:val="single"/>
            <w:lang w:eastAsia="en-US"/>
          </w:rPr>
          <w:t>https://w</w:t>
        </w:r>
        <w:r w:rsidRPr="00477D9F">
          <w:rPr>
            <w:rFonts w:ascii="Calibri" w:eastAsia="Calibri" w:hAnsi="Calibri"/>
            <w:color w:val="0563C1"/>
            <w:sz w:val="28"/>
            <w:szCs w:val="28"/>
            <w:u w:val="single"/>
            <w:lang w:eastAsia="en-US"/>
          </w:rPr>
          <w:t>w</w:t>
        </w:r>
        <w:r w:rsidRPr="00477D9F">
          <w:rPr>
            <w:rFonts w:ascii="Calibri" w:eastAsia="Calibri" w:hAnsi="Calibri"/>
            <w:color w:val="0563C1"/>
            <w:sz w:val="28"/>
            <w:szCs w:val="28"/>
            <w:u w:val="single"/>
            <w:lang w:eastAsia="en-US"/>
          </w:rPr>
          <w:t>w.innovativelearning.com/educational_psychology/develop</w:t>
        </w:r>
        <w:r w:rsidRPr="00477D9F">
          <w:rPr>
            <w:rFonts w:ascii="Calibri" w:eastAsia="Calibri" w:hAnsi="Calibri"/>
            <w:color w:val="0563C1"/>
            <w:sz w:val="28"/>
            <w:szCs w:val="28"/>
            <w:u w:val="single"/>
            <w:lang w:eastAsia="en-US"/>
          </w:rPr>
          <w:t>ment/zone-of-proximal-development.html</w:t>
        </w:r>
      </w:hyperlink>
      <w:r w:rsidRPr="00477D9F">
        <w:rPr>
          <w:rFonts w:ascii="Calibri" w:eastAsia="Calibri" w:hAnsi="Calibri"/>
          <w:sz w:val="28"/>
          <w:szCs w:val="28"/>
          <w:lang w:eastAsia="en-US"/>
        </w:rPr>
        <w:t>, (24/11/18)</w:t>
      </w:r>
    </w:p>
    <w:p w14:paraId="1E1C9FA1" w14:textId="77777777" w:rsidR="00477D9F" w:rsidRPr="00477D9F" w:rsidRDefault="00477D9F" w:rsidP="00477D9F">
      <w:pPr>
        <w:numPr>
          <w:ilvl w:val="0"/>
          <w:numId w:val="2"/>
        </w:numPr>
        <w:spacing w:after="160" w:line="259" w:lineRule="auto"/>
        <w:contextualSpacing/>
        <w:rPr>
          <w:rFonts w:ascii="Calibri" w:eastAsia="Calibri" w:hAnsi="Calibri"/>
          <w:sz w:val="28"/>
          <w:szCs w:val="28"/>
          <w:lang w:eastAsia="en-US"/>
        </w:rPr>
      </w:pPr>
      <w:r w:rsidRPr="00477D9F">
        <w:rPr>
          <w:rFonts w:ascii="Calibri" w:eastAsia="Calibri" w:hAnsi="Calibri"/>
          <w:sz w:val="28"/>
          <w:szCs w:val="28"/>
          <w:lang w:eastAsia="en-US"/>
        </w:rPr>
        <w:t>Robson S (2012) Developing thinking &amp; understanding in young children, 2</w:t>
      </w:r>
      <w:r w:rsidRPr="00477D9F">
        <w:rPr>
          <w:rFonts w:ascii="Calibri" w:eastAsia="Calibri" w:hAnsi="Calibri"/>
          <w:sz w:val="28"/>
          <w:szCs w:val="28"/>
          <w:vertAlign w:val="superscript"/>
          <w:lang w:eastAsia="en-US"/>
        </w:rPr>
        <w:t>nd</w:t>
      </w:r>
      <w:r w:rsidRPr="00477D9F">
        <w:rPr>
          <w:rFonts w:ascii="Calibri" w:eastAsia="Calibri" w:hAnsi="Calibri"/>
          <w:sz w:val="28"/>
          <w:szCs w:val="28"/>
          <w:lang w:eastAsia="en-US"/>
        </w:rPr>
        <w:t xml:space="preserve"> edition, USA, Routledge</w:t>
      </w:r>
    </w:p>
    <w:p w14:paraId="4B249996" w14:textId="77777777" w:rsidR="00477D9F" w:rsidRPr="00477D9F" w:rsidRDefault="00477D9F" w:rsidP="00477D9F">
      <w:pPr>
        <w:numPr>
          <w:ilvl w:val="0"/>
          <w:numId w:val="2"/>
        </w:numPr>
        <w:spacing w:after="160" w:line="259" w:lineRule="auto"/>
        <w:contextualSpacing/>
        <w:rPr>
          <w:rFonts w:ascii="Calibri" w:eastAsia="Calibri" w:hAnsi="Calibri"/>
          <w:sz w:val="28"/>
          <w:szCs w:val="28"/>
          <w:lang w:eastAsia="en-US"/>
        </w:rPr>
      </w:pPr>
      <w:bookmarkStart w:id="0" w:name="_Hlk530930160"/>
      <w:r w:rsidRPr="00477D9F">
        <w:rPr>
          <w:rFonts w:ascii="Calibri" w:eastAsia="Calibri" w:hAnsi="Calibri"/>
          <w:sz w:val="28"/>
          <w:szCs w:val="28"/>
          <w:lang w:eastAsia="en-US"/>
        </w:rPr>
        <w:t>Capel S, Leask M and Turner T (1996) Learning to teach in the Secondary school, 2</w:t>
      </w:r>
      <w:r w:rsidRPr="00477D9F">
        <w:rPr>
          <w:rFonts w:ascii="Calibri" w:eastAsia="Calibri" w:hAnsi="Calibri"/>
          <w:sz w:val="28"/>
          <w:szCs w:val="28"/>
          <w:vertAlign w:val="superscript"/>
          <w:lang w:eastAsia="en-US"/>
        </w:rPr>
        <w:t>nd</w:t>
      </w:r>
      <w:r w:rsidRPr="00477D9F">
        <w:rPr>
          <w:rFonts w:ascii="Calibri" w:eastAsia="Calibri" w:hAnsi="Calibri"/>
          <w:sz w:val="28"/>
          <w:szCs w:val="28"/>
          <w:lang w:eastAsia="en-US"/>
        </w:rPr>
        <w:t xml:space="preserve"> edition, USA, Routledge,</w:t>
      </w:r>
    </w:p>
    <w:bookmarkEnd w:id="0"/>
    <w:p w14:paraId="5624EEE0" w14:textId="77777777" w:rsidR="00477D9F" w:rsidRPr="00477D9F" w:rsidRDefault="00477D9F" w:rsidP="00477D9F">
      <w:pPr>
        <w:numPr>
          <w:ilvl w:val="0"/>
          <w:numId w:val="2"/>
        </w:numPr>
        <w:spacing w:after="160" w:line="259" w:lineRule="auto"/>
        <w:contextualSpacing/>
        <w:rPr>
          <w:rFonts w:ascii="Calibri" w:eastAsia="Calibri" w:hAnsi="Calibri"/>
          <w:sz w:val="28"/>
          <w:szCs w:val="28"/>
          <w:lang w:eastAsia="en-US"/>
        </w:rPr>
      </w:pPr>
      <w:proofErr w:type="spellStart"/>
      <w:r w:rsidRPr="00477D9F">
        <w:rPr>
          <w:rFonts w:ascii="Calibri" w:eastAsia="Calibri" w:hAnsi="Calibri"/>
          <w:sz w:val="28"/>
          <w:szCs w:val="28"/>
          <w:lang w:eastAsia="en-US"/>
        </w:rPr>
        <w:t>Lemov</w:t>
      </w:r>
      <w:proofErr w:type="spellEnd"/>
      <w:r w:rsidRPr="00477D9F">
        <w:rPr>
          <w:rFonts w:ascii="Calibri" w:eastAsia="Calibri" w:hAnsi="Calibri"/>
          <w:sz w:val="28"/>
          <w:szCs w:val="28"/>
          <w:lang w:eastAsia="en-US"/>
        </w:rPr>
        <w:t xml:space="preserve"> D (2015) Teach like a Champion 2.0, USA, Jossey-Bass</w:t>
      </w:r>
    </w:p>
    <w:p w14:paraId="61ECE9FB" w14:textId="77777777" w:rsidR="00477D9F" w:rsidRPr="00477D9F" w:rsidRDefault="00477D9F" w:rsidP="00477D9F">
      <w:pPr>
        <w:numPr>
          <w:ilvl w:val="0"/>
          <w:numId w:val="2"/>
        </w:numPr>
        <w:spacing w:after="160" w:line="259" w:lineRule="auto"/>
        <w:contextualSpacing/>
        <w:rPr>
          <w:rFonts w:ascii="Calibri" w:eastAsia="Calibri" w:hAnsi="Calibri"/>
          <w:sz w:val="28"/>
          <w:szCs w:val="28"/>
          <w:lang w:eastAsia="en-US"/>
        </w:rPr>
      </w:pPr>
      <w:r w:rsidRPr="00477D9F">
        <w:rPr>
          <w:rFonts w:ascii="Calibri" w:eastAsia="Calibri" w:hAnsi="Calibri"/>
          <w:sz w:val="28"/>
          <w:szCs w:val="28"/>
          <w:lang w:eastAsia="en-US"/>
        </w:rPr>
        <w:t>Learning Wales (2014) Reasoning in the classroom</w:t>
      </w:r>
      <w:r w:rsidRPr="00477D9F">
        <w:rPr>
          <w:rFonts w:ascii="Calibri" w:eastAsia="Calibri" w:hAnsi="Calibri"/>
          <w:sz w:val="28"/>
          <w:szCs w:val="28"/>
          <w:u w:val="single"/>
          <w:lang w:eastAsia="en-US"/>
        </w:rPr>
        <w:t xml:space="preserve"> </w:t>
      </w:r>
      <w:hyperlink r:id="rId11" w:history="1">
        <w:r w:rsidRPr="00477D9F">
          <w:rPr>
            <w:rFonts w:ascii="Calibri" w:eastAsia="Calibri" w:hAnsi="Calibri"/>
            <w:color w:val="0000FF"/>
            <w:sz w:val="28"/>
            <w:szCs w:val="28"/>
            <w:u w:val="single"/>
            <w:lang w:eastAsia="en-US"/>
          </w:rPr>
          <w:t>htt</w:t>
        </w:r>
        <w:r w:rsidRPr="00477D9F">
          <w:rPr>
            <w:rFonts w:ascii="Calibri" w:eastAsia="Calibri" w:hAnsi="Calibri"/>
            <w:color w:val="0000FF"/>
            <w:sz w:val="28"/>
            <w:szCs w:val="28"/>
            <w:u w:val="single"/>
            <w:lang w:eastAsia="en-US"/>
          </w:rPr>
          <w:t>p</w:t>
        </w:r>
        <w:r w:rsidRPr="00477D9F">
          <w:rPr>
            <w:rFonts w:ascii="Calibri" w:eastAsia="Calibri" w:hAnsi="Calibri"/>
            <w:color w:val="0000FF"/>
            <w:sz w:val="28"/>
            <w:szCs w:val="28"/>
            <w:u w:val="single"/>
            <w:lang w:eastAsia="en-US"/>
          </w:rPr>
          <w:t>://learning.gov.wales/resources/learningpacks/reasoning-in-the-classroom/?lang=en</w:t>
        </w:r>
      </w:hyperlink>
      <w:r w:rsidRPr="00477D9F">
        <w:rPr>
          <w:rFonts w:ascii="Calibri" w:eastAsia="Calibri" w:hAnsi="Calibri"/>
          <w:sz w:val="28"/>
          <w:szCs w:val="28"/>
          <w:lang w:eastAsia="en-US"/>
        </w:rPr>
        <w:t>, (25/11/18)</w:t>
      </w:r>
    </w:p>
    <w:p w14:paraId="58D91D85" w14:textId="77777777" w:rsidR="00477D9F" w:rsidRPr="00477D9F" w:rsidRDefault="00477D9F" w:rsidP="00477D9F">
      <w:pPr>
        <w:numPr>
          <w:ilvl w:val="0"/>
          <w:numId w:val="2"/>
        </w:numPr>
        <w:spacing w:after="160" w:line="259" w:lineRule="auto"/>
        <w:contextualSpacing/>
        <w:rPr>
          <w:rFonts w:ascii="Calibri" w:eastAsia="Calibri" w:hAnsi="Calibri"/>
          <w:sz w:val="28"/>
          <w:szCs w:val="28"/>
          <w:lang w:eastAsia="en-US"/>
        </w:rPr>
      </w:pPr>
      <w:r w:rsidRPr="00477D9F">
        <w:rPr>
          <w:rFonts w:ascii="Calibri" w:eastAsia="Calibri" w:hAnsi="Calibri"/>
          <w:sz w:val="28"/>
          <w:szCs w:val="28"/>
          <w:lang w:eastAsia="en-US"/>
        </w:rPr>
        <w:t>Capel S, Leask M and Turner T (1996) Learning to teach in the Secondary school, 2</w:t>
      </w:r>
      <w:r w:rsidRPr="00477D9F">
        <w:rPr>
          <w:rFonts w:ascii="Calibri" w:eastAsia="Calibri" w:hAnsi="Calibri"/>
          <w:sz w:val="28"/>
          <w:szCs w:val="28"/>
          <w:vertAlign w:val="superscript"/>
          <w:lang w:eastAsia="en-US"/>
        </w:rPr>
        <w:t>nd</w:t>
      </w:r>
      <w:r w:rsidRPr="00477D9F">
        <w:rPr>
          <w:rFonts w:ascii="Calibri" w:eastAsia="Calibri" w:hAnsi="Calibri"/>
          <w:sz w:val="28"/>
          <w:szCs w:val="28"/>
          <w:lang w:eastAsia="en-US"/>
        </w:rPr>
        <w:t xml:space="preserve"> edition, USA, Routledge,</w:t>
      </w:r>
    </w:p>
    <w:p w14:paraId="52D2FECA" w14:textId="664A414A" w:rsidR="006545A8" w:rsidRDefault="006545A8">
      <w:pPr>
        <w:rPr>
          <w:rFonts w:ascii="Arial" w:hAnsi="Arial" w:cs="Arial"/>
          <w:sz w:val="32"/>
        </w:rPr>
      </w:pPr>
    </w:p>
    <w:p w14:paraId="49B7A9BF" w14:textId="25F7D383" w:rsidR="003053A9" w:rsidRDefault="003053A9">
      <w:pPr>
        <w:rPr>
          <w:rFonts w:ascii="Arial" w:hAnsi="Arial" w:cs="Arial"/>
          <w:sz w:val="32"/>
        </w:rPr>
      </w:pPr>
    </w:p>
    <w:p w14:paraId="2F7A1B3D" w14:textId="7A73B40B" w:rsidR="003053A9" w:rsidRDefault="003053A9">
      <w:pPr>
        <w:rPr>
          <w:rFonts w:ascii="Arial" w:hAnsi="Arial" w:cs="Arial"/>
          <w:sz w:val="32"/>
        </w:rPr>
      </w:pPr>
    </w:p>
    <w:p w14:paraId="43CF15BD" w14:textId="7A81C45B" w:rsidR="003053A9" w:rsidRDefault="003053A9">
      <w:pPr>
        <w:rPr>
          <w:rFonts w:ascii="Arial" w:hAnsi="Arial" w:cs="Arial"/>
          <w:sz w:val="32"/>
        </w:rPr>
      </w:pPr>
    </w:p>
    <w:p w14:paraId="5F56C8F3" w14:textId="1F67EFB7" w:rsidR="003053A9" w:rsidRDefault="003053A9">
      <w:pPr>
        <w:rPr>
          <w:rFonts w:ascii="Arial" w:hAnsi="Arial" w:cs="Arial"/>
          <w:sz w:val="32"/>
        </w:rPr>
      </w:pPr>
    </w:p>
    <w:p w14:paraId="7164065C" w14:textId="2554F12F" w:rsidR="003053A9" w:rsidRDefault="003053A9">
      <w:pPr>
        <w:rPr>
          <w:rFonts w:ascii="Arial" w:hAnsi="Arial" w:cs="Arial"/>
          <w:sz w:val="32"/>
        </w:rPr>
      </w:pPr>
    </w:p>
    <w:p w14:paraId="46B551FE" w14:textId="351766C6" w:rsidR="003053A9" w:rsidRDefault="003053A9">
      <w:pPr>
        <w:rPr>
          <w:rFonts w:ascii="Arial" w:hAnsi="Arial" w:cs="Arial"/>
          <w:sz w:val="32"/>
        </w:rPr>
      </w:pPr>
    </w:p>
    <w:p w14:paraId="5DCE8A2D" w14:textId="5797CECA" w:rsidR="003053A9" w:rsidRDefault="003053A9">
      <w:pPr>
        <w:rPr>
          <w:rFonts w:ascii="Arial" w:hAnsi="Arial" w:cs="Arial"/>
          <w:sz w:val="32"/>
        </w:rPr>
      </w:pPr>
    </w:p>
    <w:p w14:paraId="75E5118B" w14:textId="6FDEEC7E" w:rsidR="003053A9" w:rsidRDefault="003053A9">
      <w:pPr>
        <w:rPr>
          <w:rFonts w:ascii="Arial" w:hAnsi="Arial" w:cs="Arial"/>
          <w:sz w:val="32"/>
        </w:rPr>
      </w:pPr>
    </w:p>
    <w:p w14:paraId="5623864C" w14:textId="2BE3FA70" w:rsidR="003053A9" w:rsidRDefault="003053A9">
      <w:pPr>
        <w:rPr>
          <w:rFonts w:ascii="Arial" w:hAnsi="Arial" w:cs="Arial"/>
          <w:sz w:val="32"/>
        </w:rPr>
      </w:pPr>
    </w:p>
    <w:p w14:paraId="640B5295" w14:textId="216C0B4D" w:rsidR="003053A9" w:rsidRDefault="003053A9">
      <w:pPr>
        <w:rPr>
          <w:rFonts w:ascii="Arial" w:hAnsi="Arial" w:cs="Arial"/>
          <w:sz w:val="32"/>
        </w:rPr>
      </w:pPr>
    </w:p>
    <w:p w14:paraId="48FA5566" w14:textId="46AB0E62" w:rsidR="003053A9" w:rsidRDefault="003053A9">
      <w:pPr>
        <w:rPr>
          <w:rFonts w:ascii="Arial" w:hAnsi="Arial" w:cs="Arial"/>
          <w:sz w:val="32"/>
        </w:rPr>
      </w:pPr>
    </w:p>
    <w:p w14:paraId="2B53A7C2" w14:textId="2D01321E" w:rsidR="003053A9" w:rsidRPr="00F735D4" w:rsidRDefault="003053A9">
      <w:pPr>
        <w:rPr>
          <w:rFonts w:ascii="Arial" w:hAnsi="Arial" w:cs="Arial"/>
          <w:sz w:val="32"/>
        </w:rPr>
      </w:pPr>
      <w:bookmarkStart w:id="1" w:name="_GoBack"/>
      <w:r w:rsidRPr="003053A9">
        <w:lastRenderedPageBreak/>
        <w:drawing>
          <wp:inline distT="0" distB="0" distL="0" distR="0" wp14:anchorId="5868C05E" wp14:editId="32BB5CCC">
            <wp:extent cx="6162675" cy="3358515"/>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162675" cy="3358515"/>
                    </a:xfrm>
                    <a:prstGeom prst="rect">
                      <a:avLst/>
                    </a:prstGeom>
                    <a:noFill/>
                    <a:ln>
                      <a:noFill/>
                    </a:ln>
                  </pic:spPr>
                </pic:pic>
              </a:graphicData>
            </a:graphic>
          </wp:inline>
        </w:drawing>
      </w:r>
      <w:bookmarkEnd w:id="1"/>
    </w:p>
    <w:sectPr w:rsidR="003053A9" w:rsidRPr="00F735D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96556D"/>
    <w:multiLevelType w:val="hybridMultilevel"/>
    <w:tmpl w:val="C640FFE0"/>
    <w:lvl w:ilvl="0" w:tplc="489E434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B384060"/>
    <w:multiLevelType w:val="hybridMultilevel"/>
    <w:tmpl w:val="390E53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35D4"/>
    <w:rsid w:val="000005BF"/>
    <w:rsid w:val="00003672"/>
    <w:rsid w:val="0001236F"/>
    <w:rsid w:val="00015964"/>
    <w:rsid w:val="000167E4"/>
    <w:rsid w:val="00020F8D"/>
    <w:rsid w:val="00025069"/>
    <w:rsid w:val="00034E05"/>
    <w:rsid w:val="00036665"/>
    <w:rsid w:val="00037A38"/>
    <w:rsid w:val="000414E7"/>
    <w:rsid w:val="00044FC2"/>
    <w:rsid w:val="00047C64"/>
    <w:rsid w:val="00054059"/>
    <w:rsid w:val="000554F6"/>
    <w:rsid w:val="000755E0"/>
    <w:rsid w:val="00090C9A"/>
    <w:rsid w:val="00093247"/>
    <w:rsid w:val="00093BEB"/>
    <w:rsid w:val="00094C37"/>
    <w:rsid w:val="000A6460"/>
    <w:rsid w:val="000B1840"/>
    <w:rsid w:val="000B28EC"/>
    <w:rsid w:val="000B39C5"/>
    <w:rsid w:val="000B3F8A"/>
    <w:rsid w:val="000B4BF6"/>
    <w:rsid w:val="000C7991"/>
    <w:rsid w:val="000D5408"/>
    <w:rsid w:val="000E0C94"/>
    <w:rsid w:val="000E3777"/>
    <w:rsid w:val="000E7EA0"/>
    <w:rsid w:val="000F4442"/>
    <w:rsid w:val="000F680C"/>
    <w:rsid w:val="000F7114"/>
    <w:rsid w:val="0011114D"/>
    <w:rsid w:val="0011533E"/>
    <w:rsid w:val="001153BE"/>
    <w:rsid w:val="001317BB"/>
    <w:rsid w:val="0013360F"/>
    <w:rsid w:val="00146B87"/>
    <w:rsid w:val="0014728B"/>
    <w:rsid w:val="00165D64"/>
    <w:rsid w:val="00177266"/>
    <w:rsid w:val="001812C9"/>
    <w:rsid w:val="00185DE9"/>
    <w:rsid w:val="001875A8"/>
    <w:rsid w:val="001879B4"/>
    <w:rsid w:val="00187BA6"/>
    <w:rsid w:val="001A13CE"/>
    <w:rsid w:val="001A54E7"/>
    <w:rsid w:val="001A5C34"/>
    <w:rsid w:val="001A6F31"/>
    <w:rsid w:val="001B1AA8"/>
    <w:rsid w:val="001B4E45"/>
    <w:rsid w:val="001B63D2"/>
    <w:rsid w:val="001C2CDD"/>
    <w:rsid w:val="001C4C16"/>
    <w:rsid w:val="001C5929"/>
    <w:rsid w:val="001C6DC5"/>
    <w:rsid w:val="001F01B0"/>
    <w:rsid w:val="001F1D89"/>
    <w:rsid w:val="001F2FF6"/>
    <w:rsid w:val="001F53BD"/>
    <w:rsid w:val="001F7F98"/>
    <w:rsid w:val="00204D19"/>
    <w:rsid w:val="00210A97"/>
    <w:rsid w:val="002205ED"/>
    <w:rsid w:val="00224740"/>
    <w:rsid w:val="002257C2"/>
    <w:rsid w:val="0023376B"/>
    <w:rsid w:val="002374AA"/>
    <w:rsid w:val="00241090"/>
    <w:rsid w:val="00247579"/>
    <w:rsid w:val="00255727"/>
    <w:rsid w:val="002612CD"/>
    <w:rsid w:val="0026167C"/>
    <w:rsid w:val="002632C4"/>
    <w:rsid w:val="00270363"/>
    <w:rsid w:val="00280B65"/>
    <w:rsid w:val="00290427"/>
    <w:rsid w:val="00294329"/>
    <w:rsid w:val="002A4B3C"/>
    <w:rsid w:val="002B63C3"/>
    <w:rsid w:val="002B6475"/>
    <w:rsid w:val="002B7FDC"/>
    <w:rsid w:val="002C0484"/>
    <w:rsid w:val="002C6641"/>
    <w:rsid w:val="002D1A28"/>
    <w:rsid w:val="002D408E"/>
    <w:rsid w:val="002E2053"/>
    <w:rsid w:val="002E2539"/>
    <w:rsid w:val="002E27D1"/>
    <w:rsid w:val="002F2A6D"/>
    <w:rsid w:val="002F335C"/>
    <w:rsid w:val="002F7207"/>
    <w:rsid w:val="00300AA9"/>
    <w:rsid w:val="00303D92"/>
    <w:rsid w:val="003053A9"/>
    <w:rsid w:val="003125C0"/>
    <w:rsid w:val="00313DA0"/>
    <w:rsid w:val="00321E01"/>
    <w:rsid w:val="00322226"/>
    <w:rsid w:val="00337952"/>
    <w:rsid w:val="003447AF"/>
    <w:rsid w:val="003524D7"/>
    <w:rsid w:val="00352D94"/>
    <w:rsid w:val="00363499"/>
    <w:rsid w:val="00365913"/>
    <w:rsid w:val="003724B1"/>
    <w:rsid w:val="00381CFB"/>
    <w:rsid w:val="003829BA"/>
    <w:rsid w:val="0039694D"/>
    <w:rsid w:val="003A147B"/>
    <w:rsid w:val="003A1914"/>
    <w:rsid w:val="003A565C"/>
    <w:rsid w:val="003B461A"/>
    <w:rsid w:val="003B64EF"/>
    <w:rsid w:val="003E06A3"/>
    <w:rsid w:val="00403380"/>
    <w:rsid w:val="00405C28"/>
    <w:rsid w:val="0041036B"/>
    <w:rsid w:val="00413291"/>
    <w:rsid w:val="004135FD"/>
    <w:rsid w:val="00414DF9"/>
    <w:rsid w:val="0041641F"/>
    <w:rsid w:val="00416815"/>
    <w:rsid w:val="00420FD7"/>
    <w:rsid w:val="00431D80"/>
    <w:rsid w:val="00432E3E"/>
    <w:rsid w:val="00436C1E"/>
    <w:rsid w:val="00436FAA"/>
    <w:rsid w:val="00440204"/>
    <w:rsid w:val="00445D19"/>
    <w:rsid w:val="00446A55"/>
    <w:rsid w:val="00446FED"/>
    <w:rsid w:val="00450C14"/>
    <w:rsid w:val="00453513"/>
    <w:rsid w:val="00457F58"/>
    <w:rsid w:val="00464CEC"/>
    <w:rsid w:val="004661E2"/>
    <w:rsid w:val="00466657"/>
    <w:rsid w:val="00472306"/>
    <w:rsid w:val="00476B43"/>
    <w:rsid w:val="00477D9F"/>
    <w:rsid w:val="00483109"/>
    <w:rsid w:val="004853F5"/>
    <w:rsid w:val="00492E69"/>
    <w:rsid w:val="00494B4D"/>
    <w:rsid w:val="004955EC"/>
    <w:rsid w:val="004A5BAE"/>
    <w:rsid w:val="004B5EBD"/>
    <w:rsid w:val="004D4114"/>
    <w:rsid w:val="004D5ABE"/>
    <w:rsid w:val="004D699E"/>
    <w:rsid w:val="004E0ED8"/>
    <w:rsid w:val="004E1F82"/>
    <w:rsid w:val="004F7385"/>
    <w:rsid w:val="00500521"/>
    <w:rsid w:val="00501563"/>
    <w:rsid w:val="00502404"/>
    <w:rsid w:val="005051C0"/>
    <w:rsid w:val="00505F32"/>
    <w:rsid w:val="0050616D"/>
    <w:rsid w:val="00512580"/>
    <w:rsid w:val="00522F2C"/>
    <w:rsid w:val="005242BA"/>
    <w:rsid w:val="005252AD"/>
    <w:rsid w:val="0052553F"/>
    <w:rsid w:val="00547CB1"/>
    <w:rsid w:val="0055050E"/>
    <w:rsid w:val="00551904"/>
    <w:rsid w:val="00560AF6"/>
    <w:rsid w:val="0056412E"/>
    <w:rsid w:val="005679F8"/>
    <w:rsid w:val="005704EB"/>
    <w:rsid w:val="005721A9"/>
    <w:rsid w:val="00587E6C"/>
    <w:rsid w:val="00591F94"/>
    <w:rsid w:val="005923FC"/>
    <w:rsid w:val="00597E1B"/>
    <w:rsid w:val="005B208A"/>
    <w:rsid w:val="005B2DD0"/>
    <w:rsid w:val="005B3DA5"/>
    <w:rsid w:val="005C3076"/>
    <w:rsid w:val="005C4F54"/>
    <w:rsid w:val="005D1FDA"/>
    <w:rsid w:val="005D24FE"/>
    <w:rsid w:val="005E217B"/>
    <w:rsid w:val="005E2B80"/>
    <w:rsid w:val="005F04F9"/>
    <w:rsid w:val="005F1B40"/>
    <w:rsid w:val="00605A2B"/>
    <w:rsid w:val="00605A82"/>
    <w:rsid w:val="00611C7E"/>
    <w:rsid w:val="0061356B"/>
    <w:rsid w:val="00616335"/>
    <w:rsid w:val="00616CAD"/>
    <w:rsid w:val="00622819"/>
    <w:rsid w:val="006250E0"/>
    <w:rsid w:val="006309B1"/>
    <w:rsid w:val="00636C09"/>
    <w:rsid w:val="0064218F"/>
    <w:rsid w:val="006427ED"/>
    <w:rsid w:val="00647EDF"/>
    <w:rsid w:val="006545A8"/>
    <w:rsid w:val="00657E2B"/>
    <w:rsid w:val="006609D5"/>
    <w:rsid w:val="00661219"/>
    <w:rsid w:val="006637FA"/>
    <w:rsid w:val="00671010"/>
    <w:rsid w:val="00674739"/>
    <w:rsid w:val="0067583C"/>
    <w:rsid w:val="00675901"/>
    <w:rsid w:val="006820F4"/>
    <w:rsid w:val="00685928"/>
    <w:rsid w:val="006A2232"/>
    <w:rsid w:val="006A59B3"/>
    <w:rsid w:val="006B279A"/>
    <w:rsid w:val="006B34A5"/>
    <w:rsid w:val="006B566F"/>
    <w:rsid w:val="006B7BDA"/>
    <w:rsid w:val="006C164C"/>
    <w:rsid w:val="006C4750"/>
    <w:rsid w:val="006C597A"/>
    <w:rsid w:val="006D6BB7"/>
    <w:rsid w:val="006E5318"/>
    <w:rsid w:val="006F595F"/>
    <w:rsid w:val="00702532"/>
    <w:rsid w:val="007053EE"/>
    <w:rsid w:val="007074D6"/>
    <w:rsid w:val="00712AC9"/>
    <w:rsid w:val="007162C4"/>
    <w:rsid w:val="00721468"/>
    <w:rsid w:val="00730426"/>
    <w:rsid w:val="00730C8E"/>
    <w:rsid w:val="007348AE"/>
    <w:rsid w:val="007378CD"/>
    <w:rsid w:val="00741601"/>
    <w:rsid w:val="00761186"/>
    <w:rsid w:val="007641F7"/>
    <w:rsid w:val="00772610"/>
    <w:rsid w:val="007872EB"/>
    <w:rsid w:val="0079282D"/>
    <w:rsid w:val="00794C24"/>
    <w:rsid w:val="007A00DE"/>
    <w:rsid w:val="007A086E"/>
    <w:rsid w:val="007B2B25"/>
    <w:rsid w:val="007D085E"/>
    <w:rsid w:val="007D1541"/>
    <w:rsid w:val="007D2B34"/>
    <w:rsid w:val="007D5B33"/>
    <w:rsid w:val="007D78B8"/>
    <w:rsid w:val="007D7C8A"/>
    <w:rsid w:val="007D7EE9"/>
    <w:rsid w:val="007E197A"/>
    <w:rsid w:val="007F5B95"/>
    <w:rsid w:val="00800326"/>
    <w:rsid w:val="0080066D"/>
    <w:rsid w:val="00812E6B"/>
    <w:rsid w:val="00824FAF"/>
    <w:rsid w:val="00836818"/>
    <w:rsid w:val="00850F9F"/>
    <w:rsid w:val="00851C9B"/>
    <w:rsid w:val="00856458"/>
    <w:rsid w:val="008639B9"/>
    <w:rsid w:val="0087676B"/>
    <w:rsid w:val="00876A4A"/>
    <w:rsid w:val="00877088"/>
    <w:rsid w:val="00881FF4"/>
    <w:rsid w:val="0088273D"/>
    <w:rsid w:val="00884231"/>
    <w:rsid w:val="00896274"/>
    <w:rsid w:val="00896C80"/>
    <w:rsid w:val="008A013E"/>
    <w:rsid w:val="008A6956"/>
    <w:rsid w:val="008C2036"/>
    <w:rsid w:val="008C3CD3"/>
    <w:rsid w:val="008D6CE2"/>
    <w:rsid w:val="008E71B6"/>
    <w:rsid w:val="008E7B39"/>
    <w:rsid w:val="008F3197"/>
    <w:rsid w:val="00901A0E"/>
    <w:rsid w:val="00902E3E"/>
    <w:rsid w:val="00904052"/>
    <w:rsid w:val="009076C7"/>
    <w:rsid w:val="0091667C"/>
    <w:rsid w:val="00921AD6"/>
    <w:rsid w:val="00926D42"/>
    <w:rsid w:val="00936287"/>
    <w:rsid w:val="00936CDE"/>
    <w:rsid w:val="009419DF"/>
    <w:rsid w:val="0094717C"/>
    <w:rsid w:val="009653AD"/>
    <w:rsid w:val="00977BAC"/>
    <w:rsid w:val="00985C46"/>
    <w:rsid w:val="0099234C"/>
    <w:rsid w:val="00992EA7"/>
    <w:rsid w:val="00995136"/>
    <w:rsid w:val="009A3ABE"/>
    <w:rsid w:val="009B7383"/>
    <w:rsid w:val="009C47A6"/>
    <w:rsid w:val="009D0A09"/>
    <w:rsid w:val="009D56A9"/>
    <w:rsid w:val="009D6DAF"/>
    <w:rsid w:val="009D7A5A"/>
    <w:rsid w:val="009E2081"/>
    <w:rsid w:val="009E2347"/>
    <w:rsid w:val="009E4AF3"/>
    <w:rsid w:val="009E53BB"/>
    <w:rsid w:val="009E5CC8"/>
    <w:rsid w:val="009E748A"/>
    <w:rsid w:val="009F7626"/>
    <w:rsid w:val="00A051CD"/>
    <w:rsid w:val="00A07C02"/>
    <w:rsid w:val="00A07C76"/>
    <w:rsid w:val="00A1781D"/>
    <w:rsid w:val="00A378BA"/>
    <w:rsid w:val="00A47911"/>
    <w:rsid w:val="00A53DE0"/>
    <w:rsid w:val="00A64421"/>
    <w:rsid w:val="00A73C0E"/>
    <w:rsid w:val="00A76324"/>
    <w:rsid w:val="00A84C7C"/>
    <w:rsid w:val="00A935C8"/>
    <w:rsid w:val="00AA3572"/>
    <w:rsid w:val="00AC1FB7"/>
    <w:rsid w:val="00AC6F6D"/>
    <w:rsid w:val="00AC725E"/>
    <w:rsid w:val="00AD390E"/>
    <w:rsid w:val="00AD5EA4"/>
    <w:rsid w:val="00AE23EB"/>
    <w:rsid w:val="00B06984"/>
    <w:rsid w:val="00B11211"/>
    <w:rsid w:val="00B13324"/>
    <w:rsid w:val="00B20039"/>
    <w:rsid w:val="00B212E8"/>
    <w:rsid w:val="00B217D0"/>
    <w:rsid w:val="00B24C29"/>
    <w:rsid w:val="00B413A1"/>
    <w:rsid w:val="00B55146"/>
    <w:rsid w:val="00B668F7"/>
    <w:rsid w:val="00B709A5"/>
    <w:rsid w:val="00B826A6"/>
    <w:rsid w:val="00B9157B"/>
    <w:rsid w:val="00B951AD"/>
    <w:rsid w:val="00BA09F2"/>
    <w:rsid w:val="00BA50F5"/>
    <w:rsid w:val="00BB2C62"/>
    <w:rsid w:val="00BB6ABC"/>
    <w:rsid w:val="00BC71B3"/>
    <w:rsid w:val="00BD26B7"/>
    <w:rsid w:val="00BD37DD"/>
    <w:rsid w:val="00BF11DC"/>
    <w:rsid w:val="00C200B0"/>
    <w:rsid w:val="00C2154E"/>
    <w:rsid w:val="00C51CD0"/>
    <w:rsid w:val="00C5387C"/>
    <w:rsid w:val="00C57A45"/>
    <w:rsid w:val="00C6058F"/>
    <w:rsid w:val="00C63B2A"/>
    <w:rsid w:val="00C772B4"/>
    <w:rsid w:val="00C83DFF"/>
    <w:rsid w:val="00C85190"/>
    <w:rsid w:val="00C8614F"/>
    <w:rsid w:val="00C86B7F"/>
    <w:rsid w:val="00C86B86"/>
    <w:rsid w:val="00C907E2"/>
    <w:rsid w:val="00C93A71"/>
    <w:rsid w:val="00C96055"/>
    <w:rsid w:val="00CA02C9"/>
    <w:rsid w:val="00CA1DEA"/>
    <w:rsid w:val="00CA75AC"/>
    <w:rsid w:val="00CB2F08"/>
    <w:rsid w:val="00CB63BD"/>
    <w:rsid w:val="00CC1F67"/>
    <w:rsid w:val="00CC4FCA"/>
    <w:rsid w:val="00CC50E1"/>
    <w:rsid w:val="00CC679F"/>
    <w:rsid w:val="00CD0D43"/>
    <w:rsid w:val="00CD5A90"/>
    <w:rsid w:val="00CE084E"/>
    <w:rsid w:val="00CE49E8"/>
    <w:rsid w:val="00CE5826"/>
    <w:rsid w:val="00CF0AF1"/>
    <w:rsid w:val="00CF50E1"/>
    <w:rsid w:val="00D0176E"/>
    <w:rsid w:val="00D027B0"/>
    <w:rsid w:val="00D050DF"/>
    <w:rsid w:val="00D101DD"/>
    <w:rsid w:val="00D22D8E"/>
    <w:rsid w:val="00D26C16"/>
    <w:rsid w:val="00D44526"/>
    <w:rsid w:val="00D45E72"/>
    <w:rsid w:val="00D62C72"/>
    <w:rsid w:val="00D6766E"/>
    <w:rsid w:val="00D707D9"/>
    <w:rsid w:val="00D70AF8"/>
    <w:rsid w:val="00D72ECF"/>
    <w:rsid w:val="00D72F28"/>
    <w:rsid w:val="00D762B9"/>
    <w:rsid w:val="00D87152"/>
    <w:rsid w:val="00D975F4"/>
    <w:rsid w:val="00DA0443"/>
    <w:rsid w:val="00DA5A49"/>
    <w:rsid w:val="00DA62A9"/>
    <w:rsid w:val="00DB5103"/>
    <w:rsid w:val="00DC0DF7"/>
    <w:rsid w:val="00DC1488"/>
    <w:rsid w:val="00DC7121"/>
    <w:rsid w:val="00DD2F5E"/>
    <w:rsid w:val="00DE32EC"/>
    <w:rsid w:val="00DE589D"/>
    <w:rsid w:val="00DE62FD"/>
    <w:rsid w:val="00DF0412"/>
    <w:rsid w:val="00DF6174"/>
    <w:rsid w:val="00DF6944"/>
    <w:rsid w:val="00E040DC"/>
    <w:rsid w:val="00E04D76"/>
    <w:rsid w:val="00E11D1A"/>
    <w:rsid w:val="00E26742"/>
    <w:rsid w:val="00E270BC"/>
    <w:rsid w:val="00E34C43"/>
    <w:rsid w:val="00E35FA6"/>
    <w:rsid w:val="00E36CC0"/>
    <w:rsid w:val="00E40C0F"/>
    <w:rsid w:val="00E42A7D"/>
    <w:rsid w:val="00E4334E"/>
    <w:rsid w:val="00E46B11"/>
    <w:rsid w:val="00E554A1"/>
    <w:rsid w:val="00E55C18"/>
    <w:rsid w:val="00E60A86"/>
    <w:rsid w:val="00E72B61"/>
    <w:rsid w:val="00E7620C"/>
    <w:rsid w:val="00E7697B"/>
    <w:rsid w:val="00E76D8B"/>
    <w:rsid w:val="00E82EF9"/>
    <w:rsid w:val="00E84864"/>
    <w:rsid w:val="00E873A0"/>
    <w:rsid w:val="00E90722"/>
    <w:rsid w:val="00E91404"/>
    <w:rsid w:val="00EB0360"/>
    <w:rsid w:val="00EB1CA2"/>
    <w:rsid w:val="00EC643C"/>
    <w:rsid w:val="00EC68CA"/>
    <w:rsid w:val="00ED04DF"/>
    <w:rsid w:val="00ED0E1C"/>
    <w:rsid w:val="00ED3D6D"/>
    <w:rsid w:val="00ED4F85"/>
    <w:rsid w:val="00EE1136"/>
    <w:rsid w:val="00EE5863"/>
    <w:rsid w:val="00EE5F13"/>
    <w:rsid w:val="00EE67AF"/>
    <w:rsid w:val="00EE7777"/>
    <w:rsid w:val="00EF33E7"/>
    <w:rsid w:val="00F168CE"/>
    <w:rsid w:val="00F21260"/>
    <w:rsid w:val="00F237B0"/>
    <w:rsid w:val="00F24EEB"/>
    <w:rsid w:val="00F26AD8"/>
    <w:rsid w:val="00F30A7E"/>
    <w:rsid w:val="00F35CCC"/>
    <w:rsid w:val="00F371EE"/>
    <w:rsid w:val="00F407F9"/>
    <w:rsid w:val="00F40B47"/>
    <w:rsid w:val="00F4769A"/>
    <w:rsid w:val="00F67AFF"/>
    <w:rsid w:val="00F704ED"/>
    <w:rsid w:val="00F735D4"/>
    <w:rsid w:val="00F73624"/>
    <w:rsid w:val="00F77585"/>
    <w:rsid w:val="00F86B41"/>
    <w:rsid w:val="00F87574"/>
    <w:rsid w:val="00F87766"/>
    <w:rsid w:val="00F92755"/>
    <w:rsid w:val="00F92EA7"/>
    <w:rsid w:val="00F95311"/>
    <w:rsid w:val="00FA07C1"/>
    <w:rsid w:val="00FA3F3A"/>
    <w:rsid w:val="00FA59BD"/>
    <w:rsid w:val="00FB0328"/>
    <w:rsid w:val="00FB53E4"/>
    <w:rsid w:val="00FB5801"/>
    <w:rsid w:val="00FC275D"/>
    <w:rsid w:val="00FC3798"/>
    <w:rsid w:val="00FC504A"/>
    <w:rsid w:val="00FD0629"/>
    <w:rsid w:val="00FD0695"/>
    <w:rsid w:val="00FD120B"/>
    <w:rsid w:val="00FD187D"/>
    <w:rsid w:val="00FD31C1"/>
    <w:rsid w:val="00FD749B"/>
    <w:rsid w:val="00FE71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616A5C"/>
  <w15:chartTrackingRefBased/>
  <w15:docId w15:val="{2502637A-7CF7-4161-B3A0-05AC48C8A0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735D4"/>
    <w:pPr>
      <w:spacing w:after="0" w:line="240" w:lineRule="auto"/>
    </w:pPr>
    <w:rPr>
      <w:rFonts w:ascii="Times New Roman" w:eastAsia="Times New Roman" w:hAnsi="Times New Roman" w:cs="Times New Roman"/>
      <w:sz w:val="20"/>
      <w:szCs w:val="20"/>
      <w:lang w:eastAsia="en-GB"/>
    </w:rPr>
  </w:style>
  <w:style w:type="paragraph" w:styleId="Heading2">
    <w:name w:val="heading 2"/>
    <w:basedOn w:val="Normal"/>
    <w:next w:val="Normal"/>
    <w:link w:val="Heading2Char"/>
    <w:qFormat/>
    <w:rsid w:val="00F735D4"/>
    <w:pPr>
      <w:keepNext/>
      <w:jc w:val="both"/>
      <w:outlineLvl w:val="1"/>
    </w:pPr>
    <w:rPr>
      <w:b/>
      <w:sz w:val="24"/>
    </w:rPr>
  </w:style>
  <w:style w:type="paragraph" w:styleId="Heading4">
    <w:name w:val="heading 4"/>
    <w:basedOn w:val="Normal"/>
    <w:next w:val="Normal"/>
    <w:link w:val="Heading4Char"/>
    <w:qFormat/>
    <w:rsid w:val="00F735D4"/>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F735D4"/>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F735D4"/>
    <w:rPr>
      <w:rFonts w:ascii="Times New Roman" w:eastAsia="Times New Roman" w:hAnsi="Times New Roman" w:cs="Times New Roman"/>
      <w:sz w:val="40"/>
      <w:szCs w:val="20"/>
      <w:lang w:eastAsia="en-GB"/>
    </w:rPr>
  </w:style>
  <w:style w:type="paragraph" w:styleId="Header">
    <w:name w:val="header"/>
    <w:basedOn w:val="Normal"/>
    <w:link w:val="HeaderChar"/>
    <w:rsid w:val="00F735D4"/>
    <w:pPr>
      <w:tabs>
        <w:tab w:val="center" w:pos="4153"/>
        <w:tab w:val="right" w:pos="8306"/>
      </w:tabs>
    </w:pPr>
  </w:style>
  <w:style w:type="character" w:customStyle="1" w:styleId="HeaderChar">
    <w:name w:val="Header Char"/>
    <w:basedOn w:val="DefaultParagraphFont"/>
    <w:link w:val="Header"/>
    <w:rsid w:val="00F735D4"/>
    <w:rPr>
      <w:rFonts w:ascii="Times New Roman" w:eastAsia="Times New Roman" w:hAnsi="Times New Roman" w:cs="Times New Roman"/>
      <w:sz w:val="20"/>
      <w:szCs w:val="20"/>
      <w:lang w:eastAsia="en-GB"/>
    </w:rPr>
  </w:style>
  <w:style w:type="paragraph" w:styleId="ListParagraph">
    <w:name w:val="List Paragraph"/>
    <w:basedOn w:val="Normal"/>
    <w:uiPriority w:val="34"/>
    <w:qFormat/>
    <w:rsid w:val="00F735D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es.com/news/30-second-briefing-what-zone-proximal-development"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orbilu.uni.lu/bitstream/10993/7836/1/155%20OA%20Giving%20teaching%20back%20to%20education.pdf" TargetMode="External"/><Relationship Id="rId12" Type="http://schemas.openxmlformats.org/officeDocument/2006/relationships/image" Target="media/image2.emf"/><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1.png@01D0EA4A.2BD679A0" TargetMode="External"/><Relationship Id="rId11" Type="http://schemas.openxmlformats.org/officeDocument/2006/relationships/hyperlink" Target="http://learning.gov.wales/resources/learningpacks/reasoning-in-the-classroom/?lang=en" TargetMode="External"/><Relationship Id="rId5" Type="http://schemas.openxmlformats.org/officeDocument/2006/relationships/image" Target="media/image1.png"/><Relationship Id="rId10" Type="http://schemas.openxmlformats.org/officeDocument/2006/relationships/hyperlink" Target="https://www.innovativelearning.com/educational_psychology/development/zone-of-proximal-development.html" TargetMode="External"/><Relationship Id="rId4" Type="http://schemas.openxmlformats.org/officeDocument/2006/relationships/webSettings" Target="webSettings.xml"/><Relationship Id="rId9" Type="http://schemas.openxmlformats.org/officeDocument/2006/relationships/hyperlink" Target="https://www.edweek.org/ew/articles/2015/09/23/carol-dweck-revisits-the-growth-mindset.html"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3083</Words>
  <Characters>17575</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20617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Evans (Edu)</dc:creator>
  <cp:keywords/>
  <dc:description/>
  <cp:lastModifiedBy>shiboo2@btinternet.com</cp:lastModifiedBy>
  <cp:revision>2</cp:revision>
  <dcterms:created xsi:type="dcterms:W3CDTF">2018-11-26T19:06:00Z</dcterms:created>
  <dcterms:modified xsi:type="dcterms:W3CDTF">2018-11-26T19:06:00Z</dcterms:modified>
</cp:coreProperties>
</file>