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488A64" w14:textId="77777777" w:rsidR="00BF26BF" w:rsidRPr="00BF26BF" w:rsidRDefault="00BF26BF" w:rsidP="00BF26BF">
      <w:pPr>
        <w:spacing w:after="0" w:line="240" w:lineRule="auto"/>
        <w:jc w:val="center"/>
        <w:rPr>
          <w:rFonts w:ascii="Aptos" w:eastAsia="DengXian" w:hAnsi="Aptos" w:cs="Arial"/>
          <w:kern w:val="0"/>
          <w:sz w:val="22"/>
          <w:szCs w:val="22"/>
          <w:u w:val="single"/>
          <w:lang w:eastAsia="en-GB"/>
          <w14:ligatures w14:val="none"/>
        </w:rPr>
      </w:pPr>
      <w:r w:rsidRPr="00BF26BF">
        <w:rPr>
          <w:rFonts w:ascii="Aptos" w:eastAsia="DengXian" w:hAnsi="Aptos" w:cs="Arial"/>
          <w:kern w:val="0"/>
          <w:sz w:val="22"/>
          <w:szCs w:val="22"/>
          <w:u w:val="single"/>
          <w:lang w:eastAsia="en-GB"/>
          <w14:ligatures w14:val="none"/>
        </w:rPr>
        <w:t>Annotated Bibliography (Task 2)</w:t>
      </w:r>
    </w:p>
    <w:p w14:paraId="7DF204C0" w14:textId="77777777" w:rsidR="00BF26BF" w:rsidRPr="00BF26BF" w:rsidRDefault="00BF26BF" w:rsidP="00BF26BF">
      <w:pPr>
        <w:spacing w:after="0" w:line="240" w:lineRule="auto"/>
        <w:ind w:left="720"/>
        <w:rPr>
          <w:rFonts w:ascii="Aptos" w:eastAsia="DengXian" w:hAnsi="Aptos" w:cs="Arial"/>
          <w:kern w:val="0"/>
          <w:sz w:val="22"/>
          <w:szCs w:val="22"/>
          <w:lang w:eastAsia="en-GB"/>
          <w14:ligatures w14:val="none"/>
        </w:rPr>
      </w:pPr>
    </w:p>
    <w:p w14:paraId="48AD4591" w14:textId="77777777" w:rsidR="00BF26BF" w:rsidRPr="00BF26BF" w:rsidRDefault="00BF26BF" w:rsidP="00BF26BF">
      <w:pPr>
        <w:spacing w:after="0" w:line="240" w:lineRule="auto"/>
        <w:rPr>
          <w:rFonts w:ascii="Aptos" w:eastAsia="DengXian" w:hAnsi="Aptos" w:cs="Arial"/>
          <w:b/>
          <w:bCs/>
          <w:kern w:val="0"/>
          <w:sz w:val="22"/>
          <w:szCs w:val="22"/>
          <w:lang w:eastAsia="en-GB"/>
          <w14:ligatures w14:val="none"/>
        </w:rPr>
      </w:pPr>
      <w:r w:rsidRPr="00BF26BF">
        <w:rPr>
          <w:rFonts w:ascii="Aptos" w:eastAsia="DengXian" w:hAnsi="Aptos" w:cs="Arial"/>
          <w:b/>
          <w:bCs/>
          <w:kern w:val="0"/>
          <w:sz w:val="22"/>
          <w:szCs w:val="22"/>
          <w:lang w:eastAsia="en-GB"/>
          <w14:ligatures w14:val="none"/>
        </w:rPr>
        <w:t xml:space="preserve">UCL Bartlett School of Environment, Energy and Resources (2017) </w:t>
      </w:r>
      <w:r w:rsidRPr="00BF26BF">
        <w:rPr>
          <w:rFonts w:ascii="Aptos" w:eastAsia="DengXian" w:hAnsi="Aptos" w:cs="Arial"/>
          <w:b/>
          <w:bCs/>
          <w:i/>
          <w:iCs/>
          <w:kern w:val="0"/>
          <w:sz w:val="22"/>
          <w:szCs w:val="22"/>
          <w:lang w:eastAsia="en-GB"/>
          <w14:ligatures w14:val="none"/>
        </w:rPr>
        <w:t>Understanding Best Practice in Deploying External Solid Wall Insulation in the UK</w:t>
      </w:r>
      <w:r w:rsidRPr="00BF26BF">
        <w:rPr>
          <w:rFonts w:ascii="Aptos" w:eastAsia="DengXian" w:hAnsi="Aptos" w:cs="Arial"/>
          <w:b/>
          <w:bCs/>
          <w:kern w:val="0"/>
          <w:sz w:val="22"/>
          <w:szCs w:val="22"/>
          <w:lang w:eastAsia="en-GB"/>
          <w14:ligatures w14:val="none"/>
        </w:rPr>
        <w:t>. Department for Business, Energy &amp; Industrial Strategy. Available at: https://assets.publishing.service.gov.uk/media/5a82151840f0b6230269abd7/UCL-EWI-2017.pdf [Accessed 8 Dec. 2025].</w:t>
      </w:r>
    </w:p>
    <w:p w14:paraId="3A52A36B" w14:textId="77777777" w:rsidR="00BF26BF" w:rsidRPr="00BF26BF" w:rsidRDefault="00BF26BF" w:rsidP="00BF26BF">
      <w:pPr>
        <w:spacing w:after="0" w:line="240" w:lineRule="auto"/>
        <w:rPr>
          <w:rFonts w:ascii="Aptos" w:eastAsia="DengXian" w:hAnsi="Aptos" w:cs="Arial"/>
          <w:kern w:val="0"/>
          <w:sz w:val="22"/>
          <w:szCs w:val="22"/>
          <w:lang w:eastAsia="en-GB"/>
          <w14:ligatures w14:val="none"/>
        </w:rPr>
      </w:pPr>
      <w:r w:rsidRPr="00BF26BF">
        <w:rPr>
          <w:rFonts w:ascii="Aptos" w:eastAsia="DengXian" w:hAnsi="Aptos" w:cs="Arial"/>
          <w:kern w:val="0"/>
          <w:sz w:val="22"/>
          <w:szCs w:val="22"/>
          <w:lang w:eastAsia="en-GB"/>
          <w14:ligatures w14:val="none"/>
        </w:rPr>
        <w:t>This article reviews large-scale EWI retrofit schemes across UK towns and cities. It highlights lessons on cost-effectiveness, quality assurance, and community engagement. Useful for understanding barriers and enablers in scaling EWI for social housing.</w:t>
      </w:r>
    </w:p>
    <w:p w14:paraId="0F540E40" w14:textId="77777777" w:rsidR="00BF26BF" w:rsidRPr="00BF26BF" w:rsidRDefault="00BF26BF" w:rsidP="00BF26BF">
      <w:pPr>
        <w:spacing w:after="0" w:line="240" w:lineRule="auto"/>
        <w:rPr>
          <w:rFonts w:ascii="Aptos" w:eastAsia="DengXian" w:hAnsi="Aptos" w:cs="Arial"/>
          <w:kern w:val="0"/>
          <w:sz w:val="22"/>
          <w:szCs w:val="22"/>
          <w:lang w:eastAsia="en-GB"/>
          <w14:ligatures w14:val="none"/>
        </w:rPr>
      </w:pPr>
    </w:p>
    <w:p w14:paraId="26B36094" w14:textId="77777777" w:rsidR="00BF26BF" w:rsidRPr="00BF26BF" w:rsidRDefault="00BF26BF" w:rsidP="00BF26BF">
      <w:pPr>
        <w:spacing w:after="0" w:line="240" w:lineRule="auto"/>
        <w:rPr>
          <w:rFonts w:ascii="Aptos" w:eastAsia="DengXian" w:hAnsi="Aptos" w:cs="Arial"/>
          <w:b/>
          <w:bCs/>
          <w:kern w:val="0"/>
          <w:sz w:val="22"/>
          <w:szCs w:val="22"/>
          <w:lang w:eastAsia="en-GB"/>
          <w14:ligatures w14:val="none"/>
        </w:rPr>
      </w:pPr>
      <w:r w:rsidRPr="00BF26BF">
        <w:rPr>
          <w:rFonts w:ascii="Aptos" w:eastAsia="DengXian" w:hAnsi="Aptos" w:cs="Arial"/>
          <w:b/>
          <w:bCs/>
          <w:kern w:val="0"/>
          <w:sz w:val="22"/>
          <w:szCs w:val="22"/>
          <w:lang w:eastAsia="en-GB"/>
          <w14:ligatures w14:val="none"/>
        </w:rPr>
        <w:t xml:space="preserve">Insulated Render and Cladding Association (INCA) (2016) </w:t>
      </w:r>
      <w:r w:rsidRPr="00BF26BF">
        <w:rPr>
          <w:rFonts w:ascii="Aptos" w:eastAsia="DengXian" w:hAnsi="Aptos" w:cs="Arial"/>
          <w:b/>
          <w:bCs/>
          <w:i/>
          <w:iCs/>
          <w:kern w:val="0"/>
          <w:sz w:val="22"/>
          <w:szCs w:val="22"/>
          <w:lang w:eastAsia="en-GB"/>
          <w14:ligatures w14:val="none"/>
        </w:rPr>
        <w:t>Best Practice Guide: External Wall Insulation</w:t>
      </w:r>
      <w:r w:rsidRPr="00BF26BF">
        <w:rPr>
          <w:rFonts w:ascii="Aptos" w:eastAsia="DengXian" w:hAnsi="Aptos" w:cs="Arial"/>
          <w:b/>
          <w:bCs/>
          <w:kern w:val="0"/>
          <w:sz w:val="22"/>
          <w:szCs w:val="22"/>
          <w:lang w:eastAsia="en-GB"/>
          <w14:ligatures w14:val="none"/>
        </w:rPr>
        <w:t>. INCA Technical Committee. Available at: https://www.inca-ltd.org.uk/wp-content/uploads/2016/09/Best-Practice-Guide-Final.pdf [Accessed 8 Dec. 2025].</w:t>
      </w:r>
    </w:p>
    <w:p w14:paraId="4A8CD180" w14:textId="77777777" w:rsidR="00BF26BF" w:rsidRPr="00BF26BF" w:rsidRDefault="00BF26BF" w:rsidP="00BF26BF">
      <w:pPr>
        <w:spacing w:after="0" w:line="240" w:lineRule="auto"/>
        <w:rPr>
          <w:rFonts w:ascii="Aptos" w:eastAsia="DengXian" w:hAnsi="Aptos" w:cs="Arial"/>
          <w:kern w:val="0"/>
          <w:sz w:val="22"/>
          <w:szCs w:val="22"/>
          <w:lang w:eastAsia="en-GB"/>
          <w14:ligatures w14:val="none"/>
        </w:rPr>
      </w:pPr>
      <w:r w:rsidRPr="00BF26BF">
        <w:rPr>
          <w:rFonts w:ascii="Aptos" w:eastAsia="DengXian" w:hAnsi="Aptos" w:cs="Arial"/>
          <w:kern w:val="0"/>
          <w:sz w:val="22"/>
          <w:szCs w:val="22"/>
          <w:lang w:eastAsia="en-GB"/>
          <w14:ligatures w14:val="none"/>
        </w:rPr>
        <w:t>This is an Industry guide covering technical specifications, design considerations, and installation advice for EWI systems. Valuable for examining technical performance, durability, and PAS 2035 compliance.</w:t>
      </w:r>
    </w:p>
    <w:p w14:paraId="174DFD22" w14:textId="77777777" w:rsidR="00BF26BF" w:rsidRPr="00BF26BF" w:rsidRDefault="00BF26BF" w:rsidP="00BF26BF">
      <w:pPr>
        <w:spacing w:after="0" w:line="240" w:lineRule="auto"/>
        <w:rPr>
          <w:rFonts w:ascii="Aptos" w:eastAsia="DengXian" w:hAnsi="Aptos" w:cs="Arial"/>
          <w:b/>
          <w:bCs/>
          <w:kern w:val="0"/>
          <w:sz w:val="22"/>
          <w:szCs w:val="22"/>
          <w:lang w:eastAsia="en-GB"/>
          <w14:ligatures w14:val="none"/>
        </w:rPr>
      </w:pPr>
    </w:p>
    <w:p w14:paraId="25F4CED4" w14:textId="77777777" w:rsidR="00BF26BF" w:rsidRPr="00BF26BF" w:rsidRDefault="00BF26BF" w:rsidP="00BF26BF">
      <w:pPr>
        <w:spacing w:after="0" w:line="240" w:lineRule="auto"/>
        <w:rPr>
          <w:rFonts w:ascii="Aptos" w:eastAsia="DengXian" w:hAnsi="Aptos" w:cs="Arial"/>
          <w:b/>
          <w:bCs/>
          <w:kern w:val="0"/>
          <w:sz w:val="22"/>
          <w:szCs w:val="22"/>
          <w:lang w:eastAsia="en-GB"/>
          <w14:ligatures w14:val="none"/>
        </w:rPr>
      </w:pPr>
      <w:r w:rsidRPr="00BF26BF">
        <w:rPr>
          <w:rFonts w:ascii="Aptos" w:eastAsia="DengXian" w:hAnsi="Aptos" w:cs="Arial"/>
          <w:b/>
          <w:bCs/>
          <w:kern w:val="0"/>
          <w:sz w:val="22"/>
          <w:szCs w:val="22"/>
          <w:lang w:eastAsia="en-GB"/>
          <w14:ligatures w14:val="none"/>
        </w:rPr>
        <w:t xml:space="preserve">BRE Wales (2015) </w:t>
      </w:r>
      <w:r w:rsidRPr="00BF26BF">
        <w:rPr>
          <w:rFonts w:ascii="Aptos" w:eastAsia="DengXian" w:hAnsi="Aptos" w:cs="Arial"/>
          <w:b/>
          <w:bCs/>
          <w:i/>
          <w:iCs/>
          <w:kern w:val="0"/>
          <w:sz w:val="22"/>
          <w:szCs w:val="22"/>
          <w:lang w:eastAsia="en-GB"/>
          <w14:ligatures w14:val="none"/>
        </w:rPr>
        <w:t>Post Installation Performance of Cavity Wall &amp; External Wall Insulation</w:t>
      </w:r>
      <w:r w:rsidRPr="00BF26BF">
        <w:rPr>
          <w:rFonts w:ascii="Aptos" w:eastAsia="DengXian" w:hAnsi="Aptos" w:cs="Arial"/>
          <w:b/>
          <w:bCs/>
          <w:kern w:val="0"/>
          <w:sz w:val="22"/>
          <w:szCs w:val="22"/>
          <w:lang w:eastAsia="en-GB"/>
          <w14:ligatures w14:val="none"/>
        </w:rPr>
        <w:t>. Constructing Excellence in Wales. Available at: https://www.cewales.org.uk/files/2414/7505/5257/Post_Installation_Performance_05_FINAL_ENG.pdf [Accessed 8 Dec. 2025].</w:t>
      </w:r>
    </w:p>
    <w:p w14:paraId="3BAF6DD0" w14:textId="77777777" w:rsidR="00BF26BF" w:rsidRPr="00BF26BF" w:rsidRDefault="00BF26BF" w:rsidP="00BF26BF">
      <w:pPr>
        <w:spacing w:after="0" w:line="240" w:lineRule="auto"/>
        <w:rPr>
          <w:rFonts w:ascii="Aptos" w:eastAsia="DengXian" w:hAnsi="Aptos" w:cs="Arial"/>
          <w:kern w:val="0"/>
          <w:sz w:val="22"/>
          <w:szCs w:val="22"/>
          <w:lang w:eastAsia="en-GB"/>
          <w14:ligatures w14:val="none"/>
        </w:rPr>
      </w:pPr>
      <w:r w:rsidRPr="00BF26BF">
        <w:rPr>
          <w:rFonts w:ascii="Aptos" w:eastAsia="DengXian" w:hAnsi="Aptos" w:cs="Arial"/>
          <w:kern w:val="0"/>
          <w:sz w:val="22"/>
          <w:szCs w:val="22"/>
          <w:lang w:eastAsia="en-GB"/>
          <w14:ligatures w14:val="none"/>
        </w:rPr>
        <w:t>This article evaluates retrofit outcomes in Wales, focusing on carbon reduction, fuel poverty alleviation, and occupant wellbeing. Highlights moisture risks, workmanship quality, and monitoring challenges. Directly relevant to WHQS and Welsh retrofit policy</w:t>
      </w:r>
    </w:p>
    <w:p w14:paraId="54149363" w14:textId="77777777" w:rsidR="00BF26BF" w:rsidRPr="00BF26BF" w:rsidRDefault="00BF26BF" w:rsidP="00BF26BF">
      <w:pPr>
        <w:spacing w:after="0" w:line="240" w:lineRule="auto"/>
        <w:rPr>
          <w:rFonts w:ascii="Aptos" w:eastAsia="DengXian" w:hAnsi="Aptos" w:cs="Arial"/>
          <w:kern w:val="0"/>
          <w:sz w:val="22"/>
          <w:szCs w:val="22"/>
          <w:lang w:eastAsia="en-GB"/>
          <w14:ligatures w14:val="none"/>
        </w:rPr>
      </w:pPr>
    </w:p>
    <w:p w14:paraId="34671A1A" w14:textId="77777777" w:rsidR="00BF26BF" w:rsidRPr="00BF26BF" w:rsidRDefault="00BF26BF" w:rsidP="00BF26BF">
      <w:pPr>
        <w:spacing w:after="0" w:line="240" w:lineRule="auto"/>
        <w:rPr>
          <w:rFonts w:ascii="Aptos" w:eastAsia="DengXian" w:hAnsi="Aptos" w:cs="Arial"/>
          <w:b/>
          <w:bCs/>
          <w:kern w:val="0"/>
          <w:sz w:val="22"/>
          <w:szCs w:val="22"/>
          <w:lang w:eastAsia="en-GB"/>
          <w14:ligatures w14:val="none"/>
        </w:rPr>
      </w:pPr>
      <w:r w:rsidRPr="00BF26BF">
        <w:rPr>
          <w:rFonts w:ascii="Aptos" w:eastAsia="DengXian" w:hAnsi="Aptos" w:cs="Arial"/>
          <w:b/>
          <w:bCs/>
          <w:kern w:val="0"/>
          <w:sz w:val="22"/>
          <w:szCs w:val="22"/>
          <w:lang w:eastAsia="en-GB"/>
          <w14:ligatures w14:val="none"/>
        </w:rPr>
        <w:t xml:space="preserve">Historic England / NDM Heath Ltd. (2014) </w:t>
      </w:r>
      <w:r w:rsidRPr="00BF26BF">
        <w:rPr>
          <w:rFonts w:ascii="Aptos" w:eastAsia="DengXian" w:hAnsi="Aptos" w:cs="Arial"/>
          <w:b/>
          <w:bCs/>
          <w:i/>
          <w:iCs/>
          <w:kern w:val="0"/>
          <w:sz w:val="22"/>
          <w:szCs w:val="22"/>
          <w:lang w:eastAsia="en-GB"/>
          <w14:ligatures w14:val="none"/>
        </w:rPr>
        <w:t>External Wall Insulation in Traditional Buildings: Case studies of three large-scale projects in the North of England</w:t>
      </w:r>
      <w:r w:rsidRPr="00BF26BF">
        <w:rPr>
          <w:rFonts w:ascii="Aptos" w:eastAsia="DengXian" w:hAnsi="Aptos" w:cs="Arial"/>
          <w:b/>
          <w:bCs/>
          <w:kern w:val="0"/>
          <w:sz w:val="22"/>
          <w:szCs w:val="22"/>
          <w:lang w:eastAsia="en-GB"/>
          <w14:ligatures w14:val="none"/>
        </w:rPr>
        <w:t>. English Heritage Research Report. Available at: https://historicengland.org.uk/research/results/reports/6941/ExternalWallInsulationinTraditionalBuildings [Accessed 8 Dec. 2025].</w:t>
      </w:r>
    </w:p>
    <w:p w14:paraId="726128D1" w14:textId="77777777" w:rsidR="00BF26BF" w:rsidRPr="00BF26BF" w:rsidRDefault="00BF26BF" w:rsidP="00BF26BF">
      <w:pPr>
        <w:spacing w:after="0" w:line="240" w:lineRule="auto"/>
        <w:rPr>
          <w:rFonts w:ascii="Aptos" w:eastAsia="DengXian" w:hAnsi="Aptos" w:cs="Arial"/>
          <w:kern w:val="0"/>
          <w:sz w:val="22"/>
          <w:szCs w:val="22"/>
          <w:lang w:eastAsia="en-GB"/>
          <w14:ligatures w14:val="none"/>
        </w:rPr>
      </w:pPr>
      <w:r w:rsidRPr="00BF26BF">
        <w:rPr>
          <w:rFonts w:ascii="Aptos" w:eastAsia="DengXian" w:hAnsi="Aptos" w:cs="Arial"/>
          <w:kern w:val="0"/>
          <w:sz w:val="22"/>
          <w:szCs w:val="22"/>
          <w:lang w:eastAsia="en-GB"/>
          <w14:ligatures w14:val="none"/>
        </w:rPr>
        <w:t>This article examines three large-scale EWI projects in traditional housing stock across the North of England. Highlights technical detailing challenges, heritage conservation issues, and planning constraints. This source is particularly relevant for understanding aesthetic and regulatory barriers when applying EWI to older council housing with architectural significance.</w:t>
      </w:r>
    </w:p>
    <w:p w14:paraId="1467BDCF" w14:textId="77777777" w:rsidR="00BF26BF" w:rsidRPr="00BF26BF" w:rsidRDefault="00BF26BF" w:rsidP="00BF26BF">
      <w:pPr>
        <w:spacing w:after="0" w:line="240" w:lineRule="auto"/>
        <w:rPr>
          <w:rFonts w:ascii="Aptos" w:eastAsia="DengXian" w:hAnsi="Aptos" w:cs="Arial"/>
          <w:kern w:val="0"/>
          <w:sz w:val="22"/>
          <w:szCs w:val="22"/>
          <w:lang w:eastAsia="en-GB"/>
          <w14:ligatures w14:val="none"/>
        </w:rPr>
      </w:pPr>
    </w:p>
    <w:p w14:paraId="6AE9669E" w14:textId="77777777" w:rsidR="00BF26BF" w:rsidRPr="00BF26BF" w:rsidRDefault="00BF26BF" w:rsidP="00BF26BF">
      <w:pPr>
        <w:spacing w:after="0" w:line="240" w:lineRule="auto"/>
        <w:rPr>
          <w:rFonts w:ascii="Aptos" w:eastAsia="DengXian" w:hAnsi="Aptos" w:cs="Arial"/>
          <w:b/>
          <w:bCs/>
          <w:kern w:val="0"/>
          <w:sz w:val="22"/>
          <w:szCs w:val="22"/>
          <w:lang w:eastAsia="en-GB"/>
          <w14:ligatures w14:val="none"/>
        </w:rPr>
      </w:pPr>
      <w:r w:rsidRPr="00BF26BF">
        <w:rPr>
          <w:rFonts w:ascii="Aptos" w:eastAsia="DengXian" w:hAnsi="Aptos" w:cs="Arial"/>
          <w:b/>
          <w:bCs/>
          <w:kern w:val="0"/>
          <w:sz w:val="22"/>
          <w:szCs w:val="22"/>
          <w:lang w:eastAsia="en-GB"/>
          <w14:ligatures w14:val="none"/>
        </w:rPr>
        <w:t xml:space="preserve">Atkinson, J., Littlewood, J., Karani, G. &amp; </w:t>
      </w:r>
      <w:proofErr w:type="spellStart"/>
      <w:r w:rsidRPr="00BF26BF">
        <w:rPr>
          <w:rFonts w:ascii="Aptos" w:eastAsia="DengXian" w:hAnsi="Aptos" w:cs="Arial"/>
          <w:b/>
          <w:bCs/>
          <w:kern w:val="0"/>
          <w:sz w:val="22"/>
          <w:szCs w:val="22"/>
          <w:lang w:eastAsia="en-GB"/>
          <w14:ligatures w14:val="none"/>
        </w:rPr>
        <w:t>Geens</w:t>
      </w:r>
      <w:proofErr w:type="spellEnd"/>
      <w:r w:rsidRPr="00BF26BF">
        <w:rPr>
          <w:rFonts w:ascii="Aptos" w:eastAsia="DengXian" w:hAnsi="Aptos" w:cs="Arial"/>
          <w:b/>
          <w:bCs/>
          <w:kern w:val="0"/>
          <w:sz w:val="22"/>
          <w:szCs w:val="22"/>
          <w:lang w:eastAsia="en-GB"/>
          <w14:ligatures w14:val="none"/>
        </w:rPr>
        <w:t xml:space="preserve">, A. (2012) </w:t>
      </w:r>
      <w:r w:rsidRPr="00BF26BF">
        <w:rPr>
          <w:rFonts w:ascii="Aptos" w:eastAsia="DengXian" w:hAnsi="Aptos" w:cs="Arial"/>
          <w:b/>
          <w:bCs/>
          <w:i/>
          <w:iCs/>
          <w:kern w:val="0"/>
          <w:sz w:val="22"/>
          <w:szCs w:val="22"/>
          <w:lang w:eastAsia="en-GB"/>
          <w14:ligatures w14:val="none"/>
        </w:rPr>
        <w:t>Relieving fuel poverty in Wales with external wall insulation</w:t>
      </w:r>
      <w:r w:rsidRPr="00BF26BF">
        <w:rPr>
          <w:rFonts w:ascii="Aptos" w:eastAsia="DengXian" w:hAnsi="Aptos" w:cs="Arial"/>
          <w:b/>
          <w:bCs/>
          <w:kern w:val="0"/>
          <w:sz w:val="22"/>
          <w:szCs w:val="22"/>
          <w:lang w:eastAsia="en-GB"/>
          <w14:ligatures w14:val="none"/>
        </w:rPr>
        <w:t>. Cardiff Metropolitan University, Sustainable and Resilient Built Environment (</w:t>
      </w:r>
      <w:proofErr w:type="spellStart"/>
      <w:r w:rsidRPr="00BF26BF">
        <w:rPr>
          <w:rFonts w:ascii="Aptos" w:eastAsia="DengXian" w:hAnsi="Aptos" w:cs="Arial"/>
          <w:b/>
          <w:bCs/>
          <w:kern w:val="0"/>
          <w:sz w:val="22"/>
          <w:szCs w:val="22"/>
          <w:lang w:eastAsia="en-GB"/>
          <w14:ligatures w14:val="none"/>
        </w:rPr>
        <w:t>SuRBe</w:t>
      </w:r>
      <w:proofErr w:type="spellEnd"/>
      <w:r w:rsidRPr="00BF26BF">
        <w:rPr>
          <w:rFonts w:ascii="Aptos" w:eastAsia="DengXian" w:hAnsi="Aptos" w:cs="Arial"/>
          <w:b/>
          <w:bCs/>
          <w:kern w:val="0"/>
          <w:sz w:val="22"/>
          <w:szCs w:val="22"/>
          <w:lang w:eastAsia="en-GB"/>
          <w14:ligatures w14:val="none"/>
        </w:rPr>
        <w:t>) Research Group. Available at: https://pure.cardiffmet.ac.uk/en/publications/relieving-fuel-poverty-in-wales-with-external-wall-insulation [Accessed 8 Dec. 2025].</w:t>
      </w:r>
    </w:p>
    <w:p w14:paraId="1712B2FD" w14:textId="77777777" w:rsidR="00BF26BF" w:rsidRPr="00BF26BF" w:rsidRDefault="00BF26BF" w:rsidP="00BF26BF">
      <w:pPr>
        <w:spacing w:after="0" w:line="240" w:lineRule="auto"/>
        <w:rPr>
          <w:rFonts w:ascii="Aptos" w:eastAsia="DengXian" w:hAnsi="Aptos" w:cs="Arial"/>
          <w:kern w:val="0"/>
          <w:sz w:val="22"/>
          <w:szCs w:val="22"/>
          <w:lang w:eastAsia="en-GB"/>
          <w14:ligatures w14:val="none"/>
        </w:rPr>
      </w:pPr>
      <w:r w:rsidRPr="00BF26BF">
        <w:rPr>
          <w:rFonts w:ascii="Aptos" w:eastAsia="DengXian" w:hAnsi="Aptos" w:cs="Arial"/>
          <w:kern w:val="0"/>
          <w:sz w:val="22"/>
          <w:szCs w:val="22"/>
          <w:lang w:eastAsia="en-GB"/>
          <w14:ligatures w14:val="none"/>
        </w:rPr>
        <w:t xml:space="preserve">This article reports on five case studies in Swansea under the Welsh Government’s </w:t>
      </w:r>
      <w:proofErr w:type="spellStart"/>
      <w:r w:rsidRPr="00BF26BF">
        <w:rPr>
          <w:rFonts w:ascii="Aptos" w:eastAsia="DengXian" w:hAnsi="Aptos" w:cs="Arial"/>
          <w:i/>
          <w:iCs/>
          <w:kern w:val="0"/>
          <w:sz w:val="22"/>
          <w:szCs w:val="22"/>
          <w:lang w:eastAsia="en-GB"/>
          <w14:ligatures w14:val="none"/>
        </w:rPr>
        <w:t>Arbed</w:t>
      </w:r>
      <w:proofErr w:type="spellEnd"/>
      <w:r w:rsidRPr="00BF26BF">
        <w:rPr>
          <w:rFonts w:ascii="Aptos" w:eastAsia="DengXian" w:hAnsi="Aptos" w:cs="Arial"/>
          <w:kern w:val="0"/>
          <w:sz w:val="22"/>
          <w:szCs w:val="22"/>
          <w:lang w:eastAsia="en-GB"/>
          <w14:ligatures w14:val="none"/>
        </w:rPr>
        <w:t xml:space="preserve"> scheme (2010–2012). Demonstrates how EWI reduced heating demand, improved indoor comfort, and alleviated fuel poverty. Offers strong evidence of social benefits and occupant wellbeing improvements, directly aligning with your research question.</w:t>
      </w:r>
    </w:p>
    <w:p w14:paraId="080C08A3" w14:textId="77777777" w:rsidR="00BF26BF" w:rsidRDefault="00BF26BF"/>
    <w:sectPr w:rsidR="00BF26B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26BF"/>
    <w:rsid w:val="001851A7"/>
    <w:rsid w:val="00BF26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067E79"/>
  <w15:chartTrackingRefBased/>
  <w15:docId w15:val="{C4221048-2F8A-4B3F-8D1D-4310442E55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26B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F26B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F26B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F26B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F26B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F26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26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26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26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26B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F26B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F26B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F26B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F26B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F26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F26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F26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F26BF"/>
    <w:rPr>
      <w:rFonts w:eastAsiaTheme="majorEastAsia" w:cstheme="majorBidi"/>
      <w:color w:val="272727" w:themeColor="text1" w:themeTint="D8"/>
    </w:rPr>
  </w:style>
  <w:style w:type="paragraph" w:styleId="Title">
    <w:name w:val="Title"/>
    <w:basedOn w:val="Normal"/>
    <w:next w:val="Normal"/>
    <w:link w:val="TitleChar"/>
    <w:uiPriority w:val="10"/>
    <w:qFormat/>
    <w:rsid w:val="00BF26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26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26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26B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26BF"/>
    <w:pPr>
      <w:spacing w:before="160"/>
      <w:jc w:val="center"/>
    </w:pPr>
    <w:rPr>
      <w:i/>
      <w:iCs/>
      <w:color w:val="404040" w:themeColor="text1" w:themeTint="BF"/>
    </w:rPr>
  </w:style>
  <w:style w:type="character" w:customStyle="1" w:styleId="QuoteChar">
    <w:name w:val="Quote Char"/>
    <w:basedOn w:val="DefaultParagraphFont"/>
    <w:link w:val="Quote"/>
    <w:uiPriority w:val="29"/>
    <w:rsid w:val="00BF26BF"/>
    <w:rPr>
      <w:i/>
      <w:iCs/>
      <w:color w:val="404040" w:themeColor="text1" w:themeTint="BF"/>
    </w:rPr>
  </w:style>
  <w:style w:type="paragraph" w:styleId="ListParagraph">
    <w:name w:val="List Paragraph"/>
    <w:basedOn w:val="Normal"/>
    <w:uiPriority w:val="34"/>
    <w:qFormat/>
    <w:rsid w:val="00BF26BF"/>
    <w:pPr>
      <w:ind w:left="720"/>
      <w:contextualSpacing/>
    </w:pPr>
  </w:style>
  <w:style w:type="character" w:styleId="IntenseEmphasis">
    <w:name w:val="Intense Emphasis"/>
    <w:basedOn w:val="DefaultParagraphFont"/>
    <w:uiPriority w:val="21"/>
    <w:qFormat/>
    <w:rsid w:val="00BF26BF"/>
    <w:rPr>
      <w:i/>
      <w:iCs/>
      <w:color w:val="2F5496" w:themeColor="accent1" w:themeShade="BF"/>
    </w:rPr>
  </w:style>
  <w:style w:type="paragraph" w:styleId="IntenseQuote">
    <w:name w:val="Intense Quote"/>
    <w:basedOn w:val="Normal"/>
    <w:next w:val="Normal"/>
    <w:link w:val="IntenseQuoteChar"/>
    <w:uiPriority w:val="30"/>
    <w:qFormat/>
    <w:rsid w:val="00BF26B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F26BF"/>
    <w:rPr>
      <w:i/>
      <w:iCs/>
      <w:color w:val="2F5496" w:themeColor="accent1" w:themeShade="BF"/>
    </w:rPr>
  </w:style>
  <w:style w:type="character" w:styleId="IntenseReference">
    <w:name w:val="Intense Reference"/>
    <w:basedOn w:val="DefaultParagraphFont"/>
    <w:uiPriority w:val="32"/>
    <w:qFormat/>
    <w:rsid w:val="00BF26BF"/>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449</Words>
  <Characters>2563</Characters>
  <Application>Microsoft Office Word</Application>
  <DocSecurity>0</DocSecurity>
  <Lines>21</Lines>
  <Paragraphs>6</Paragraphs>
  <ScaleCrop>false</ScaleCrop>
  <Company/>
  <LinksUpToDate>false</LinksUpToDate>
  <CharactersWithSpaces>3006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Preston</dc:creator>
  <cp:keywords/>
  <dc:description/>
  <cp:lastModifiedBy>Mark Preston</cp:lastModifiedBy>
  <cp:revision>1</cp:revision>
  <dcterms:created xsi:type="dcterms:W3CDTF">2025-12-08T23:06:00Z</dcterms:created>
  <dcterms:modified xsi:type="dcterms:W3CDTF">2025-12-08T23:08:00Z</dcterms:modified>
</cp:coreProperties>
</file>