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703A1" w14:textId="75A3CBF8" w:rsidR="005F3993" w:rsidRDefault="005F3993" w:rsidP="005F3993">
      <w:pPr>
        <w:spacing w:line="360" w:lineRule="auto"/>
        <w:ind w:firstLine="720"/>
        <w:jc w:val="center"/>
        <w:rPr>
          <w:rFonts w:ascii="Arial" w:hAnsi="Arial" w:cs="Arial"/>
          <w:b/>
          <w:bCs/>
          <w:i/>
          <w:iCs/>
          <w:sz w:val="48"/>
          <w:szCs w:val="48"/>
          <w:u w:val="single"/>
        </w:rPr>
      </w:pPr>
    </w:p>
    <w:p w14:paraId="27D4E7E0" w14:textId="2DD03CBD" w:rsidR="005F3993" w:rsidRDefault="005F3993" w:rsidP="005F3993">
      <w:pPr>
        <w:spacing w:line="360" w:lineRule="auto"/>
        <w:ind w:firstLine="720"/>
        <w:jc w:val="center"/>
        <w:rPr>
          <w:rFonts w:ascii="Arial" w:hAnsi="Arial" w:cs="Arial"/>
          <w:b/>
          <w:bCs/>
          <w:i/>
          <w:iCs/>
          <w:sz w:val="48"/>
          <w:szCs w:val="48"/>
          <w:u w:val="single"/>
        </w:rPr>
      </w:pPr>
    </w:p>
    <w:p w14:paraId="28B6F9A0" w14:textId="0E93363C" w:rsidR="005F3993" w:rsidRDefault="005F3993" w:rsidP="005F3993">
      <w:pPr>
        <w:spacing w:line="360" w:lineRule="auto"/>
        <w:ind w:firstLine="720"/>
        <w:jc w:val="center"/>
        <w:rPr>
          <w:rFonts w:ascii="Arial" w:hAnsi="Arial" w:cs="Arial"/>
          <w:b/>
          <w:bCs/>
          <w:i/>
          <w:iCs/>
          <w:sz w:val="48"/>
          <w:szCs w:val="48"/>
          <w:u w:val="single"/>
        </w:rPr>
      </w:pPr>
    </w:p>
    <w:p w14:paraId="2F1D4DBC" w14:textId="77777777" w:rsidR="005F3993" w:rsidRPr="005F3993" w:rsidRDefault="005F3993" w:rsidP="005F3993">
      <w:pPr>
        <w:spacing w:line="360" w:lineRule="auto"/>
        <w:ind w:firstLine="720"/>
        <w:jc w:val="center"/>
        <w:rPr>
          <w:rFonts w:ascii="Arial" w:hAnsi="Arial" w:cs="Arial"/>
          <w:b/>
          <w:bCs/>
          <w:i/>
          <w:iCs/>
          <w:sz w:val="48"/>
          <w:szCs w:val="48"/>
          <w:u w:val="single"/>
        </w:rPr>
      </w:pPr>
    </w:p>
    <w:p w14:paraId="25374E1F" w14:textId="77777777" w:rsidR="005F3993" w:rsidRPr="005F3993" w:rsidRDefault="005F3993" w:rsidP="005F3993">
      <w:pPr>
        <w:spacing w:line="360" w:lineRule="auto"/>
        <w:ind w:firstLine="720"/>
        <w:jc w:val="center"/>
        <w:rPr>
          <w:rFonts w:ascii="Arial" w:hAnsi="Arial" w:cs="Arial"/>
          <w:b/>
          <w:bCs/>
          <w:sz w:val="48"/>
          <w:szCs w:val="48"/>
        </w:rPr>
      </w:pPr>
      <w:r w:rsidRPr="005F3993">
        <w:rPr>
          <w:rFonts w:ascii="Arial" w:hAnsi="Arial" w:cs="Arial"/>
          <w:b/>
          <w:bCs/>
          <w:sz w:val="48"/>
          <w:szCs w:val="48"/>
        </w:rPr>
        <w:t>Criminal Law (BMLW4005)</w:t>
      </w:r>
    </w:p>
    <w:p w14:paraId="325BF3C0" w14:textId="55BCB8A1" w:rsidR="005F3993" w:rsidRPr="005F3993" w:rsidRDefault="005F3993" w:rsidP="005F3993">
      <w:pPr>
        <w:spacing w:line="360" w:lineRule="auto"/>
        <w:ind w:firstLine="720"/>
        <w:jc w:val="center"/>
        <w:rPr>
          <w:rFonts w:ascii="Arial" w:hAnsi="Arial" w:cs="Arial"/>
          <w:b/>
          <w:bCs/>
          <w:sz w:val="48"/>
          <w:szCs w:val="48"/>
        </w:rPr>
      </w:pPr>
      <w:r w:rsidRPr="005F3993">
        <w:rPr>
          <w:rFonts w:ascii="Arial" w:hAnsi="Arial" w:cs="Arial"/>
          <w:b/>
          <w:bCs/>
          <w:sz w:val="48"/>
          <w:szCs w:val="48"/>
        </w:rPr>
        <w:t>ASSIGNMENT 2</w:t>
      </w:r>
    </w:p>
    <w:p w14:paraId="1EAEE22E" w14:textId="3627B45C" w:rsidR="005F3993" w:rsidRDefault="005F3993" w:rsidP="00BA6378">
      <w:pPr>
        <w:spacing w:line="360" w:lineRule="auto"/>
        <w:ind w:firstLine="720"/>
        <w:jc w:val="both"/>
        <w:rPr>
          <w:rFonts w:ascii="Arial" w:hAnsi="Arial" w:cs="Arial"/>
          <w:sz w:val="24"/>
          <w:szCs w:val="24"/>
        </w:rPr>
      </w:pPr>
    </w:p>
    <w:p w14:paraId="2C3F095C" w14:textId="77777777" w:rsidR="005F3993" w:rsidRPr="005F3993" w:rsidRDefault="005F3993" w:rsidP="00BA6378">
      <w:pPr>
        <w:spacing w:line="360" w:lineRule="auto"/>
        <w:ind w:firstLine="720"/>
        <w:jc w:val="both"/>
        <w:rPr>
          <w:rFonts w:ascii="Arial" w:hAnsi="Arial" w:cs="Arial"/>
          <w:sz w:val="24"/>
          <w:szCs w:val="24"/>
        </w:rPr>
      </w:pPr>
    </w:p>
    <w:p w14:paraId="5D4A64FF" w14:textId="77777777" w:rsidR="005F3993" w:rsidRDefault="005F3993" w:rsidP="00BA6378">
      <w:pPr>
        <w:spacing w:line="360" w:lineRule="auto"/>
        <w:ind w:firstLine="720"/>
        <w:jc w:val="both"/>
        <w:rPr>
          <w:rFonts w:ascii="Arial" w:hAnsi="Arial" w:cs="Arial"/>
          <w:b/>
          <w:bCs/>
          <w:i/>
          <w:iCs/>
          <w:sz w:val="24"/>
          <w:szCs w:val="24"/>
          <w:u w:val="single"/>
        </w:rPr>
      </w:pPr>
    </w:p>
    <w:p w14:paraId="59E65B5E" w14:textId="77777777" w:rsidR="005F3993" w:rsidRDefault="005F3993" w:rsidP="00BA6378">
      <w:pPr>
        <w:spacing w:line="360" w:lineRule="auto"/>
        <w:ind w:firstLine="720"/>
        <w:jc w:val="both"/>
        <w:rPr>
          <w:rFonts w:ascii="Arial" w:hAnsi="Arial" w:cs="Arial"/>
          <w:b/>
          <w:bCs/>
          <w:i/>
          <w:iCs/>
          <w:sz w:val="24"/>
          <w:szCs w:val="24"/>
          <w:u w:val="single"/>
        </w:rPr>
      </w:pPr>
    </w:p>
    <w:p w14:paraId="027E9F2F" w14:textId="77777777" w:rsidR="005F3993" w:rsidRDefault="005F3993" w:rsidP="00BA6378">
      <w:pPr>
        <w:spacing w:line="360" w:lineRule="auto"/>
        <w:ind w:firstLine="720"/>
        <w:jc w:val="both"/>
        <w:rPr>
          <w:rFonts w:ascii="Arial" w:hAnsi="Arial" w:cs="Arial"/>
          <w:b/>
          <w:bCs/>
          <w:i/>
          <w:iCs/>
          <w:sz w:val="24"/>
          <w:szCs w:val="24"/>
          <w:u w:val="single"/>
        </w:rPr>
      </w:pPr>
    </w:p>
    <w:p w14:paraId="73B1347A" w14:textId="77777777" w:rsidR="005F3993" w:rsidRDefault="005F3993" w:rsidP="00BA6378">
      <w:pPr>
        <w:spacing w:line="360" w:lineRule="auto"/>
        <w:ind w:firstLine="720"/>
        <w:jc w:val="both"/>
        <w:rPr>
          <w:rFonts w:ascii="Arial" w:hAnsi="Arial" w:cs="Arial"/>
          <w:b/>
          <w:bCs/>
          <w:i/>
          <w:iCs/>
          <w:sz w:val="24"/>
          <w:szCs w:val="24"/>
          <w:u w:val="single"/>
        </w:rPr>
      </w:pPr>
    </w:p>
    <w:p w14:paraId="0EA2CEA4" w14:textId="77777777" w:rsidR="005F3993" w:rsidRDefault="005F3993" w:rsidP="00BA6378">
      <w:pPr>
        <w:spacing w:line="360" w:lineRule="auto"/>
        <w:ind w:firstLine="720"/>
        <w:jc w:val="both"/>
        <w:rPr>
          <w:rFonts w:ascii="Arial" w:hAnsi="Arial" w:cs="Arial"/>
          <w:b/>
          <w:bCs/>
          <w:i/>
          <w:iCs/>
          <w:sz w:val="24"/>
          <w:szCs w:val="24"/>
          <w:u w:val="single"/>
        </w:rPr>
      </w:pPr>
    </w:p>
    <w:p w14:paraId="632CE6D3" w14:textId="77777777" w:rsidR="005F3993" w:rsidRDefault="005F3993" w:rsidP="00BA6378">
      <w:pPr>
        <w:spacing w:line="360" w:lineRule="auto"/>
        <w:ind w:firstLine="720"/>
        <w:jc w:val="both"/>
        <w:rPr>
          <w:rFonts w:ascii="Arial" w:hAnsi="Arial" w:cs="Arial"/>
          <w:b/>
          <w:bCs/>
          <w:i/>
          <w:iCs/>
          <w:sz w:val="24"/>
          <w:szCs w:val="24"/>
          <w:u w:val="single"/>
        </w:rPr>
      </w:pPr>
    </w:p>
    <w:p w14:paraId="33901127" w14:textId="77777777" w:rsidR="005F3993" w:rsidRDefault="005F3993" w:rsidP="00BA6378">
      <w:pPr>
        <w:spacing w:line="360" w:lineRule="auto"/>
        <w:ind w:firstLine="720"/>
        <w:jc w:val="both"/>
        <w:rPr>
          <w:rFonts w:ascii="Arial" w:hAnsi="Arial" w:cs="Arial"/>
          <w:b/>
          <w:bCs/>
          <w:i/>
          <w:iCs/>
          <w:sz w:val="24"/>
          <w:szCs w:val="24"/>
          <w:u w:val="single"/>
        </w:rPr>
      </w:pPr>
    </w:p>
    <w:p w14:paraId="10288A6D" w14:textId="123BEF1B" w:rsidR="005F3993" w:rsidRDefault="005F3993" w:rsidP="00BA6378">
      <w:pPr>
        <w:spacing w:line="360" w:lineRule="auto"/>
        <w:ind w:firstLine="720"/>
        <w:jc w:val="both"/>
        <w:rPr>
          <w:rFonts w:ascii="Arial" w:hAnsi="Arial" w:cs="Arial"/>
          <w:b/>
          <w:bCs/>
          <w:i/>
          <w:iCs/>
          <w:sz w:val="24"/>
          <w:szCs w:val="24"/>
          <w:u w:val="single"/>
        </w:rPr>
      </w:pPr>
    </w:p>
    <w:p w14:paraId="20508F11" w14:textId="77777777" w:rsidR="005F3993" w:rsidRDefault="005F3993" w:rsidP="00BA6378">
      <w:pPr>
        <w:spacing w:line="360" w:lineRule="auto"/>
        <w:ind w:firstLine="720"/>
        <w:jc w:val="both"/>
        <w:rPr>
          <w:rFonts w:ascii="Arial" w:hAnsi="Arial" w:cs="Arial"/>
          <w:b/>
          <w:bCs/>
          <w:i/>
          <w:iCs/>
          <w:sz w:val="24"/>
          <w:szCs w:val="24"/>
          <w:u w:val="single"/>
        </w:rPr>
      </w:pPr>
    </w:p>
    <w:p w14:paraId="6923EEC1" w14:textId="77777777" w:rsidR="005F3993" w:rsidRDefault="005F3993" w:rsidP="00BA6378">
      <w:pPr>
        <w:spacing w:line="360" w:lineRule="auto"/>
        <w:ind w:firstLine="720"/>
        <w:jc w:val="both"/>
        <w:rPr>
          <w:rFonts w:ascii="Arial" w:hAnsi="Arial" w:cs="Arial"/>
          <w:b/>
          <w:bCs/>
          <w:i/>
          <w:iCs/>
          <w:sz w:val="24"/>
          <w:szCs w:val="24"/>
          <w:u w:val="single"/>
        </w:rPr>
      </w:pPr>
    </w:p>
    <w:p w14:paraId="381210B9" w14:textId="619340A5" w:rsidR="00BA6378" w:rsidRPr="00BA6378" w:rsidRDefault="00BA6378" w:rsidP="00BA6378">
      <w:pPr>
        <w:spacing w:line="360" w:lineRule="auto"/>
        <w:ind w:firstLine="720"/>
        <w:jc w:val="both"/>
        <w:rPr>
          <w:rFonts w:ascii="Arial" w:hAnsi="Arial" w:cs="Arial"/>
          <w:b/>
          <w:bCs/>
          <w:i/>
          <w:iCs/>
          <w:sz w:val="24"/>
          <w:szCs w:val="24"/>
          <w:u w:val="single"/>
        </w:rPr>
      </w:pPr>
      <w:r w:rsidRPr="00BA6378">
        <w:rPr>
          <w:rFonts w:ascii="Arial" w:hAnsi="Arial" w:cs="Arial"/>
          <w:b/>
          <w:bCs/>
          <w:i/>
          <w:iCs/>
          <w:sz w:val="24"/>
          <w:szCs w:val="24"/>
          <w:u w:val="single"/>
        </w:rPr>
        <w:lastRenderedPageBreak/>
        <w:t>TASK 1</w:t>
      </w:r>
    </w:p>
    <w:p w14:paraId="093434F0" w14:textId="20249FC5" w:rsidR="00754C78" w:rsidRPr="00BA6378" w:rsidRDefault="00754C78" w:rsidP="00BA6378">
      <w:pPr>
        <w:spacing w:line="360" w:lineRule="auto"/>
        <w:ind w:firstLine="720"/>
        <w:jc w:val="both"/>
        <w:rPr>
          <w:rFonts w:ascii="Arial" w:hAnsi="Arial" w:cs="Arial"/>
          <w:sz w:val="24"/>
          <w:szCs w:val="24"/>
        </w:rPr>
      </w:pPr>
      <w:r w:rsidRPr="00BA6378">
        <w:rPr>
          <w:rFonts w:ascii="Arial" w:hAnsi="Arial" w:cs="Arial"/>
          <w:sz w:val="24"/>
          <w:szCs w:val="24"/>
        </w:rPr>
        <w:t>In the first task, I</w:t>
      </w:r>
      <w:r w:rsidRPr="00BA6378">
        <w:rPr>
          <w:rFonts w:ascii="Arial" w:hAnsi="Arial" w:cs="Arial"/>
          <w:sz w:val="24"/>
          <w:szCs w:val="24"/>
        </w:rPr>
        <w:t xml:space="preserve"> will</w:t>
      </w:r>
      <w:r w:rsidRPr="00BA6378">
        <w:rPr>
          <w:rFonts w:ascii="Arial" w:hAnsi="Arial" w:cs="Arial"/>
          <w:sz w:val="24"/>
          <w:szCs w:val="24"/>
        </w:rPr>
        <w:t xml:space="preserve"> discuss Hadley's criminal responsibility and applicable offences.</w:t>
      </w:r>
    </w:p>
    <w:p w14:paraId="214151E2" w14:textId="57CA5BE5" w:rsidR="009773EE" w:rsidRPr="00BA6378" w:rsidRDefault="00BE437A" w:rsidP="00BA6378">
      <w:pPr>
        <w:spacing w:line="360" w:lineRule="auto"/>
        <w:ind w:firstLine="720"/>
        <w:jc w:val="both"/>
        <w:rPr>
          <w:rFonts w:ascii="Arial" w:hAnsi="Arial" w:cs="Arial"/>
          <w:sz w:val="24"/>
          <w:szCs w:val="24"/>
        </w:rPr>
      </w:pPr>
      <w:r w:rsidRPr="00BA6378">
        <w:rPr>
          <w:rFonts w:ascii="Arial" w:hAnsi="Arial" w:cs="Arial"/>
          <w:sz w:val="24"/>
          <w:szCs w:val="24"/>
        </w:rPr>
        <w:t xml:space="preserve">The </w:t>
      </w:r>
      <w:r w:rsidR="00B706AA" w:rsidRPr="00BA6378">
        <w:rPr>
          <w:rFonts w:ascii="Arial" w:hAnsi="Arial" w:cs="Arial"/>
          <w:sz w:val="24"/>
          <w:szCs w:val="24"/>
        </w:rPr>
        <w:t>first</w:t>
      </w:r>
      <w:r w:rsidR="00FF13F6" w:rsidRPr="00BA6378">
        <w:rPr>
          <w:rFonts w:ascii="Arial" w:hAnsi="Arial" w:cs="Arial"/>
          <w:sz w:val="24"/>
          <w:szCs w:val="24"/>
        </w:rPr>
        <w:t xml:space="preserve"> offence which relates to </w:t>
      </w:r>
      <w:r w:rsidR="00052364" w:rsidRPr="00BA6378">
        <w:rPr>
          <w:rFonts w:ascii="Arial" w:hAnsi="Arial" w:cs="Arial"/>
          <w:sz w:val="24"/>
          <w:szCs w:val="24"/>
        </w:rPr>
        <w:t>Hadley</w:t>
      </w:r>
      <w:r w:rsidR="00FF13F6" w:rsidRPr="00BA6378">
        <w:rPr>
          <w:rFonts w:ascii="Arial" w:hAnsi="Arial" w:cs="Arial"/>
          <w:sz w:val="24"/>
          <w:szCs w:val="24"/>
        </w:rPr>
        <w:t xml:space="preserve">’s case is </w:t>
      </w:r>
      <w:r w:rsidR="006077AE" w:rsidRPr="00BA6378">
        <w:rPr>
          <w:rFonts w:ascii="Arial" w:hAnsi="Arial" w:cs="Arial"/>
          <w:sz w:val="24"/>
          <w:szCs w:val="24"/>
        </w:rPr>
        <w:t>Burglary</w:t>
      </w:r>
      <w:r w:rsidR="00FF13F6" w:rsidRPr="00BA6378">
        <w:rPr>
          <w:rFonts w:ascii="Arial" w:hAnsi="Arial" w:cs="Arial"/>
          <w:sz w:val="24"/>
          <w:szCs w:val="24"/>
        </w:rPr>
        <w:t xml:space="preserve"> </w:t>
      </w:r>
      <w:r w:rsidR="006077AE" w:rsidRPr="00BA6378">
        <w:rPr>
          <w:rFonts w:ascii="Arial" w:hAnsi="Arial" w:cs="Arial"/>
          <w:sz w:val="24"/>
          <w:szCs w:val="24"/>
        </w:rPr>
        <w:t>u</w:t>
      </w:r>
      <w:r w:rsidR="00FF13F6" w:rsidRPr="00BA6378">
        <w:rPr>
          <w:rFonts w:ascii="Arial" w:hAnsi="Arial" w:cs="Arial"/>
          <w:sz w:val="24"/>
          <w:szCs w:val="24"/>
        </w:rPr>
        <w:t>nder Section</w:t>
      </w:r>
      <w:r w:rsidR="006077AE" w:rsidRPr="00BA6378">
        <w:rPr>
          <w:rFonts w:ascii="Arial" w:hAnsi="Arial" w:cs="Arial"/>
          <w:sz w:val="24"/>
          <w:szCs w:val="24"/>
        </w:rPr>
        <w:t xml:space="preserve"> 9 of the Theft Act 1968</w:t>
      </w:r>
      <w:r w:rsidR="00B706AA" w:rsidRPr="00BA6378">
        <w:rPr>
          <w:rFonts w:ascii="Arial" w:hAnsi="Arial" w:cs="Arial"/>
          <w:sz w:val="24"/>
          <w:szCs w:val="24"/>
        </w:rPr>
        <w:t xml:space="preserve">. </w:t>
      </w:r>
      <w:r w:rsidR="00B706AA" w:rsidRPr="00BA6378">
        <w:rPr>
          <w:rFonts w:ascii="Arial" w:hAnsi="Arial" w:cs="Arial"/>
          <w:sz w:val="24"/>
          <w:szCs w:val="24"/>
        </w:rPr>
        <w:t>The</w:t>
      </w:r>
      <w:r w:rsidR="00B706AA" w:rsidRPr="00BA6378">
        <w:rPr>
          <w:rFonts w:ascii="Arial" w:hAnsi="Arial" w:cs="Arial"/>
          <w:sz w:val="24"/>
          <w:szCs w:val="24"/>
        </w:rPr>
        <w:t>re are</w:t>
      </w:r>
      <w:r w:rsidR="00B706AA" w:rsidRPr="00BA6378">
        <w:rPr>
          <w:rFonts w:ascii="Arial" w:hAnsi="Arial" w:cs="Arial"/>
          <w:sz w:val="24"/>
          <w:szCs w:val="24"/>
        </w:rPr>
        <w:t xml:space="preserve"> two primary types of burglary</w:t>
      </w:r>
      <w:r w:rsidR="00B706AA" w:rsidRPr="00BA6378">
        <w:rPr>
          <w:rFonts w:ascii="Arial" w:hAnsi="Arial" w:cs="Arial"/>
          <w:sz w:val="24"/>
          <w:szCs w:val="24"/>
        </w:rPr>
        <w:t xml:space="preserve"> which are defined under</w:t>
      </w:r>
      <w:r w:rsidR="00B706AA" w:rsidRPr="00BA6378">
        <w:rPr>
          <w:rFonts w:ascii="Arial" w:hAnsi="Arial" w:cs="Arial"/>
          <w:sz w:val="24"/>
          <w:szCs w:val="24"/>
        </w:rPr>
        <w:t xml:space="preserve">  Section 9(1)(a) </w:t>
      </w:r>
      <w:r w:rsidR="00B706AA" w:rsidRPr="00BA6378">
        <w:rPr>
          <w:rFonts w:ascii="Arial" w:hAnsi="Arial" w:cs="Arial"/>
          <w:sz w:val="24"/>
          <w:szCs w:val="24"/>
        </w:rPr>
        <w:t>“</w:t>
      </w:r>
      <w:r w:rsidR="00B706AA" w:rsidRPr="00BA6378">
        <w:rPr>
          <w:rFonts w:ascii="Arial" w:hAnsi="Arial" w:cs="Arial"/>
          <w:sz w:val="24"/>
          <w:szCs w:val="24"/>
        </w:rPr>
        <w:t>entering a building or part of a building as a trespasser with an intent to commit one of the following in the building</w:t>
      </w:r>
      <w:r w:rsidR="00B706AA" w:rsidRPr="00BA6378">
        <w:rPr>
          <w:rFonts w:ascii="Arial" w:hAnsi="Arial" w:cs="Arial"/>
          <w:sz w:val="24"/>
          <w:szCs w:val="24"/>
        </w:rPr>
        <w:t xml:space="preserve"> </w:t>
      </w:r>
      <w:r w:rsidR="00B706AA" w:rsidRPr="00BA6378">
        <w:rPr>
          <w:rFonts w:ascii="Arial" w:hAnsi="Arial" w:cs="Arial"/>
          <w:sz w:val="24"/>
          <w:szCs w:val="24"/>
        </w:rPr>
        <w:t>theft</w:t>
      </w:r>
      <w:r w:rsidR="00B706AA" w:rsidRPr="00BA6378">
        <w:rPr>
          <w:rFonts w:ascii="Arial" w:hAnsi="Arial" w:cs="Arial"/>
          <w:sz w:val="24"/>
          <w:szCs w:val="24"/>
        </w:rPr>
        <w:t xml:space="preserve">, </w:t>
      </w:r>
      <w:r w:rsidR="00B706AA" w:rsidRPr="00BA6378">
        <w:rPr>
          <w:rFonts w:ascii="Arial" w:hAnsi="Arial" w:cs="Arial"/>
          <w:sz w:val="24"/>
          <w:szCs w:val="24"/>
        </w:rPr>
        <w:t>criminal damage</w:t>
      </w:r>
      <w:r w:rsidR="00B706AA" w:rsidRPr="00BA6378">
        <w:rPr>
          <w:rFonts w:ascii="Arial" w:hAnsi="Arial" w:cs="Arial"/>
          <w:sz w:val="24"/>
          <w:szCs w:val="24"/>
        </w:rPr>
        <w:t xml:space="preserve"> or </w:t>
      </w:r>
      <w:r w:rsidR="00B706AA" w:rsidRPr="00BA6378">
        <w:rPr>
          <w:rFonts w:ascii="Arial" w:hAnsi="Arial" w:cs="Arial"/>
          <w:sz w:val="24"/>
          <w:szCs w:val="24"/>
        </w:rPr>
        <w:t>infliction of grievous bodily harm</w:t>
      </w:r>
      <w:r w:rsidR="00B706AA" w:rsidRPr="00BA6378">
        <w:rPr>
          <w:rFonts w:ascii="Arial" w:hAnsi="Arial" w:cs="Arial"/>
          <w:sz w:val="24"/>
          <w:szCs w:val="24"/>
        </w:rPr>
        <w:t>, while under S</w:t>
      </w:r>
      <w:r w:rsidR="006077AE" w:rsidRPr="00BA6378">
        <w:rPr>
          <w:rFonts w:ascii="Arial" w:hAnsi="Arial" w:cs="Arial"/>
          <w:sz w:val="24"/>
          <w:szCs w:val="24"/>
        </w:rPr>
        <w:t xml:space="preserve">ubsection 1(b) </w:t>
      </w:r>
      <w:r w:rsidR="00B706AA" w:rsidRPr="00BA6378">
        <w:rPr>
          <w:rFonts w:ascii="Arial" w:hAnsi="Arial" w:cs="Arial"/>
          <w:sz w:val="24"/>
          <w:szCs w:val="24"/>
        </w:rPr>
        <w:t xml:space="preserve">defines burglary as </w:t>
      </w:r>
      <w:r w:rsidR="006077AE" w:rsidRPr="00BA6378">
        <w:rPr>
          <w:rFonts w:ascii="Arial" w:hAnsi="Arial" w:cs="Arial"/>
          <w:sz w:val="24"/>
          <w:szCs w:val="24"/>
        </w:rPr>
        <w:t>‘having entered any building or part of a building as a trespasser he steals or attempts to steal  anything in the building or that part of it</w:t>
      </w:r>
      <w:r w:rsidR="00387EC5" w:rsidRPr="00BA6378">
        <w:rPr>
          <w:rFonts w:ascii="Arial" w:hAnsi="Arial" w:cs="Arial"/>
          <w:sz w:val="24"/>
          <w:szCs w:val="24"/>
        </w:rPr>
        <w:t xml:space="preserve"> or inflicts or attempts to inflict on any person therein any grievous bodily harm</w:t>
      </w:r>
      <w:r w:rsidR="006077AE" w:rsidRPr="00BA6378">
        <w:rPr>
          <w:rFonts w:ascii="Arial" w:hAnsi="Arial" w:cs="Arial"/>
          <w:sz w:val="24"/>
          <w:szCs w:val="24"/>
        </w:rPr>
        <w:t>’</w:t>
      </w:r>
      <w:r w:rsidR="00D12559" w:rsidRPr="00BA6378">
        <w:rPr>
          <w:rFonts w:ascii="Arial" w:hAnsi="Arial" w:cs="Arial"/>
          <w:sz w:val="24"/>
          <w:szCs w:val="24"/>
        </w:rPr>
        <w:t>;</w:t>
      </w:r>
      <w:r w:rsidR="004F707A" w:rsidRPr="00BA6378">
        <w:rPr>
          <w:rFonts w:ascii="Arial" w:hAnsi="Arial" w:cs="Arial"/>
          <w:sz w:val="24"/>
          <w:szCs w:val="24"/>
        </w:rPr>
        <w:t xml:space="preserve"> subsection 2 also applies ‘[...] therein, and of doing unlawful damage to the building or anything therein.’</w:t>
      </w:r>
      <w:r w:rsidR="00B706AA" w:rsidRPr="00BA6378">
        <w:rPr>
          <w:rFonts w:ascii="Arial" w:hAnsi="Arial" w:cs="Arial"/>
          <w:sz w:val="24"/>
          <w:szCs w:val="24"/>
        </w:rPr>
        <w:t xml:space="preserve"> </w:t>
      </w:r>
      <w:r w:rsidR="00B706AA" w:rsidRPr="00BA6378">
        <w:rPr>
          <w:rFonts w:ascii="Arial" w:hAnsi="Arial" w:cs="Arial"/>
          <w:sz w:val="24"/>
          <w:szCs w:val="24"/>
        </w:rPr>
        <w:t>One of the most distinguishing features of these two offences is the time they occur</w:t>
      </w:r>
      <w:r w:rsidR="00B706AA" w:rsidRPr="00BA6378">
        <w:rPr>
          <w:rFonts w:ascii="Arial" w:hAnsi="Arial" w:cs="Arial"/>
          <w:sz w:val="24"/>
          <w:szCs w:val="24"/>
        </w:rPr>
        <w:t xml:space="preserve">. </w:t>
      </w:r>
      <w:r w:rsidR="00B706AA" w:rsidRPr="00BA6378">
        <w:rPr>
          <w:rFonts w:ascii="Arial" w:hAnsi="Arial" w:cs="Arial"/>
          <w:sz w:val="24"/>
          <w:szCs w:val="24"/>
        </w:rPr>
        <w:t>The defendant has committed a violation of Section 9(1)(a) by entering the building</w:t>
      </w:r>
      <w:r w:rsidR="00B706AA" w:rsidRPr="00BA6378">
        <w:rPr>
          <w:rFonts w:ascii="Arial" w:hAnsi="Arial" w:cs="Arial"/>
          <w:sz w:val="24"/>
          <w:szCs w:val="24"/>
        </w:rPr>
        <w:t>, while a</w:t>
      </w:r>
      <w:r w:rsidR="00B706AA" w:rsidRPr="00BA6378">
        <w:rPr>
          <w:rFonts w:ascii="Arial" w:hAnsi="Arial" w:cs="Arial"/>
          <w:sz w:val="24"/>
          <w:szCs w:val="24"/>
        </w:rPr>
        <w:t>ny of the offences specified in section 9(1)(b) are considered to have been committed once the defendant entered the building.</w:t>
      </w:r>
    </w:p>
    <w:p w14:paraId="621C73F9" w14:textId="77777777" w:rsidR="00910A5E" w:rsidRPr="00BA6378" w:rsidRDefault="00910A5E" w:rsidP="00BA6378">
      <w:pPr>
        <w:spacing w:line="360" w:lineRule="auto"/>
        <w:ind w:firstLine="720"/>
        <w:jc w:val="both"/>
        <w:rPr>
          <w:rFonts w:ascii="Arial" w:hAnsi="Arial" w:cs="Arial"/>
          <w:sz w:val="24"/>
          <w:szCs w:val="24"/>
        </w:rPr>
      </w:pPr>
      <w:r w:rsidRPr="00BA6378">
        <w:rPr>
          <w:rFonts w:ascii="Arial" w:hAnsi="Arial" w:cs="Arial"/>
          <w:sz w:val="24"/>
          <w:szCs w:val="24"/>
        </w:rPr>
        <w:t xml:space="preserve">Entry could only be regarded "substantial and effective" if appropriate proof was supplied, as stated in R v Collins (1973). If evidence shows that a burglary suspect entered a building, even if just partially, they may be found guilty. The term "major entry" was ruled superfluous in the </w:t>
      </w:r>
      <w:proofErr w:type="spellStart"/>
      <w:r w:rsidRPr="00BA6378">
        <w:rPr>
          <w:rFonts w:ascii="Arial" w:hAnsi="Arial" w:cs="Arial"/>
          <w:sz w:val="24"/>
          <w:szCs w:val="24"/>
        </w:rPr>
        <w:t>later</w:t>
      </w:r>
      <w:proofErr w:type="spellEnd"/>
      <w:r w:rsidRPr="00BA6378">
        <w:rPr>
          <w:rFonts w:ascii="Arial" w:hAnsi="Arial" w:cs="Arial"/>
          <w:sz w:val="24"/>
          <w:szCs w:val="24"/>
        </w:rPr>
        <w:t xml:space="preserve"> case, R v. Brown (1985), which streamlined the language to suggest "an effective entry." Ryan's entry does not meet the criteria for being </w:t>
      </w:r>
      <w:proofErr w:type="gramStart"/>
      <w:r w:rsidRPr="00BA6378">
        <w:rPr>
          <w:rFonts w:ascii="Arial" w:hAnsi="Arial" w:cs="Arial"/>
          <w:sz w:val="24"/>
          <w:szCs w:val="24"/>
        </w:rPr>
        <w:t>a</w:t>
      </w:r>
      <w:proofErr w:type="gramEnd"/>
      <w:r w:rsidRPr="00BA6378">
        <w:rPr>
          <w:rFonts w:ascii="Arial" w:hAnsi="Arial" w:cs="Arial"/>
          <w:sz w:val="24"/>
          <w:szCs w:val="24"/>
        </w:rPr>
        <w:t xml:space="preserve"> "effective" one (1996). Hadley's case is a textbook illustration of burglary as trespassing, with the accused's entry into the defendant's home through the back yard serving as the Actus Reus. Sections 1(b) and 2 of Article 9 of the TA 1968 apply here. Instead of clearing the obstacle, he lands on a wooden bench and breaks it in two. You can get admission to the house by inserting a piece of bamboo through the cat flap and hooking it onto the keys from the inside. One such case is R v. Brown (1985), in which a man was captured after being found lying on the sidewalk outside a store after having </w:t>
      </w:r>
      <w:proofErr w:type="spellStart"/>
      <w:r w:rsidRPr="00BA6378">
        <w:rPr>
          <w:rFonts w:ascii="Arial" w:hAnsi="Arial" w:cs="Arial"/>
          <w:sz w:val="24"/>
          <w:szCs w:val="24"/>
        </w:rPr>
        <w:t>leant</w:t>
      </w:r>
      <w:proofErr w:type="spellEnd"/>
      <w:r w:rsidRPr="00BA6378">
        <w:rPr>
          <w:rFonts w:ascii="Arial" w:hAnsi="Arial" w:cs="Arial"/>
          <w:sz w:val="24"/>
          <w:szCs w:val="24"/>
        </w:rPr>
        <w:t xml:space="preserve"> through a window and taken merchandise. R v. Ryan is another case about someone who was only halfway inside a structure because of a window (1996). A legitimate Means Rea is also available for this scenario. According to R v Collins [1973], the defendant must either knowingly or </w:t>
      </w:r>
      <w:r w:rsidRPr="00BA6378">
        <w:rPr>
          <w:rFonts w:ascii="Arial" w:hAnsi="Arial" w:cs="Arial"/>
          <w:sz w:val="24"/>
          <w:szCs w:val="24"/>
        </w:rPr>
        <w:lastRenderedPageBreak/>
        <w:t xml:space="preserve">recklessly trespass. To be guilty of the S.9(1)(a) offence, one must have the requisite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of the ulterior offence, but for the S.9(1)(b) offence, the requisite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of the ulterior offence is sufficient. Hadley snuck into Ronan's house when he was away and stole the Gucci sneakers he had been talking about. After futilely searching for the Gucci sneakers, he steals a Rolex instead.</w:t>
      </w:r>
    </w:p>
    <w:p w14:paraId="764A9EE9" w14:textId="77777777" w:rsidR="00910A5E" w:rsidRPr="00BA6378" w:rsidRDefault="00910A5E" w:rsidP="00BA6378">
      <w:pPr>
        <w:spacing w:line="360" w:lineRule="auto"/>
        <w:ind w:firstLine="720"/>
        <w:jc w:val="both"/>
        <w:rPr>
          <w:rFonts w:ascii="Arial" w:hAnsi="Arial" w:cs="Arial"/>
          <w:sz w:val="24"/>
          <w:szCs w:val="24"/>
        </w:rPr>
      </w:pPr>
      <w:r w:rsidRPr="00BA6378">
        <w:rPr>
          <w:rFonts w:ascii="Arial" w:hAnsi="Arial" w:cs="Arial"/>
          <w:sz w:val="24"/>
          <w:szCs w:val="24"/>
        </w:rPr>
        <w:t>The criminal damage charge is a secondary consideration. Three separate types of criminal harm are defined by the Criminal Damage Act of 1971. Section 1(1) refers to "simple criminal damage," section 1(2) refers to "aggravated criminal damage," and section 1(3) refers to "arson" (3). According to section 1(1) of the Criminal Harm Act of 1971, anyone who intentionally causes damage to another's property is guilty of criminal damage. To be guilty of the crime of simple criminal damage, one must actively damage or harm the property of another. "</w:t>
      </w:r>
      <w:proofErr w:type="gramStart"/>
      <w:r w:rsidRPr="00BA6378">
        <w:rPr>
          <w:rFonts w:ascii="Arial" w:hAnsi="Arial" w:cs="Arial"/>
          <w:sz w:val="24"/>
          <w:szCs w:val="24"/>
        </w:rPr>
        <w:t>destroy</w:t>
      </w:r>
      <w:proofErr w:type="gramEnd"/>
      <w:r w:rsidRPr="00BA6378">
        <w:rPr>
          <w:rFonts w:ascii="Arial" w:hAnsi="Arial" w:cs="Arial"/>
          <w:sz w:val="24"/>
          <w:szCs w:val="24"/>
        </w:rPr>
        <w:t xml:space="preserve"> or hurt" is not defined by statute, but some principles have emerged from case law. Roper v. Knott [1898] established that the property's inability to be used is not a necessary element of criminal damage. Section 10 of the Criminal Damage Act of 1971 defines "property" for this statute's purposes (1). Only tangible items can be considered personal property. Real property consists of things like land and buildings, while personal property consists of things like furniture and clothing. In the eyes of the law, a person with custody or control over, a proprietary right or interest in, or a charge on a piece of property is the owner of such property under subsection 10(2) of the Criminal Damage Act of 1971. The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for the crime of simple criminal damage is the intentional or careless destruction of another's property. When Hadley jumps the fence into Ronan's backyard, he lands on a wooden bench, splitting it in half (making permanent damage on it and making it unusable).</w:t>
      </w:r>
    </w:p>
    <w:p w14:paraId="3781FBE1" w14:textId="7D2B0423" w:rsidR="00BD0730" w:rsidRPr="00BA6378" w:rsidRDefault="00837255" w:rsidP="00BA6378">
      <w:pPr>
        <w:spacing w:line="360" w:lineRule="auto"/>
        <w:jc w:val="both"/>
        <w:rPr>
          <w:rFonts w:ascii="Arial" w:hAnsi="Arial" w:cs="Arial"/>
          <w:sz w:val="24"/>
          <w:szCs w:val="24"/>
        </w:rPr>
      </w:pPr>
      <w:r w:rsidRPr="00BA6378">
        <w:rPr>
          <w:rFonts w:ascii="Arial" w:hAnsi="Arial" w:cs="Arial"/>
          <w:sz w:val="24"/>
          <w:szCs w:val="24"/>
        </w:rPr>
        <w:tab/>
      </w:r>
      <w:r w:rsidR="00BD0730" w:rsidRPr="00BA6378">
        <w:rPr>
          <w:rFonts w:ascii="Arial" w:hAnsi="Arial" w:cs="Arial"/>
          <w:sz w:val="24"/>
          <w:szCs w:val="24"/>
        </w:rPr>
        <w:t xml:space="preserve">As indicated, a </w:t>
      </w:r>
      <w:r w:rsidR="00B706AA" w:rsidRPr="00BA6378">
        <w:rPr>
          <w:rFonts w:ascii="Arial" w:hAnsi="Arial" w:cs="Arial"/>
          <w:sz w:val="24"/>
          <w:szCs w:val="24"/>
        </w:rPr>
        <w:t>third</w:t>
      </w:r>
      <w:r w:rsidR="00BD0730" w:rsidRPr="00BA6378">
        <w:rPr>
          <w:rFonts w:ascii="Arial" w:hAnsi="Arial" w:cs="Arial"/>
          <w:sz w:val="24"/>
          <w:szCs w:val="24"/>
        </w:rPr>
        <w:t xml:space="preserve"> crime must be </w:t>
      </w:r>
      <w:proofErr w:type="gramStart"/>
      <w:r w:rsidR="00BD0730" w:rsidRPr="00BA6378">
        <w:rPr>
          <w:rFonts w:ascii="Arial" w:hAnsi="Arial" w:cs="Arial"/>
          <w:sz w:val="24"/>
          <w:szCs w:val="24"/>
        </w:rPr>
        <w:t>taken into account</w:t>
      </w:r>
      <w:proofErr w:type="gramEnd"/>
      <w:r w:rsidR="00BD0730" w:rsidRPr="00BA6378">
        <w:rPr>
          <w:rFonts w:ascii="Arial" w:hAnsi="Arial" w:cs="Arial"/>
          <w:sz w:val="24"/>
          <w:szCs w:val="24"/>
        </w:rPr>
        <w:t xml:space="preserve">: aggravated criminal damage by arson under section 1(3) of Act 1971's criminal code. Arson is defined in Sections 1(1) and (3) as the </w:t>
      </w:r>
      <w:r w:rsidR="00B706AA" w:rsidRPr="00BA6378">
        <w:rPr>
          <w:rFonts w:ascii="Arial" w:hAnsi="Arial" w:cs="Arial"/>
          <w:sz w:val="24"/>
          <w:szCs w:val="24"/>
        </w:rPr>
        <w:t>wilful</w:t>
      </w:r>
      <w:r w:rsidR="00BD0730" w:rsidRPr="00BA6378">
        <w:rPr>
          <w:rFonts w:ascii="Arial" w:hAnsi="Arial" w:cs="Arial"/>
          <w:sz w:val="24"/>
          <w:szCs w:val="24"/>
        </w:rPr>
        <w:t xml:space="preserve"> and wanton destruction or damage of property by fire without reasonable provocation, with knowledge that such destruction or damage is likely to occur. Both R v. Hoof (1981) and R v. Hardie (1984) include offenders who torched a wardrobe after abusing their partners' expired Valium.</w:t>
      </w:r>
    </w:p>
    <w:p w14:paraId="1F10C766" w14:textId="54A20ECC" w:rsidR="00FD2CB3" w:rsidRPr="00BA6378" w:rsidRDefault="00910A5E" w:rsidP="00BA6378">
      <w:pPr>
        <w:spacing w:line="360" w:lineRule="auto"/>
        <w:ind w:firstLine="720"/>
        <w:jc w:val="both"/>
        <w:rPr>
          <w:rFonts w:ascii="Arial" w:hAnsi="Arial" w:cs="Arial"/>
          <w:sz w:val="24"/>
          <w:szCs w:val="24"/>
        </w:rPr>
      </w:pPr>
      <w:r w:rsidRPr="00BA6378">
        <w:rPr>
          <w:rFonts w:ascii="Arial" w:hAnsi="Arial" w:cs="Arial"/>
          <w:sz w:val="24"/>
          <w:szCs w:val="24"/>
        </w:rPr>
        <w:lastRenderedPageBreak/>
        <w:t xml:space="preserve">Without a reasonable doubt, the defendant must have destroyed or damaged the property of another without lawful excuse (Actus Reus) and that the damage posed an immediate and substantial risk to human life </w:t>
      </w:r>
      <w:proofErr w:type="gramStart"/>
      <w:r w:rsidRPr="00BA6378">
        <w:rPr>
          <w:rFonts w:ascii="Arial" w:hAnsi="Arial" w:cs="Arial"/>
          <w:sz w:val="24"/>
          <w:szCs w:val="24"/>
        </w:rPr>
        <w:t>in order to</w:t>
      </w:r>
      <w:proofErr w:type="gramEnd"/>
      <w:r w:rsidRPr="00BA6378">
        <w:rPr>
          <w:rFonts w:ascii="Arial" w:hAnsi="Arial" w:cs="Arial"/>
          <w:sz w:val="24"/>
          <w:szCs w:val="24"/>
        </w:rPr>
        <w:t xml:space="preserve"> be found guilty of aggravated criminal damage under the Criminal Damage Act of 1971.</w:t>
      </w:r>
      <w:r w:rsidRPr="00BA6378">
        <w:rPr>
          <w:rFonts w:ascii="Arial" w:hAnsi="Arial" w:cs="Arial"/>
          <w:sz w:val="24"/>
          <w:szCs w:val="24"/>
        </w:rPr>
        <w:t xml:space="preserve"> </w:t>
      </w:r>
      <w:r w:rsidRPr="00BA6378">
        <w:rPr>
          <w:rFonts w:ascii="Arial" w:hAnsi="Arial" w:cs="Arial"/>
          <w:sz w:val="24"/>
          <w:szCs w:val="24"/>
        </w:rPr>
        <w:t xml:space="preserve">Unlike simple criminal damage or simple arson, the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of more serious offences consists of two elements. If the prosecution wants to convict someone of the more serious crime of aggravated criminal damage, they must prove that the defendant acted with intent or reckless disregard for the potential for human life to be threatened </w:t>
      </w:r>
      <w:proofErr w:type="gramStart"/>
      <w:r w:rsidRPr="00BA6378">
        <w:rPr>
          <w:rFonts w:ascii="Arial" w:hAnsi="Arial" w:cs="Arial"/>
          <w:sz w:val="24"/>
          <w:szCs w:val="24"/>
        </w:rPr>
        <w:t>as a result of</w:t>
      </w:r>
      <w:proofErr w:type="gramEnd"/>
      <w:r w:rsidRPr="00BA6378">
        <w:rPr>
          <w:rFonts w:ascii="Arial" w:hAnsi="Arial" w:cs="Arial"/>
          <w:sz w:val="24"/>
          <w:szCs w:val="24"/>
        </w:rPr>
        <w:t xml:space="preserve"> the destruction of property. Hadley, in this scenario, intentionally causes harm to Ronan by lighting fire to his garbage can after putting cologne into it. No genuine risk to human life is necessary. Any amount of visible damage to property is enough to make a prudent observer fear for human life. Human life must be at danger because of the damage or harm itself, not because of the means employed to cause it.</w:t>
      </w:r>
    </w:p>
    <w:p w14:paraId="3B22D1C4" w14:textId="7DB1838F" w:rsidR="00D6370D" w:rsidRPr="00BA6378" w:rsidRDefault="00D6370D" w:rsidP="00BA6378">
      <w:pPr>
        <w:spacing w:line="360" w:lineRule="auto"/>
        <w:ind w:firstLine="720"/>
        <w:jc w:val="both"/>
        <w:rPr>
          <w:rFonts w:ascii="Arial" w:hAnsi="Arial" w:cs="Arial"/>
          <w:sz w:val="24"/>
          <w:szCs w:val="24"/>
        </w:rPr>
      </w:pPr>
      <w:r w:rsidRPr="00BA6378">
        <w:rPr>
          <w:rFonts w:ascii="Arial" w:hAnsi="Arial" w:cs="Arial"/>
          <w:sz w:val="24"/>
          <w:szCs w:val="24"/>
        </w:rPr>
        <w:t>Thus</w:t>
      </w:r>
      <w:r w:rsidR="00B35C5B" w:rsidRPr="00BA6378">
        <w:rPr>
          <w:rFonts w:ascii="Arial" w:hAnsi="Arial" w:cs="Arial"/>
          <w:sz w:val="24"/>
          <w:szCs w:val="24"/>
        </w:rPr>
        <w:t>,</w:t>
      </w:r>
      <w:r w:rsidRPr="00BA6378">
        <w:rPr>
          <w:rFonts w:ascii="Arial" w:hAnsi="Arial" w:cs="Arial"/>
          <w:sz w:val="24"/>
          <w:szCs w:val="24"/>
        </w:rPr>
        <w:t xml:space="preserve"> it is</w:t>
      </w:r>
      <w:r w:rsidR="00BE437A" w:rsidRPr="00BA6378">
        <w:rPr>
          <w:rFonts w:ascii="Arial" w:hAnsi="Arial" w:cs="Arial"/>
          <w:sz w:val="24"/>
          <w:szCs w:val="24"/>
        </w:rPr>
        <w:t xml:space="preserve"> </w:t>
      </w:r>
      <w:r w:rsidR="00BD0730" w:rsidRPr="00BA6378">
        <w:rPr>
          <w:rFonts w:ascii="Arial" w:hAnsi="Arial" w:cs="Arial"/>
          <w:sz w:val="24"/>
          <w:szCs w:val="24"/>
        </w:rPr>
        <w:t>only justifiable</w:t>
      </w:r>
      <w:r w:rsidRPr="00BA6378">
        <w:rPr>
          <w:rFonts w:ascii="Arial" w:hAnsi="Arial" w:cs="Arial"/>
          <w:sz w:val="24"/>
          <w:szCs w:val="24"/>
        </w:rPr>
        <w:t xml:space="preserve"> to hold Hadley </w:t>
      </w:r>
      <w:r w:rsidR="00910A5E" w:rsidRPr="00BA6378">
        <w:rPr>
          <w:rFonts w:ascii="Arial" w:hAnsi="Arial" w:cs="Arial"/>
          <w:sz w:val="24"/>
          <w:szCs w:val="24"/>
        </w:rPr>
        <w:t>accountable</w:t>
      </w:r>
      <w:r w:rsidRPr="00BA6378">
        <w:rPr>
          <w:rFonts w:ascii="Arial" w:hAnsi="Arial" w:cs="Arial"/>
          <w:sz w:val="24"/>
          <w:szCs w:val="24"/>
        </w:rPr>
        <w:t xml:space="preserve"> for the criminal offences listed above: burglary as a trespasser</w:t>
      </w:r>
      <w:r w:rsidR="00FD2CB3" w:rsidRPr="00BA6378">
        <w:rPr>
          <w:rFonts w:ascii="Arial" w:hAnsi="Arial" w:cs="Arial"/>
          <w:sz w:val="24"/>
          <w:szCs w:val="24"/>
        </w:rPr>
        <w:t xml:space="preserve"> by </w:t>
      </w:r>
      <w:r w:rsidR="00BE437A" w:rsidRPr="00BA6378">
        <w:rPr>
          <w:rFonts w:ascii="Arial" w:hAnsi="Arial" w:cs="Arial"/>
          <w:sz w:val="24"/>
          <w:szCs w:val="24"/>
        </w:rPr>
        <w:t>forced entry</w:t>
      </w:r>
      <w:r w:rsidR="00FD2CB3" w:rsidRPr="00BA6378">
        <w:rPr>
          <w:rFonts w:ascii="Arial" w:hAnsi="Arial" w:cs="Arial"/>
          <w:sz w:val="24"/>
          <w:szCs w:val="24"/>
        </w:rPr>
        <w:t xml:space="preserve"> into Ronan’s property and stealing his trainers</w:t>
      </w:r>
      <w:r w:rsidR="00B706AA" w:rsidRPr="00BA6378">
        <w:rPr>
          <w:rFonts w:ascii="Arial" w:hAnsi="Arial" w:cs="Arial"/>
          <w:sz w:val="24"/>
          <w:szCs w:val="24"/>
        </w:rPr>
        <w:t>, b</w:t>
      </w:r>
      <w:r w:rsidRPr="00BA6378">
        <w:rPr>
          <w:rFonts w:ascii="Arial" w:hAnsi="Arial" w:cs="Arial"/>
          <w:sz w:val="24"/>
          <w:szCs w:val="24"/>
        </w:rPr>
        <w:t xml:space="preserve">asic </w:t>
      </w:r>
      <w:r w:rsidR="00FD2CB3" w:rsidRPr="00BA6378">
        <w:rPr>
          <w:rFonts w:ascii="Arial" w:hAnsi="Arial" w:cs="Arial"/>
          <w:sz w:val="24"/>
          <w:szCs w:val="24"/>
        </w:rPr>
        <w:t xml:space="preserve">criminal damage by damaging the table </w:t>
      </w:r>
      <w:r w:rsidRPr="00BA6378">
        <w:rPr>
          <w:rFonts w:ascii="Arial" w:hAnsi="Arial" w:cs="Arial"/>
          <w:sz w:val="24"/>
          <w:szCs w:val="24"/>
        </w:rPr>
        <w:t>and aggravated criminal damage through arson</w:t>
      </w:r>
      <w:r w:rsidR="00FD2CB3" w:rsidRPr="00BA6378">
        <w:rPr>
          <w:rFonts w:ascii="Arial" w:hAnsi="Arial" w:cs="Arial"/>
          <w:sz w:val="24"/>
          <w:szCs w:val="24"/>
        </w:rPr>
        <w:t>.</w:t>
      </w:r>
    </w:p>
    <w:p w14:paraId="61FAD323" w14:textId="6E82C000" w:rsidR="00E41546" w:rsidRPr="00BA6378" w:rsidRDefault="00E41546" w:rsidP="00BA6378">
      <w:pPr>
        <w:spacing w:line="360" w:lineRule="auto"/>
        <w:ind w:firstLine="720"/>
        <w:jc w:val="both"/>
        <w:rPr>
          <w:rFonts w:ascii="Arial" w:hAnsi="Arial" w:cs="Arial"/>
          <w:sz w:val="24"/>
          <w:szCs w:val="24"/>
        </w:rPr>
      </w:pPr>
    </w:p>
    <w:p w14:paraId="290CBB7C" w14:textId="688144B5" w:rsidR="00E41546" w:rsidRPr="00BA6378" w:rsidRDefault="00E41546" w:rsidP="00BA6378">
      <w:pPr>
        <w:spacing w:line="360" w:lineRule="auto"/>
        <w:ind w:firstLine="720"/>
        <w:jc w:val="both"/>
        <w:rPr>
          <w:rFonts w:ascii="Arial" w:hAnsi="Arial" w:cs="Arial"/>
          <w:sz w:val="24"/>
          <w:szCs w:val="24"/>
        </w:rPr>
      </w:pPr>
    </w:p>
    <w:p w14:paraId="4235CA97" w14:textId="24A9DFD8" w:rsidR="00E41546" w:rsidRPr="00BA6378" w:rsidRDefault="00E41546" w:rsidP="00BA6378">
      <w:pPr>
        <w:spacing w:line="360" w:lineRule="auto"/>
        <w:ind w:firstLine="720"/>
        <w:jc w:val="both"/>
        <w:rPr>
          <w:rFonts w:ascii="Arial" w:hAnsi="Arial" w:cs="Arial"/>
          <w:sz w:val="24"/>
          <w:szCs w:val="24"/>
        </w:rPr>
      </w:pPr>
    </w:p>
    <w:p w14:paraId="23FD24E8" w14:textId="2A73BFF4" w:rsidR="00E41546" w:rsidRPr="00BA6378" w:rsidRDefault="00BA6378" w:rsidP="00BA6378">
      <w:pPr>
        <w:spacing w:line="360" w:lineRule="auto"/>
        <w:ind w:firstLine="720"/>
        <w:jc w:val="both"/>
        <w:rPr>
          <w:rFonts w:ascii="Arial" w:hAnsi="Arial" w:cs="Arial"/>
          <w:b/>
          <w:bCs/>
          <w:i/>
          <w:iCs/>
          <w:sz w:val="24"/>
          <w:szCs w:val="24"/>
          <w:u w:val="single"/>
        </w:rPr>
      </w:pPr>
      <w:r w:rsidRPr="00BA6378">
        <w:rPr>
          <w:rFonts w:ascii="Arial" w:hAnsi="Arial" w:cs="Arial"/>
          <w:b/>
          <w:bCs/>
          <w:i/>
          <w:iCs/>
          <w:sz w:val="24"/>
          <w:szCs w:val="24"/>
          <w:u w:val="single"/>
        </w:rPr>
        <w:t>TASK 2</w:t>
      </w:r>
    </w:p>
    <w:p w14:paraId="5324E227" w14:textId="5B861637" w:rsidR="00754C78" w:rsidRPr="00BA6378" w:rsidRDefault="00754C78" w:rsidP="00BA6378">
      <w:pPr>
        <w:spacing w:line="360" w:lineRule="auto"/>
        <w:ind w:firstLine="720"/>
        <w:jc w:val="both"/>
        <w:rPr>
          <w:rFonts w:ascii="Arial" w:hAnsi="Arial" w:cs="Arial"/>
          <w:sz w:val="24"/>
          <w:szCs w:val="24"/>
        </w:rPr>
      </w:pPr>
      <w:r w:rsidRPr="00BA6378">
        <w:rPr>
          <w:rFonts w:ascii="Arial" w:hAnsi="Arial" w:cs="Arial"/>
          <w:sz w:val="24"/>
          <w:szCs w:val="24"/>
        </w:rPr>
        <w:t xml:space="preserve">In the second </w:t>
      </w:r>
      <w:r w:rsidRPr="00BA6378">
        <w:rPr>
          <w:rFonts w:ascii="Arial" w:hAnsi="Arial" w:cs="Arial"/>
          <w:sz w:val="24"/>
          <w:szCs w:val="24"/>
        </w:rPr>
        <w:t>part</w:t>
      </w:r>
      <w:r w:rsidRPr="00BA6378">
        <w:rPr>
          <w:rFonts w:ascii="Arial" w:hAnsi="Arial" w:cs="Arial"/>
          <w:sz w:val="24"/>
          <w:szCs w:val="24"/>
        </w:rPr>
        <w:t xml:space="preserve"> of the assignment, I</w:t>
      </w:r>
      <w:r w:rsidRPr="00BA6378">
        <w:rPr>
          <w:rFonts w:ascii="Arial" w:hAnsi="Arial" w:cs="Arial"/>
          <w:sz w:val="24"/>
          <w:szCs w:val="24"/>
        </w:rPr>
        <w:t xml:space="preserve"> will</w:t>
      </w:r>
      <w:r w:rsidRPr="00BA6378">
        <w:rPr>
          <w:rFonts w:ascii="Arial" w:hAnsi="Arial" w:cs="Arial"/>
          <w:sz w:val="24"/>
          <w:szCs w:val="24"/>
        </w:rPr>
        <w:t xml:space="preserve"> discuss Freya's possible intoxication and automatism defences if she's </w:t>
      </w:r>
      <w:bookmarkStart w:id="0" w:name="_Hlk123567339"/>
      <w:r w:rsidRPr="00BA6378">
        <w:rPr>
          <w:rFonts w:ascii="Arial" w:hAnsi="Arial" w:cs="Arial"/>
          <w:sz w:val="24"/>
          <w:szCs w:val="24"/>
        </w:rPr>
        <w:t>prosecuted under S.47 Offenses Against the Person Act 1861.</w:t>
      </w:r>
      <w:bookmarkEnd w:id="0"/>
    </w:p>
    <w:p w14:paraId="00E3564E" w14:textId="6E627B66" w:rsidR="00135153" w:rsidRPr="00BA6378" w:rsidRDefault="00F151C5" w:rsidP="00BA6378">
      <w:pPr>
        <w:spacing w:line="360" w:lineRule="auto"/>
        <w:ind w:firstLine="720"/>
        <w:jc w:val="both"/>
        <w:rPr>
          <w:rFonts w:ascii="Arial" w:hAnsi="Arial" w:cs="Arial"/>
          <w:sz w:val="24"/>
          <w:szCs w:val="24"/>
        </w:rPr>
      </w:pPr>
      <w:r w:rsidRPr="00BA6378">
        <w:rPr>
          <w:rFonts w:ascii="Arial" w:hAnsi="Arial" w:cs="Arial"/>
          <w:sz w:val="24"/>
          <w:szCs w:val="24"/>
        </w:rPr>
        <w:t xml:space="preserve">Voluntary or involuntary intoxication does not constitute an excuse. In cases where an intoxicated individual commits a crime, however, the degree of intoxication may have prevented the offender from developing the essential </w:t>
      </w:r>
      <w:proofErr w:type="spellStart"/>
      <w:r w:rsidR="00B35C5B" w:rsidRPr="00BA6378">
        <w:rPr>
          <w:rFonts w:ascii="Arial" w:hAnsi="Arial" w:cs="Arial"/>
          <w:sz w:val="24"/>
          <w:szCs w:val="24"/>
        </w:rPr>
        <w:t>M</w:t>
      </w:r>
      <w:r w:rsidRPr="00BA6378">
        <w:rPr>
          <w:rFonts w:ascii="Arial" w:hAnsi="Arial" w:cs="Arial"/>
          <w:sz w:val="24"/>
          <w:szCs w:val="24"/>
        </w:rPr>
        <w:t>ens</w:t>
      </w:r>
      <w:proofErr w:type="spellEnd"/>
      <w:r w:rsidRPr="00BA6378">
        <w:rPr>
          <w:rFonts w:ascii="Arial" w:hAnsi="Arial" w:cs="Arial"/>
          <w:sz w:val="24"/>
          <w:szCs w:val="24"/>
        </w:rPr>
        <w:t xml:space="preserve"> </w:t>
      </w:r>
      <w:r w:rsidR="00B35C5B" w:rsidRPr="00BA6378">
        <w:rPr>
          <w:rFonts w:ascii="Arial" w:hAnsi="Arial" w:cs="Arial"/>
          <w:sz w:val="24"/>
          <w:szCs w:val="24"/>
        </w:rPr>
        <w:t>R</w:t>
      </w:r>
      <w:r w:rsidRPr="00BA6378">
        <w:rPr>
          <w:rFonts w:ascii="Arial" w:hAnsi="Arial" w:cs="Arial"/>
          <w:sz w:val="24"/>
          <w:szCs w:val="24"/>
        </w:rPr>
        <w:t>ea of the act.</w:t>
      </w:r>
      <w:r w:rsidR="00135153" w:rsidRPr="00BA6378">
        <w:rPr>
          <w:rFonts w:ascii="Arial" w:hAnsi="Arial" w:cs="Arial"/>
          <w:sz w:val="24"/>
          <w:szCs w:val="24"/>
        </w:rPr>
        <w:t xml:space="preserve"> </w:t>
      </w:r>
      <w:r w:rsidR="00135153" w:rsidRPr="00BA6378">
        <w:rPr>
          <w:rFonts w:ascii="Arial" w:hAnsi="Arial" w:cs="Arial"/>
          <w:sz w:val="24"/>
          <w:szCs w:val="24"/>
        </w:rPr>
        <w:t xml:space="preserve">A specific purpose crime will not be proven if the defendant can prove that he did not intend to </w:t>
      </w:r>
      <w:r w:rsidR="00135153" w:rsidRPr="00BA6378">
        <w:rPr>
          <w:rFonts w:ascii="Arial" w:hAnsi="Arial" w:cs="Arial"/>
          <w:sz w:val="24"/>
          <w:szCs w:val="24"/>
        </w:rPr>
        <w:lastRenderedPageBreak/>
        <w:t>commit the crime because he was so drunk that he could not construct the mental element of the offence.</w:t>
      </w:r>
    </w:p>
    <w:p w14:paraId="0D0595B3" w14:textId="11145830" w:rsidR="00135153" w:rsidRPr="00BA6378" w:rsidRDefault="00135153" w:rsidP="00BA6378">
      <w:pPr>
        <w:spacing w:line="360" w:lineRule="auto"/>
        <w:ind w:firstLine="720"/>
        <w:jc w:val="both"/>
        <w:rPr>
          <w:rFonts w:ascii="Arial" w:hAnsi="Arial" w:cs="Arial"/>
          <w:sz w:val="24"/>
          <w:szCs w:val="24"/>
        </w:rPr>
      </w:pPr>
      <w:r w:rsidRPr="00BA6378">
        <w:rPr>
          <w:rFonts w:ascii="Arial" w:hAnsi="Arial" w:cs="Arial"/>
          <w:sz w:val="24"/>
          <w:szCs w:val="24"/>
        </w:rPr>
        <w:t>Note that intoxication does not negate intent for purposes of this principle: Case: R. v. Sheehan and Moore</w:t>
      </w:r>
      <w:r w:rsidRPr="00BA6378">
        <w:rPr>
          <w:rFonts w:ascii="Arial" w:hAnsi="Arial" w:cs="Arial"/>
          <w:sz w:val="24"/>
          <w:szCs w:val="24"/>
        </w:rPr>
        <w:t xml:space="preserve"> (1975). The cases of </w:t>
      </w:r>
      <w:r w:rsidRPr="00BA6378">
        <w:rPr>
          <w:rFonts w:ascii="Arial" w:hAnsi="Arial" w:cs="Arial"/>
          <w:sz w:val="24"/>
          <w:szCs w:val="24"/>
        </w:rPr>
        <w:t xml:space="preserve">DPP v. Beard </w:t>
      </w:r>
      <w:r w:rsidRPr="00BA6378">
        <w:rPr>
          <w:rFonts w:ascii="Arial" w:hAnsi="Arial" w:cs="Arial"/>
          <w:sz w:val="24"/>
          <w:szCs w:val="24"/>
        </w:rPr>
        <w:t>(</w:t>
      </w:r>
      <w:r w:rsidRPr="00BA6378">
        <w:rPr>
          <w:rFonts w:ascii="Arial" w:hAnsi="Arial" w:cs="Arial"/>
          <w:sz w:val="24"/>
          <w:szCs w:val="24"/>
        </w:rPr>
        <w:t>1920</w:t>
      </w:r>
      <w:r w:rsidRPr="00BA6378">
        <w:rPr>
          <w:rFonts w:ascii="Arial" w:hAnsi="Arial" w:cs="Arial"/>
          <w:sz w:val="24"/>
          <w:szCs w:val="24"/>
        </w:rPr>
        <w:t xml:space="preserve">) </w:t>
      </w:r>
      <w:r w:rsidRPr="00BA6378">
        <w:rPr>
          <w:rFonts w:ascii="Arial" w:hAnsi="Arial" w:cs="Arial"/>
          <w:sz w:val="24"/>
          <w:szCs w:val="24"/>
        </w:rPr>
        <w:t xml:space="preserve">and DPP v. Majewski </w:t>
      </w:r>
      <w:r w:rsidRPr="00BA6378">
        <w:rPr>
          <w:rFonts w:ascii="Arial" w:hAnsi="Arial" w:cs="Arial"/>
          <w:sz w:val="24"/>
          <w:szCs w:val="24"/>
        </w:rPr>
        <w:t xml:space="preserve">(1977) have </w:t>
      </w:r>
      <w:r w:rsidRPr="00BA6378">
        <w:rPr>
          <w:rFonts w:ascii="Arial" w:hAnsi="Arial" w:cs="Arial"/>
          <w:sz w:val="24"/>
          <w:szCs w:val="24"/>
        </w:rPr>
        <w:t>established the difference between crimes committed with general and premeditated malice. Since then, many definitions of "basic intent" and "particular intent" have emerged.</w:t>
      </w:r>
      <w:r w:rsidRPr="00BA6378">
        <w:rPr>
          <w:rFonts w:ascii="Arial" w:hAnsi="Arial" w:cs="Arial"/>
          <w:sz w:val="24"/>
          <w:szCs w:val="24"/>
        </w:rPr>
        <w:t xml:space="preserve"> </w:t>
      </w:r>
      <w:r w:rsidRPr="00BA6378">
        <w:rPr>
          <w:rFonts w:ascii="Arial" w:hAnsi="Arial" w:cs="Arial"/>
          <w:sz w:val="24"/>
          <w:szCs w:val="24"/>
        </w:rPr>
        <w:t>In some cases, it has been argued that crimes that require more than mere negligence to be committed (such as murder) fall under the category of "crimes of specific purpose</w:t>
      </w:r>
      <w:r w:rsidRPr="00BA6378">
        <w:rPr>
          <w:rFonts w:ascii="Arial" w:hAnsi="Arial" w:cs="Arial"/>
          <w:sz w:val="24"/>
          <w:szCs w:val="24"/>
        </w:rPr>
        <w:t xml:space="preserve">” as in the </w:t>
      </w:r>
      <w:r w:rsidRPr="00BA6378">
        <w:rPr>
          <w:rFonts w:ascii="Arial" w:hAnsi="Arial" w:cs="Arial"/>
          <w:sz w:val="24"/>
          <w:szCs w:val="24"/>
        </w:rPr>
        <w:t xml:space="preserve">case </w:t>
      </w:r>
      <w:r w:rsidRPr="00BA6378">
        <w:rPr>
          <w:rFonts w:ascii="Arial" w:hAnsi="Arial" w:cs="Arial"/>
          <w:sz w:val="24"/>
          <w:szCs w:val="24"/>
        </w:rPr>
        <w:t>of</w:t>
      </w:r>
      <w:r w:rsidRPr="00BA6378">
        <w:rPr>
          <w:rFonts w:ascii="Arial" w:hAnsi="Arial" w:cs="Arial"/>
          <w:sz w:val="24"/>
          <w:szCs w:val="24"/>
        </w:rPr>
        <w:t xml:space="preserve"> R v. Caldwell </w:t>
      </w:r>
      <w:r w:rsidRPr="00BA6378">
        <w:rPr>
          <w:rFonts w:ascii="Arial" w:hAnsi="Arial" w:cs="Arial"/>
          <w:sz w:val="24"/>
          <w:szCs w:val="24"/>
        </w:rPr>
        <w:t>(</w:t>
      </w:r>
      <w:r w:rsidRPr="00BA6378">
        <w:rPr>
          <w:rFonts w:ascii="Arial" w:hAnsi="Arial" w:cs="Arial"/>
          <w:sz w:val="24"/>
          <w:szCs w:val="24"/>
        </w:rPr>
        <w:t>1982</w:t>
      </w:r>
      <w:r w:rsidRPr="00BA6378">
        <w:rPr>
          <w:rFonts w:ascii="Arial" w:hAnsi="Arial" w:cs="Arial"/>
          <w:sz w:val="24"/>
          <w:szCs w:val="24"/>
        </w:rPr>
        <w:t>).</w:t>
      </w:r>
    </w:p>
    <w:p w14:paraId="2DE29CAA" w14:textId="77777777" w:rsidR="00B467CE" w:rsidRPr="00BA6378" w:rsidRDefault="00B467CE" w:rsidP="00BA6378">
      <w:pPr>
        <w:spacing w:line="360" w:lineRule="auto"/>
        <w:ind w:firstLine="720"/>
        <w:jc w:val="both"/>
        <w:rPr>
          <w:rFonts w:ascii="Arial" w:hAnsi="Arial" w:cs="Arial"/>
          <w:sz w:val="24"/>
          <w:szCs w:val="24"/>
        </w:rPr>
      </w:pPr>
      <w:r w:rsidRPr="00BA6378">
        <w:rPr>
          <w:rFonts w:ascii="Arial" w:hAnsi="Arial" w:cs="Arial"/>
          <w:sz w:val="24"/>
          <w:szCs w:val="24"/>
        </w:rPr>
        <w:t xml:space="preserve">Freya's actions lack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because she didn't set out to hurt anyone. Nicky and Freya are two freshmen at the university who just want to have a good time. </w:t>
      </w:r>
    </w:p>
    <w:p w14:paraId="2A4CA063" w14:textId="53F2AC49" w:rsidR="00135153" w:rsidRPr="00BA6378" w:rsidRDefault="00910A5E" w:rsidP="00BA6378">
      <w:pPr>
        <w:spacing w:line="360" w:lineRule="auto"/>
        <w:ind w:firstLine="720"/>
        <w:jc w:val="both"/>
        <w:rPr>
          <w:rFonts w:ascii="Arial" w:hAnsi="Arial" w:cs="Arial"/>
          <w:sz w:val="24"/>
          <w:szCs w:val="24"/>
        </w:rPr>
      </w:pPr>
      <w:r w:rsidRPr="00BA6378">
        <w:rPr>
          <w:rFonts w:ascii="Arial" w:hAnsi="Arial" w:cs="Arial"/>
          <w:sz w:val="24"/>
          <w:szCs w:val="24"/>
        </w:rPr>
        <w:t>Before heading to the club, the two drink a bottle of gin and six double gin tonics each. Freya falls ill on the way back to the dorm, throws up, and then seizes. Freya hits Mike, a mutual friend of Nicky and Freya, while seizing. Epileptics can safely have 1-2 drinks per day without increasing seizure activity or decreasing seizure treatment effectiveness. Many people with epilepsy are more likely to have seizures after three or more drinks.</w:t>
      </w:r>
      <w:r w:rsidRPr="00BA6378">
        <w:rPr>
          <w:rFonts w:ascii="Arial" w:hAnsi="Arial" w:cs="Arial"/>
          <w:sz w:val="24"/>
          <w:szCs w:val="24"/>
        </w:rPr>
        <w:t xml:space="preserve"> </w:t>
      </w:r>
      <w:r w:rsidR="00B467CE" w:rsidRPr="00BA6378">
        <w:rPr>
          <w:rFonts w:ascii="Arial" w:hAnsi="Arial" w:cs="Arial"/>
          <w:sz w:val="24"/>
          <w:szCs w:val="24"/>
        </w:rPr>
        <w:t xml:space="preserve">When Freya </w:t>
      </w:r>
      <w:proofErr w:type="gramStart"/>
      <w:r w:rsidR="00B467CE" w:rsidRPr="00BA6378">
        <w:rPr>
          <w:rFonts w:ascii="Arial" w:hAnsi="Arial" w:cs="Arial"/>
          <w:sz w:val="24"/>
          <w:szCs w:val="24"/>
        </w:rPr>
        <w:t>realised</w:t>
      </w:r>
      <w:proofErr w:type="gramEnd"/>
      <w:r w:rsidR="00B467CE" w:rsidRPr="00BA6378">
        <w:rPr>
          <w:rFonts w:ascii="Arial" w:hAnsi="Arial" w:cs="Arial"/>
          <w:sz w:val="24"/>
          <w:szCs w:val="24"/>
        </w:rPr>
        <w:t xml:space="preserve"> she didn't need her seizure medication because she hadn't had one in a decade, she made the foolish choice that it would be great to drink too much. Since Freya was knocked out during her epileptic seizure brought on by excessive drinking, </w:t>
      </w:r>
      <w:proofErr w:type="gramStart"/>
      <w:r w:rsidR="00B467CE" w:rsidRPr="00BA6378">
        <w:rPr>
          <w:rFonts w:ascii="Arial" w:hAnsi="Arial" w:cs="Arial"/>
          <w:sz w:val="24"/>
          <w:szCs w:val="24"/>
        </w:rPr>
        <w:t>it is clear that she</w:t>
      </w:r>
      <w:proofErr w:type="gramEnd"/>
      <w:r w:rsidR="00B467CE" w:rsidRPr="00BA6378">
        <w:rPr>
          <w:rFonts w:ascii="Arial" w:hAnsi="Arial" w:cs="Arial"/>
          <w:sz w:val="24"/>
          <w:szCs w:val="24"/>
        </w:rPr>
        <w:t xml:space="preserve"> had no intention of harming Mike.</w:t>
      </w:r>
    </w:p>
    <w:p w14:paraId="1C91AF6F" w14:textId="1B64C224" w:rsidR="003724E4" w:rsidRPr="00BA6378" w:rsidRDefault="003724E4" w:rsidP="00BA6378">
      <w:pPr>
        <w:spacing w:line="360" w:lineRule="auto"/>
        <w:ind w:firstLine="720"/>
        <w:jc w:val="both"/>
        <w:rPr>
          <w:rFonts w:ascii="Arial" w:hAnsi="Arial" w:cs="Arial"/>
          <w:sz w:val="24"/>
          <w:szCs w:val="24"/>
        </w:rPr>
      </w:pPr>
      <w:r w:rsidRPr="00BA6378">
        <w:rPr>
          <w:rFonts w:ascii="Arial" w:hAnsi="Arial" w:cs="Arial"/>
          <w:sz w:val="24"/>
          <w:szCs w:val="24"/>
        </w:rPr>
        <w:t>Unless proven otherwise, the law assumes that everyone over the age of discretion is mentally stable and capable of taking responsibility for their acts. This is known as the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doctrine. "The deed does not render a man guilty unless the thought is guilty," or "actus non </w:t>
      </w:r>
      <w:proofErr w:type="spellStart"/>
      <w:r w:rsidRPr="00BA6378">
        <w:rPr>
          <w:rFonts w:ascii="Arial" w:hAnsi="Arial" w:cs="Arial"/>
          <w:sz w:val="24"/>
          <w:szCs w:val="24"/>
        </w:rPr>
        <w:t>facit</w:t>
      </w:r>
      <w:proofErr w:type="spellEnd"/>
      <w:r w:rsidRPr="00BA6378">
        <w:rPr>
          <w:rFonts w:ascii="Arial" w:hAnsi="Arial" w:cs="Arial"/>
          <w:sz w:val="24"/>
          <w:szCs w:val="24"/>
        </w:rPr>
        <w:t xml:space="preserve"> </w:t>
      </w:r>
      <w:proofErr w:type="spellStart"/>
      <w:r w:rsidRPr="00BA6378">
        <w:rPr>
          <w:rFonts w:ascii="Arial" w:hAnsi="Arial" w:cs="Arial"/>
          <w:sz w:val="24"/>
          <w:szCs w:val="24"/>
        </w:rPr>
        <w:t>reum</w:t>
      </w:r>
      <w:proofErr w:type="spellEnd"/>
      <w:r w:rsidRPr="00BA6378">
        <w:rPr>
          <w:rFonts w:ascii="Arial" w:hAnsi="Arial" w:cs="Arial"/>
          <w:sz w:val="24"/>
          <w:szCs w:val="24"/>
        </w:rPr>
        <w:t xml:space="preserve"> nisi </w:t>
      </w:r>
      <w:proofErr w:type="spellStart"/>
      <w:r w:rsidRPr="00BA6378">
        <w:rPr>
          <w:rFonts w:ascii="Arial" w:hAnsi="Arial" w:cs="Arial"/>
          <w:sz w:val="24"/>
          <w:szCs w:val="24"/>
        </w:rPr>
        <w:t>mens</w:t>
      </w:r>
      <w:proofErr w:type="spellEnd"/>
      <w:r w:rsidRPr="00BA6378">
        <w:rPr>
          <w:rFonts w:ascii="Arial" w:hAnsi="Arial" w:cs="Arial"/>
          <w:sz w:val="24"/>
          <w:szCs w:val="24"/>
        </w:rPr>
        <w:t xml:space="preserve"> sit rea."</w:t>
      </w:r>
      <w:r w:rsidR="00DD7980" w:rsidRPr="00BA6378">
        <w:rPr>
          <w:rFonts w:ascii="Arial" w:hAnsi="Arial" w:cs="Arial"/>
          <w:sz w:val="24"/>
          <w:szCs w:val="24"/>
        </w:rPr>
        <w:t xml:space="preserve"> </w:t>
      </w:r>
      <w:r w:rsidRPr="00BA6378">
        <w:rPr>
          <w:rFonts w:ascii="Arial" w:hAnsi="Arial" w:cs="Arial"/>
          <w:sz w:val="24"/>
          <w:szCs w:val="24"/>
        </w:rPr>
        <w:t>Only if</w:t>
      </w:r>
      <w:r w:rsidRPr="00BA6378">
        <w:rPr>
          <w:rFonts w:ascii="Arial" w:hAnsi="Arial" w:cs="Arial"/>
          <w:sz w:val="24"/>
          <w:szCs w:val="24"/>
        </w:rPr>
        <w:t xml:space="preserve"> the crime is one for which there is an absolute liability under the law (such as driving with a blood alcohol level above the legal limit), the doctrine of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 or the presence of a guilty mind, can only be refuted by one of the following six reasons: </w:t>
      </w:r>
      <w:proofErr w:type="spellStart"/>
      <w:r w:rsidRPr="00BA6378">
        <w:rPr>
          <w:rFonts w:ascii="Arial" w:hAnsi="Arial" w:cs="Arial"/>
          <w:sz w:val="24"/>
          <w:szCs w:val="24"/>
        </w:rPr>
        <w:t>self-defense</w:t>
      </w:r>
      <w:proofErr w:type="spellEnd"/>
      <w:r w:rsidRPr="00BA6378">
        <w:rPr>
          <w:rFonts w:ascii="Arial" w:hAnsi="Arial" w:cs="Arial"/>
          <w:sz w:val="24"/>
          <w:szCs w:val="24"/>
        </w:rPr>
        <w:t>, duress, provocation, innocence, disease, or absence of mind at the time of the act. The effects of stress and provocation on epilepsy are irrelevant.</w:t>
      </w:r>
    </w:p>
    <w:p w14:paraId="216A1782" w14:textId="6E3BF8EF" w:rsidR="003724E4" w:rsidRPr="00BA6378" w:rsidRDefault="003724E4" w:rsidP="00BA6378">
      <w:pPr>
        <w:spacing w:line="360" w:lineRule="auto"/>
        <w:ind w:firstLine="720"/>
        <w:jc w:val="both"/>
        <w:rPr>
          <w:rFonts w:ascii="Arial" w:hAnsi="Arial" w:cs="Arial"/>
          <w:sz w:val="24"/>
          <w:szCs w:val="24"/>
        </w:rPr>
      </w:pPr>
      <w:r w:rsidRPr="00BA6378">
        <w:rPr>
          <w:rFonts w:ascii="Arial" w:hAnsi="Arial" w:cs="Arial"/>
          <w:sz w:val="24"/>
          <w:szCs w:val="24"/>
        </w:rPr>
        <w:lastRenderedPageBreak/>
        <w:t xml:space="preserve">However, when we consider the sixth category of flaw that no mind was present at the time of the act, the law surrounding epilepsy becomes unique. It is argued that during an epileptic seizure, the mind is </w:t>
      </w:r>
      <w:proofErr w:type="gramStart"/>
      <w:r w:rsidRPr="00BA6378">
        <w:rPr>
          <w:rFonts w:ascii="Arial" w:hAnsi="Arial" w:cs="Arial"/>
          <w:sz w:val="24"/>
          <w:szCs w:val="24"/>
        </w:rPr>
        <w:t>absent</w:t>
      </w:r>
      <w:proofErr w:type="gramEnd"/>
      <w:r w:rsidRPr="00BA6378">
        <w:rPr>
          <w:rFonts w:ascii="Arial" w:hAnsi="Arial" w:cs="Arial"/>
          <w:sz w:val="24"/>
          <w:szCs w:val="24"/>
        </w:rPr>
        <w:t xml:space="preserve"> and any activity carried out is automatic. This is known as the "automatism defence" in legal circles. In the law, an automatic act is one that is performed without conscious thought.</w:t>
      </w:r>
      <w:r w:rsidR="00DD7980" w:rsidRPr="00BA6378">
        <w:rPr>
          <w:rFonts w:ascii="Arial" w:hAnsi="Arial" w:cs="Arial"/>
          <w:sz w:val="24"/>
          <w:szCs w:val="24"/>
        </w:rPr>
        <w:t xml:space="preserve"> </w:t>
      </w:r>
      <w:r w:rsidR="00DD7980" w:rsidRPr="00BA6378">
        <w:rPr>
          <w:rFonts w:ascii="Arial" w:hAnsi="Arial" w:cs="Arial"/>
          <w:sz w:val="24"/>
          <w:szCs w:val="24"/>
        </w:rPr>
        <w:t xml:space="preserve">Although aggressive behaviour during automatism has been reported in a small number of cases with epileptic automatism </w:t>
      </w:r>
      <w:r w:rsidR="00DD7980" w:rsidRPr="00BA6378">
        <w:rPr>
          <w:rFonts w:ascii="Arial" w:hAnsi="Arial" w:cs="Arial"/>
          <w:sz w:val="24"/>
          <w:szCs w:val="24"/>
        </w:rPr>
        <w:t xml:space="preserve">as in </w:t>
      </w:r>
      <w:r w:rsidR="00DD7980" w:rsidRPr="00BA6378">
        <w:rPr>
          <w:rFonts w:ascii="Arial" w:hAnsi="Arial" w:cs="Arial"/>
          <w:sz w:val="24"/>
          <w:szCs w:val="24"/>
        </w:rPr>
        <w:t>Knox</w:t>
      </w:r>
      <w:r w:rsidR="00DD7980" w:rsidRPr="00BA6378">
        <w:rPr>
          <w:rFonts w:ascii="Arial" w:hAnsi="Arial" w:cs="Arial"/>
          <w:sz w:val="24"/>
          <w:szCs w:val="24"/>
        </w:rPr>
        <w:t xml:space="preserve"> (</w:t>
      </w:r>
      <w:r w:rsidR="00DD7980" w:rsidRPr="00BA6378">
        <w:rPr>
          <w:rFonts w:ascii="Arial" w:hAnsi="Arial" w:cs="Arial"/>
          <w:sz w:val="24"/>
          <w:szCs w:val="24"/>
        </w:rPr>
        <w:t>1968</w:t>
      </w:r>
      <w:r w:rsidR="00DD7980" w:rsidRPr="00BA6378">
        <w:rPr>
          <w:rFonts w:ascii="Arial" w:hAnsi="Arial" w:cs="Arial"/>
          <w:sz w:val="24"/>
          <w:szCs w:val="24"/>
        </w:rPr>
        <w:t>)</w:t>
      </w:r>
      <w:r w:rsidR="00906404">
        <w:rPr>
          <w:rFonts w:ascii="Arial" w:hAnsi="Arial" w:cs="Arial"/>
          <w:sz w:val="24"/>
          <w:szCs w:val="24"/>
        </w:rPr>
        <w:t xml:space="preserve"> </w:t>
      </w:r>
      <w:r w:rsidR="00DD7980" w:rsidRPr="00BA6378">
        <w:rPr>
          <w:rFonts w:ascii="Arial" w:hAnsi="Arial" w:cs="Arial"/>
          <w:sz w:val="24"/>
          <w:szCs w:val="24"/>
        </w:rPr>
        <w:t>and Gunn</w:t>
      </w:r>
      <w:r w:rsidR="00DD7980" w:rsidRPr="00BA6378">
        <w:rPr>
          <w:rFonts w:ascii="Arial" w:hAnsi="Arial" w:cs="Arial"/>
          <w:sz w:val="24"/>
          <w:szCs w:val="24"/>
        </w:rPr>
        <w:t xml:space="preserve"> (</w:t>
      </w:r>
      <w:r w:rsidR="00DD7980" w:rsidRPr="00BA6378">
        <w:rPr>
          <w:rFonts w:ascii="Arial" w:hAnsi="Arial" w:cs="Arial"/>
          <w:sz w:val="24"/>
          <w:szCs w:val="24"/>
        </w:rPr>
        <w:t xml:space="preserve">1978), this condition is currently thought to be extremely uncommon. If an extremely terrible crime is committed and a claim of </w:t>
      </w:r>
      <w:r w:rsidR="00DD7980" w:rsidRPr="00BA6378">
        <w:rPr>
          <w:rFonts w:ascii="Arial" w:hAnsi="Arial" w:cs="Arial"/>
          <w:sz w:val="24"/>
          <w:szCs w:val="24"/>
        </w:rPr>
        <w:t>insane</w:t>
      </w:r>
      <w:r w:rsidR="00DD7980" w:rsidRPr="00BA6378">
        <w:rPr>
          <w:rFonts w:ascii="Arial" w:hAnsi="Arial" w:cs="Arial"/>
          <w:sz w:val="24"/>
          <w:szCs w:val="24"/>
        </w:rPr>
        <w:t xml:space="preserve"> automatism is made in court, there are certain very significant legal questions that need to be answered.</w:t>
      </w:r>
    </w:p>
    <w:p w14:paraId="615AAFDA" w14:textId="3CDC4782" w:rsidR="00DD7980" w:rsidRDefault="00DD7980" w:rsidP="00BA6378">
      <w:pPr>
        <w:spacing w:line="360" w:lineRule="auto"/>
        <w:ind w:firstLine="720"/>
        <w:jc w:val="both"/>
        <w:rPr>
          <w:rFonts w:ascii="Arial" w:hAnsi="Arial" w:cs="Arial"/>
          <w:sz w:val="24"/>
          <w:szCs w:val="24"/>
        </w:rPr>
      </w:pPr>
      <w:r w:rsidRPr="00BA6378">
        <w:rPr>
          <w:rFonts w:ascii="Arial" w:hAnsi="Arial" w:cs="Arial"/>
          <w:sz w:val="24"/>
          <w:szCs w:val="24"/>
        </w:rPr>
        <w:t xml:space="preserve">In Freya’s particular case, </w:t>
      </w:r>
      <w:proofErr w:type="gramStart"/>
      <w:r w:rsidRPr="00BA6378">
        <w:rPr>
          <w:rFonts w:ascii="Arial" w:hAnsi="Arial" w:cs="Arial"/>
          <w:sz w:val="24"/>
          <w:szCs w:val="24"/>
        </w:rPr>
        <w:t>it</w:t>
      </w:r>
      <w:proofErr w:type="gramEnd"/>
      <w:r w:rsidRPr="00BA6378">
        <w:rPr>
          <w:rFonts w:ascii="Arial" w:hAnsi="Arial" w:cs="Arial"/>
          <w:sz w:val="24"/>
          <w:szCs w:val="24"/>
        </w:rPr>
        <w:t xml:space="preserve"> ca be concluded that during her seizure she was completely unaware of what she was doing and she meant no harm to anyone</w:t>
      </w:r>
      <w:r w:rsidR="00BA6378" w:rsidRPr="00BA6378">
        <w:rPr>
          <w:rFonts w:ascii="Arial" w:hAnsi="Arial" w:cs="Arial"/>
          <w:sz w:val="24"/>
          <w:szCs w:val="24"/>
        </w:rPr>
        <w:t>,</w:t>
      </w:r>
      <w:r w:rsidRPr="00BA6378">
        <w:rPr>
          <w:rFonts w:ascii="Arial" w:hAnsi="Arial" w:cs="Arial"/>
          <w:sz w:val="24"/>
          <w:szCs w:val="24"/>
        </w:rPr>
        <w:t xml:space="preserve"> thus lacking Actus Reus and </w:t>
      </w:r>
      <w:proofErr w:type="spellStart"/>
      <w:r w:rsidRPr="00BA6378">
        <w:rPr>
          <w:rFonts w:ascii="Arial" w:hAnsi="Arial" w:cs="Arial"/>
          <w:sz w:val="24"/>
          <w:szCs w:val="24"/>
        </w:rPr>
        <w:t>Mens</w:t>
      </w:r>
      <w:proofErr w:type="spellEnd"/>
      <w:r w:rsidRPr="00BA6378">
        <w:rPr>
          <w:rFonts w:ascii="Arial" w:hAnsi="Arial" w:cs="Arial"/>
          <w:sz w:val="24"/>
          <w:szCs w:val="24"/>
        </w:rPr>
        <w:t xml:space="preserve"> Rea.</w:t>
      </w:r>
      <w:r w:rsidR="00754C78" w:rsidRPr="00BA6378">
        <w:rPr>
          <w:rFonts w:ascii="Arial" w:hAnsi="Arial" w:cs="Arial"/>
          <w:sz w:val="24"/>
          <w:szCs w:val="24"/>
        </w:rPr>
        <w:t xml:space="preserve"> In conclusion </w:t>
      </w:r>
      <w:r w:rsidR="00BA6378" w:rsidRPr="00BA6378">
        <w:rPr>
          <w:rFonts w:ascii="Arial" w:hAnsi="Arial" w:cs="Arial"/>
          <w:sz w:val="24"/>
          <w:szCs w:val="24"/>
        </w:rPr>
        <w:t xml:space="preserve">Freya can rely on the defences of automatism and intoxication in case she would be </w:t>
      </w:r>
      <w:r w:rsidR="00BA6378" w:rsidRPr="00BA6378">
        <w:rPr>
          <w:rFonts w:ascii="Arial" w:hAnsi="Arial" w:cs="Arial"/>
          <w:sz w:val="24"/>
          <w:szCs w:val="24"/>
        </w:rPr>
        <w:t>prosecuted under S.47 Offenses Against the Person Act 1861.</w:t>
      </w:r>
    </w:p>
    <w:p w14:paraId="69B029CE" w14:textId="2640AD0A" w:rsidR="00BA6378" w:rsidRDefault="00BA6378" w:rsidP="00BA6378">
      <w:pPr>
        <w:spacing w:line="360" w:lineRule="auto"/>
        <w:ind w:firstLine="720"/>
        <w:jc w:val="both"/>
        <w:rPr>
          <w:rFonts w:ascii="Arial" w:hAnsi="Arial" w:cs="Arial"/>
          <w:sz w:val="24"/>
          <w:szCs w:val="24"/>
        </w:rPr>
      </w:pPr>
    </w:p>
    <w:p w14:paraId="1A3B0D03" w14:textId="666EDE4A" w:rsidR="00BA6378" w:rsidRDefault="00BA6378" w:rsidP="00BA6378">
      <w:pPr>
        <w:spacing w:line="360" w:lineRule="auto"/>
        <w:ind w:firstLine="720"/>
        <w:jc w:val="both"/>
        <w:rPr>
          <w:rFonts w:ascii="Arial" w:hAnsi="Arial" w:cs="Arial"/>
          <w:sz w:val="24"/>
          <w:szCs w:val="24"/>
        </w:rPr>
      </w:pPr>
    </w:p>
    <w:p w14:paraId="4652B18C" w14:textId="6D721A94" w:rsidR="00BA6378" w:rsidRDefault="00BA6378" w:rsidP="00BA6378">
      <w:pPr>
        <w:spacing w:line="360" w:lineRule="auto"/>
        <w:ind w:firstLine="720"/>
        <w:jc w:val="both"/>
        <w:rPr>
          <w:rFonts w:ascii="Arial" w:hAnsi="Arial" w:cs="Arial"/>
          <w:sz w:val="24"/>
          <w:szCs w:val="24"/>
        </w:rPr>
      </w:pPr>
    </w:p>
    <w:p w14:paraId="4D728DFC" w14:textId="3EBDDDE1" w:rsidR="00BA6378" w:rsidRDefault="00BA6378" w:rsidP="00BA6378">
      <w:pPr>
        <w:spacing w:line="360" w:lineRule="auto"/>
        <w:ind w:firstLine="720"/>
        <w:jc w:val="both"/>
        <w:rPr>
          <w:rFonts w:ascii="Arial" w:hAnsi="Arial" w:cs="Arial"/>
          <w:sz w:val="24"/>
          <w:szCs w:val="24"/>
        </w:rPr>
      </w:pPr>
    </w:p>
    <w:p w14:paraId="14F5D8B5" w14:textId="368754AC" w:rsidR="00BA6378" w:rsidRDefault="00BA6378" w:rsidP="00BA6378">
      <w:pPr>
        <w:spacing w:line="360" w:lineRule="auto"/>
        <w:ind w:firstLine="720"/>
        <w:jc w:val="both"/>
        <w:rPr>
          <w:rFonts w:ascii="Arial" w:hAnsi="Arial" w:cs="Arial"/>
          <w:sz w:val="24"/>
          <w:szCs w:val="24"/>
        </w:rPr>
      </w:pPr>
    </w:p>
    <w:p w14:paraId="00C817D1" w14:textId="17464B6D" w:rsidR="00BA6378" w:rsidRDefault="00BA6378" w:rsidP="00BA6378">
      <w:pPr>
        <w:spacing w:line="360" w:lineRule="auto"/>
        <w:ind w:firstLine="720"/>
        <w:jc w:val="both"/>
        <w:rPr>
          <w:rFonts w:ascii="Arial" w:hAnsi="Arial" w:cs="Arial"/>
          <w:sz w:val="24"/>
          <w:szCs w:val="24"/>
        </w:rPr>
      </w:pPr>
    </w:p>
    <w:p w14:paraId="7EC8454C" w14:textId="641782DC" w:rsidR="00BA6378" w:rsidRDefault="00BA6378" w:rsidP="00BA6378">
      <w:pPr>
        <w:spacing w:line="360" w:lineRule="auto"/>
        <w:ind w:firstLine="720"/>
        <w:jc w:val="both"/>
        <w:rPr>
          <w:rFonts w:ascii="Arial" w:hAnsi="Arial" w:cs="Arial"/>
          <w:sz w:val="24"/>
          <w:szCs w:val="24"/>
        </w:rPr>
      </w:pPr>
    </w:p>
    <w:p w14:paraId="75041918" w14:textId="3943B27E" w:rsidR="00BA6378" w:rsidRDefault="00BA6378" w:rsidP="00BA6378">
      <w:pPr>
        <w:spacing w:line="360" w:lineRule="auto"/>
        <w:ind w:firstLine="720"/>
        <w:jc w:val="both"/>
        <w:rPr>
          <w:rFonts w:ascii="Arial" w:hAnsi="Arial" w:cs="Arial"/>
          <w:sz w:val="24"/>
          <w:szCs w:val="24"/>
        </w:rPr>
      </w:pPr>
    </w:p>
    <w:p w14:paraId="75236084" w14:textId="693A9280" w:rsidR="00BA6378" w:rsidRDefault="00BA6378" w:rsidP="00BA6378">
      <w:pPr>
        <w:spacing w:line="360" w:lineRule="auto"/>
        <w:ind w:firstLine="720"/>
        <w:jc w:val="both"/>
        <w:rPr>
          <w:rFonts w:ascii="Arial" w:hAnsi="Arial" w:cs="Arial"/>
          <w:sz w:val="24"/>
          <w:szCs w:val="24"/>
        </w:rPr>
      </w:pPr>
    </w:p>
    <w:p w14:paraId="07131DBB" w14:textId="036851A0" w:rsidR="00BA6378" w:rsidRDefault="00BA6378" w:rsidP="00BA6378">
      <w:pPr>
        <w:spacing w:line="360" w:lineRule="auto"/>
        <w:ind w:firstLine="720"/>
        <w:jc w:val="both"/>
        <w:rPr>
          <w:rFonts w:ascii="Arial" w:hAnsi="Arial" w:cs="Arial"/>
          <w:sz w:val="24"/>
          <w:szCs w:val="24"/>
        </w:rPr>
      </w:pPr>
    </w:p>
    <w:p w14:paraId="4B1B9A38" w14:textId="7CF833ED" w:rsidR="00BA6378" w:rsidRDefault="00BA6378" w:rsidP="00BA6378">
      <w:pPr>
        <w:spacing w:line="360" w:lineRule="auto"/>
        <w:ind w:firstLine="720"/>
        <w:jc w:val="both"/>
        <w:rPr>
          <w:rFonts w:ascii="Arial" w:hAnsi="Arial" w:cs="Arial"/>
          <w:sz w:val="24"/>
          <w:szCs w:val="24"/>
        </w:rPr>
      </w:pPr>
    </w:p>
    <w:p w14:paraId="58ED0647" w14:textId="442522E6" w:rsidR="00BA6378" w:rsidRPr="00BA6378" w:rsidRDefault="00BA6378" w:rsidP="00BA6378">
      <w:pPr>
        <w:spacing w:line="360" w:lineRule="auto"/>
        <w:ind w:firstLine="720"/>
        <w:jc w:val="both"/>
        <w:rPr>
          <w:rFonts w:ascii="Arial" w:hAnsi="Arial" w:cs="Arial"/>
          <w:b/>
          <w:bCs/>
          <w:i/>
          <w:iCs/>
          <w:sz w:val="24"/>
          <w:szCs w:val="24"/>
          <w:u w:val="single"/>
        </w:rPr>
      </w:pPr>
      <w:r w:rsidRPr="00BA6378">
        <w:rPr>
          <w:rFonts w:ascii="Arial" w:hAnsi="Arial" w:cs="Arial"/>
          <w:b/>
          <w:bCs/>
          <w:i/>
          <w:iCs/>
          <w:sz w:val="24"/>
          <w:szCs w:val="24"/>
          <w:u w:val="single"/>
        </w:rPr>
        <w:lastRenderedPageBreak/>
        <w:t>References</w:t>
      </w:r>
    </w:p>
    <w:p w14:paraId="73D5967F" w14:textId="6EF3269A" w:rsidR="00F151C5" w:rsidRDefault="00224834" w:rsidP="00BA6378">
      <w:pPr>
        <w:spacing w:line="360" w:lineRule="auto"/>
        <w:ind w:firstLine="720"/>
        <w:jc w:val="both"/>
        <w:rPr>
          <w:rFonts w:ascii="Arial" w:hAnsi="Arial" w:cs="Arial"/>
          <w:sz w:val="24"/>
          <w:szCs w:val="24"/>
        </w:rPr>
      </w:pPr>
      <w:r w:rsidRPr="00224834">
        <w:rPr>
          <w:rFonts w:ascii="Arial" w:hAnsi="Arial" w:cs="Arial"/>
          <w:sz w:val="24"/>
          <w:szCs w:val="24"/>
        </w:rPr>
        <w:t>R v Collins [1973] 3 WLR 243</w:t>
      </w:r>
    </w:p>
    <w:p w14:paraId="011CE72C" w14:textId="107C36A7"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 v Brown [1985] Crim LR 212</w:t>
      </w:r>
    </w:p>
    <w:p w14:paraId="08495BAB" w14:textId="0D3DE201"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 v Ryan [1996] Crim LR 320</w:t>
      </w:r>
    </w:p>
    <w:p w14:paraId="1A13FC89" w14:textId="45D0B9D3"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Roper v Knott [1898] 1 Q.B. 868</w:t>
      </w:r>
    </w:p>
    <w:p w14:paraId="7375BB80" w14:textId="67B76E16"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 v Hoof (1981) 72 Cr App R 126</w:t>
      </w:r>
    </w:p>
    <w:p w14:paraId="03072547" w14:textId="448D56F0"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 v Hardie (1984) 3 All ER 848</w:t>
      </w:r>
    </w:p>
    <w:p w14:paraId="7D4D1C83" w14:textId="6B64B0D1"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 xml:space="preserve">R v Sheehan and </w:t>
      </w:r>
      <w:proofErr w:type="gramStart"/>
      <w:r w:rsidRPr="00E82516">
        <w:rPr>
          <w:rFonts w:ascii="Arial" w:hAnsi="Arial" w:cs="Arial"/>
          <w:sz w:val="24"/>
          <w:szCs w:val="24"/>
        </w:rPr>
        <w:t>Moore[</w:t>
      </w:r>
      <w:proofErr w:type="gramEnd"/>
      <w:r w:rsidRPr="00E82516">
        <w:rPr>
          <w:rFonts w:ascii="Arial" w:hAnsi="Arial" w:cs="Arial"/>
          <w:sz w:val="24"/>
          <w:szCs w:val="24"/>
        </w:rPr>
        <w:t>1975] 1 WLR 739</w:t>
      </w:r>
    </w:p>
    <w:p w14:paraId="10E03073" w14:textId="416A8079"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DPP v Majewski [1977] AC 142</w:t>
      </w:r>
    </w:p>
    <w:p w14:paraId="2DCF6671" w14:textId="7EA3A4BE"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DPP v Beard [1920] AC 479</w:t>
      </w:r>
    </w:p>
    <w:p w14:paraId="66F415EA" w14:textId="6B21509E"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R v Caldwell [1982] AC 341</w:t>
      </w:r>
    </w:p>
    <w:p w14:paraId="781E9AD5" w14:textId="1B339292" w:rsidR="00E82516" w:rsidRDefault="00E82516" w:rsidP="00BA6378">
      <w:pPr>
        <w:spacing w:line="360" w:lineRule="auto"/>
        <w:ind w:firstLine="720"/>
        <w:jc w:val="both"/>
        <w:rPr>
          <w:rFonts w:ascii="Arial" w:hAnsi="Arial" w:cs="Arial"/>
          <w:sz w:val="24"/>
          <w:szCs w:val="24"/>
        </w:rPr>
      </w:pPr>
      <w:r w:rsidRPr="00E82516">
        <w:rPr>
          <w:rFonts w:ascii="Arial" w:hAnsi="Arial" w:cs="Arial"/>
          <w:sz w:val="24"/>
          <w:szCs w:val="24"/>
        </w:rPr>
        <w:t>People v. Knox, 94 Ill. App. 2d 36 (1968)</w:t>
      </w:r>
    </w:p>
    <w:p w14:paraId="248A9A78" w14:textId="04781A80" w:rsidR="00906404" w:rsidRPr="00BA6378" w:rsidRDefault="00906404" w:rsidP="00BA6378">
      <w:pPr>
        <w:spacing w:line="360" w:lineRule="auto"/>
        <w:ind w:firstLine="720"/>
        <w:jc w:val="both"/>
        <w:rPr>
          <w:rFonts w:ascii="Arial" w:hAnsi="Arial" w:cs="Arial"/>
          <w:sz w:val="24"/>
          <w:szCs w:val="24"/>
        </w:rPr>
      </w:pPr>
      <w:proofErr w:type="spellStart"/>
      <w:r w:rsidRPr="00906404">
        <w:rPr>
          <w:rFonts w:ascii="Arial" w:hAnsi="Arial" w:cs="Arial"/>
          <w:sz w:val="24"/>
          <w:szCs w:val="24"/>
        </w:rPr>
        <w:t>Spychala</w:t>
      </w:r>
      <w:proofErr w:type="spellEnd"/>
      <w:r w:rsidRPr="00906404">
        <w:rPr>
          <w:rFonts w:ascii="Arial" w:hAnsi="Arial" w:cs="Arial"/>
          <w:sz w:val="24"/>
          <w:szCs w:val="24"/>
        </w:rPr>
        <w:t xml:space="preserve"> v. Gunn, 580 F.2d 1054 (9th Cir. 1978)</w:t>
      </w:r>
    </w:p>
    <w:sectPr w:rsidR="00906404" w:rsidRPr="00BA6378" w:rsidSect="00F524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155"/>
    <w:rsid w:val="00052364"/>
    <w:rsid w:val="00131230"/>
    <w:rsid w:val="00135153"/>
    <w:rsid w:val="001566B3"/>
    <w:rsid w:val="001B1BBC"/>
    <w:rsid w:val="00224834"/>
    <w:rsid w:val="002E44A0"/>
    <w:rsid w:val="003724E4"/>
    <w:rsid w:val="00387EC5"/>
    <w:rsid w:val="003B09D8"/>
    <w:rsid w:val="003F71CA"/>
    <w:rsid w:val="004239E4"/>
    <w:rsid w:val="004F707A"/>
    <w:rsid w:val="00570575"/>
    <w:rsid w:val="005F3993"/>
    <w:rsid w:val="006077AE"/>
    <w:rsid w:val="006B7905"/>
    <w:rsid w:val="006C516F"/>
    <w:rsid w:val="00754C78"/>
    <w:rsid w:val="0078480B"/>
    <w:rsid w:val="007E360E"/>
    <w:rsid w:val="007F13A7"/>
    <w:rsid w:val="007F6F60"/>
    <w:rsid w:val="00837255"/>
    <w:rsid w:val="008C3B02"/>
    <w:rsid w:val="008F5144"/>
    <w:rsid w:val="00906404"/>
    <w:rsid w:val="00910A5E"/>
    <w:rsid w:val="00953BF5"/>
    <w:rsid w:val="009773EE"/>
    <w:rsid w:val="00AB321B"/>
    <w:rsid w:val="00AB6E37"/>
    <w:rsid w:val="00B042AB"/>
    <w:rsid w:val="00B35C5B"/>
    <w:rsid w:val="00B467CE"/>
    <w:rsid w:val="00B706AA"/>
    <w:rsid w:val="00BA6378"/>
    <w:rsid w:val="00BD0730"/>
    <w:rsid w:val="00BE437A"/>
    <w:rsid w:val="00C774CA"/>
    <w:rsid w:val="00CE4BFE"/>
    <w:rsid w:val="00D12559"/>
    <w:rsid w:val="00D6370D"/>
    <w:rsid w:val="00DD7980"/>
    <w:rsid w:val="00DE2BB6"/>
    <w:rsid w:val="00DF118B"/>
    <w:rsid w:val="00E41546"/>
    <w:rsid w:val="00E82516"/>
    <w:rsid w:val="00EA0155"/>
    <w:rsid w:val="00F151C5"/>
    <w:rsid w:val="00F5241C"/>
    <w:rsid w:val="00FD2CB3"/>
    <w:rsid w:val="00FF13F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65504"/>
  <w15:chartTrackingRefBased/>
  <w15:docId w15:val="{722837EB-FF14-4E20-B58F-D696AF1E0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07A"/>
    <w:rPr>
      <w:color w:val="0563C1" w:themeColor="hyperlink"/>
      <w:u w:val="single"/>
    </w:rPr>
  </w:style>
  <w:style w:type="character" w:styleId="UnresolvedMention">
    <w:name w:val="Unresolved Mention"/>
    <w:basedOn w:val="DefaultParagraphFont"/>
    <w:uiPriority w:val="99"/>
    <w:semiHidden/>
    <w:unhideWhenUsed/>
    <w:rsid w:val="004F707A"/>
    <w:rPr>
      <w:color w:val="605E5C"/>
      <w:shd w:val="clear" w:color="auto" w:fill="E1DFDD"/>
    </w:rPr>
  </w:style>
  <w:style w:type="character" w:styleId="CommentReference">
    <w:name w:val="annotation reference"/>
    <w:basedOn w:val="DefaultParagraphFont"/>
    <w:uiPriority w:val="99"/>
    <w:semiHidden/>
    <w:unhideWhenUsed/>
    <w:rsid w:val="007F13A7"/>
    <w:rPr>
      <w:sz w:val="16"/>
      <w:szCs w:val="16"/>
    </w:rPr>
  </w:style>
  <w:style w:type="paragraph" w:styleId="CommentText">
    <w:name w:val="annotation text"/>
    <w:basedOn w:val="Normal"/>
    <w:link w:val="CommentTextChar"/>
    <w:uiPriority w:val="99"/>
    <w:unhideWhenUsed/>
    <w:rsid w:val="007F13A7"/>
    <w:pPr>
      <w:spacing w:line="240" w:lineRule="auto"/>
    </w:pPr>
    <w:rPr>
      <w:sz w:val="20"/>
      <w:szCs w:val="20"/>
    </w:rPr>
  </w:style>
  <w:style w:type="character" w:customStyle="1" w:styleId="CommentTextChar">
    <w:name w:val="Comment Text Char"/>
    <w:basedOn w:val="DefaultParagraphFont"/>
    <w:link w:val="CommentText"/>
    <w:uiPriority w:val="99"/>
    <w:rsid w:val="007F13A7"/>
    <w:rPr>
      <w:sz w:val="20"/>
      <w:szCs w:val="20"/>
    </w:rPr>
  </w:style>
  <w:style w:type="paragraph" w:styleId="CommentSubject">
    <w:name w:val="annotation subject"/>
    <w:basedOn w:val="CommentText"/>
    <w:next w:val="CommentText"/>
    <w:link w:val="CommentSubjectChar"/>
    <w:uiPriority w:val="99"/>
    <w:semiHidden/>
    <w:unhideWhenUsed/>
    <w:rsid w:val="007F13A7"/>
    <w:rPr>
      <w:b/>
      <w:bCs/>
    </w:rPr>
  </w:style>
  <w:style w:type="character" w:customStyle="1" w:styleId="CommentSubjectChar">
    <w:name w:val="Comment Subject Char"/>
    <w:basedOn w:val="CommentTextChar"/>
    <w:link w:val="CommentSubject"/>
    <w:uiPriority w:val="99"/>
    <w:semiHidden/>
    <w:rsid w:val="007F13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7</Pages>
  <Words>1598</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13</cp:revision>
  <dcterms:created xsi:type="dcterms:W3CDTF">2022-12-23T11:53:00Z</dcterms:created>
  <dcterms:modified xsi:type="dcterms:W3CDTF">2023-01-02T16:38:00Z</dcterms:modified>
</cp:coreProperties>
</file>